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42708" w14:textId="18D79068" w:rsidR="007137A8" w:rsidRPr="00CC5607" w:rsidRDefault="00F268B7" w:rsidP="007F1F22">
      <w:pPr>
        <w:keepNext/>
        <w:keepLines/>
        <w:spacing w:before="0" w:after="360" w:line="240" w:lineRule="auto"/>
        <w:ind w:left="788"/>
        <w:jc w:val="center"/>
        <w:outlineLvl w:val="0"/>
        <w:rPr>
          <w:rFonts w:ascii="Arial" w:hAnsi="Arial" w:cs="Arial"/>
          <w:b/>
          <w:bCs/>
          <w:color w:val="000080"/>
          <w:sz w:val="36"/>
          <w:szCs w:val="36"/>
        </w:rPr>
      </w:pPr>
      <w:r w:rsidRPr="00F268B7">
        <w:rPr>
          <w:rFonts w:ascii="Arial" w:eastAsiaTheme="majorEastAsia" w:hAnsi="Arial" w:cs="Arial"/>
          <w:b/>
          <w:bCs/>
          <w:color w:val="000080"/>
          <w:sz w:val="36"/>
          <w:szCs w:val="36"/>
        </w:rPr>
        <w:t>Medical Services Advisory Committee (MSAC)</w:t>
      </w:r>
      <w:r w:rsidRPr="00F268B7">
        <w:rPr>
          <w:rFonts w:ascii="Arial" w:eastAsiaTheme="majorEastAsia" w:hAnsi="Arial" w:cs="Arial"/>
          <w:b/>
          <w:bCs/>
          <w:color w:val="000080"/>
          <w:sz w:val="36"/>
          <w:szCs w:val="36"/>
        </w:rPr>
        <w:br/>
      </w:r>
      <w:r w:rsidR="007F1F22" w:rsidRPr="00F76D74">
        <w:rPr>
          <w:rFonts w:ascii="Arial" w:hAnsi="Arial" w:cs="Arial"/>
          <w:b/>
          <w:bCs/>
          <w:color w:val="000080"/>
          <w:sz w:val="36"/>
          <w:szCs w:val="36"/>
        </w:rPr>
        <w:t>Public Summary Document</w:t>
      </w:r>
    </w:p>
    <w:p w14:paraId="7A128FDE" w14:textId="3630FEA3" w:rsidR="00772829" w:rsidRPr="00CE28E3" w:rsidRDefault="00772829" w:rsidP="00772829">
      <w:pPr>
        <w:pStyle w:val="Subtitle"/>
      </w:pPr>
      <w:r w:rsidRPr="2AA1CA0C">
        <w:t xml:space="preserve">Application No. </w:t>
      </w:r>
      <w:r w:rsidR="003B0749" w:rsidRPr="2AA1CA0C">
        <w:t xml:space="preserve">1555.1 </w:t>
      </w:r>
      <w:r w:rsidRPr="2AA1CA0C">
        <w:t xml:space="preserve">– </w:t>
      </w:r>
      <w:r w:rsidR="003B0749" w:rsidRPr="2AA1CA0C">
        <w:t xml:space="preserve">Endoscopic sleeve gastroplasty for the treatment of patients with </w:t>
      </w:r>
      <w:r w:rsidR="008F5EBB" w:rsidRPr="2AA1CA0C">
        <w:t>class</w:t>
      </w:r>
      <w:r w:rsidR="003B0749" w:rsidRPr="2AA1CA0C">
        <w:t xml:space="preserve"> I and II obesity who have failed first</w:t>
      </w:r>
      <w:r w:rsidR="00FC0DB5" w:rsidRPr="2AA1CA0C">
        <w:t>-</w:t>
      </w:r>
      <w:r w:rsidR="003B0749" w:rsidRPr="2AA1CA0C">
        <w:t>line (lifestyle modification) and second</w:t>
      </w:r>
      <w:r w:rsidR="00FC0DB5" w:rsidRPr="2AA1CA0C">
        <w:t>-</w:t>
      </w:r>
      <w:r w:rsidR="003B0749" w:rsidRPr="2AA1CA0C">
        <w:t>line (pharmacotherapy) treatments</w:t>
      </w:r>
    </w:p>
    <w:p w14:paraId="1C366CFB" w14:textId="586163CE" w:rsidR="0098544E" w:rsidRPr="00CE28E3" w:rsidRDefault="00772829" w:rsidP="2AA1CA0C">
      <w:pPr>
        <w:tabs>
          <w:tab w:val="left" w:pos="3686"/>
        </w:tabs>
        <w:spacing w:after="240"/>
        <w:rPr>
          <w:rFonts w:ascii="Arial" w:hAnsi="Arial" w:cs="Arial"/>
          <w:b/>
          <w:bCs/>
        </w:rPr>
      </w:pPr>
      <w:r w:rsidRPr="2AA1CA0C">
        <w:rPr>
          <w:rFonts w:ascii="Arial" w:hAnsi="Arial" w:cs="Arial"/>
          <w:b/>
          <w:bCs/>
        </w:rPr>
        <w:t>Applicant:</w:t>
      </w:r>
      <w:r>
        <w:tab/>
      </w:r>
      <w:r w:rsidR="00A528CC" w:rsidRPr="00903342">
        <w:rPr>
          <w:rFonts w:ascii="Arial" w:hAnsi="Arial" w:cs="Arial"/>
          <w:b/>
          <w:bCs/>
        </w:rPr>
        <w:t>Boston Scientific</w:t>
      </w:r>
      <w:r w:rsidR="00AF0E8F" w:rsidRPr="00903342">
        <w:rPr>
          <w:rFonts w:ascii="Arial" w:hAnsi="Arial" w:cs="Arial"/>
          <w:b/>
          <w:bCs/>
        </w:rPr>
        <w:t xml:space="preserve"> Pty Ltd</w:t>
      </w:r>
      <w:r w:rsidR="008167A8">
        <w:t xml:space="preserve"> </w:t>
      </w:r>
      <w:r w:rsidR="0098544E" w:rsidRPr="2AA1CA0C">
        <w:t xml:space="preserve"> </w:t>
      </w:r>
    </w:p>
    <w:p w14:paraId="4D5E9D3F" w14:textId="2DB2AE14" w:rsidR="00C05DB4" w:rsidRDefault="00C05DB4" w:rsidP="2AA1CA0C">
      <w:pPr>
        <w:spacing w:before="320"/>
        <w:rPr>
          <w:rFonts w:ascii="Arial" w:hAnsi="Arial" w:cs="Arial"/>
          <w:b/>
          <w:bCs/>
        </w:rPr>
      </w:pPr>
      <w:bookmarkStart w:id="0" w:name="_Toc69491415"/>
      <w:r w:rsidRPr="2AA1CA0C">
        <w:rPr>
          <w:rFonts w:ascii="Arial" w:hAnsi="Arial" w:cs="Arial"/>
          <w:b/>
          <w:bCs/>
        </w:rPr>
        <w:t xml:space="preserve">Date of </w:t>
      </w:r>
      <w:r w:rsidR="007F1F22">
        <w:rPr>
          <w:rFonts w:ascii="Arial" w:hAnsi="Arial" w:cs="Arial"/>
          <w:b/>
          <w:bCs/>
        </w:rPr>
        <w:t>MSAC</w:t>
      </w:r>
      <w:r w:rsidRPr="2AA1CA0C">
        <w:rPr>
          <w:rFonts w:ascii="Arial" w:hAnsi="Arial" w:cs="Arial"/>
          <w:b/>
          <w:bCs/>
        </w:rPr>
        <w:t xml:space="preserve"> consideration:</w:t>
      </w:r>
      <w:r>
        <w:tab/>
      </w:r>
      <w:r w:rsidR="007F1F22">
        <w:rPr>
          <w:rFonts w:ascii="Arial" w:hAnsi="Arial" w:cs="Arial"/>
          <w:b/>
          <w:bCs/>
        </w:rPr>
        <w:t>3-4 April</w:t>
      </w:r>
      <w:r w:rsidRPr="2AA1CA0C">
        <w:rPr>
          <w:rFonts w:ascii="Arial" w:hAnsi="Arial" w:cs="Arial"/>
          <w:b/>
          <w:bCs/>
        </w:rPr>
        <w:t xml:space="preserve"> 2025</w:t>
      </w:r>
    </w:p>
    <w:p w14:paraId="5D54DE98" w14:textId="77777777" w:rsidR="007F1F22" w:rsidRPr="00333EDF" w:rsidRDefault="007F1F22" w:rsidP="007F1F22">
      <w:pPr>
        <w:spacing w:after="240"/>
        <w:rPr>
          <w:color w:val="0000FF"/>
          <w:u w:val="single"/>
        </w:rPr>
      </w:pPr>
      <w:bookmarkStart w:id="1" w:name="_Hlk194308493"/>
      <w:r w:rsidRPr="00333EDF">
        <w:t xml:space="preserve">Context for decision: MSAC makes its advice in accordance with its Terms of Reference, </w:t>
      </w:r>
      <w:hyperlink r:id="rId8" w:tooltip="Link to Medical Services Advisory Committee website" w:history="1">
        <w:r w:rsidRPr="000D2098">
          <w:rPr>
            <w:rStyle w:val="Hyperlink"/>
            <w:color w:val="007BB8"/>
          </w:rPr>
          <w:t>visit the MSAC website</w:t>
        </w:r>
      </w:hyperlink>
    </w:p>
    <w:bookmarkEnd w:id="1"/>
    <w:p w14:paraId="7EAA7262" w14:textId="2138DC40" w:rsidR="00772829" w:rsidRPr="00CE28E3" w:rsidRDefault="00772829" w:rsidP="00361335">
      <w:pPr>
        <w:pStyle w:val="Heading2"/>
        <w:numPr>
          <w:ilvl w:val="0"/>
          <w:numId w:val="26"/>
        </w:numPr>
        <w:ind w:hanging="720"/>
      </w:pPr>
      <w:r w:rsidRPr="00CE28E3">
        <w:t xml:space="preserve">Purpose </w:t>
      </w:r>
      <w:r>
        <w:t>of</w:t>
      </w:r>
      <w:r w:rsidRPr="00CE28E3">
        <w:t xml:space="preserve"> application</w:t>
      </w:r>
      <w:bookmarkEnd w:id="0"/>
    </w:p>
    <w:p w14:paraId="6BF31FF2" w14:textId="3BA1C771" w:rsidR="00772829" w:rsidRDefault="00772829" w:rsidP="00772829">
      <w:pPr>
        <w:spacing w:after="240"/>
      </w:pPr>
      <w:bookmarkStart w:id="2" w:name="_Hlk69734469"/>
      <w:r>
        <w:t xml:space="preserve">A </w:t>
      </w:r>
      <w:r w:rsidR="00657832">
        <w:t>re-</w:t>
      </w:r>
      <w:r>
        <w:t xml:space="preserve">application requesting MBS listing of </w:t>
      </w:r>
      <w:r w:rsidR="008B610C">
        <w:t>endoscopic sleeve gastroplast</w:t>
      </w:r>
      <w:r w:rsidR="00567C7D">
        <w:t>y</w:t>
      </w:r>
      <w:r w:rsidR="008B610C">
        <w:t xml:space="preserve"> (</w:t>
      </w:r>
      <w:r w:rsidR="00391BFE">
        <w:t>ESG</w:t>
      </w:r>
      <w:r w:rsidR="008B610C">
        <w:t>)</w:t>
      </w:r>
      <w:r w:rsidR="00391BFE">
        <w:t xml:space="preserve"> </w:t>
      </w:r>
      <w:r w:rsidR="00195303">
        <w:t xml:space="preserve">as </w:t>
      </w:r>
      <w:r w:rsidR="007E0EE9">
        <w:t>a</w:t>
      </w:r>
      <w:r w:rsidR="00195303">
        <w:t xml:space="preserve"> treatment </w:t>
      </w:r>
      <w:r>
        <w:t>for</w:t>
      </w:r>
      <w:r w:rsidR="005B0334">
        <w:t xml:space="preserve"> patients</w:t>
      </w:r>
      <w:r w:rsidR="00CE0FE5">
        <w:t xml:space="preserve"> age</w:t>
      </w:r>
      <w:r w:rsidR="000A6D78">
        <w:t>d</w:t>
      </w:r>
      <w:r w:rsidR="00CE0FE5">
        <w:t xml:space="preserve"> 18</w:t>
      </w:r>
      <w:r w:rsidR="007F1F22">
        <w:t> </w:t>
      </w:r>
      <w:r w:rsidR="00CE0FE5">
        <w:t xml:space="preserve">years </w:t>
      </w:r>
      <w:r w:rsidR="00842D9A">
        <w:t xml:space="preserve">and </w:t>
      </w:r>
      <w:r w:rsidR="00CE0FE5">
        <w:t>over</w:t>
      </w:r>
      <w:r w:rsidR="00355F47">
        <w:t>,</w:t>
      </w:r>
      <w:r w:rsidR="00CE0FE5">
        <w:t xml:space="preserve"> diagnosed with </w:t>
      </w:r>
      <w:r w:rsidR="000B24C9">
        <w:t>obesity</w:t>
      </w:r>
      <w:r w:rsidR="00C23DB0">
        <w:t xml:space="preserve"> (</w:t>
      </w:r>
      <w:r w:rsidR="00E14692">
        <w:t xml:space="preserve">BMI </w:t>
      </w:r>
      <w:r w:rsidR="00D66F49">
        <w:t>≥</w:t>
      </w:r>
      <w:r w:rsidR="00302B88">
        <w:t>30 kg/m</w:t>
      </w:r>
      <w:r w:rsidR="00302B88" w:rsidRPr="00D76EFB">
        <w:rPr>
          <w:vertAlign w:val="superscript"/>
        </w:rPr>
        <w:t>2</w:t>
      </w:r>
      <w:r w:rsidR="00302B88">
        <w:t>)</w:t>
      </w:r>
      <w:r w:rsidR="007D4774">
        <w:t>,</w:t>
      </w:r>
      <w:r>
        <w:t xml:space="preserve"> </w:t>
      </w:r>
      <w:r w:rsidR="00425BBC">
        <w:t>who have failed first</w:t>
      </w:r>
      <w:r w:rsidR="006729C8">
        <w:t xml:space="preserve">- </w:t>
      </w:r>
      <w:r w:rsidR="00425BBC">
        <w:t xml:space="preserve">and second-line </w:t>
      </w:r>
      <w:r w:rsidR="004D1E13">
        <w:t xml:space="preserve">treatments and/or who are unsuitable for bariatric surgery, was </w:t>
      </w:r>
      <w:r>
        <w:t xml:space="preserve">received from </w:t>
      </w:r>
      <w:r w:rsidR="008167A8">
        <w:t>Boston Scientific</w:t>
      </w:r>
      <w:r w:rsidR="00AF0E8F">
        <w:t xml:space="preserve"> Pty Ltd</w:t>
      </w:r>
      <w:r w:rsidR="00343531">
        <w:t xml:space="preserve"> </w:t>
      </w:r>
      <w:r>
        <w:t>by the Department of Health</w:t>
      </w:r>
      <w:r w:rsidR="003C69DE">
        <w:t xml:space="preserve"> and Aged Care</w:t>
      </w:r>
      <w:r>
        <w:t>.</w:t>
      </w:r>
      <w:r w:rsidR="009B05EC">
        <w:t xml:space="preserve"> </w:t>
      </w:r>
      <w:r w:rsidR="00F81C42">
        <w:t>Currently, ESG is not MBS-funded.</w:t>
      </w:r>
    </w:p>
    <w:p w14:paraId="53AAF195" w14:textId="674FA73D" w:rsidR="00CF5638" w:rsidRDefault="00371F0D" w:rsidP="00D76EFB">
      <w:pPr>
        <w:spacing w:after="0"/>
      </w:pPr>
      <w:r>
        <w:t>T</w:t>
      </w:r>
      <w:r w:rsidR="00CF5638">
        <w:t xml:space="preserve">he </w:t>
      </w:r>
      <w:r w:rsidR="000826B8">
        <w:t>Applicant</w:t>
      </w:r>
      <w:r w:rsidR="00727978">
        <w:t>-D</w:t>
      </w:r>
      <w:r w:rsidR="000826B8">
        <w:t xml:space="preserve">eveloped </w:t>
      </w:r>
      <w:r w:rsidR="00727978">
        <w:t>A</w:t>
      </w:r>
      <w:r w:rsidR="000826B8">
        <w:t xml:space="preserve">ssessment </w:t>
      </w:r>
      <w:r w:rsidR="00727978">
        <w:t>R</w:t>
      </w:r>
      <w:r w:rsidR="000826B8">
        <w:t>eport (</w:t>
      </w:r>
      <w:r w:rsidR="0089017F">
        <w:t>ADAR</w:t>
      </w:r>
      <w:r w:rsidR="000826B8">
        <w:t>)</w:t>
      </w:r>
      <w:r w:rsidR="0089017F">
        <w:t xml:space="preserve"> for </w:t>
      </w:r>
      <w:r w:rsidR="000F019C">
        <w:t xml:space="preserve">the </w:t>
      </w:r>
      <w:r w:rsidR="004167F8">
        <w:t>re-</w:t>
      </w:r>
      <w:r w:rsidR="00CF5638">
        <w:t>applicat</w:t>
      </w:r>
      <w:r w:rsidR="00FC7B1E">
        <w:t>ion</w:t>
      </w:r>
      <w:r w:rsidR="00CF5638">
        <w:t xml:space="preserve"> pr</w:t>
      </w:r>
      <w:r w:rsidR="00437B00">
        <w:t xml:space="preserve">esented </w:t>
      </w:r>
      <w:r w:rsidR="00E156CC">
        <w:t>two PICO sets</w:t>
      </w:r>
      <w:r w:rsidR="0029019F">
        <w:t>:</w:t>
      </w:r>
    </w:p>
    <w:p w14:paraId="07A89B4B" w14:textId="75CFBE6D" w:rsidR="0029019F" w:rsidRDefault="006A75D3" w:rsidP="00C05DB4">
      <w:pPr>
        <w:pStyle w:val="ListParagraph"/>
        <w:numPr>
          <w:ilvl w:val="0"/>
          <w:numId w:val="18"/>
        </w:numPr>
        <w:spacing w:after="120"/>
        <w:ind w:left="714" w:hanging="357"/>
        <w:contextualSpacing w:val="0"/>
      </w:pPr>
      <w:r>
        <w:t xml:space="preserve">PICO set 1: </w:t>
      </w:r>
      <w:r w:rsidRPr="006A75D3">
        <w:t>P</w:t>
      </w:r>
      <w:r>
        <w:t>atients</w:t>
      </w:r>
      <w:r w:rsidRPr="006A75D3">
        <w:t xml:space="preserve"> with </w:t>
      </w:r>
      <w:r w:rsidR="006A22CB">
        <w:t>c</w:t>
      </w:r>
      <w:r w:rsidR="008F5EBB">
        <w:t>lass</w:t>
      </w:r>
      <w:r w:rsidRPr="006A75D3">
        <w:t xml:space="preserve"> I or </w:t>
      </w:r>
      <w:r w:rsidR="006A22CB">
        <w:t>c</w:t>
      </w:r>
      <w:r w:rsidR="008F5EBB">
        <w:t>lass</w:t>
      </w:r>
      <w:r w:rsidRPr="006A75D3">
        <w:t xml:space="preserve"> II obesity (</w:t>
      </w:r>
      <w:r w:rsidR="00121D6F">
        <w:t>BMI 30–39.9 kg</w:t>
      </w:r>
      <w:r w:rsidR="00121D6F" w:rsidRPr="006A75D3">
        <w:t xml:space="preserve"> </w:t>
      </w:r>
      <w:r w:rsidRPr="006A75D3">
        <w:t>/m²) with or without comorbidities who have failed first- and second-line weight loss therapies (lifestyle intervention delivered with or without pharmacotherapy).</w:t>
      </w:r>
      <w:r w:rsidR="006D5CB1">
        <w:t xml:space="preserve"> </w:t>
      </w:r>
    </w:p>
    <w:p w14:paraId="02F274FE" w14:textId="3DC95D26" w:rsidR="00D25131" w:rsidRDefault="0071314B" w:rsidP="00C05DB4">
      <w:pPr>
        <w:pStyle w:val="ListParagraph"/>
        <w:numPr>
          <w:ilvl w:val="0"/>
          <w:numId w:val="18"/>
        </w:numPr>
        <w:spacing w:after="240"/>
      </w:pPr>
      <w:r>
        <w:t>PICO set 2</w:t>
      </w:r>
      <w:r w:rsidR="007D0549">
        <w:t xml:space="preserve">: Patients </w:t>
      </w:r>
      <w:r w:rsidR="007D0549" w:rsidRPr="007D0549">
        <w:t xml:space="preserve">with </w:t>
      </w:r>
      <w:r w:rsidR="006A22CB">
        <w:t>c</w:t>
      </w:r>
      <w:r w:rsidR="008F5EBB">
        <w:t>lass</w:t>
      </w:r>
      <w:r w:rsidR="007D0549" w:rsidRPr="007D0549">
        <w:t xml:space="preserve"> II </w:t>
      </w:r>
      <w:r w:rsidR="00F0712A">
        <w:t xml:space="preserve">obesity </w:t>
      </w:r>
      <w:r w:rsidR="001E01A6">
        <w:t>(</w:t>
      </w:r>
      <w:r w:rsidR="00E315C3">
        <w:t>BMI 35-39.9</w:t>
      </w:r>
      <w:r w:rsidR="00502BAC">
        <w:t xml:space="preserve"> </w:t>
      </w:r>
      <w:r w:rsidR="00E315C3">
        <w:t>kg/m</w:t>
      </w:r>
      <w:r w:rsidR="00E315C3" w:rsidRPr="10253908">
        <w:rPr>
          <w:vertAlign w:val="superscript"/>
        </w:rPr>
        <w:t>2</w:t>
      </w:r>
      <w:r w:rsidR="00E315C3">
        <w:t xml:space="preserve">), </w:t>
      </w:r>
      <w:r w:rsidR="00134FE6">
        <w:t>comorbidities,</w:t>
      </w:r>
      <w:r w:rsidR="007D0549" w:rsidRPr="007D0549">
        <w:t xml:space="preserve"> or </w:t>
      </w:r>
      <w:r w:rsidR="008121C0">
        <w:t xml:space="preserve">class </w:t>
      </w:r>
      <w:r w:rsidR="007D0549" w:rsidRPr="007D0549">
        <w:t xml:space="preserve">III </w:t>
      </w:r>
      <w:r w:rsidR="003A1345">
        <w:t xml:space="preserve">obesity </w:t>
      </w:r>
      <w:bookmarkStart w:id="3" w:name="_Hlk187396835"/>
      <w:r w:rsidR="006B72D1" w:rsidRPr="006B72D1">
        <w:t>(BMI ≥40 kg/m</w:t>
      </w:r>
      <w:r w:rsidR="006B72D1" w:rsidRPr="00115CA8">
        <w:rPr>
          <w:vertAlign w:val="superscript"/>
        </w:rPr>
        <w:t>2</w:t>
      </w:r>
      <w:r w:rsidR="006B72D1">
        <w:t>)</w:t>
      </w:r>
      <w:r w:rsidR="007843B1">
        <w:t xml:space="preserve">. </w:t>
      </w:r>
      <w:bookmarkEnd w:id="3"/>
    </w:p>
    <w:p w14:paraId="5FA1F821" w14:textId="602F442C" w:rsidR="006A75D3" w:rsidRPr="009A3778" w:rsidRDefault="00ED761C" w:rsidP="00CB0FFF">
      <w:pPr>
        <w:spacing w:after="240"/>
      </w:pPr>
      <w:r>
        <w:t>T</w:t>
      </w:r>
      <w:r w:rsidR="00D25131">
        <w:t>he population of</w:t>
      </w:r>
      <w:r w:rsidR="006141D9">
        <w:t xml:space="preserve"> patients </w:t>
      </w:r>
      <w:r w:rsidR="00D25131">
        <w:t xml:space="preserve">in PICO set 2 </w:t>
      </w:r>
      <w:r w:rsidR="006141D9">
        <w:t xml:space="preserve">are currently eligible </w:t>
      </w:r>
      <w:r w:rsidR="006971A0">
        <w:t xml:space="preserve">for MBS-funded </w:t>
      </w:r>
      <w:r w:rsidR="007D0549" w:rsidRPr="007D0549">
        <w:t xml:space="preserve">bariatric </w:t>
      </w:r>
      <w:r w:rsidR="009F6FBB">
        <w:t>procedures</w:t>
      </w:r>
      <w:r w:rsidR="2A382C9A">
        <w:t>.</w:t>
      </w:r>
    </w:p>
    <w:p w14:paraId="4CDBAD11" w14:textId="51840E34" w:rsidR="00D734CD" w:rsidRDefault="00DA2967" w:rsidP="00F81C42">
      <w:pPr>
        <w:spacing w:after="240"/>
      </w:pPr>
      <w:r>
        <w:t xml:space="preserve">The ADAR proposed </w:t>
      </w:r>
      <w:r w:rsidR="0031273F">
        <w:t xml:space="preserve">that the ESG procedure be conducted using </w:t>
      </w:r>
      <w:r w:rsidR="008012D6" w:rsidRPr="008012D6">
        <w:t xml:space="preserve">the Apollo ESG NXT system, </w:t>
      </w:r>
      <w:r w:rsidR="00D50D9E">
        <w:t xml:space="preserve">which is </w:t>
      </w:r>
      <w:r w:rsidR="00804776">
        <w:t>TGA-registered</w:t>
      </w:r>
      <w:r w:rsidR="00CE14EF">
        <w:t>,</w:t>
      </w:r>
      <w:r w:rsidR="00804776">
        <w:t xml:space="preserve"> but not on </w:t>
      </w:r>
      <w:r w:rsidR="009B5013">
        <w:t>the Prescribed List</w:t>
      </w:r>
      <w:r w:rsidR="00A16148">
        <w:t xml:space="preserve"> for Medical Devices and Human Tissues Products (the PL)</w:t>
      </w:r>
      <w:r w:rsidR="009B5013">
        <w:t>.</w:t>
      </w:r>
      <w:r w:rsidR="00F43184">
        <w:t xml:space="preserve"> </w:t>
      </w:r>
      <w:r w:rsidR="00D042B6" w:rsidRPr="00D042B6">
        <w:t>The applicant reported its intention to submit a PL application following assessment of the MSAC application.</w:t>
      </w:r>
    </w:p>
    <w:p w14:paraId="7DA3C62C" w14:textId="77777777" w:rsidR="007F1F22" w:rsidRPr="00D155C0" w:rsidRDefault="007F1F22" w:rsidP="00361335">
      <w:pPr>
        <w:pStyle w:val="Heading2"/>
        <w:numPr>
          <w:ilvl w:val="0"/>
          <w:numId w:val="26"/>
        </w:numPr>
        <w:ind w:hanging="720"/>
      </w:pPr>
      <w:bookmarkStart w:id="4" w:name="_Hlk193982496"/>
      <w:bookmarkStart w:id="5" w:name="_Hlk194308564"/>
      <w:r w:rsidRPr="00D155C0">
        <w:t>MSAC’s advice to the Minister</w:t>
      </w:r>
    </w:p>
    <w:p w14:paraId="21110200" w14:textId="6B1A9412" w:rsidR="007F1F22" w:rsidRPr="0059179E" w:rsidRDefault="007F1F22" w:rsidP="00ED2ACC">
      <w:pPr>
        <w:pStyle w:val="TableFooter"/>
        <w:keepNext/>
        <w:keepLines/>
        <w:jc w:val="left"/>
        <w:rPr>
          <w:rFonts w:ascii="Franklin Gothic Book" w:eastAsia="Franklin Gothic Book" w:hAnsi="Franklin Gothic Book"/>
          <w:sz w:val="22"/>
          <w:szCs w:val="22"/>
        </w:rPr>
      </w:pPr>
      <w:r w:rsidRPr="00333EDF">
        <w:rPr>
          <w:rFonts w:ascii="Franklin Gothic Book" w:hAnsi="Franklin Gothic Book"/>
          <w:sz w:val="22"/>
          <w:szCs w:val="22"/>
        </w:rPr>
        <w:t xml:space="preserve">After considering the strength of the available evidence in relation to comparative safety, clinical effectiveness, cost-effectiveness and total cost, </w:t>
      </w:r>
      <w:r w:rsidRPr="00333EDF">
        <w:rPr>
          <w:rFonts w:ascii="Franklin Gothic Book" w:eastAsia="Franklin Gothic Book" w:hAnsi="Franklin Gothic Book"/>
          <w:sz w:val="22"/>
          <w:szCs w:val="22"/>
        </w:rPr>
        <w:t>MSAC</w:t>
      </w:r>
      <w:r w:rsidR="00D13B05">
        <w:rPr>
          <w:rFonts w:ascii="Franklin Gothic Book" w:eastAsia="Franklin Gothic Book" w:hAnsi="Franklin Gothic Book"/>
          <w:sz w:val="22"/>
          <w:szCs w:val="22"/>
        </w:rPr>
        <w:t xml:space="preserve"> </w:t>
      </w:r>
      <w:r w:rsidR="00D13B05" w:rsidRPr="00D13B05">
        <w:rPr>
          <w:rFonts w:ascii="Franklin Gothic Book" w:eastAsia="Franklin Gothic Book" w:hAnsi="Franklin Gothic Book"/>
          <w:sz w:val="22"/>
          <w:szCs w:val="22"/>
        </w:rPr>
        <w:t>did not support public funding of endoscopic sleeve gastroplasty (ESG) for the treatment of obesity in adults with body mass index (BMI) ≥30 kg/m</w:t>
      </w:r>
      <w:r w:rsidR="00D13B05" w:rsidRPr="00AE36DD">
        <w:rPr>
          <w:rFonts w:ascii="Franklin Gothic Book" w:eastAsia="Franklin Gothic Book" w:hAnsi="Franklin Gothic Book"/>
          <w:sz w:val="22"/>
          <w:szCs w:val="22"/>
          <w:vertAlign w:val="superscript"/>
        </w:rPr>
        <w:t>2</w:t>
      </w:r>
      <w:r w:rsidR="00D13B05" w:rsidRPr="00D13B05">
        <w:rPr>
          <w:rFonts w:ascii="Franklin Gothic Book" w:eastAsia="Franklin Gothic Book" w:hAnsi="Franklin Gothic Book"/>
          <w:sz w:val="22"/>
          <w:szCs w:val="22"/>
        </w:rPr>
        <w:t xml:space="preserve"> and who have failed first-line (lifestyle modification) and second-line (pharmacotherapy) treatments. MSAC considered that the comparative evidence presented was limited </w:t>
      </w:r>
      <w:r w:rsidR="005F49C8" w:rsidRPr="10253908">
        <w:rPr>
          <w:rFonts w:ascii="Franklin Gothic Book" w:eastAsia="Franklin Gothic Book" w:hAnsi="Franklin Gothic Book"/>
          <w:sz w:val="22"/>
          <w:szCs w:val="22"/>
        </w:rPr>
        <w:t xml:space="preserve">with only 12 </w:t>
      </w:r>
      <w:r w:rsidR="00D13B05" w:rsidRPr="00D13B05">
        <w:rPr>
          <w:rFonts w:ascii="Franklin Gothic Book" w:eastAsia="Franklin Gothic Book" w:hAnsi="Franklin Gothic Book"/>
          <w:sz w:val="22"/>
          <w:szCs w:val="22"/>
        </w:rPr>
        <w:t>month</w:t>
      </w:r>
      <w:r w:rsidR="00DB34EB">
        <w:rPr>
          <w:rFonts w:ascii="Franklin Gothic Book" w:eastAsia="Franklin Gothic Book" w:hAnsi="Franklin Gothic Book"/>
          <w:sz w:val="22"/>
          <w:szCs w:val="22"/>
        </w:rPr>
        <w:t>s</w:t>
      </w:r>
      <w:r w:rsidR="00D13B05" w:rsidRPr="00D13B05">
        <w:rPr>
          <w:rFonts w:ascii="Franklin Gothic Book" w:eastAsia="Franklin Gothic Book" w:hAnsi="Franklin Gothic Book"/>
          <w:sz w:val="22"/>
          <w:szCs w:val="22"/>
        </w:rPr>
        <w:t xml:space="preserve"> of clinical trial data for patients with a </w:t>
      </w:r>
      <w:r w:rsidR="00F418B6" w:rsidRPr="10253908">
        <w:rPr>
          <w:rFonts w:ascii="Franklin Gothic Book" w:eastAsia="Franklin Gothic Book" w:hAnsi="Franklin Gothic Book"/>
          <w:sz w:val="22"/>
          <w:szCs w:val="22"/>
        </w:rPr>
        <w:t>BMI 30-40 kg/m</w:t>
      </w:r>
      <w:r w:rsidR="00F418B6" w:rsidRPr="10253908">
        <w:rPr>
          <w:rFonts w:ascii="Franklin Gothic Book" w:eastAsia="Franklin Gothic Book" w:hAnsi="Franklin Gothic Book"/>
          <w:sz w:val="22"/>
          <w:szCs w:val="22"/>
          <w:vertAlign w:val="superscript"/>
        </w:rPr>
        <w:t>2</w:t>
      </w:r>
      <w:r w:rsidR="00F418B6" w:rsidRPr="10253908">
        <w:rPr>
          <w:rFonts w:ascii="Franklin Gothic Book" w:eastAsia="Franklin Gothic Book" w:hAnsi="Franklin Gothic Book"/>
          <w:sz w:val="22"/>
          <w:szCs w:val="22"/>
        </w:rPr>
        <w:t xml:space="preserve">. No </w:t>
      </w:r>
      <w:r w:rsidR="00D13B05" w:rsidRPr="00D13B05">
        <w:rPr>
          <w:rFonts w:ascii="Franklin Gothic Book" w:eastAsia="Franklin Gothic Book" w:hAnsi="Franklin Gothic Book"/>
          <w:sz w:val="22"/>
          <w:szCs w:val="22"/>
        </w:rPr>
        <w:t xml:space="preserve">comparative data was presented for the populations with a higher BMI. MSAC considered the clinical evidence did not adequately support long-term comparative effectiveness and safety of ESG including the need for reintervention and whether weight loss following ESG would lead to improvements in clinically important outcomes (e.g., cardiovascular disease, diabetes, chronic kidney disease). MSAC noted that 25% of patients in the MERIT trial did not complete assessment at 1 year, and 26.5% of patients in the ESG group who completed </w:t>
      </w:r>
      <w:r w:rsidR="00920780" w:rsidRPr="10253908">
        <w:rPr>
          <w:rFonts w:ascii="Franklin Gothic Book" w:eastAsia="Franklin Gothic Book" w:hAnsi="Franklin Gothic Book"/>
          <w:sz w:val="22"/>
          <w:szCs w:val="22"/>
        </w:rPr>
        <w:t xml:space="preserve">1 year follow-up were </w:t>
      </w:r>
      <w:r w:rsidR="00D13B05" w:rsidRPr="00D13B05">
        <w:rPr>
          <w:rFonts w:ascii="Franklin Gothic Book" w:eastAsia="Franklin Gothic Book" w:hAnsi="Franklin Gothic Book"/>
          <w:sz w:val="22"/>
          <w:szCs w:val="22"/>
        </w:rPr>
        <w:t>considered to require retightening suggesting the benefit was not durable. MSAC noted that ESG is expected to have similar costs to bariatric surgery but appeared to result in lower levels of weight reduction and did not have longer term evidence for other clinical outcomes. MSAC considered the limitations in the clinical evidence supporting ESG meant the cost-effectiveness of ESG could not be established. MSAC considered that obesity (BMI ≥30 kg/m</w:t>
      </w:r>
      <w:r w:rsidR="00D13B05" w:rsidRPr="00AE36DD">
        <w:rPr>
          <w:rFonts w:ascii="Franklin Gothic Book" w:eastAsia="Franklin Gothic Book" w:hAnsi="Franklin Gothic Book"/>
          <w:sz w:val="22"/>
          <w:szCs w:val="22"/>
          <w:vertAlign w:val="superscript"/>
        </w:rPr>
        <w:t>2</w:t>
      </w:r>
      <w:r w:rsidR="00D13B05" w:rsidRPr="00D13B05">
        <w:rPr>
          <w:rFonts w:ascii="Franklin Gothic Book" w:eastAsia="Franklin Gothic Book" w:hAnsi="Franklin Gothic Book"/>
          <w:sz w:val="22"/>
          <w:szCs w:val="22"/>
        </w:rPr>
        <w:t>) with associated comorbidities is very common and robust evidence of comparative effectiveness, safety and cost-effectiveness is needed to support the likely substantial financial implications. MSAC considered a resubmission for ESG should also consider the place of glucagon-like peptide-1 (GLP-1) therapies, and other pharmacologic and surgical interventions and the new draft Clinical Practice Guidelines for the Management of Overweight and Obesity for Adults, Adolescents and Children in Australia (November 2024).</w:t>
      </w:r>
    </w:p>
    <w:tbl>
      <w:tblPr>
        <w:tblStyle w:val="Section3-footnot1"/>
        <w:tblW w:w="0" w:type="auto"/>
        <w:tblLook w:val="04A0" w:firstRow="1" w:lastRow="0" w:firstColumn="1" w:lastColumn="0" w:noHBand="0" w:noVBand="1"/>
        <w:tblDescription w:val="Consumer summary of MSAC consideration"/>
      </w:tblPr>
      <w:tblGrid>
        <w:gridCol w:w="9016"/>
      </w:tblGrid>
      <w:tr w:rsidR="007F1F22" w:rsidRPr="00F91D6E" w14:paraId="54E90A11" w14:textId="77777777" w:rsidTr="6D72E583">
        <w:trPr>
          <w:tblHeader/>
        </w:trPr>
        <w:tc>
          <w:tcPr>
            <w:tcW w:w="9016" w:type="dxa"/>
          </w:tcPr>
          <w:p w14:paraId="248672A6" w14:textId="77777777" w:rsidR="007F1F22" w:rsidRPr="00F91D6E" w:rsidRDefault="007F1F22">
            <w:pPr>
              <w:keepNext/>
              <w:keepLines/>
              <w:spacing w:line="259" w:lineRule="auto"/>
              <w:rPr>
                <w:rFonts w:eastAsia="Calibri"/>
                <w:b/>
                <w:bCs/>
              </w:rPr>
            </w:pPr>
            <w:r w:rsidRPr="00F91D6E">
              <w:rPr>
                <w:b/>
                <w:bCs/>
              </w:rPr>
              <w:t>Consumer summary</w:t>
            </w:r>
          </w:p>
        </w:tc>
      </w:tr>
      <w:tr w:rsidR="007F1F22" w:rsidRPr="00F91D6E" w14:paraId="4CB0EF7E" w14:textId="77777777" w:rsidTr="6D72E583">
        <w:tc>
          <w:tcPr>
            <w:tcW w:w="9016" w:type="dxa"/>
          </w:tcPr>
          <w:p w14:paraId="756B9828" w14:textId="2C60C99E" w:rsidR="007E68D8" w:rsidRDefault="007E68D8" w:rsidP="007E68D8">
            <w:pPr>
              <w:keepNext/>
              <w:keepLines/>
              <w:outlineLvl w:val="2"/>
            </w:pPr>
            <w:r>
              <w:t xml:space="preserve">This is an application from Boston Scientific requesting Medicare Benefits Schedule (MBS) </w:t>
            </w:r>
            <w:r w:rsidR="0042767D">
              <w:t xml:space="preserve">funding for </w:t>
            </w:r>
            <w:r>
              <w:t>endoscopic sleeve gastr</w:t>
            </w:r>
            <w:r w:rsidR="00843084">
              <w:t>oplast</w:t>
            </w:r>
            <w:r>
              <w:t xml:space="preserve">y (ESG) as a treatment for </w:t>
            </w:r>
            <w:r w:rsidR="0042767D">
              <w:t xml:space="preserve">individuals </w:t>
            </w:r>
            <w:r>
              <w:t>with class I</w:t>
            </w:r>
            <w:r w:rsidR="0042767D">
              <w:t xml:space="preserve"> to </w:t>
            </w:r>
            <w:r>
              <w:t>III obesity who have not lost weight following diet or lifestyle modifications</w:t>
            </w:r>
            <w:r w:rsidR="003672EE">
              <w:t>,</w:t>
            </w:r>
            <w:r>
              <w:t xml:space="preserve"> </w:t>
            </w:r>
            <w:r w:rsidR="003672EE">
              <w:t>and</w:t>
            </w:r>
            <w:r>
              <w:t xml:space="preserve"> after taking weight-loss medications, </w:t>
            </w:r>
            <w:r w:rsidR="003672EE">
              <w:t>and</w:t>
            </w:r>
            <w:r>
              <w:t xml:space="preserve"> who have declined bariatric surgery. This is the second time that MSAC has considered this application.</w:t>
            </w:r>
          </w:p>
          <w:p w14:paraId="3BB93310" w14:textId="6867391D" w:rsidR="007E68D8" w:rsidRDefault="007E68D8" w:rsidP="007E68D8">
            <w:pPr>
              <w:keepNext/>
              <w:keepLines/>
              <w:outlineLvl w:val="2"/>
            </w:pPr>
            <w:r>
              <w:t>Obesity is when a person has excess body weight. It can be measured using the body mass index (BMI)</w:t>
            </w:r>
            <w:r w:rsidR="00C12D4A">
              <w:t xml:space="preserve">, a measure </w:t>
            </w:r>
            <w:r w:rsidR="0013178E">
              <w:t xml:space="preserve">calculated from </w:t>
            </w:r>
            <w:r w:rsidR="00C12D4A">
              <w:t xml:space="preserve">a person’s weight </w:t>
            </w:r>
            <w:r w:rsidR="00283DE0">
              <w:t>and</w:t>
            </w:r>
            <w:r w:rsidR="00C12D4A">
              <w:t xml:space="preserve"> height</w:t>
            </w:r>
            <w:r>
              <w:t xml:space="preserve">. </w:t>
            </w:r>
            <w:r w:rsidR="006C0447">
              <w:t>The healthy BMI range is 18.5</w:t>
            </w:r>
            <w:r w:rsidR="00283DE0">
              <w:t xml:space="preserve"> to </w:t>
            </w:r>
            <w:r w:rsidR="006C0447">
              <w:t>25 kg/m</w:t>
            </w:r>
            <w:r w:rsidR="006C0447" w:rsidRPr="00AE36DD">
              <w:rPr>
                <w:vertAlign w:val="superscript"/>
              </w:rPr>
              <w:t>2</w:t>
            </w:r>
            <w:r w:rsidR="006C0447">
              <w:t xml:space="preserve">. </w:t>
            </w:r>
            <w:r w:rsidR="005F7A66">
              <w:t xml:space="preserve">Individuals with </w:t>
            </w:r>
            <w:r>
              <w:t>a BMI of 30–34.9 kg/m</w:t>
            </w:r>
            <w:r w:rsidRPr="00AE36DD">
              <w:rPr>
                <w:vertAlign w:val="superscript"/>
              </w:rPr>
              <w:t>2</w:t>
            </w:r>
            <w:r w:rsidR="005F7A66">
              <w:t xml:space="preserve"> is classified as having class I obesity</w:t>
            </w:r>
            <w:r w:rsidR="003A31B1">
              <w:t xml:space="preserve">, </w:t>
            </w:r>
            <w:r w:rsidR="005F5704">
              <w:t xml:space="preserve">while </w:t>
            </w:r>
            <w:r>
              <w:t>a BMI of 35–39.9 kg/m</w:t>
            </w:r>
            <w:r w:rsidRPr="00AE36DD">
              <w:rPr>
                <w:vertAlign w:val="superscript"/>
              </w:rPr>
              <w:t>2</w:t>
            </w:r>
            <w:r>
              <w:t xml:space="preserve"> </w:t>
            </w:r>
            <w:r w:rsidR="005F5704">
              <w:t xml:space="preserve">and </w:t>
            </w:r>
            <w:r>
              <w:t>40 kg/m</w:t>
            </w:r>
            <w:r w:rsidRPr="00AE36DD">
              <w:rPr>
                <w:vertAlign w:val="superscript"/>
              </w:rPr>
              <w:t>2</w:t>
            </w:r>
            <w:r w:rsidR="00816E83">
              <w:t xml:space="preserve"> and over</w:t>
            </w:r>
            <w:r>
              <w:t xml:space="preserve"> </w:t>
            </w:r>
            <w:r w:rsidR="002B1B8A">
              <w:t xml:space="preserve">is </w:t>
            </w:r>
            <w:r w:rsidR="00816E83">
              <w:t xml:space="preserve">class II and class III obesity, respectively. </w:t>
            </w:r>
            <w:r>
              <w:t>Obesity can increase the risk of a variety of health problems including diabetes, heart disease and liver disease, and may significantly decrease quality of life.</w:t>
            </w:r>
          </w:p>
          <w:p w14:paraId="551E6072" w14:textId="3CC7C1C4" w:rsidR="00006CC1" w:rsidRDefault="00E77102" w:rsidP="007E68D8">
            <w:pPr>
              <w:keepNext/>
              <w:keepLines/>
              <w:outlineLvl w:val="2"/>
            </w:pPr>
            <w:r>
              <w:t xml:space="preserve">Individuals </w:t>
            </w:r>
            <w:r w:rsidR="007E68D8">
              <w:t xml:space="preserve">with obesity can try to lose weight by modifying their lifestyle (such as changing their diet and being more active) or taking weight-loss medication. If that does not work, the person may be able to have weight-loss surgery, called bariatric surgery. One type of bariatric surgery currently performed is </w:t>
            </w:r>
            <w:r w:rsidR="006370D7">
              <w:t xml:space="preserve">called </w:t>
            </w:r>
            <w:r w:rsidR="007E68D8">
              <w:t xml:space="preserve">laparoscopic sleeve gastrectomy. </w:t>
            </w:r>
            <w:r w:rsidR="00D16105">
              <w:t xml:space="preserve">This is a type of keyhole surgery </w:t>
            </w:r>
            <w:r w:rsidR="00FB4DBC">
              <w:t>where</w:t>
            </w:r>
            <w:r w:rsidR="007E68D8">
              <w:t xml:space="preserve"> </w:t>
            </w:r>
            <w:r w:rsidR="006B0635">
              <w:t xml:space="preserve">a </w:t>
            </w:r>
            <w:r w:rsidR="00F86966">
              <w:t>large part of the stomach is removed, leav</w:t>
            </w:r>
            <w:r w:rsidR="002C083F">
              <w:t>ing</w:t>
            </w:r>
            <w:r w:rsidR="007E68D8">
              <w:t xml:space="preserve"> </w:t>
            </w:r>
            <w:r w:rsidR="0075385B">
              <w:t xml:space="preserve">behind </w:t>
            </w:r>
            <w:r w:rsidR="006A41C2">
              <w:t>a small tube-shaped stomach.</w:t>
            </w:r>
            <w:r w:rsidR="007E68D8">
              <w:t xml:space="preserve"> </w:t>
            </w:r>
          </w:p>
          <w:p w14:paraId="4AE8C275" w14:textId="220A5CAE" w:rsidR="007E68D8" w:rsidRDefault="007E68D8" w:rsidP="007E68D8">
            <w:pPr>
              <w:keepNext/>
              <w:keepLines/>
              <w:outlineLvl w:val="2"/>
            </w:pPr>
            <w:r>
              <w:t xml:space="preserve">ESG is another type of </w:t>
            </w:r>
            <w:r w:rsidR="00BA096E">
              <w:t>weight-loss</w:t>
            </w:r>
            <w:r>
              <w:t xml:space="preserve"> procedure</w:t>
            </w:r>
            <w:r w:rsidR="00BA096E">
              <w:t>. It does</w:t>
            </w:r>
            <w:r w:rsidR="00890F11">
              <w:t xml:space="preserve"> </w:t>
            </w:r>
            <w:r w:rsidR="00BA096E">
              <w:t>n</w:t>
            </w:r>
            <w:r w:rsidR="00890F11">
              <w:t>o</w:t>
            </w:r>
            <w:r w:rsidR="00BA096E">
              <w:t xml:space="preserve">t involve any </w:t>
            </w:r>
            <w:r w:rsidR="00890F11">
              <w:t xml:space="preserve">surgical </w:t>
            </w:r>
            <w:r w:rsidR="00BA096E">
              <w:t>incision. Instead</w:t>
            </w:r>
            <w:r w:rsidR="00C735CB">
              <w:t>,</w:t>
            </w:r>
            <w:r w:rsidR="00BA096E">
              <w:t xml:space="preserve"> a </w:t>
            </w:r>
            <w:r w:rsidR="00C735CB">
              <w:t>stitching</w:t>
            </w:r>
            <w:r w:rsidR="00BA096E">
              <w:t xml:space="preserve"> device is inserted through the patient</w:t>
            </w:r>
            <w:r w:rsidR="0060294A">
              <w:t>’</w:t>
            </w:r>
            <w:r w:rsidR="00BA096E">
              <w:t>s mouth and fed down to th</w:t>
            </w:r>
            <w:r w:rsidR="00A12725">
              <w:t xml:space="preserve">e </w:t>
            </w:r>
            <w:r w:rsidR="005F3D25">
              <w:t>stomach</w:t>
            </w:r>
            <w:r w:rsidR="00C735CB">
              <w:t>.</w:t>
            </w:r>
            <w:r w:rsidR="004E4651">
              <w:t xml:space="preserve"> T</w:t>
            </w:r>
            <w:r>
              <w:t xml:space="preserve">he </w:t>
            </w:r>
            <w:r w:rsidR="001F4D53">
              <w:t>size</w:t>
            </w:r>
            <w:r>
              <w:t xml:space="preserve"> of the stomach is </w:t>
            </w:r>
            <w:r w:rsidR="001F4D53">
              <w:t>reduced</w:t>
            </w:r>
            <w:r w:rsidR="00E94587">
              <w:t>,</w:t>
            </w:r>
            <w:r w:rsidR="001F4D53">
              <w:t xml:space="preserve"> and </w:t>
            </w:r>
            <w:r w:rsidR="005D5BA4">
              <w:t>it is</w:t>
            </w:r>
            <w:r>
              <w:t xml:space="preserve"> changed into a sleeve </w:t>
            </w:r>
            <w:r w:rsidR="00D23221">
              <w:t xml:space="preserve">shape </w:t>
            </w:r>
            <w:r>
              <w:t xml:space="preserve">using </w:t>
            </w:r>
            <w:r w:rsidR="00453BCA">
              <w:t xml:space="preserve">the </w:t>
            </w:r>
            <w:r>
              <w:t>stitching device. The smaller stomach size means that the person cannot eat as much food</w:t>
            </w:r>
            <w:r w:rsidR="0071049C">
              <w:t xml:space="preserve"> and they feel less hungry</w:t>
            </w:r>
            <w:r>
              <w:t>, making it easier for them to lose weight.</w:t>
            </w:r>
          </w:p>
          <w:p w14:paraId="0B341E1F" w14:textId="7A14EAD6" w:rsidR="007F1F22" w:rsidRDefault="007E68D8" w:rsidP="007E68D8">
            <w:pPr>
              <w:keepNext/>
              <w:keepLines/>
              <w:spacing w:after="160" w:line="259" w:lineRule="auto"/>
              <w:outlineLvl w:val="2"/>
            </w:pPr>
            <w:r>
              <w:t xml:space="preserve">MSAC did not support public </w:t>
            </w:r>
            <w:r w:rsidR="004A1F29">
              <w:t xml:space="preserve">subsidy of </w:t>
            </w:r>
            <w:r>
              <w:t>ESG</w:t>
            </w:r>
            <w:r w:rsidR="004A1F29">
              <w:t xml:space="preserve"> on the MBS</w:t>
            </w:r>
            <w:r>
              <w:t>. MSAC was not convinced by the evidence presented that ESG is as effective or safe as other treatments, especially in the long term. This included</w:t>
            </w:r>
            <w:r w:rsidR="0035507B">
              <w:t xml:space="preserve"> </w:t>
            </w:r>
            <w:r w:rsidR="005570EF">
              <w:t>inadequate</w:t>
            </w:r>
            <w:r w:rsidR="0035507B">
              <w:t xml:space="preserve"> evidence </w:t>
            </w:r>
            <w:r w:rsidR="003C4CE5">
              <w:t>that ESG has</w:t>
            </w:r>
            <w:r>
              <w:t xml:space="preserve"> the ability to reduce the risk </w:t>
            </w:r>
            <w:r w:rsidR="00EB2C96">
              <w:t xml:space="preserve">of </w:t>
            </w:r>
            <w:r w:rsidR="00163B85">
              <w:t>long-term</w:t>
            </w:r>
            <w:r>
              <w:t xml:space="preserve"> health problems </w:t>
            </w:r>
            <w:r w:rsidR="00801E4E">
              <w:t>commonly associated</w:t>
            </w:r>
            <w:r>
              <w:t xml:space="preserve"> with obesity</w:t>
            </w:r>
            <w:r w:rsidR="00163B85">
              <w:t xml:space="preserve"> (such as diabetes, heart</w:t>
            </w:r>
            <w:r w:rsidR="00641008">
              <w:t>, liver and kidney disease)</w:t>
            </w:r>
            <w:r>
              <w:t>. MSAC considered that the main trial</w:t>
            </w:r>
            <w:r w:rsidDel="00EF042A">
              <w:t xml:space="preserve"> </w:t>
            </w:r>
            <w:r>
              <w:t xml:space="preserve">informing the evidence was </w:t>
            </w:r>
            <w:r w:rsidR="000E74D1">
              <w:t>limited in its</w:t>
            </w:r>
            <w:r>
              <w:t xml:space="preserve"> applicab</w:t>
            </w:r>
            <w:r w:rsidR="000E74D1">
              <w:t>ility</w:t>
            </w:r>
            <w:r>
              <w:t xml:space="preserve"> to the Australian population proposed to use the service. MSAC was also not convinced </w:t>
            </w:r>
            <w:r w:rsidR="0043494C">
              <w:t xml:space="preserve">that there is a high clinical </w:t>
            </w:r>
            <w:r>
              <w:t xml:space="preserve">need for the procedure, as other effective treatments </w:t>
            </w:r>
            <w:r w:rsidR="0043494C">
              <w:t xml:space="preserve">are </w:t>
            </w:r>
            <w:r>
              <w:t xml:space="preserve">available. MSAC noted that weight-loss medications have advanced since </w:t>
            </w:r>
            <w:r w:rsidR="00336936">
              <w:t xml:space="preserve">it first considered </w:t>
            </w:r>
            <w:r>
              <w:t xml:space="preserve">this application, and that the effectiveness and safety of ESG versus these new medications </w:t>
            </w:r>
            <w:r w:rsidR="00E00170">
              <w:t xml:space="preserve">had </w:t>
            </w:r>
            <w:r>
              <w:t xml:space="preserve">not </w:t>
            </w:r>
            <w:r w:rsidR="00E00170">
              <w:t xml:space="preserve">been </w:t>
            </w:r>
            <w:r>
              <w:t xml:space="preserve">investigated. </w:t>
            </w:r>
          </w:p>
          <w:p w14:paraId="69744CF9" w14:textId="77777777" w:rsidR="007F1F22" w:rsidRPr="00F91D6E" w:rsidRDefault="007F1F22">
            <w:pPr>
              <w:keepNext/>
              <w:keepLines/>
              <w:spacing w:line="259" w:lineRule="auto"/>
              <w:rPr>
                <w:b/>
                <w:bCs/>
              </w:rPr>
            </w:pPr>
            <w:r w:rsidRPr="00F91D6E">
              <w:rPr>
                <w:b/>
                <w:bCs/>
              </w:rPr>
              <w:t>MSAC’s advice to the Commonwealth Minister for Health and Aged Care</w:t>
            </w:r>
          </w:p>
          <w:p w14:paraId="2DB9D1C3" w14:textId="533C314D" w:rsidR="007F1F22" w:rsidRPr="00F91D6E" w:rsidRDefault="003E2932" w:rsidP="003E2932">
            <w:pPr>
              <w:spacing w:after="120" w:line="259" w:lineRule="auto"/>
            </w:pPr>
            <w:r>
              <w:t xml:space="preserve">MSAC did not support MBS listing of ESG as a treatment for </w:t>
            </w:r>
            <w:r w:rsidR="0013656F">
              <w:t xml:space="preserve">individuals </w:t>
            </w:r>
            <w:r>
              <w:t xml:space="preserve">with class I–III obesity who have failed non-surgical treatments and who have declined other types of weight-loss surgery. MSAC was not convinced that ESG is as effective or safe as other treatments, especially in the long term, and did not consider that </w:t>
            </w:r>
            <w:r w:rsidR="00201B97">
              <w:t xml:space="preserve">individuals </w:t>
            </w:r>
            <w:r>
              <w:t>would choose this treatment over effective alternatives. MSAC also considered the financial impact to health budgets to be very high and likely underestimated.</w:t>
            </w:r>
          </w:p>
        </w:tc>
      </w:tr>
    </w:tbl>
    <w:p w14:paraId="3AE0A3D1" w14:textId="77777777" w:rsidR="007F1F22" w:rsidRPr="00D155C0" w:rsidRDefault="007F1F22" w:rsidP="00361335">
      <w:pPr>
        <w:pStyle w:val="Heading2"/>
        <w:numPr>
          <w:ilvl w:val="0"/>
          <w:numId w:val="26"/>
        </w:numPr>
        <w:ind w:hanging="720"/>
      </w:pPr>
      <w:r w:rsidRPr="003A793E">
        <w:t>Summary of consideration and rationale for MSAC’s advice</w:t>
      </w:r>
    </w:p>
    <w:bookmarkEnd w:id="4"/>
    <w:bookmarkEnd w:id="5"/>
    <w:p w14:paraId="17E42E54" w14:textId="77DF12C0" w:rsidR="009E1BF1" w:rsidRDefault="009E1BF1" w:rsidP="009E1BF1">
      <w:r>
        <w:t xml:space="preserve">MSAC noted that this was a reapplication from Boston Scientific Pty Ltd requesting Medicare Benefits Schedule (MBS) listing of endoscopic sleeve </w:t>
      </w:r>
      <w:r w:rsidR="00846346">
        <w:t xml:space="preserve">gastroplasty </w:t>
      </w:r>
      <w:r>
        <w:t xml:space="preserve">(ESG) as a treatment for </w:t>
      </w:r>
      <w:r w:rsidR="00714478">
        <w:t xml:space="preserve">individuals </w:t>
      </w:r>
      <w:r>
        <w:t>with class I–III obesity</w:t>
      </w:r>
      <w:r w:rsidR="00832C17">
        <w:t>, with and without comorbidities,</w:t>
      </w:r>
      <w:r>
        <w:t xml:space="preserve"> who have failed </w:t>
      </w:r>
      <w:r w:rsidR="00AD7169">
        <w:t>first</w:t>
      </w:r>
      <w:r w:rsidR="00F27A7C">
        <w:t>-line</w:t>
      </w:r>
      <w:r w:rsidR="00AE059F">
        <w:t xml:space="preserve"> (1L)</w:t>
      </w:r>
      <w:r w:rsidR="00AD7169">
        <w:t xml:space="preserve"> and second-line</w:t>
      </w:r>
      <w:r w:rsidR="00AE059F">
        <w:t xml:space="preserve"> (2L)</w:t>
      </w:r>
      <w:r w:rsidR="00AD7169">
        <w:t xml:space="preserve"> </w:t>
      </w:r>
      <w:r>
        <w:t>treatment</w:t>
      </w:r>
      <w:r w:rsidR="00F53A67">
        <w:t>s</w:t>
      </w:r>
      <w:r>
        <w:t>.</w:t>
      </w:r>
    </w:p>
    <w:p w14:paraId="27D20670" w14:textId="44DC6DB7" w:rsidR="009E1BF1" w:rsidRDefault="009E1BF1" w:rsidP="009E1BF1">
      <w:r>
        <w:t xml:space="preserve">MSAC </w:t>
      </w:r>
      <w:r w:rsidR="000D6993">
        <w:t xml:space="preserve">recalled that it </w:t>
      </w:r>
      <w:r>
        <w:t xml:space="preserve">first considered this application </w:t>
      </w:r>
      <w:r w:rsidR="00930C37">
        <w:t>at its</w:t>
      </w:r>
      <w:r>
        <w:t xml:space="preserve"> November 2019</w:t>
      </w:r>
      <w:r w:rsidR="00930C37">
        <w:t xml:space="preserve"> meeting</w:t>
      </w:r>
      <w:r>
        <w:t xml:space="preserve">. </w:t>
      </w:r>
      <w:r w:rsidRPr="2AA1CA0C">
        <w:t>At the time, the application request</w:t>
      </w:r>
      <w:r>
        <w:t>ed</w:t>
      </w:r>
      <w:r w:rsidRPr="2AA1CA0C">
        <w:t xml:space="preserve"> MBS listing for </w:t>
      </w:r>
      <w:r>
        <w:t>ESG in patients</w:t>
      </w:r>
      <w:r w:rsidRPr="2AA1CA0C">
        <w:t xml:space="preserve"> with class I and II obesity with comorbidities who had failed </w:t>
      </w:r>
      <w:r w:rsidR="00AE059F">
        <w:t>1L</w:t>
      </w:r>
      <w:r w:rsidRPr="2AA1CA0C">
        <w:t xml:space="preserve"> treatments such as lifestyle changes and </w:t>
      </w:r>
      <w:r w:rsidR="00AE059F">
        <w:t>2L</w:t>
      </w:r>
      <w:r>
        <w:t xml:space="preserve"> treatments such as </w:t>
      </w:r>
      <w:r w:rsidRPr="2AA1CA0C">
        <w:t xml:space="preserve">pharmacotherapy. MSAC </w:t>
      </w:r>
      <w:r w:rsidR="00A97E73">
        <w:t>had</w:t>
      </w:r>
      <w:r w:rsidRPr="2AA1CA0C">
        <w:t xml:space="preserve"> not support</w:t>
      </w:r>
      <w:r w:rsidR="00A97E73">
        <w:t>ed</w:t>
      </w:r>
      <w:r w:rsidRPr="2AA1CA0C">
        <w:t xml:space="preserve"> public funding </w:t>
      </w:r>
      <w:r>
        <w:t>for ESG</w:t>
      </w:r>
      <w:r w:rsidRPr="2AA1CA0C">
        <w:t>,</w:t>
      </w:r>
      <w:r>
        <w:t xml:space="preserve"> as it considered the evidence base to be </w:t>
      </w:r>
      <w:r w:rsidR="00A54532">
        <w:t xml:space="preserve">weak and limited, resulting in highly uncertain effectiveness and </w:t>
      </w:r>
      <w:r w:rsidR="00694A30">
        <w:t>safety, particularly in the long term</w:t>
      </w:r>
      <w:r>
        <w:t>. A reapplication was submitted in 2021 following the completion of a pivotal randomised trial (the MERIT trial)</w:t>
      </w:r>
      <w:r w:rsidR="00030988">
        <w:t xml:space="preserve"> and a new PICO Confirmation was develop</w:t>
      </w:r>
      <w:r w:rsidR="00B272A3">
        <w:t>ed</w:t>
      </w:r>
      <w:r w:rsidR="000A70E3">
        <w:t xml:space="preserve"> (</w:t>
      </w:r>
      <w:r w:rsidR="00285777">
        <w:t>December 2021 PASC meeting)</w:t>
      </w:r>
      <w:r>
        <w:t>.</w:t>
      </w:r>
      <w:r w:rsidR="009E640F">
        <w:t xml:space="preserve"> The current applica</w:t>
      </w:r>
      <w:r w:rsidR="00F56EBD">
        <w:t>nt</w:t>
      </w:r>
      <w:r w:rsidR="00E932C6">
        <w:t>-</w:t>
      </w:r>
      <w:r w:rsidR="00B272A3">
        <w:t>developed assessment</w:t>
      </w:r>
      <w:r w:rsidR="009E640F">
        <w:t xml:space="preserve"> </w:t>
      </w:r>
      <w:r w:rsidR="00E932C6">
        <w:t xml:space="preserve">report </w:t>
      </w:r>
      <w:r w:rsidR="008E24D7">
        <w:t xml:space="preserve">(ADAR) </w:t>
      </w:r>
      <w:r w:rsidR="009E640F">
        <w:t>was su</w:t>
      </w:r>
      <w:r w:rsidR="00030988">
        <w:t xml:space="preserve">bmitted in </w:t>
      </w:r>
      <w:r w:rsidR="00E932C6">
        <w:t>November 2024</w:t>
      </w:r>
      <w:r w:rsidR="00030988">
        <w:t xml:space="preserve">. </w:t>
      </w:r>
    </w:p>
    <w:p w14:paraId="23DEA3E7" w14:textId="4B65B08A" w:rsidR="009E1BF1" w:rsidRDefault="009E1BF1" w:rsidP="009E1BF1">
      <w:r>
        <w:t>MSAC noted that there was limited consultation feedback</w:t>
      </w:r>
      <w:r w:rsidR="008A6660">
        <w:t>. Of the 7 responses received, only one was from a patient</w:t>
      </w:r>
      <w:r>
        <w:t xml:space="preserve"> </w:t>
      </w:r>
      <w:r w:rsidR="00CA6BD2">
        <w:t>who had experience with the proposed service</w:t>
      </w:r>
      <w:r>
        <w:t xml:space="preserve">. </w:t>
      </w:r>
      <w:r w:rsidR="009D5F82">
        <w:t>Organisations</w:t>
      </w:r>
      <w:r w:rsidR="00566822">
        <w:t xml:space="preserve"> </w:t>
      </w:r>
      <w:r w:rsidR="00E73375">
        <w:t>including</w:t>
      </w:r>
      <w:r w:rsidR="00566822">
        <w:t xml:space="preserve"> the </w:t>
      </w:r>
      <w:r>
        <w:t>Gastroenterological Society of Australia (GESA) and Medtronic were supportive</w:t>
      </w:r>
      <w:r w:rsidR="009D5F82">
        <w:t xml:space="preserve"> of the application</w:t>
      </w:r>
      <w:r>
        <w:t xml:space="preserve">, </w:t>
      </w:r>
      <w:r w:rsidR="009D5F82">
        <w:t>however</w:t>
      </w:r>
      <w:r>
        <w:t xml:space="preserve"> Private Healthcare Australia (PHA) was not.</w:t>
      </w:r>
      <w:r w:rsidR="00CA6BD2">
        <w:t xml:space="preserve"> </w:t>
      </w:r>
      <w:r w:rsidR="00474F47">
        <w:t>T</w:t>
      </w:r>
      <w:r w:rsidR="006179F1">
        <w:t xml:space="preserve">he </w:t>
      </w:r>
      <w:r w:rsidR="006165E9">
        <w:t>perceived</w:t>
      </w:r>
      <w:r w:rsidR="4C700168">
        <w:t xml:space="preserve"> </w:t>
      </w:r>
      <w:r w:rsidR="006179F1">
        <w:t xml:space="preserve">advantages of </w:t>
      </w:r>
      <w:r w:rsidR="003C03DA">
        <w:t xml:space="preserve">the </w:t>
      </w:r>
      <w:r w:rsidR="003C4EEC">
        <w:t xml:space="preserve">proposed </w:t>
      </w:r>
      <w:r w:rsidR="003C03DA">
        <w:t>procedure</w:t>
      </w:r>
      <w:r w:rsidR="00474F47">
        <w:t xml:space="preserve"> we</w:t>
      </w:r>
      <w:r w:rsidR="003C4EEC">
        <w:t>re</w:t>
      </w:r>
      <w:r w:rsidR="003C03DA">
        <w:t xml:space="preserve"> its </w:t>
      </w:r>
      <w:r w:rsidR="00B272A3">
        <w:t xml:space="preserve">less </w:t>
      </w:r>
      <w:r w:rsidR="003C03DA">
        <w:t>invasive nature, shorter recovery time</w:t>
      </w:r>
      <w:r w:rsidR="00F30F66">
        <w:t xml:space="preserve"> and</w:t>
      </w:r>
      <w:r w:rsidR="00EB6704">
        <w:t xml:space="preserve"> </w:t>
      </w:r>
      <w:r w:rsidR="00F77D8D">
        <w:t xml:space="preserve">that it </w:t>
      </w:r>
      <w:r w:rsidR="00EB6704">
        <w:t>may</w:t>
      </w:r>
      <w:r w:rsidR="003C03DA">
        <w:t xml:space="preserve"> improve equity, </w:t>
      </w:r>
      <w:r w:rsidR="00474F47">
        <w:t>while t</w:t>
      </w:r>
      <w:r w:rsidR="007568B9">
        <w:t>he disadvantages were mainly its uncertain clinical effectiveness</w:t>
      </w:r>
      <w:r w:rsidR="003379EF">
        <w:t xml:space="preserve">, high likelihood of regression in </w:t>
      </w:r>
      <w:r w:rsidR="00877C89">
        <w:t xml:space="preserve">previously achieved </w:t>
      </w:r>
      <w:r w:rsidR="003379EF">
        <w:t>weight loss in the longer term and high rate of adverse effects. MSAC noted that the single consumer input had noted severe adverse effects</w:t>
      </w:r>
      <w:r w:rsidR="004A56AC">
        <w:t xml:space="preserve"> immediately after the procedure</w:t>
      </w:r>
      <w:r w:rsidR="009477BC">
        <w:t xml:space="preserve"> and </w:t>
      </w:r>
      <w:r w:rsidR="004A56AC">
        <w:t>a subsequent revision</w:t>
      </w:r>
      <w:r w:rsidR="009477BC">
        <w:t xml:space="preserve"> after the treatment had not been effective. MSAC also noted the significant out of pocket costs which the consumer </w:t>
      </w:r>
      <w:r w:rsidR="00E53D34">
        <w:t>paid for the treatment</w:t>
      </w:r>
      <w:r w:rsidR="00AE4A51">
        <w:t>, noting it is not currently listed on the MBS</w:t>
      </w:r>
      <w:r w:rsidR="00E53D34">
        <w:t>.</w:t>
      </w:r>
    </w:p>
    <w:p w14:paraId="2F429D00" w14:textId="075AFCAC" w:rsidR="009E1BF1" w:rsidRDefault="009E1BF1" w:rsidP="009E1BF1">
      <w:r>
        <w:t>MSAC noted</w:t>
      </w:r>
      <w:r w:rsidR="009C57C6">
        <w:t xml:space="preserve"> </w:t>
      </w:r>
      <w:r w:rsidR="00527BF9">
        <w:t>that</w:t>
      </w:r>
      <w:r w:rsidR="00F3660C">
        <w:t xml:space="preserve"> the</w:t>
      </w:r>
      <w:r w:rsidR="00361DC0">
        <w:t xml:space="preserve"> </w:t>
      </w:r>
      <w:r>
        <w:t>ADAR</w:t>
      </w:r>
      <w:r w:rsidR="00F54B91">
        <w:t xml:space="preserve"> </w:t>
      </w:r>
      <w:r w:rsidR="00527BF9">
        <w:t>presented 2 PI</w:t>
      </w:r>
      <w:r w:rsidR="00991D5F">
        <w:t>CO sets</w:t>
      </w:r>
      <w:r>
        <w:t>:</w:t>
      </w:r>
    </w:p>
    <w:p w14:paraId="298DD8CD" w14:textId="74391692" w:rsidR="009E1BF1" w:rsidRPr="005B343C" w:rsidRDefault="009E1BF1" w:rsidP="00AE36DD">
      <w:pPr>
        <w:pStyle w:val="ListParagraph"/>
        <w:numPr>
          <w:ilvl w:val="0"/>
          <w:numId w:val="30"/>
        </w:numPr>
        <w:spacing w:before="0" w:after="120" w:line="240" w:lineRule="auto"/>
        <w:ind w:left="714" w:hanging="357"/>
        <w:contextualSpacing w:val="0"/>
      </w:pPr>
      <w:r w:rsidRPr="00AE36DD">
        <w:rPr>
          <w:u w:val="single"/>
        </w:rPr>
        <w:t>PICO set 1</w:t>
      </w:r>
      <w:r w:rsidR="00190A88">
        <w:rPr>
          <w:u w:val="single"/>
        </w:rPr>
        <w:t>:</w:t>
      </w:r>
      <w:r>
        <w:t xml:space="preserve"> people with c</w:t>
      </w:r>
      <w:r w:rsidRPr="005B343C">
        <w:t>lass</w:t>
      </w:r>
      <w:r>
        <w:t> </w:t>
      </w:r>
      <w:r w:rsidRPr="005B343C">
        <w:t xml:space="preserve">I </w:t>
      </w:r>
      <w:r>
        <w:t xml:space="preserve">obesity </w:t>
      </w:r>
      <w:r w:rsidRPr="005B343C">
        <w:t>(</w:t>
      </w:r>
      <w:r>
        <w:t>body mass index [</w:t>
      </w:r>
      <w:r w:rsidRPr="005B343C">
        <w:t>BMI</w:t>
      </w:r>
      <w:r>
        <w:t>]</w:t>
      </w:r>
      <w:r w:rsidRPr="005B343C">
        <w:t xml:space="preserve"> 30</w:t>
      </w:r>
      <w:r>
        <w:t>–</w:t>
      </w:r>
      <w:r w:rsidRPr="005B343C">
        <w:t>34.9</w:t>
      </w:r>
      <w:r>
        <w:t> kg/m</w:t>
      </w:r>
      <w:r w:rsidRPr="00173B53">
        <w:rPr>
          <w:vertAlign w:val="superscript"/>
        </w:rPr>
        <w:t>2</w:t>
      </w:r>
      <w:r w:rsidRPr="005B343C">
        <w:t xml:space="preserve">) or </w:t>
      </w:r>
      <w:r>
        <w:t>c</w:t>
      </w:r>
      <w:r w:rsidRPr="005B343C">
        <w:t>lass</w:t>
      </w:r>
      <w:r>
        <w:t> </w:t>
      </w:r>
      <w:r w:rsidRPr="005B343C">
        <w:t>II</w:t>
      </w:r>
      <w:r>
        <w:t xml:space="preserve"> obesity</w:t>
      </w:r>
      <w:r w:rsidRPr="005B343C">
        <w:t xml:space="preserve"> (BMI 35–</w:t>
      </w:r>
      <w:r w:rsidR="00662E90">
        <w:t xml:space="preserve">39.9 kg </w:t>
      </w:r>
      <w:r>
        <w:t>/m</w:t>
      </w:r>
      <w:r w:rsidRPr="00173B53">
        <w:rPr>
          <w:vertAlign w:val="superscript"/>
        </w:rPr>
        <w:t>2</w:t>
      </w:r>
      <w:r w:rsidRPr="005B343C">
        <w:t>)</w:t>
      </w:r>
      <w:r w:rsidR="00190A88">
        <w:t>,</w:t>
      </w:r>
      <w:r w:rsidRPr="005B343C">
        <w:t xml:space="preserve"> with</w:t>
      </w:r>
      <w:r>
        <w:t xml:space="preserve"> or without</w:t>
      </w:r>
      <w:r w:rsidRPr="005B343C">
        <w:t xml:space="preserve"> comorbidities (diabetes, </w:t>
      </w:r>
      <w:r>
        <w:t>ischaemic heart disease,</w:t>
      </w:r>
      <w:r w:rsidRPr="005B343C">
        <w:t xml:space="preserve"> etc</w:t>
      </w:r>
      <w:r>
        <w:t>.</w:t>
      </w:r>
      <w:r w:rsidRPr="005B343C">
        <w:t>)</w:t>
      </w:r>
      <w:r w:rsidR="00F27A7C">
        <w:t>, who have failed</w:t>
      </w:r>
      <w:r w:rsidR="00AE059F">
        <w:t xml:space="preserve"> 1L and 2L treatments</w:t>
      </w:r>
      <w:r w:rsidR="00C167BD">
        <w:t>, such as lifestyle/diet modifications and pharmacotherapy respectively</w:t>
      </w:r>
      <w:r>
        <w:t xml:space="preserve">. </w:t>
      </w:r>
    </w:p>
    <w:p w14:paraId="763991C5" w14:textId="4D23D666" w:rsidR="00243CCC" w:rsidDel="002A0F5F" w:rsidRDefault="009E1BF1" w:rsidP="00AE36DD">
      <w:pPr>
        <w:pStyle w:val="ListParagraph"/>
        <w:numPr>
          <w:ilvl w:val="0"/>
          <w:numId w:val="30"/>
        </w:numPr>
        <w:spacing w:before="0" w:after="240" w:line="240" w:lineRule="auto"/>
        <w:ind w:left="714" w:hanging="357"/>
      </w:pPr>
      <w:r w:rsidRPr="00AE36DD">
        <w:rPr>
          <w:u w:val="single"/>
        </w:rPr>
        <w:t>PICO set 2</w:t>
      </w:r>
      <w:r w:rsidR="00102CA5">
        <w:t>:</w:t>
      </w:r>
      <w:r>
        <w:t xml:space="preserve"> </w:t>
      </w:r>
      <w:r w:rsidR="00102CA5">
        <w:t xml:space="preserve">people with </w:t>
      </w:r>
      <w:r>
        <w:t>c</w:t>
      </w:r>
      <w:r w:rsidRPr="002F62A1">
        <w:t>lass</w:t>
      </w:r>
      <w:r>
        <w:t> </w:t>
      </w:r>
      <w:r w:rsidRPr="002F62A1">
        <w:t>II</w:t>
      </w:r>
      <w:r>
        <w:t xml:space="preserve"> obesity</w:t>
      </w:r>
      <w:r w:rsidRPr="002F62A1">
        <w:t xml:space="preserve"> (BMI 35</w:t>
      </w:r>
      <w:r>
        <w:t>–</w:t>
      </w:r>
      <w:r w:rsidRPr="002F62A1">
        <w:t>39.9</w:t>
      </w:r>
      <w:r>
        <w:t> kg/m</w:t>
      </w:r>
      <w:r w:rsidRPr="006B4269">
        <w:rPr>
          <w:vertAlign w:val="superscript"/>
        </w:rPr>
        <w:t>2</w:t>
      </w:r>
      <w:r w:rsidRPr="002F62A1">
        <w:t>) with comorbidities</w:t>
      </w:r>
      <w:r>
        <w:t>,</w:t>
      </w:r>
      <w:r w:rsidRPr="002F62A1">
        <w:t xml:space="preserve"> or </w:t>
      </w:r>
      <w:r>
        <w:t>c</w:t>
      </w:r>
      <w:r w:rsidRPr="002F62A1">
        <w:t>lass</w:t>
      </w:r>
      <w:r>
        <w:t> </w:t>
      </w:r>
      <w:r w:rsidRPr="002F62A1">
        <w:t xml:space="preserve">III </w:t>
      </w:r>
      <w:r>
        <w:t xml:space="preserve">obesity </w:t>
      </w:r>
      <w:r w:rsidRPr="002F62A1">
        <w:t xml:space="preserve">(BMI </w:t>
      </w:r>
      <w:r w:rsidR="00685F99">
        <w:t>≥</w:t>
      </w:r>
      <w:r w:rsidRPr="002F62A1">
        <w:t>40</w:t>
      </w:r>
      <w:r>
        <w:t> kg/m</w:t>
      </w:r>
      <w:r w:rsidRPr="006B4269">
        <w:rPr>
          <w:vertAlign w:val="superscript"/>
        </w:rPr>
        <w:t>2</w:t>
      </w:r>
      <w:r w:rsidRPr="002F62A1">
        <w:t>)</w:t>
      </w:r>
      <w:r w:rsidR="00095013">
        <w:t>,</w:t>
      </w:r>
      <w:r w:rsidRPr="002F62A1">
        <w:t xml:space="preserve"> with</w:t>
      </w:r>
      <w:r>
        <w:t xml:space="preserve"> or with</w:t>
      </w:r>
      <w:r w:rsidRPr="002F62A1">
        <w:t>ou</w:t>
      </w:r>
      <w:r>
        <w:t>t</w:t>
      </w:r>
      <w:r w:rsidRPr="002F62A1">
        <w:t xml:space="preserve"> comorbidities</w:t>
      </w:r>
      <w:r w:rsidR="00095013">
        <w:t>,</w:t>
      </w:r>
      <w:r w:rsidRPr="002F62A1">
        <w:t xml:space="preserve"> </w:t>
      </w:r>
      <w:r>
        <w:t xml:space="preserve">who are </w:t>
      </w:r>
      <w:r w:rsidR="00095013">
        <w:t>eligible</w:t>
      </w:r>
      <w:r w:rsidRPr="002F62A1">
        <w:t xml:space="preserve"> </w:t>
      </w:r>
      <w:r>
        <w:t xml:space="preserve">for </w:t>
      </w:r>
      <w:r w:rsidRPr="002F62A1">
        <w:t>bariatric surgery</w:t>
      </w:r>
      <w:r>
        <w:t xml:space="preserve">. </w:t>
      </w:r>
    </w:p>
    <w:p w14:paraId="506DA6A1" w14:textId="7FA329E2" w:rsidR="009E1BF1" w:rsidRDefault="009E1BF1" w:rsidP="009E1BF1">
      <w:r>
        <w:t xml:space="preserve">MSAC noted that class III obesity patients were not included in the </w:t>
      </w:r>
      <w:r w:rsidR="00830F44">
        <w:t xml:space="preserve">pivotal </w:t>
      </w:r>
      <w:r>
        <w:t xml:space="preserve">MERIT trial and were outside the PASC-ratified PICO </w:t>
      </w:r>
      <w:r w:rsidR="00830F44">
        <w:t>C</w:t>
      </w:r>
      <w:r>
        <w:t xml:space="preserve">onfirmation. </w:t>
      </w:r>
      <w:r w:rsidR="00D30890">
        <w:t xml:space="preserve">MSAC noted </w:t>
      </w:r>
      <w:r w:rsidR="00DD160C">
        <w:t>that t</w:t>
      </w:r>
      <w:r w:rsidR="00D30890" w:rsidRPr="00D30890">
        <w:t xml:space="preserve">he ADAR considered </w:t>
      </w:r>
      <w:r w:rsidR="00527D3C" w:rsidRPr="00D30890">
        <w:t>PICO set 2 as an extension of the PICO set ratified by PASC in December 2021</w:t>
      </w:r>
      <w:r w:rsidR="00527D3C">
        <w:t xml:space="preserve"> and therefore</w:t>
      </w:r>
      <w:r w:rsidR="00527D3C" w:rsidRPr="00A126A6">
        <w:t xml:space="preserve"> </w:t>
      </w:r>
      <w:r w:rsidR="00527D3C" w:rsidRPr="00D30890">
        <w:t xml:space="preserve">no further PASC consideration would be required </w:t>
      </w:r>
      <w:r w:rsidR="000629D6" w:rsidRPr="00D30890">
        <w:t>as the comparator and outcomes were the same</w:t>
      </w:r>
      <w:r w:rsidR="00A126A6" w:rsidRPr="00D30890">
        <w:t>.</w:t>
      </w:r>
      <w:r w:rsidR="00D30890" w:rsidRPr="00D30890">
        <w:t xml:space="preserve"> The ADAR</w:t>
      </w:r>
      <w:r w:rsidR="00150B1E">
        <w:t xml:space="preserve"> also added</w:t>
      </w:r>
      <w:r w:rsidR="00D30890" w:rsidRPr="00D30890">
        <w:t xml:space="preserve"> that the inclusion of the second population was guided by expert clinical feedback</w:t>
      </w:r>
      <w:r w:rsidR="00797796">
        <w:t xml:space="preserve"> and </w:t>
      </w:r>
      <w:r w:rsidR="00D30890" w:rsidRPr="00D30890">
        <w:t>that limiting the use of ESG to patients with BMI &lt;40 kg/m</w:t>
      </w:r>
      <w:r w:rsidR="00D30890" w:rsidRPr="00D30890">
        <w:rPr>
          <w:vertAlign w:val="superscript"/>
        </w:rPr>
        <w:t>2</w:t>
      </w:r>
      <w:r w:rsidR="00D30890" w:rsidRPr="00D30890">
        <w:t xml:space="preserve"> would not be clinically justified.</w:t>
      </w:r>
      <w:r w:rsidR="00797796">
        <w:t xml:space="preserve"> </w:t>
      </w:r>
      <w:r w:rsidR="00AF12C5">
        <w:t>MSAC noted that t</w:t>
      </w:r>
      <w:r>
        <w:t xml:space="preserve">he pre-MSAC response </w:t>
      </w:r>
      <w:r w:rsidR="00AF12C5">
        <w:t xml:space="preserve">reiterated </w:t>
      </w:r>
      <w:r>
        <w:t xml:space="preserve">that </w:t>
      </w:r>
      <w:r w:rsidR="00ED0115">
        <w:t xml:space="preserve">not allowing access to ESG for this patient group </w:t>
      </w:r>
      <w:r w:rsidR="00173437">
        <w:t xml:space="preserve">would </w:t>
      </w:r>
      <w:r w:rsidR="00ED0115">
        <w:t>present an equity issue</w:t>
      </w:r>
      <w:r w:rsidR="000F1E79">
        <w:t xml:space="preserve">. </w:t>
      </w:r>
      <w:r w:rsidR="00830E25">
        <w:t>MSAC</w:t>
      </w:r>
      <w:r>
        <w:t xml:space="preserve"> </w:t>
      </w:r>
      <w:r w:rsidR="00ED385E">
        <w:t xml:space="preserve">however, </w:t>
      </w:r>
      <w:r>
        <w:t xml:space="preserve">considered that this group should be excluded from this application to align with the </w:t>
      </w:r>
      <w:r w:rsidR="00DE2CCF">
        <w:t xml:space="preserve">presented </w:t>
      </w:r>
      <w:r>
        <w:t xml:space="preserve">evidence base and </w:t>
      </w:r>
      <w:r w:rsidR="00173437">
        <w:t xml:space="preserve">the </w:t>
      </w:r>
      <w:r w:rsidR="001A62AA">
        <w:t>PASC-r</w:t>
      </w:r>
      <w:r>
        <w:t>atified PICO</w:t>
      </w:r>
      <w:r w:rsidR="00173437">
        <w:t xml:space="preserve"> Confirmation</w:t>
      </w:r>
      <w:r>
        <w:t>.</w:t>
      </w:r>
    </w:p>
    <w:p w14:paraId="1E726BFD" w14:textId="03550430" w:rsidR="006B59D6" w:rsidRDefault="00BB1236" w:rsidP="009E1BF1">
      <w:r>
        <w:t>MSAC noted the comparators for the two PICO sets.</w:t>
      </w:r>
      <w:r w:rsidR="00D642DC">
        <w:t xml:space="preserve"> For PICO set 1, </w:t>
      </w:r>
      <w:r w:rsidR="001A7729">
        <w:t>the</w:t>
      </w:r>
      <w:r w:rsidR="00D642DC">
        <w:t xml:space="preserve"> </w:t>
      </w:r>
      <w:r w:rsidR="004B0B74">
        <w:t xml:space="preserve">ADAR nominated </w:t>
      </w:r>
      <w:r w:rsidR="00D642DC">
        <w:t>lifestyle/diet modification</w:t>
      </w:r>
      <w:r w:rsidR="004B0B74">
        <w:t xml:space="preserve"> </w:t>
      </w:r>
      <w:r w:rsidR="00331D65">
        <w:t>as the primary comparator</w:t>
      </w:r>
      <w:r w:rsidR="00D642DC">
        <w:t>.</w:t>
      </w:r>
      <w:r>
        <w:t xml:space="preserve"> </w:t>
      </w:r>
      <w:r w:rsidR="001A7729">
        <w:t xml:space="preserve">For PICO set 2, the </w:t>
      </w:r>
      <w:r w:rsidR="00A84A03">
        <w:t xml:space="preserve">nominated </w:t>
      </w:r>
      <w:r w:rsidR="001A7729">
        <w:t xml:space="preserve">comparator </w:t>
      </w:r>
      <w:r w:rsidR="00A84A03">
        <w:t>wa</w:t>
      </w:r>
      <w:r w:rsidR="001A7729">
        <w:t xml:space="preserve">s laparoscopic sleeve gastrectomy (LSG). </w:t>
      </w:r>
      <w:r w:rsidR="00D642DC">
        <w:t>MSAC noted that LSG represents 80% of bariatric surgical procedures</w:t>
      </w:r>
      <w:r w:rsidR="005C0B1C">
        <w:t xml:space="preserve"> performed in Australia</w:t>
      </w:r>
      <w:r w:rsidR="00D642DC">
        <w:t xml:space="preserve">, based on </w:t>
      </w:r>
      <w:r w:rsidR="005C0B1C">
        <w:t xml:space="preserve">the </w:t>
      </w:r>
      <w:r w:rsidR="00D642DC">
        <w:t>Bariatric Surgery Registry data.</w:t>
      </w:r>
      <w:r w:rsidR="001A7729">
        <w:t xml:space="preserve"> </w:t>
      </w:r>
    </w:p>
    <w:p w14:paraId="67ED9453" w14:textId="045CC0D6" w:rsidR="009E1BF1" w:rsidRDefault="00411028" w:rsidP="009E1BF1">
      <w:r>
        <w:t>MSAC discussed</w:t>
      </w:r>
      <w:r w:rsidR="009E1BF1">
        <w:t xml:space="preserve"> </w:t>
      </w:r>
      <w:r w:rsidR="00223E8D">
        <w:t xml:space="preserve">the relevance of </w:t>
      </w:r>
      <w:r w:rsidR="009E1BF1">
        <w:t>pharmacological interventions</w:t>
      </w:r>
      <w:r>
        <w:t xml:space="preserve"> for the proposed population</w:t>
      </w:r>
      <w:r w:rsidR="00986489">
        <w:t>.</w:t>
      </w:r>
      <w:r w:rsidR="009E1BF1">
        <w:t xml:space="preserve"> MSAC noted </w:t>
      </w:r>
      <w:r w:rsidR="00B755E0">
        <w:t xml:space="preserve">that </w:t>
      </w:r>
      <w:r w:rsidR="009E1BF1">
        <w:t>th</w:t>
      </w:r>
      <w:r w:rsidR="00986489">
        <w:t>e</w:t>
      </w:r>
      <w:r w:rsidR="00D22557">
        <w:t xml:space="preserve">re </w:t>
      </w:r>
      <w:r w:rsidR="000A1428">
        <w:t>has been</w:t>
      </w:r>
      <w:r w:rsidR="003911ED">
        <w:t xml:space="preserve"> an</w:t>
      </w:r>
      <w:r w:rsidR="009E1BF1">
        <w:t xml:space="preserve"> </w:t>
      </w:r>
      <w:r w:rsidR="00F40231">
        <w:t xml:space="preserve">increase in the availability and </w:t>
      </w:r>
      <w:r w:rsidR="007D5FE4">
        <w:t>extent of</w:t>
      </w:r>
      <w:r w:rsidR="00F40231">
        <w:t xml:space="preserve"> use of </w:t>
      </w:r>
      <w:r w:rsidR="00007CB5">
        <w:t>pharmac</w:t>
      </w:r>
      <w:r w:rsidR="003E4C4C">
        <w:t>o</w:t>
      </w:r>
      <w:r w:rsidR="00E41253">
        <w:t>therapy</w:t>
      </w:r>
      <w:r w:rsidR="003E4C4C">
        <w:t xml:space="preserve"> </w:t>
      </w:r>
      <w:r w:rsidR="00D2672A">
        <w:t xml:space="preserve">in </w:t>
      </w:r>
      <w:r w:rsidR="00DC7381">
        <w:t>weight management</w:t>
      </w:r>
      <w:r w:rsidR="009C4FE6">
        <w:t xml:space="preserve"> </w:t>
      </w:r>
      <w:r w:rsidR="009E1BF1">
        <w:t xml:space="preserve">since </w:t>
      </w:r>
      <w:r w:rsidR="00891A36">
        <w:t xml:space="preserve">PASC considered </w:t>
      </w:r>
      <w:r w:rsidR="009E1BF1">
        <w:t xml:space="preserve">the </w:t>
      </w:r>
      <w:r w:rsidR="00891A36">
        <w:t>re-</w:t>
      </w:r>
      <w:r w:rsidR="009E1BF1">
        <w:t xml:space="preserve">application </w:t>
      </w:r>
      <w:r w:rsidR="00E72C44">
        <w:t>in</w:t>
      </w:r>
      <w:r w:rsidR="00BF2B8D">
        <w:t xml:space="preserve"> December</w:t>
      </w:r>
      <w:r w:rsidR="00986489">
        <w:t xml:space="preserve"> 2021</w:t>
      </w:r>
      <w:r w:rsidR="009E1BF1">
        <w:t xml:space="preserve">. </w:t>
      </w:r>
      <w:r w:rsidR="007F2F45">
        <w:t>Consultation f</w:t>
      </w:r>
      <w:r w:rsidR="009E1BF1">
        <w:t xml:space="preserve">eedback from PHA highlighted that new weight-loss medications </w:t>
      </w:r>
      <w:r w:rsidR="00DE121A">
        <w:t xml:space="preserve">may </w:t>
      </w:r>
      <w:r w:rsidR="009E1BF1">
        <w:t xml:space="preserve">reduce the need for bariatric procedures. </w:t>
      </w:r>
      <w:r w:rsidR="005B4589">
        <w:t>MSAC noted that several drugs</w:t>
      </w:r>
      <w:r w:rsidR="00386E9A">
        <w:t xml:space="preserve"> (e.g., </w:t>
      </w:r>
      <w:r w:rsidR="00C84796">
        <w:t>semaglutide (Wegovy)</w:t>
      </w:r>
      <w:r w:rsidR="00D36417">
        <w:t>,</w:t>
      </w:r>
      <w:r w:rsidR="00C84796">
        <w:t xml:space="preserve"> tirzepatide</w:t>
      </w:r>
      <w:r w:rsidR="00D03D7F">
        <w:t>)</w:t>
      </w:r>
      <w:r w:rsidR="005B4589">
        <w:t xml:space="preserve"> are </w:t>
      </w:r>
      <w:r w:rsidR="007A452A">
        <w:t xml:space="preserve">now </w:t>
      </w:r>
      <w:r w:rsidR="005B4589">
        <w:t xml:space="preserve">registered with the Therapeutic Goods Administration (TGA) for chronic weight management and </w:t>
      </w:r>
      <w:r w:rsidR="006732E7">
        <w:t xml:space="preserve">that while </w:t>
      </w:r>
      <w:r w:rsidR="005B4589">
        <w:t xml:space="preserve">currently </w:t>
      </w:r>
      <w:r w:rsidR="006732E7">
        <w:t>none</w:t>
      </w:r>
      <w:r w:rsidR="009A4360">
        <w:rPr>
          <w:rStyle w:val="FootnoteReference"/>
        </w:rPr>
        <w:footnoteReference w:id="2"/>
      </w:r>
      <w:r w:rsidR="006732E7">
        <w:t xml:space="preserve"> are PBS-listed for </w:t>
      </w:r>
      <w:r w:rsidR="00FC720A">
        <w:t xml:space="preserve">treatment of obesity or </w:t>
      </w:r>
      <w:r w:rsidR="006732E7">
        <w:t>weight management</w:t>
      </w:r>
      <w:r w:rsidR="00974648">
        <w:t xml:space="preserve">, </w:t>
      </w:r>
      <w:r w:rsidR="00D04E0B">
        <w:t xml:space="preserve">pharmacological therapy is </w:t>
      </w:r>
      <w:r w:rsidR="00DE121A">
        <w:t>used</w:t>
      </w:r>
      <w:r w:rsidR="00D04E0B">
        <w:t xml:space="preserve"> </w:t>
      </w:r>
      <w:r w:rsidR="00C6503A">
        <w:t xml:space="preserve">in Australian clinical practice </w:t>
      </w:r>
      <w:r w:rsidR="00D04E0B">
        <w:t xml:space="preserve">for </w:t>
      </w:r>
      <w:r w:rsidR="00C6503A">
        <w:t xml:space="preserve">the treatment of </w:t>
      </w:r>
      <w:r w:rsidR="00D04E0B">
        <w:t>obesity</w:t>
      </w:r>
      <w:r w:rsidR="00C6503A">
        <w:t xml:space="preserve">. </w:t>
      </w:r>
      <w:r w:rsidR="00982975">
        <w:t xml:space="preserve">MSAC noted the </w:t>
      </w:r>
      <w:r w:rsidR="00D127E4">
        <w:t xml:space="preserve">emerging landscape in obesity treatments </w:t>
      </w:r>
      <w:r w:rsidR="00352B42">
        <w:t>(</w:t>
      </w:r>
      <w:r w:rsidR="00306E99">
        <w:t xml:space="preserve">for further information, please </w:t>
      </w:r>
      <w:r w:rsidR="004C6BA7">
        <w:t>see</w:t>
      </w:r>
      <w:r w:rsidR="00352B42">
        <w:t xml:space="preserve"> </w:t>
      </w:r>
      <w:r w:rsidR="004C6BA7">
        <w:t>Section</w:t>
      </w:r>
      <w:r w:rsidR="00352B42">
        <w:t xml:space="preserve"> </w:t>
      </w:r>
      <w:r w:rsidR="006D7765">
        <w:t>15</w:t>
      </w:r>
      <w:r w:rsidR="002A0F69">
        <w:t>- ‘</w:t>
      </w:r>
      <w:r w:rsidR="00BD7E6F">
        <w:fldChar w:fldCharType="begin"/>
      </w:r>
      <w:r w:rsidR="00BD7E6F">
        <w:instrText xml:space="preserve"> REF _Ref197085634 \h </w:instrText>
      </w:r>
      <w:r w:rsidR="00BD7E6F">
        <w:fldChar w:fldCharType="separate"/>
      </w:r>
      <w:r w:rsidR="008F37D1" w:rsidRPr="00CE28E3">
        <w:t xml:space="preserve">Other relevant </w:t>
      </w:r>
      <w:r w:rsidR="008F37D1">
        <w:t>information</w:t>
      </w:r>
      <w:r w:rsidR="00BD7E6F">
        <w:fldChar w:fldCharType="end"/>
      </w:r>
      <w:r w:rsidR="002A0F69">
        <w:t>’</w:t>
      </w:r>
      <w:r w:rsidR="008B006E">
        <w:t>) and</w:t>
      </w:r>
      <w:r w:rsidR="004923B6">
        <w:t xml:space="preserve"> advised that </w:t>
      </w:r>
      <w:r w:rsidR="00021822" w:rsidRPr="00021822">
        <w:t xml:space="preserve">a resubmission for ESG should also consider the place of </w:t>
      </w:r>
      <w:r w:rsidR="00780CC0">
        <w:t>glucagon</w:t>
      </w:r>
      <w:r w:rsidR="0071774A">
        <w:t>-like peptide-1 (</w:t>
      </w:r>
      <w:r w:rsidR="00021822" w:rsidRPr="00021822">
        <w:t>GLP-1</w:t>
      </w:r>
      <w:r w:rsidR="0071774A">
        <w:t xml:space="preserve">) </w:t>
      </w:r>
      <w:r w:rsidR="00021822" w:rsidRPr="00021822">
        <w:t xml:space="preserve">therapies and other pharmacologic and surgical interventions </w:t>
      </w:r>
      <w:r w:rsidR="00621A75">
        <w:t xml:space="preserve">as per MSAC Guidance on the selection of comparator(s) (MSAC Guidelines TG 2.3). </w:t>
      </w:r>
    </w:p>
    <w:p w14:paraId="549C26D7" w14:textId="02F5AA7F" w:rsidR="00D527DB" w:rsidRDefault="009E1BF1" w:rsidP="009E1BF1">
      <w:r>
        <w:t xml:space="preserve">MSAC noted that </w:t>
      </w:r>
      <w:r w:rsidR="00BC7A54">
        <w:t>for both PICO sets</w:t>
      </w:r>
      <w:r w:rsidR="00337457">
        <w:t>,</w:t>
      </w:r>
      <w:r w:rsidR="00BC7A54">
        <w:t xml:space="preserve"> </w:t>
      </w:r>
      <w:r>
        <w:t>the primary efficacy outcome was percentage total body weight loss (%TBWL)</w:t>
      </w:r>
      <w:r w:rsidR="00BC7A54">
        <w:t>, and t</w:t>
      </w:r>
      <w:r>
        <w:t>he secondary efficacy outcomes were</w:t>
      </w:r>
      <w:r w:rsidR="00BC7A54">
        <w:t>,</w:t>
      </w:r>
      <w:r>
        <w:t xml:space="preserve"> percentage excess weight loss (%EWL), durability of</w:t>
      </w:r>
      <w:r w:rsidR="00D70482">
        <w:t xml:space="preserve"> weight loss</w:t>
      </w:r>
      <w:r>
        <w:t xml:space="preserve"> </w:t>
      </w:r>
      <w:r w:rsidR="00D70482">
        <w:t>(</w:t>
      </w:r>
      <w:r>
        <w:t>3–5 years</w:t>
      </w:r>
      <w:r w:rsidR="00D70482">
        <w:t>)</w:t>
      </w:r>
      <w:r>
        <w:t>, impact on comorbidities</w:t>
      </w:r>
      <w:r w:rsidR="00FF7F69">
        <w:t xml:space="preserve"> (</w:t>
      </w:r>
      <w:r w:rsidR="009A27C6">
        <w:t>e.g., improvement of diabetes, hypertension</w:t>
      </w:r>
      <w:r>
        <w:t>,</w:t>
      </w:r>
      <w:r w:rsidR="009A27C6">
        <w:t xml:space="preserve"> metabolic syndrome from baseline)</w:t>
      </w:r>
      <w:r>
        <w:t xml:space="preserve"> and the rates of revision or conversion to </w:t>
      </w:r>
      <w:r w:rsidR="00BD31E4">
        <w:t xml:space="preserve">further </w:t>
      </w:r>
      <w:r>
        <w:t>surgery. The primary safety outcome was the rate of serious events, while the secondary safety outcome was long-term adverse events (persisting or new gastro-oesophageal reflux disease [GORD]).</w:t>
      </w:r>
      <w:r w:rsidR="002D134E">
        <w:t xml:space="preserve"> </w:t>
      </w:r>
    </w:p>
    <w:p w14:paraId="20601E54" w14:textId="34648056" w:rsidR="009E1BF1" w:rsidRPr="006D69F6" w:rsidRDefault="00B567EF" w:rsidP="009E1BF1">
      <w:r>
        <w:t xml:space="preserve">MSAC noted that the ADAR </w:t>
      </w:r>
      <w:r w:rsidR="00164482">
        <w:t>reported improvement</w:t>
      </w:r>
      <w:r w:rsidR="00462978">
        <w:t>s</w:t>
      </w:r>
      <w:r w:rsidR="00164482">
        <w:t xml:space="preserve"> in weight-related comorbidities in terms of </w:t>
      </w:r>
      <w:r w:rsidR="001A71BB">
        <w:t xml:space="preserve">significantly </w:t>
      </w:r>
      <w:r w:rsidR="00263EAA">
        <w:t>more</w:t>
      </w:r>
      <w:r w:rsidR="00164482">
        <w:t xml:space="preserve"> patients </w:t>
      </w:r>
      <w:r w:rsidR="001A71BB">
        <w:t xml:space="preserve">in the ESG group </w:t>
      </w:r>
      <w:r w:rsidR="00683F52">
        <w:t xml:space="preserve">with </w:t>
      </w:r>
      <w:r w:rsidR="00164482">
        <w:t>“improv</w:t>
      </w:r>
      <w:r w:rsidR="00683F52">
        <w:t>ing</w:t>
      </w:r>
      <w:r w:rsidR="00164482">
        <w:t xml:space="preserve">” </w:t>
      </w:r>
      <w:r w:rsidR="003F24B0">
        <w:t xml:space="preserve">diabetes, </w:t>
      </w:r>
      <w:r w:rsidR="007A3459">
        <w:t>hypertension and metabolic syndrome</w:t>
      </w:r>
      <w:r w:rsidR="007210EB">
        <w:t xml:space="preserve"> </w:t>
      </w:r>
      <w:r w:rsidR="00A83909">
        <w:t>at 52-weeks</w:t>
      </w:r>
      <w:r w:rsidR="00263EAA">
        <w:t xml:space="preserve"> compared with baseline th</w:t>
      </w:r>
      <w:r w:rsidR="00795D41">
        <w:t>an patients in the control group</w:t>
      </w:r>
      <w:r w:rsidR="007210EB">
        <w:t xml:space="preserve"> (</w:t>
      </w:r>
      <w:r w:rsidR="00A83909">
        <w:fldChar w:fldCharType="begin"/>
      </w:r>
      <w:r w:rsidR="00A83909">
        <w:instrText xml:space="preserve"> REF _Ref184211412 \h </w:instrText>
      </w:r>
      <w:r w:rsidR="00A83909">
        <w:fldChar w:fldCharType="separate"/>
      </w:r>
      <w:r w:rsidR="008F37D1" w:rsidRPr="00D445E0">
        <w:t xml:space="preserve">Table </w:t>
      </w:r>
      <w:r w:rsidR="008F37D1">
        <w:rPr>
          <w:noProof/>
        </w:rPr>
        <w:t>19</w:t>
      </w:r>
      <w:r w:rsidR="00A83909">
        <w:fldChar w:fldCharType="end"/>
      </w:r>
      <w:r w:rsidR="00A83909">
        <w:t>)</w:t>
      </w:r>
      <w:r w:rsidR="003C29AF">
        <w:t xml:space="preserve">, </w:t>
      </w:r>
      <w:r w:rsidR="002F5A13">
        <w:t xml:space="preserve">However, </w:t>
      </w:r>
      <w:r w:rsidR="002D134E">
        <w:t xml:space="preserve">MSAC </w:t>
      </w:r>
      <w:r w:rsidR="00F33BCE">
        <w:t xml:space="preserve">considered interpretation of results </w:t>
      </w:r>
      <w:r w:rsidR="00812B25">
        <w:t xml:space="preserve">difficult as the </w:t>
      </w:r>
      <w:r w:rsidR="002B6431">
        <w:t xml:space="preserve">ADAR </w:t>
      </w:r>
      <w:r w:rsidR="00C37F41">
        <w:t xml:space="preserve">did not report </w:t>
      </w:r>
      <w:r w:rsidR="002D134E">
        <w:t xml:space="preserve">endpoint data </w:t>
      </w:r>
      <w:r w:rsidR="00E700F0">
        <w:t>(</w:t>
      </w:r>
      <w:r w:rsidR="003741DF">
        <w:t>i.e., end-organ impacts</w:t>
      </w:r>
      <w:r w:rsidR="008F6D97">
        <w:t>)</w:t>
      </w:r>
      <w:r w:rsidR="003741DF">
        <w:t xml:space="preserve"> on </w:t>
      </w:r>
      <w:r w:rsidR="00307256">
        <w:t>obesity</w:t>
      </w:r>
      <w:r w:rsidR="00E06FB4">
        <w:t xml:space="preserve">-related </w:t>
      </w:r>
      <w:r w:rsidR="002D134E">
        <w:t>co</w:t>
      </w:r>
      <w:r w:rsidR="00CD3780">
        <w:t>morbidit</w:t>
      </w:r>
      <w:r w:rsidR="00406217">
        <w:t>ies</w:t>
      </w:r>
      <w:r w:rsidR="00110A58">
        <w:t>,</w:t>
      </w:r>
      <w:r w:rsidR="00CD3780">
        <w:t xml:space="preserve"> </w:t>
      </w:r>
      <w:r w:rsidR="00406217">
        <w:t xml:space="preserve">including </w:t>
      </w:r>
      <w:r w:rsidR="007019A3">
        <w:t>cardiovascular</w:t>
      </w:r>
      <w:r w:rsidR="00CD3780">
        <w:t xml:space="preserve"> disease</w:t>
      </w:r>
      <w:r w:rsidR="00696116">
        <w:t>, stroke</w:t>
      </w:r>
      <w:r w:rsidR="002639F0">
        <w:t>, kidney disease, and diabetes</w:t>
      </w:r>
      <w:r w:rsidR="00C97EF9">
        <w:t>,</w:t>
      </w:r>
      <w:r w:rsidR="00641008">
        <w:t xml:space="preserve"> </w:t>
      </w:r>
      <w:r w:rsidR="003741DF">
        <w:t>which MSAC consider</w:t>
      </w:r>
      <w:r w:rsidR="00B91FF0">
        <w:t>s</w:t>
      </w:r>
      <w:r w:rsidR="00641008">
        <w:t xml:space="preserve"> more relevant for public subsidy</w:t>
      </w:r>
      <w:r w:rsidR="00110A58">
        <w:t>.</w:t>
      </w:r>
    </w:p>
    <w:p w14:paraId="22783EC1" w14:textId="39EB0A58" w:rsidR="009E1BF1" w:rsidRDefault="009E1BF1" w:rsidP="009E1BF1">
      <w:r>
        <w:t xml:space="preserve">MSAC noted </w:t>
      </w:r>
      <w:r w:rsidR="00482F26">
        <w:t xml:space="preserve">that both </w:t>
      </w:r>
      <w:r>
        <w:t xml:space="preserve">the </w:t>
      </w:r>
      <w:r w:rsidR="00482F26">
        <w:t xml:space="preserve">current and </w:t>
      </w:r>
      <w:r>
        <w:t>proposed clinical management algorithm</w:t>
      </w:r>
      <w:r w:rsidR="00482F26">
        <w:t>s</w:t>
      </w:r>
      <w:r>
        <w:t xml:space="preserve"> w</w:t>
      </w:r>
      <w:r w:rsidR="00482F26">
        <w:t>ere</w:t>
      </w:r>
      <w:r>
        <w:t xml:space="preserve"> based on the Australian Diabetes Society</w:t>
      </w:r>
      <w:r w:rsidR="00482F26">
        <w:t>’s</w:t>
      </w:r>
      <w:r>
        <w:t xml:space="preserve"> </w:t>
      </w:r>
      <w:r w:rsidR="00E16BC2" w:rsidRPr="00AE36DD">
        <w:t>Australian Obesity Management Algorithm</w:t>
      </w:r>
      <w:r w:rsidR="00E16BC2">
        <w:rPr>
          <w:rStyle w:val="FootnoteReference"/>
        </w:rPr>
        <w:footnoteReference w:id="3"/>
      </w:r>
      <w:r>
        <w:t xml:space="preserve"> (2022). MSAC considered the clinical place </w:t>
      </w:r>
      <w:r w:rsidR="00986F4D">
        <w:t xml:space="preserve">of ESG </w:t>
      </w:r>
      <w:r>
        <w:t>to be uncertain due to the presence of effective alternative treatments. MSAC considered that ESG</w:t>
      </w:r>
      <w:r w:rsidRPr="002445A5">
        <w:t xml:space="preserve"> would likely only be used in</w:t>
      </w:r>
      <w:r>
        <w:t xml:space="preserve"> </w:t>
      </w:r>
      <w:r w:rsidRPr="002445A5">
        <w:t xml:space="preserve">patients </w:t>
      </w:r>
      <w:r>
        <w:t>with class I–III o</w:t>
      </w:r>
      <w:r w:rsidRPr="002445A5">
        <w:t xml:space="preserve">besity who </w:t>
      </w:r>
      <w:r w:rsidR="003D6574">
        <w:t>do not want to</w:t>
      </w:r>
      <w:r w:rsidR="007376E0">
        <w:t xml:space="preserve"> have</w:t>
      </w:r>
      <w:r w:rsidR="007376E0" w:rsidRPr="002445A5">
        <w:t xml:space="preserve"> </w:t>
      </w:r>
      <w:r w:rsidRPr="002445A5">
        <w:t>bariatric surgery</w:t>
      </w:r>
      <w:r>
        <w:t>,</w:t>
      </w:r>
      <w:r w:rsidRPr="002445A5">
        <w:t xml:space="preserve"> given </w:t>
      </w:r>
      <w:r>
        <w:t>that</w:t>
      </w:r>
      <w:r w:rsidRPr="002445A5">
        <w:t xml:space="preserve"> </w:t>
      </w:r>
      <w:r>
        <w:t xml:space="preserve">selection of </w:t>
      </w:r>
      <w:r w:rsidRPr="002445A5">
        <w:t xml:space="preserve">ESG also requires </w:t>
      </w:r>
      <w:r w:rsidR="00C511C8">
        <w:t xml:space="preserve">physical </w:t>
      </w:r>
      <w:r w:rsidRPr="002445A5">
        <w:t xml:space="preserve">fitness for </w:t>
      </w:r>
      <w:r>
        <w:t>b</w:t>
      </w:r>
      <w:r w:rsidRPr="002445A5">
        <w:t xml:space="preserve">ariatric </w:t>
      </w:r>
      <w:r>
        <w:t>s</w:t>
      </w:r>
      <w:r w:rsidRPr="002445A5">
        <w:t>urgery</w:t>
      </w:r>
      <w:r>
        <w:t>.</w:t>
      </w:r>
    </w:p>
    <w:p w14:paraId="2CC467BC" w14:textId="16EC4DD4" w:rsidR="00202FDC" w:rsidRDefault="0010420F" w:rsidP="00DA5D57">
      <w:pPr>
        <w:spacing w:after="0"/>
      </w:pPr>
      <w:r>
        <w:t xml:space="preserve">MSAC noted </w:t>
      </w:r>
      <w:r w:rsidR="00227D9D">
        <w:t>the</w:t>
      </w:r>
      <w:r>
        <w:t xml:space="preserve"> new draft </w:t>
      </w:r>
      <w:r w:rsidR="00FD5A48" w:rsidRPr="00AE36DD">
        <w:t>clinical practice guidelines for the management of overweight and obesity for adults, adolescents and children in Australia</w:t>
      </w:r>
      <w:r w:rsidR="00FD5A48" w:rsidRPr="00AE36DD">
        <w:rPr>
          <w:vertAlign w:val="superscript"/>
        </w:rPr>
        <w:fldChar w:fldCharType="begin"/>
      </w:r>
      <w:r w:rsidR="00FD5A48" w:rsidRPr="00AE36DD">
        <w:rPr>
          <w:vertAlign w:val="superscript"/>
        </w:rPr>
        <w:instrText xml:space="preserve"> NOTEREF _Ref187240790 \h </w:instrText>
      </w:r>
      <w:r w:rsidR="00FD5A48">
        <w:rPr>
          <w:vertAlign w:val="superscript"/>
        </w:rPr>
        <w:instrText xml:space="preserve"> \* MERGEFORMAT </w:instrText>
      </w:r>
      <w:r w:rsidR="00FD5A48" w:rsidRPr="00AE36DD">
        <w:rPr>
          <w:vertAlign w:val="superscript"/>
        </w:rPr>
      </w:r>
      <w:r w:rsidR="00FD5A48" w:rsidRPr="00AE36DD">
        <w:rPr>
          <w:vertAlign w:val="superscript"/>
        </w:rPr>
        <w:fldChar w:fldCharType="separate"/>
      </w:r>
      <w:r w:rsidR="008F37D1">
        <w:rPr>
          <w:vertAlign w:val="superscript"/>
        </w:rPr>
        <w:t>18</w:t>
      </w:r>
      <w:r w:rsidR="00FD5A48" w:rsidRPr="00AE36DD">
        <w:rPr>
          <w:vertAlign w:val="superscript"/>
        </w:rPr>
        <w:fldChar w:fldCharType="end"/>
      </w:r>
      <w:r>
        <w:t xml:space="preserve"> (November 2024), commissioned by the Department and currently undergoing public consultation</w:t>
      </w:r>
      <w:r w:rsidR="00834784">
        <w:t xml:space="preserve">. MSAC noted that </w:t>
      </w:r>
      <w:r w:rsidR="00D30EBD">
        <w:t xml:space="preserve">for adults aged 18 to &lt;65 years, </w:t>
      </w:r>
      <w:r w:rsidR="00834784">
        <w:t xml:space="preserve">the </w:t>
      </w:r>
      <w:r w:rsidR="00F03399">
        <w:t xml:space="preserve">draft </w:t>
      </w:r>
      <w:r w:rsidR="00520DC5">
        <w:t xml:space="preserve">2024 </w:t>
      </w:r>
      <w:r w:rsidR="00834784">
        <w:t>guidelines</w:t>
      </w:r>
      <w:r>
        <w:t xml:space="preserve"> </w:t>
      </w:r>
      <w:r w:rsidR="00C5189B">
        <w:t xml:space="preserve">provided </w:t>
      </w:r>
    </w:p>
    <w:p w14:paraId="166A8C19" w14:textId="3E7D74DE" w:rsidR="00202FDC" w:rsidRDefault="004D102B" w:rsidP="00DA5D57">
      <w:pPr>
        <w:pStyle w:val="ListParagraph"/>
        <w:numPr>
          <w:ilvl w:val="0"/>
          <w:numId w:val="34"/>
        </w:numPr>
        <w:spacing w:before="0"/>
        <w:ind w:left="714" w:hanging="357"/>
      </w:pPr>
      <w:r>
        <w:t xml:space="preserve">a </w:t>
      </w:r>
      <w:r w:rsidR="0010420F">
        <w:t>strong recommend</w:t>
      </w:r>
      <w:r w:rsidR="00247EE1">
        <w:t>ation</w:t>
      </w:r>
      <w:r w:rsidR="0010420F">
        <w:t xml:space="preserve"> </w:t>
      </w:r>
      <w:r w:rsidR="00DB5D8D">
        <w:t xml:space="preserve">for </w:t>
      </w:r>
      <w:r w:rsidR="00B648C5">
        <w:t xml:space="preserve">TGA-approved </w:t>
      </w:r>
      <w:r w:rsidR="00480F5E">
        <w:t xml:space="preserve">weight management </w:t>
      </w:r>
      <w:r w:rsidR="0010420F">
        <w:t>pharmacological interventions</w:t>
      </w:r>
      <w:r w:rsidR="003D1899">
        <w:t>;</w:t>
      </w:r>
      <w:r w:rsidR="008300FF">
        <w:t xml:space="preserve"> </w:t>
      </w:r>
    </w:p>
    <w:p w14:paraId="371FF9EF" w14:textId="0B568B2B" w:rsidR="00480229" w:rsidRDefault="004D102B" w:rsidP="00202FDC">
      <w:pPr>
        <w:pStyle w:val="ListParagraph"/>
        <w:numPr>
          <w:ilvl w:val="0"/>
          <w:numId w:val="34"/>
        </w:numPr>
      </w:pPr>
      <w:r>
        <w:t xml:space="preserve">a </w:t>
      </w:r>
      <w:r w:rsidR="000F6E64">
        <w:t xml:space="preserve">conditional recommendation for bariatric surgery </w:t>
      </w:r>
      <w:r w:rsidR="00DE5FF8">
        <w:t>intervention</w:t>
      </w:r>
      <w:r w:rsidR="00EF3A4A">
        <w:t>,</w:t>
      </w:r>
      <w:r w:rsidR="00DE5FF8">
        <w:t xml:space="preserve"> </w:t>
      </w:r>
      <w:r w:rsidR="00EF3A4A">
        <w:t xml:space="preserve">when offered as part of a comprehensive approach to weight-related health management, </w:t>
      </w:r>
      <w:r w:rsidR="00DE5FF8">
        <w:t>versus medical treatment</w:t>
      </w:r>
      <w:r w:rsidR="001C6A69">
        <w:t xml:space="preserve"> alone</w:t>
      </w:r>
      <w:r w:rsidR="003D1899">
        <w:t>; and</w:t>
      </w:r>
      <w:r w:rsidR="00176CC2">
        <w:t xml:space="preserve"> </w:t>
      </w:r>
    </w:p>
    <w:p w14:paraId="111A7B6E" w14:textId="48DBA757" w:rsidR="0055292F" w:rsidRDefault="008135C7" w:rsidP="00DA5D57">
      <w:pPr>
        <w:pStyle w:val="ListParagraph"/>
        <w:numPr>
          <w:ilvl w:val="0"/>
          <w:numId w:val="34"/>
        </w:numPr>
        <w:spacing w:after="0"/>
        <w:ind w:left="714" w:hanging="357"/>
      </w:pPr>
      <w:r>
        <w:t xml:space="preserve">a </w:t>
      </w:r>
      <w:r w:rsidR="0010420F">
        <w:t xml:space="preserve">consensus statement for </w:t>
      </w:r>
      <w:r w:rsidR="00BA7690">
        <w:t xml:space="preserve">some </w:t>
      </w:r>
      <w:r w:rsidR="0010420F">
        <w:t xml:space="preserve">endoscopic </w:t>
      </w:r>
      <w:r w:rsidR="000D4F06">
        <w:t>therapies</w:t>
      </w:r>
      <w:r w:rsidR="00077E5B">
        <w:t>,</w:t>
      </w:r>
      <w:r w:rsidR="006D7823">
        <w:t xml:space="preserve"> </w:t>
      </w:r>
      <w:r w:rsidR="00DD1BED">
        <w:t xml:space="preserve">as part of a comprehensive approach to </w:t>
      </w:r>
      <w:r w:rsidR="006D7823">
        <w:t xml:space="preserve">weight-related health </w:t>
      </w:r>
      <w:r w:rsidR="00DD1BED">
        <w:t>management</w:t>
      </w:r>
      <w:r w:rsidR="00240C95">
        <w:t xml:space="preserve">, </w:t>
      </w:r>
      <w:r w:rsidR="00636D5E">
        <w:t>versus medical treatment</w:t>
      </w:r>
      <w:r w:rsidR="00C10ECD">
        <w:t xml:space="preserve"> alone</w:t>
      </w:r>
      <w:r w:rsidR="0010420F">
        <w:t xml:space="preserve">. MSAC noted that </w:t>
      </w:r>
      <w:r w:rsidR="00F90E57">
        <w:t>a</w:t>
      </w:r>
      <w:r w:rsidR="0010420F">
        <w:t xml:space="preserve"> consensus statement </w:t>
      </w:r>
      <w:r w:rsidR="00F90E57">
        <w:t>is</w:t>
      </w:r>
      <w:r w:rsidR="00081A8E">
        <w:t xml:space="preserve"> </w:t>
      </w:r>
      <w:r w:rsidR="00413715">
        <w:t xml:space="preserve">made </w:t>
      </w:r>
      <w:r w:rsidR="00081A8E">
        <w:t>whe</w:t>
      </w:r>
      <w:r w:rsidR="00F90E57">
        <w:t>n</w:t>
      </w:r>
      <w:r w:rsidR="00081A8E">
        <w:t xml:space="preserve"> there </w:t>
      </w:r>
      <w:r w:rsidR="00B918B4">
        <w:t>is</w:t>
      </w:r>
      <w:r w:rsidR="00081A8E">
        <w:t xml:space="preserve"> </w:t>
      </w:r>
      <w:r w:rsidR="0010420F">
        <w:t>very low certainty</w:t>
      </w:r>
      <w:r w:rsidR="00211E2C">
        <w:t xml:space="preserve"> evidence, or where </w:t>
      </w:r>
      <w:r w:rsidR="001D0FA6">
        <w:t xml:space="preserve">evidence </w:t>
      </w:r>
      <w:r w:rsidR="00F90E57">
        <w:t>is</w:t>
      </w:r>
      <w:r w:rsidR="0010420F">
        <w:t xml:space="preserve"> absent or insufficient, and/or if there </w:t>
      </w:r>
      <w:r w:rsidR="00F90E57">
        <w:t xml:space="preserve">is </w:t>
      </w:r>
      <w:r w:rsidR="0010420F">
        <w:t xml:space="preserve">an unclear balance between benefits and harms. </w:t>
      </w:r>
    </w:p>
    <w:p w14:paraId="38F93EDA" w14:textId="6FF45513" w:rsidR="0010420F" w:rsidRPr="006D69F6" w:rsidRDefault="00AF576E" w:rsidP="00DA5D57">
      <w:pPr>
        <w:spacing w:before="0"/>
      </w:pPr>
      <w:r>
        <w:t xml:space="preserve">MSAC </w:t>
      </w:r>
      <w:r w:rsidR="00A315DB">
        <w:t xml:space="preserve">noted that </w:t>
      </w:r>
      <w:r w:rsidR="008411E8">
        <w:t xml:space="preserve">for older adults aged &gt;65 years, </w:t>
      </w:r>
      <w:r w:rsidR="00A315DB">
        <w:t xml:space="preserve">the draft guidelines </w:t>
      </w:r>
      <w:r w:rsidR="001B4594">
        <w:t xml:space="preserve">did not provide any recommendation </w:t>
      </w:r>
      <w:r w:rsidR="00544EE2">
        <w:t>on pharmacological</w:t>
      </w:r>
      <w:r w:rsidR="00775F7C">
        <w:t xml:space="preserve">, </w:t>
      </w:r>
      <w:r w:rsidR="003A37ED">
        <w:t>bariatric</w:t>
      </w:r>
      <w:r w:rsidR="00F221A0">
        <w:t xml:space="preserve"> or endoscopic surgery interventions, due to lack of available data</w:t>
      </w:r>
      <w:r w:rsidR="000771F3">
        <w:t xml:space="preserve"> for th</w:t>
      </w:r>
      <w:r w:rsidR="00ED26D5">
        <w:t>is</w:t>
      </w:r>
      <w:r w:rsidR="00684268">
        <w:t xml:space="preserve"> population </w:t>
      </w:r>
      <w:r w:rsidR="008B2750">
        <w:t xml:space="preserve">and intervention type. </w:t>
      </w:r>
      <w:r w:rsidR="0010420F">
        <w:t xml:space="preserve">MSAC </w:t>
      </w:r>
      <w:r w:rsidR="003F6C64">
        <w:t xml:space="preserve">considered </w:t>
      </w:r>
      <w:r w:rsidR="0010420F">
        <w:t xml:space="preserve">that the proposed use </w:t>
      </w:r>
      <w:r w:rsidR="00B470E0">
        <w:t>of ESG</w:t>
      </w:r>
      <w:r w:rsidR="003D460B">
        <w:t>,</w:t>
      </w:r>
      <w:r w:rsidR="00B470E0">
        <w:t xml:space="preserve"> </w:t>
      </w:r>
      <w:r w:rsidR="00351006">
        <w:t xml:space="preserve">in </w:t>
      </w:r>
      <w:r w:rsidR="003D460B">
        <w:t xml:space="preserve">patients aged 18 years and over, </w:t>
      </w:r>
      <w:r w:rsidR="0010420F">
        <w:t xml:space="preserve">for PICO set 1 </w:t>
      </w:r>
      <w:r w:rsidR="00DE7D5D">
        <w:t xml:space="preserve">only </w:t>
      </w:r>
      <w:r w:rsidR="0010420F">
        <w:t>partially aligns with the draft guidelines.</w:t>
      </w:r>
    </w:p>
    <w:p w14:paraId="0D633B55" w14:textId="77777777" w:rsidR="007C47EE" w:rsidRDefault="009E1BF1" w:rsidP="00DA5D57">
      <w:pPr>
        <w:spacing w:after="0"/>
      </w:pPr>
      <w:r>
        <w:t>MSAC noted that</w:t>
      </w:r>
      <w:r w:rsidR="005A663A">
        <w:t xml:space="preserve"> the safety claim</w:t>
      </w:r>
      <w:r>
        <w:t xml:space="preserve"> for </w:t>
      </w:r>
      <w:r w:rsidRPr="005A6B7D">
        <w:t xml:space="preserve">PICO </w:t>
      </w:r>
      <w:r>
        <w:t>set </w:t>
      </w:r>
      <w:r w:rsidRPr="005A6B7D">
        <w:t>1</w:t>
      </w:r>
      <w:r w:rsidR="005A663A">
        <w:t xml:space="preserve"> </w:t>
      </w:r>
      <w:r w:rsidR="006507E4">
        <w:t>is</w:t>
      </w:r>
      <w:r w:rsidR="005A663A">
        <w:t xml:space="preserve"> that ESG</w:t>
      </w:r>
      <w:r w:rsidR="006507E4">
        <w:t xml:space="preserve"> has inferior</w:t>
      </w:r>
      <w:r w:rsidR="008778CF">
        <w:t xml:space="preserve"> short</w:t>
      </w:r>
      <w:r w:rsidR="000D5D50">
        <w:t>-</w:t>
      </w:r>
      <w:r w:rsidR="008778CF">
        <w:t xml:space="preserve">term safety and non-inferior long-term safety </w:t>
      </w:r>
      <w:r w:rsidR="00197314">
        <w:t xml:space="preserve">compared </w:t>
      </w:r>
      <w:r w:rsidR="008778CF">
        <w:t xml:space="preserve">to </w:t>
      </w:r>
      <w:r w:rsidR="00667FFC">
        <w:t>lifestyle modifications.</w:t>
      </w:r>
      <w:r w:rsidR="006507E4">
        <w:t xml:space="preserve"> </w:t>
      </w:r>
    </w:p>
    <w:p w14:paraId="4BA6661D" w14:textId="77777777" w:rsidR="0013224F" w:rsidRDefault="000D5D50" w:rsidP="00DA5D57">
      <w:pPr>
        <w:pStyle w:val="ListParagraph"/>
        <w:numPr>
          <w:ilvl w:val="0"/>
          <w:numId w:val="36"/>
        </w:numPr>
        <w:spacing w:before="0"/>
        <w:ind w:left="714" w:hanging="357"/>
      </w:pPr>
      <w:r>
        <w:t>MSAC noted that</w:t>
      </w:r>
      <w:r w:rsidR="009E1BF1" w:rsidRPr="005A6B7D">
        <w:t xml:space="preserve"> </w:t>
      </w:r>
      <w:r w:rsidR="003F6C64">
        <w:t>comparative</w:t>
      </w:r>
      <w:r w:rsidR="009E1BF1" w:rsidRPr="005A6B7D">
        <w:t xml:space="preserve"> </w:t>
      </w:r>
      <w:r w:rsidR="009E1BF1">
        <w:t>safety evidence from the MERIT</w:t>
      </w:r>
      <w:r w:rsidR="009E1BF1" w:rsidRPr="005A6B7D">
        <w:t xml:space="preserve"> </w:t>
      </w:r>
      <w:r w:rsidR="009E1BF1">
        <w:t xml:space="preserve">trial showed that 2% of </w:t>
      </w:r>
      <w:r w:rsidR="009E1BF1" w:rsidRPr="005A6B7D">
        <w:t xml:space="preserve">ESG </w:t>
      </w:r>
      <w:r w:rsidR="009E1BF1">
        <w:t>patients had a device- or procedure-related serious adverse</w:t>
      </w:r>
      <w:r w:rsidR="009E1BF1" w:rsidRPr="005A6B7D">
        <w:t xml:space="preserve"> e</w:t>
      </w:r>
      <w:r w:rsidR="009E1BF1">
        <w:t>ven</w:t>
      </w:r>
      <w:r w:rsidR="009E1BF1" w:rsidRPr="005A6B7D">
        <w:t xml:space="preserve">t </w:t>
      </w:r>
      <w:r w:rsidR="0073168B">
        <w:t xml:space="preserve">(AE) </w:t>
      </w:r>
      <w:r w:rsidR="009E1BF1">
        <w:t xml:space="preserve">and 92% of ESG patients had some type of procedure-related </w:t>
      </w:r>
      <w:r w:rsidR="0073168B">
        <w:t>AEs</w:t>
      </w:r>
      <w:r w:rsidR="000346F9">
        <w:t>.</w:t>
      </w:r>
      <w:r w:rsidR="00E667A1">
        <w:t xml:space="preserve"> </w:t>
      </w:r>
      <w:r w:rsidR="000346F9">
        <w:t>H</w:t>
      </w:r>
      <w:r w:rsidR="00E667A1">
        <w:t xml:space="preserve">owever, </w:t>
      </w:r>
      <w:r w:rsidR="009B240A">
        <w:t>AE</w:t>
      </w:r>
      <w:r w:rsidR="00D970C2">
        <w:t xml:space="preserve">s were </w:t>
      </w:r>
      <w:r w:rsidR="00E667A1">
        <w:t>n</w:t>
      </w:r>
      <w:r w:rsidR="009E1BF1">
        <w:t>o</w:t>
      </w:r>
      <w:r w:rsidR="00D970C2">
        <w:t>t reported in</w:t>
      </w:r>
      <w:r w:rsidR="009E1BF1">
        <w:t xml:space="preserve"> patients undertaking lifestyle modifications</w:t>
      </w:r>
      <w:r w:rsidR="00D970C2">
        <w:t xml:space="preserve"> only</w:t>
      </w:r>
      <w:r w:rsidR="009E1BF1">
        <w:t xml:space="preserve">. </w:t>
      </w:r>
    </w:p>
    <w:p w14:paraId="7851DAAF" w14:textId="77777777" w:rsidR="00B64481" w:rsidRDefault="00631D77" w:rsidP="00DA5D57">
      <w:pPr>
        <w:pStyle w:val="ListParagraph"/>
        <w:numPr>
          <w:ilvl w:val="0"/>
          <w:numId w:val="36"/>
        </w:numPr>
        <w:spacing w:after="0"/>
        <w:ind w:left="714" w:hanging="357"/>
      </w:pPr>
      <w:r>
        <w:t xml:space="preserve">MSAC noted </w:t>
      </w:r>
      <w:r w:rsidR="00E5495F">
        <w:t xml:space="preserve">that </w:t>
      </w:r>
      <w:r>
        <w:t>t</w:t>
      </w:r>
      <w:r w:rsidR="009E1BF1">
        <w:t xml:space="preserve">he long-term (5-year) safety data was from </w:t>
      </w:r>
      <w:r w:rsidR="00F84E28">
        <w:t>a </w:t>
      </w:r>
      <w:r w:rsidR="009E1BF1">
        <w:t xml:space="preserve">single-arm, uncontrolled cohort study </w:t>
      </w:r>
      <w:r w:rsidR="00FB51B9">
        <w:t xml:space="preserve">which </w:t>
      </w:r>
      <w:r w:rsidR="009E1BF1">
        <w:t xml:space="preserve">showed that 1.3% of ESG patients reported moderate </w:t>
      </w:r>
      <w:r w:rsidR="0073168B">
        <w:t>AE</w:t>
      </w:r>
      <w:r w:rsidR="009E1BF1">
        <w:t>s, with one patient undergoing surgical reversal.</w:t>
      </w:r>
      <w:r w:rsidR="00FB51B9">
        <w:t xml:space="preserve"> MSAC </w:t>
      </w:r>
      <w:r w:rsidR="00024E50">
        <w:t>also noted that</w:t>
      </w:r>
      <w:r w:rsidR="005D416A">
        <w:t xml:space="preserve"> both</w:t>
      </w:r>
      <w:r w:rsidR="00024E50">
        <w:t xml:space="preserve"> </w:t>
      </w:r>
      <w:r w:rsidR="00794558">
        <w:t xml:space="preserve">the MERIT trial and </w:t>
      </w:r>
      <w:r w:rsidR="00CE4C44">
        <w:t xml:space="preserve">the </w:t>
      </w:r>
      <w:r w:rsidR="00794558">
        <w:t xml:space="preserve">longer-term </w:t>
      </w:r>
      <w:r w:rsidR="00DD12BC">
        <w:t xml:space="preserve">single arm </w:t>
      </w:r>
      <w:r w:rsidR="00794558">
        <w:t>study</w:t>
      </w:r>
      <w:r w:rsidR="0074799E">
        <w:t xml:space="preserve"> (used to show AEs up to 5 years</w:t>
      </w:r>
      <w:r w:rsidR="00B01BD4">
        <w:t>)</w:t>
      </w:r>
      <w:r w:rsidR="00794558">
        <w:t xml:space="preserve"> </w:t>
      </w:r>
      <w:r w:rsidR="005D416A">
        <w:t xml:space="preserve">had </w:t>
      </w:r>
      <w:r w:rsidR="00122A7A">
        <w:t xml:space="preserve">a </w:t>
      </w:r>
      <w:r w:rsidR="005D416A">
        <w:t>loss to follow up</w:t>
      </w:r>
      <w:r w:rsidR="00B45864">
        <w:t xml:space="preserve"> </w:t>
      </w:r>
      <w:r w:rsidR="0028484E">
        <w:t xml:space="preserve">of </w:t>
      </w:r>
      <w:r w:rsidR="005042D3">
        <w:t>around 20%</w:t>
      </w:r>
      <w:r w:rsidR="003F5D73">
        <w:t xml:space="preserve"> of study participants</w:t>
      </w:r>
      <w:r w:rsidR="005D416A">
        <w:t xml:space="preserve">. </w:t>
      </w:r>
    </w:p>
    <w:p w14:paraId="7A0C3B77" w14:textId="6C10306A" w:rsidR="009E1BF1" w:rsidRPr="005A6B7D" w:rsidRDefault="004A7F95" w:rsidP="000A61C8">
      <w:pPr>
        <w:spacing w:before="0"/>
      </w:pPr>
      <w:r>
        <w:t xml:space="preserve">MSAC noted the pre-MSAC response </w:t>
      </w:r>
      <w:r w:rsidR="007012D5">
        <w:t xml:space="preserve">maintained that </w:t>
      </w:r>
      <w:r w:rsidR="006F2B3F">
        <w:t xml:space="preserve">serious </w:t>
      </w:r>
      <w:r w:rsidR="0073168B">
        <w:t>AE</w:t>
      </w:r>
      <w:r w:rsidR="006F2B3F">
        <w:t xml:space="preserve">s were rare </w:t>
      </w:r>
      <w:r w:rsidR="007C0A6D">
        <w:t>(</w:t>
      </w:r>
      <w:r w:rsidR="00F555CD">
        <w:t xml:space="preserve">pooled rate </w:t>
      </w:r>
      <w:r w:rsidR="007C0A6D">
        <w:t>1.25%</w:t>
      </w:r>
      <w:r w:rsidR="00E77B79">
        <w:rPr>
          <w:rStyle w:val="FootnoteReference"/>
        </w:rPr>
        <w:footnoteReference w:id="4"/>
      </w:r>
      <w:r w:rsidR="00D05851">
        <w:t>)</w:t>
      </w:r>
      <w:r w:rsidR="00AF3A16">
        <w:t xml:space="preserve">. </w:t>
      </w:r>
      <w:r w:rsidR="009E1BF1">
        <w:t>MSAC agreed with ESC</w:t>
      </w:r>
      <w:r w:rsidR="00F04F90">
        <w:t xml:space="preserve"> </w:t>
      </w:r>
      <w:r w:rsidR="009E1BF1">
        <w:t xml:space="preserve">that </w:t>
      </w:r>
      <w:r w:rsidR="000721E3">
        <w:t xml:space="preserve">while </w:t>
      </w:r>
      <w:r w:rsidR="009E1BF1">
        <w:t>the</w:t>
      </w:r>
      <w:r w:rsidR="000721E3">
        <w:t xml:space="preserve"> claim of inferiority in the short-term was </w:t>
      </w:r>
      <w:r w:rsidR="00E60ED7">
        <w:t>supported</w:t>
      </w:r>
      <w:r w:rsidR="000721E3">
        <w:t>, the</w:t>
      </w:r>
      <w:r w:rsidR="009E1BF1">
        <w:t xml:space="preserve"> claim of non-inferior safety</w:t>
      </w:r>
      <w:r w:rsidR="000721E3">
        <w:t xml:space="preserve"> in the long-term</w:t>
      </w:r>
      <w:r w:rsidR="00CD6F5A">
        <w:t xml:space="preserve"> was not</w:t>
      </w:r>
      <w:r w:rsidR="00226100">
        <w:t>,</w:t>
      </w:r>
      <w:r w:rsidR="00CD6F5A">
        <w:t xml:space="preserve"> due to uncertainty </w:t>
      </w:r>
      <w:r w:rsidR="00FC3851">
        <w:t xml:space="preserve">from </w:t>
      </w:r>
      <w:r w:rsidR="00314EEF">
        <w:t xml:space="preserve">high </w:t>
      </w:r>
      <w:r w:rsidR="00CD6F5A">
        <w:t>loss to follow up</w:t>
      </w:r>
      <w:r w:rsidR="00FC3851">
        <w:t xml:space="preserve"> in the presented evidence</w:t>
      </w:r>
      <w:r w:rsidR="00CD6F5A">
        <w:t>.</w:t>
      </w:r>
      <w:r w:rsidR="000721E3">
        <w:t xml:space="preserve"> </w:t>
      </w:r>
    </w:p>
    <w:p w14:paraId="422BB70A" w14:textId="2D73C737" w:rsidR="00255FE3" w:rsidRDefault="009E1BF1" w:rsidP="00604DF1">
      <w:pPr>
        <w:spacing w:after="0"/>
      </w:pPr>
      <w:r>
        <w:t>For PICO set 2, MSAC noted</w:t>
      </w:r>
      <w:r w:rsidR="00A74280">
        <w:t xml:space="preserve"> the </w:t>
      </w:r>
      <w:r w:rsidR="003E6696">
        <w:t xml:space="preserve">ADAR’s </w:t>
      </w:r>
      <w:r w:rsidR="00A74280">
        <w:t xml:space="preserve">claim of </w:t>
      </w:r>
      <w:r w:rsidR="005673D4">
        <w:t>superior</w:t>
      </w:r>
      <w:r w:rsidR="003E6696">
        <w:t xml:space="preserve"> safety</w:t>
      </w:r>
      <w:r w:rsidR="00570B52">
        <w:t xml:space="preserve"> </w:t>
      </w:r>
      <w:r w:rsidR="00C27508">
        <w:t xml:space="preserve">of ESG </w:t>
      </w:r>
      <w:r w:rsidR="005673D4">
        <w:t xml:space="preserve">compared to bariatric surgery. </w:t>
      </w:r>
    </w:p>
    <w:p w14:paraId="6CD628F4" w14:textId="77777777" w:rsidR="00FA3455" w:rsidRDefault="005673D4" w:rsidP="00604DF1">
      <w:pPr>
        <w:pStyle w:val="ListParagraph"/>
        <w:numPr>
          <w:ilvl w:val="0"/>
          <w:numId w:val="37"/>
        </w:numPr>
        <w:spacing w:before="0"/>
        <w:ind w:left="714" w:hanging="357"/>
      </w:pPr>
      <w:r>
        <w:t>MSAC noted</w:t>
      </w:r>
      <w:r w:rsidR="009E1BF1">
        <w:t xml:space="preserve"> that</w:t>
      </w:r>
      <w:r w:rsidR="0033417C">
        <w:t xml:space="preserve"> the</w:t>
      </w:r>
      <w:r w:rsidR="009E1BF1">
        <w:t xml:space="preserve"> safety evidence came from non-randomised controlled trials (non-RCTs), with one study providing data for up to 3 years. </w:t>
      </w:r>
      <w:r w:rsidR="000B3907">
        <w:t>MSAC noted that s</w:t>
      </w:r>
      <w:r w:rsidR="009E1BF1">
        <w:t xml:space="preserve">imilar to the evidence base for PICO set 1, there was a high rate of loss to follow-up. </w:t>
      </w:r>
    </w:p>
    <w:p w14:paraId="04AEB38A" w14:textId="77777777" w:rsidR="00FA3455" w:rsidRDefault="00FA327D" w:rsidP="00604DF1">
      <w:pPr>
        <w:pStyle w:val="ListParagraph"/>
        <w:numPr>
          <w:ilvl w:val="0"/>
          <w:numId w:val="37"/>
        </w:numPr>
        <w:spacing w:after="0"/>
        <w:ind w:left="714" w:hanging="357"/>
      </w:pPr>
      <w:r>
        <w:t xml:space="preserve">MSAC noted </w:t>
      </w:r>
      <w:r w:rsidR="009E1BF1">
        <w:t xml:space="preserve">that there were lower rates of GORD identified in ESG patients than in LSG patients, </w:t>
      </w:r>
      <w:r>
        <w:t>however</w:t>
      </w:r>
      <w:r w:rsidR="00D054C7">
        <w:t>,</w:t>
      </w:r>
      <w:r>
        <w:t xml:space="preserve"> </w:t>
      </w:r>
      <w:r w:rsidR="009E1BF1">
        <w:t xml:space="preserve">the results were </w:t>
      </w:r>
      <w:r w:rsidR="00BA01B1">
        <w:t xml:space="preserve">not </w:t>
      </w:r>
      <w:r w:rsidR="009E1BF1">
        <w:t xml:space="preserve">statistically significant. </w:t>
      </w:r>
    </w:p>
    <w:p w14:paraId="42523DC4" w14:textId="116C5968" w:rsidR="009E1BF1" w:rsidRDefault="009E1BF1" w:rsidP="00604DF1">
      <w:pPr>
        <w:spacing w:before="0"/>
      </w:pPr>
      <w:r>
        <w:t xml:space="preserve">MSAC agreed with ESC that although there </w:t>
      </w:r>
      <w:r w:rsidR="00AE1372">
        <w:t xml:space="preserve">appears </w:t>
      </w:r>
      <w:r>
        <w:t>a trend towards superior safety</w:t>
      </w:r>
      <w:r w:rsidR="00A96BD3">
        <w:t>,</w:t>
      </w:r>
      <w:r>
        <w:t xml:space="preserve"> compared with LSG for the PICO set 2 population, </w:t>
      </w:r>
      <w:r w:rsidR="00E95F31">
        <w:t xml:space="preserve">superior safety was not </w:t>
      </w:r>
      <w:r w:rsidR="00DE0540">
        <w:t xml:space="preserve">fully </w:t>
      </w:r>
      <w:r w:rsidR="00E95F31">
        <w:t>supported</w:t>
      </w:r>
      <w:r>
        <w:t xml:space="preserve"> by the </w:t>
      </w:r>
      <w:r w:rsidR="007F44D3">
        <w:t xml:space="preserve">limited </w:t>
      </w:r>
      <w:r>
        <w:t>evidence presented.</w:t>
      </w:r>
      <w:r w:rsidR="00724BF5">
        <w:t xml:space="preserve"> MSAC also noted that there were no data presented comparing safety between ESG and non-LSG bariatric surgery.</w:t>
      </w:r>
    </w:p>
    <w:p w14:paraId="681853A7" w14:textId="4DAE5495" w:rsidR="009E1BF1" w:rsidRPr="006D69F6" w:rsidRDefault="009E1BF1" w:rsidP="009E1BF1">
      <w:r>
        <w:t xml:space="preserve">MSAC </w:t>
      </w:r>
      <w:r w:rsidR="00C2162F">
        <w:t xml:space="preserve">also </w:t>
      </w:r>
      <w:r>
        <w:t xml:space="preserve">considered that decision regret for having ESG may be possible, as </w:t>
      </w:r>
      <w:r w:rsidR="00D71244">
        <w:t xml:space="preserve">have been observed with </w:t>
      </w:r>
      <w:r w:rsidR="00927F8E">
        <w:t>sleeve gastrectomy</w:t>
      </w:r>
      <w:r w:rsidR="00D42BC2">
        <w:rPr>
          <w:rStyle w:val="FootnoteReference"/>
        </w:rPr>
        <w:footnoteReference w:id="5"/>
      </w:r>
      <w:r w:rsidR="00D71244">
        <w:t xml:space="preserve"> </w:t>
      </w:r>
      <w:r w:rsidR="00D42BC2">
        <w:t xml:space="preserve">and </w:t>
      </w:r>
      <w:r>
        <w:t>gastric banding.</w:t>
      </w:r>
      <w:r w:rsidR="00FE3022">
        <w:rPr>
          <w:rStyle w:val="FootnoteReference"/>
        </w:rPr>
        <w:footnoteReference w:id="6"/>
      </w:r>
      <w:r>
        <w:t xml:space="preserve"> However, no evidence had been presented on this.</w:t>
      </w:r>
    </w:p>
    <w:p w14:paraId="1A27C9C0" w14:textId="77777777" w:rsidR="003304A8" w:rsidRDefault="009E1BF1" w:rsidP="00604DF1">
      <w:pPr>
        <w:spacing w:after="0"/>
      </w:pPr>
      <w:r>
        <w:t xml:space="preserve">MSAC noted that the clinical effectiveness evidence for PICO set 1 came from the MERIT trial and 3 single-arm studies. </w:t>
      </w:r>
    </w:p>
    <w:p w14:paraId="49B2FDA7" w14:textId="77777777" w:rsidR="008C1308" w:rsidRDefault="00D975EC" w:rsidP="003304A8">
      <w:pPr>
        <w:pStyle w:val="ListParagraph"/>
        <w:numPr>
          <w:ilvl w:val="0"/>
          <w:numId w:val="38"/>
        </w:numPr>
        <w:spacing w:before="0"/>
        <w:ind w:left="714" w:hanging="357"/>
      </w:pPr>
      <w:r>
        <w:t>MSAC noted that</w:t>
      </w:r>
      <w:r w:rsidR="009E1BF1">
        <w:t xml:space="preserve"> compared with lifestyle modifications, %TBWL at 1 year was greater for ESG patients</w:t>
      </w:r>
      <w:r w:rsidR="00D44EF6">
        <w:t xml:space="preserve"> (</w:t>
      </w:r>
      <w:r w:rsidR="00A74DEA">
        <w:t>17-18%)</w:t>
      </w:r>
      <w:r w:rsidR="009E1BF1">
        <w:t xml:space="preserve">. </w:t>
      </w:r>
    </w:p>
    <w:p w14:paraId="3E99BE66" w14:textId="77777777" w:rsidR="008C1308" w:rsidRDefault="009E1BF1" w:rsidP="003304A8">
      <w:pPr>
        <w:pStyle w:val="ListParagraph"/>
        <w:numPr>
          <w:ilvl w:val="0"/>
          <w:numId w:val="38"/>
        </w:numPr>
        <w:spacing w:before="0"/>
        <w:ind w:left="714" w:hanging="357"/>
      </w:pPr>
      <w:r>
        <w:t xml:space="preserve">MSAC </w:t>
      </w:r>
      <w:r w:rsidR="00357179">
        <w:t xml:space="preserve">considered </w:t>
      </w:r>
      <w:r>
        <w:t>that effectiveness</w:t>
      </w:r>
      <w:r w:rsidR="00357179">
        <w:t xml:space="preserve"> data</w:t>
      </w:r>
      <w:r>
        <w:t xml:space="preserve"> at 2–5 years was </w:t>
      </w:r>
      <w:r w:rsidR="002E1382">
        <w:t xml:space="preserve">uncertain </w:t>
      </w:r>
      <w:r>
        <w:t xml:space="preserve">as </w:t>
      </w:r>
      <w:r w:rsidR="00516DFA">
        <w:t xml:space="preserve">a high percentage </w:t>
      </w:r>
      <w:r>
        <w:t>of patients were lost to follow-up</w:t>
      </w:r>
      <w:r w:rsidR="00516DFA">
        <w:t xml:space="preserve"> (up to 80% </w:t>
      </w:r>
      <w:r w:rsidR="000C7989">
        <w:t>in the single-arm study utilised for 5-year follow up data)</w:t>
      </w:r>
      <w:r>
        <w:t xml:space="preserve">. </w:t>
      </w:r>
    </w:p>
    <w:p w14:paraId="2B9735D8" w14:textId="77777777" w:rsidR="006E3CAF" w:rsidRDefault="00B851D4" w:rsidP="00604DF1">
      <w:pPr>
        <w:pStyle w:val="ListParagraph"/>
        <w:numPr>
          <w:ilvl w:val="0"/>
          <w:numId w:val="38"/>
        </w:numPr>
        <w:spacing w:before="0" w:after="0"/>
        <w:ind w:left="714" w:hanging="357"/>
      </w:pPr>
      <w:r>
        <w:t>MSAC noted</w:t>
      </w:r>
      <w:r w:rsidR="009E1BF1">
        <w:t xml:space="preserve"> that ESG </w:t>
      </w:r>
      <w:r w:rsidR="00784210">
        <w:t xml:space="preserve">may result in </w:t>
      </w:r>
      <w:r w:rsidR="00A46C35">
        <w:t xml:space="preserve">greater </w:t>
      </w:r>
      <w:r w:rsidR="00B757E2">
        <w:t xml:space="preserve">improvements in quality of life (QoL) and </w:t>
      </w:r>
      <w:r w:rsidR="009E1BF1">
        <w:t>weight-related comorbidity</w:t>
      </w:r>
      <w:r w:rsidR="00375415">
        <w:t xml:space="preserve"> but </w:t>
      </w:r>
      <w:r w:rsidR="00A46C35">
        <w:t xml:space="preserve">comparative effectiveness </w:t>
      </w:r>
      <w:r w:rsidR="00375415">
        <w:t xml:space="preserve">results were limited to </w:t>
      </w:r>
      <w:r w:rsidR="00A46C35">
        <w:t>1 year</w:t>
      </w:r>
      <w:r w:rsidR="009E1BF1">
        <w:t xml:space="preserve">. </w:t>
      </w:r>
    </w:p>
    <w:p w14:paraId="238E0A2C" w14:textId="77777777" w:rsidR="00A67FF3" w:rsidRDefault="009E1BF1" w:rsidP="00604DF1">
      <w:pPr>
        <w:spacing w:before="0" w:after="0"/>
      </w:pPr>
      <w:r>
        <w:t xml:space="preserve">Overall, </w:t>
      </w:r>
    </w:p>
    <w:p w14:paraId="4F6846BA" w14:textId="77777777" w:rsidR="00A67FF3" w:rsidRDefault="009E1BF1" w:rsidP="00A67FF3">
      <w:pPr>
        <w:pStyle w:val="ListParagraph"/>
        <w:numPr>
          <w:ilvl w:val="0"/>
          <w:numId w:val="39"/>
        </w:numPr>
        <w:spacing w:before="0"/>
      </w:pPr>
      <w:r>
        <w:t xml:space="preserve">MSAC considered that </w:t>
      </w:r>
      <w:r w:rsidR="00C00093">
        <w:t>the evidence base beyond 12 months was limited</w:t>
      </w:r>
      <w:r w:rsidR="003A42A5">
        <w:t xml:space="preserve"> due to significant uncertainty in the longer-term data</w:t>
      </w:r>
      <w:r w:rsidR="00620EB0">
        <w:t xml:space="preserve">, and while </w:t>
      </w:r>
      <w:r>
        <w:t>ESG appears to have superior effectiveness compared with lifestyle modifications</w:t>
      </w:r>
      <w:r w:rsidR="00E8422A">
        <w:t xml:space="preserve">, this was only supported </w:t>
      </w:r>
      <w:r w:rsidR="008F5DAC">
        <w:t>when assessed</w:t>
      </w:r>
      <w:r w:rsidR="00E8422A">
        <w:t xml:space="preserve"> at</w:t>
      </w:r>
      <w:r>
        <w:t xml:space="preserve"> 1</w:t>
      </w:r>
      <w:r w:rsidR="00FD5A48">
        <w:t>-</w:t>
      </w:r>
      <w:r>
        <w:t>year</w:t>
      </w:r>
      <w:r w:rsidDel="00E8422A">
        <w:t xml:space="preserve"> </w:t>
      </w:r>
      <w:r w:rsidR="008F5DAC">
        <w:t>post-procedure</w:t>
      </w:r>
      <w:r>
        <w:t>.</w:t>
      </w:r>
      <w:r w:rsidRPr="00E96A75">
        <w:t xml:space="preserve"> </w:t>
      </w:r>
    </w:p>
    <w:p w14:paraId="084E2A81" w14:textId="4D3B41F6" w:rsidR="009E1BF1" w:rsidRDefault="009E1BF1" w:rsidP="00604DF1">
      <w:pPr>
        <w:pStyle w:val="ListParagraph"/>
        <w:numPr>
          <w:ilvl w:val="0"/>
          <w:numId w:val="39"/>
        </w:numPr>
        <w:spacing w:before="0"/>
      </w:pPr>
      <w:r>
        <w:t xml:space="preserve">MSAC noted </w:t>
      </w:r>
      <w:r w:rsidR="00B958D0">
        <w:t xml:space="preserve">the </w:t>
      </w:r>
      <w:r>
        <w:t xml:space="preserve">10-year follow-up data from a </w:t>
      </w:r>
      <w:r w:rsidR="00AD2CD2">
        <w:t>single-arm</w:t>
      </w:r>
      <w:r w:rsidR="002F1040">
        <w:t xml:space="preserve">, single-surgeon, </w:t>
      </w:r>
      <w:r w:rsidR="00E617F9">
        <w:t>prospective</w:t>
      </w:r>
      <w:r w:rsidR="001F75DA">
        <w:t xml:space="preserve"> </w:t>
      </w:r>
      <w:r w:rsidR="002F1040">
        <w:t>US</w:t>
      </w:r>
      <w:r w:rsidR="00AD2CD2">
        <w:t xml:space="preserve"> </w:t>
      </w:r>
      <w:r w:rsidR="001F75DA">
        <w:t xml:space="preserve">cohort </w:t>
      </w:r>
      <w:r w:rsidR="00AD2CD2">
        <w:t xml:space="preserve">study, presented as a </w:t>
      </w:r>
      <w:r>
        <w:t>conference abstract</w:t>
      </w:r>
      <w:r w:rsidR="005C508F">
        <w:t xml:space="preserve"> (Lahooti 2024)</w:t>
      </w:r>
      <w:r w:rsidR="00AD2CD2">
        <w:t>,</w:t>
      </w:r>
      <w:r>
        <w:t xml:space="preserve"> suggested that 15.8% mean </w:t>
      </w:r>
      <w:r w:rsidR="007318C4">
        <w:t>%</w:t>
      </w:r>
      <w:r>
        <w:t>TBWL was sustained at 10 years.</w:t>
      </w:r>
      <w:r>
        <w:rPr>
          <w:rStyle w:val="FootnoteReference"/>
        </w:rPr>
        <w:footnoteReference w:id="7"/>
      </w:r>
      <w:r>
        <w:t xml:space="preserve"> However, </w:t>
      </w:r>
      <w:r w:rsidR="00472FD8">
        <w:t>c</w:t>
      </w:r>
      <w:r w:rsidR="00472FD8" w:rsidRPr="00472FD8">
        <w:t>onference abstracts would only be accepted as evidence under exceptional circumstances</w:t>
      </w:r>
      <w:r w:rsidR="00472FD8">
        <w:t xml:space="preserve"> (</w:t>
      </w:r>
      <w:r w:rsidR="00F40D78">
        <w:t>MSAC Guidelines, Appendix 2)</w:t>
      </w:r>
      <w:r w:rsidR="00817C59">
        <w:t>.</w:t>
      </w:r>
      <w:r>
        <w:t xml:space="preserve"> </w:t>
      </w:r>
      <w:r w:rsidR="00817C59">
        <w:t>In addition,</w:t>
      </w:r>
      <w:r>
        <w:t xml:space="preserve"> </w:t>
      </w:r>
      <w:r w:rsidR="00EF21C0">
        <w:t xml:space="preserve">MSAC noted that </w:t>
      </w:r>
      <w:r>
        <w:t xml:space="preserve">the abstract was not peer-reviewed and the study had </w:t>
      </w:r>
      <w:r w:rsidR="00855BC8">
        <w:t>substantial</w:t>
      </w:r>
      <w:r w:rsidR="008261A2">
        <w:t xml:space="preserve"> </w:t>
      </w:r>
      <w:r>
        <w:t>loss to follow-up</w:t>
      </w:r>
      <w:r w:rsidR="00750D6A">
        <w:t xml:space="preserve"> (</w:t>
      </w:r>
      <w:r w:rsidR="00BA34AB">
        <w:t>only 27.2% of the cohort were eligible for 10</w:t>
      </w:r>
      <w:r w:rsidR="00FF5A5C">
        <w:t>-</w:t>
      </w:r>
      <w:r w:rsidR="00BA34AB">
        <w:t>year follow-up and of these only 61.8% completed the follow-up assessment)</w:t>
      </w:r>
      <w:r>
        <w:t xml:space="preserve">. Therefore, MSAC considered that </w:t>
      </w:r>
      <w:r w:rsidR="00263A3A">
        <w:t xml:space="preserve">the </w:t>
      </w:r>
      <w:r w:rsidR="00284938">
        <w:t xml:space="preserve">research </w:t>
      </w:r>
      <w:r w:rsidR="00D37CE9">
        <w:t>study</w:t>
      </w:r>
      <w:r w:rsidR="00284938">
        <w:t xml:space="preserve"> on which the </w:t>
      </w:r>
      <w:r w:rsidR="00263A3A">
        <w:t>abstract</w:t>
      </w:r>
      <w:r w:rsidR="00284938">
        <w:t xml:space="preserve"> represented</w:t>
      </w:r>
      <w:r w:rsidR="00263A3A">
        <w:t xml:space="preserve"> </w:t>
      </w:r>
      <w:r w:rsidR="00D37CE9">
        <w:t>may</w:t>
      </w:r>
      <w:r>
        <w:t xml:space="preserve"> not add</w:t>
      </w:r>
      <w:r w:rsidR="00971F7D">
        <w:t xml:space="preserve"> </w:t>
      </w:r>
      <w:r w:rsidR="00197A13">
        <w:t xml:space="preserve">substantially </w:t>
      </w:r>
      <w:r>
        <w:t>to the evidence base.</w:t>
      </w:r>
    </w:p>
    <w:p w14:paraId="359CA3A5" w14:textId="77777777" w:rsidR="00AF7559" w:rsidRDefault="00EF6A12" w:rsidP="005D5A7C">
      <w:pPr>
        <w:spacing w:after="0"/>
      </w:pPr>
      <w:r>
        <w:t>Regarding the key MERIT trial, MSAC noted ESC’s concerns regarding the uncertainty around the applicability of the MERIT trial to the Australian population</w:t>
      </w:r>
      <w:r w:rsidR="00196F1F">
        <w:t>.</w:t>
      </w:r>
      <w:r w:rsidR="00EB4A52">
        <w:t xml:space="preserve"> </w:t>
      </w:r>
    </w:p>
    <w:p w14:paraId="474EBD6C" w14:textId="77777777" w:rsidR="002F7381" w:rsidRDefault="00961666" w:rsidP="00AF7559">
      <w:pPr>
        <w:pStyle w:val="ListParagraph"/>
        <w:numPr>
          <w:ilvl w:val="0"/>
          <w:numId w:val="40"/>
        </w:numPr>
        <w:spacing w:before="0"/>
        <w:ind w:left="714" w:hanging="357"/>
      </w:pPr>
      <w:r>
        <w:t>This was due to concerns around the low proportion of men (12%), young mean age (47 years) and mean BMI of the study population, which were not likely to reflect</w:t>
      </w:r>
      <w:r w:rsidR="00F4260A">
        <w:t xml:space="preserve"> </w:t>
      </w:r>
      <w:r>
        <w:t xml:space="preserve">the proposed Australian population. </w:t>
      </w:r>
      <w:r w:rsidR="0076364F">
        <w:t>This was likely to</w:t>
      </w:r>
      <w:r w:rsidR="00EF6A12">
        <w:t xml:space="preserve"> affect the validity of the economic model inputs. </w:t>
      </w:r>
    </w:p>
    <w:p w14:paraId="4707CC58" w14:textId="7C82F71B" w:rsidR="00EF6A12" w:rsidRDefault="00EF6A12" w:rsidP="005D5A7C">
      <w:pPr>
        <w:pStyle w:val="ListParagraph"/>
        <w:numPr>
          <w:ilvl w:val="0"/>
          <w:numId w:val="40"/>
        </w:numPr>
        <w:spacing w:before="0"/>
        <w:ind w:left="714" w:hanging="357"/>
      </w:pPr>
      <w:r>
        <w:t xml:space="preserve">ESC also had concerns about whether patients in the MERIT trial had failed 12 months of both lifestyle modifications and pharmacotherapy, which is a proposed requirement for access to ESG. MSAC noted that the pre-MSAC response stated that the MERIT trial inclusion criteria required patients to have a ‘history of failure with non-surgical weight-loss methods’. However, MSAC considered the definition for ‘failure’ in the trial </w:t>
      </w:r>
      <w:r w:rsidR="00AB5BAD">
        <w:t>and the duration of time that pa</w:t>
      </w:r>
      <w:r w:rsidR="0037017B">
        <w:t xml:space="preserve">tients needed to </w:t>
      </w:r>
      <w:r w:rsidR="002528BB">
        <w:t>have trialled and failed lifestyle modifications and pharmacotherapy</w:t>
      </w:r>
      <w:r>
        <w:t xml:space="preserve"> to be uncertain.</w:t>
      </w:r>
    </w:p>
    <w:p w14:paraId="77D99F86" w14:textId="77777777" w:rsidR="00A12E62" w:rsidRDefault="009E1BF1" w:rsidP="005D5A7C">
      <w:pPr>
        <w:spacing w:after="0"/>
      </w:pPr>
      <w:r>
        <w:t xml:space="preserve">MSAC noted that the primary clinical effectiveness outcome for PICO set 2 was %TBWL at 1 year. </w:t>
      </w:r>
    </w:p>
    <w:p w14:paraId="4BEDE20F" w14:textId="2562A814" w:rsidR="00703E54" w:rsidRDefault="009E1BF1" w:rsidP="005D5A7C">
      <w:pPr>
        <w:pStyle w:val="ListParagraph"/>
        <w:numPr>
          <w:ilvl w:val="0"/>
          <w:numId w:val="41"/>
        </w:numPr>
        <w:spacing w:before="0"/>
        <w:ind w:left="714" w:hanging="357"/>
      </w:pPr>
      <w:r>
        <w:t>MSAC noted that</w:t>
      </w:r>
      <w:r w:rsidR="00305C7C">
        <w:t xml:space="preserve"> to support the claim of ESG being non-inferior </w:t>
      </w:r>
      <w:r w:rsidR="0086503C">
        <w:t xml:space="preserve">effectiveness </w:t>
      </w:r>
      <w:r w:rsidR="00305C7C">
        <w:t xml:space="preserve">to </w:t>
      </w:r>
      <w:r w:rsidR="0010391A">
        <w:t>LSG,</w:t>
      </w:r>
      <w:r>
        <w:t xml:space="preserve"> </w:t>
      </w:r>
      <w:r w:rsidRPr="2AA1CA0C">
        <w:t xml:space="preserve">a non-inferiority margin of 10% </w:t>
      </w:r>
      <w:r w:rsidR="003B11E0">
        <w:t xml:space="preserve">TBWL </w:t>
      </w:r>
      <w:r w:rsidRPr="2AA1CA0C">
        <w:t xml:space="preserve">was </w:t>
      </w:r>
      <w:r w:rsidR="00EC00D5">
        <w:t>proposed</w:t>
      </w:r>
      <w:r w:rsidR="00EC00D5" w:rsidRPr="2AA1CA0C">
        <w:t xml:space="preserve"> </w:t>
      </w:r>
      <w:r w:rsidRPr="2AA1CA0C">
        <w:t>by the applicant</w:t>
      </w:r>
      <w:r w:rsidR="007E718B">
        <w:t>.</w:t>
      </w:r>
      <w:r w:rsidRPr="2AA1CA0C">
        <w:t xml:space="preserve"> </w:t>
      </w:r>
      <w:r w:rsidR="00D511CA">
        <w:t>It was</w:t>
      </w:r>
      <w:r w:rsidRPr="2AA1CA0C">
        <w:t xml:space="preserve"> stated that the margin was supported by clinicians and included in one publication</w:t>
      </w:r>
      <w:r>
        <w:t xml:space="preserve"> by Alqahtani et al. (2022). However, MSAC considered that the basis on which this margin was set was unclear. </w:t>
      </w:r>
      <w:r w:rsidR="00FF285C">
        <w:t>MSAC noted</w:t>
      </w:r>
      <w:r>
        <w:t xml:space="preserve"> that %TBWL at 1 year was </w:t>
      </w:r>
      <w:r w:rsidR="00C54BFB">
        <w:t>less</w:t>
      </w:r>
      <w:r>
        <w:t xml:space="preserve"> for ESG than LSG (</w:t>
      </w:r>
      <w:r w:rsidR="00E72AFB">
        <w:t>a</w:t>
      </w:r>
      <w:r w:rsidR="00083466">
        <w:t>verage</w:t>
      </w:r>
      <w:r w:rsidR="00E72AFB">
        <w:t xml:space="preserve"> mean difference in %TBWL</w:t>
      </w:r>
      <w:r w:rsidR="00D12961">
        <w:t>, ESG minus LSG,</w:t>
      </w:r>
      <w:r w:rsidR="00E72AFB">
        <w:t xml:space="preserve"> -9.95%</w:t>
      </w:r>
      <w:r w:rsidR="00AE0527">
        <w:t xml:space="preserve">, 95% CI </w:t>
      </w:r>
      <w:r w:rsidR="00832352">
        <w:t>-10.0% to -9.19%</w:t>
      </w:r>
      <w:r>
        <w:t>)</w:t>
      </w:r>
      <w:r w:rsidR="00833B9E">
        <w:t xml:space="preserve">, and </w:t>
      </w:r>
      <w:r w:rsidR="00876DB7">
        <w:t>included</w:t>
      </w:r>
      <w:r w:rsidR="00833B9E">
        <w:t xml:space="preserve"> the 10% </w:t>
      </w:r>
      <w:r w:rsidR="00892705">
        <w:t>non-infer</w:t>
      </w:r>
      <w:r w:rsidR="00876DB7">
        <w:t xml:space="preserve">iority </w:t>
      </w:r>
      <w:r w:rsidR="001C3559">
        <w:t>margin set by the applicant</w:t>
      </w:r>
      <w:r w:rsidR="002A6E57">
        <w:t xml:space="preserve"> when </w:t>
      </w:r>
      <w:r w:rsidR="006C2E87">
        <w:t>assessing the 95% confidence interval</w:t>
      </w:r>
      <w:r>
        <w:t xml:space="preserve">. </w:t>
      </w:r>
      <w:r w:rsidR="00832A89" w:rsidRPr="00832A89">
        <w:t>MSAC noted that the pre-MSAC response maintained that ESG and LSG are clinically comparable procedures</w:t>
      </w:r>
      <w:r w:rsidR="008E62C9">
        <w:t xml:space="preserve"> and </w:t>
      </w:r>
      <w:r w:rsidR="008E62C9" w:rsidRPr="008E62C9">
        <w:t xml:space="preserve">that any difference in absolute %TBWL between the two procedures </w:t>
      </w:r>
      <w:r w:rsidR="00F672E5">
        <w:t>wa</w:t>
      </w:r>
      <w:r w:rsidR="008E62C9" w:rsidRPr="008E62C9">
        <w:t>s not considered clinically relevant</w:t>
      </w:r>
      <w:r w:rsidR="00832A89" w:rsidRPr="00832A89">
        <w:t xml:space="preserve">. </w:t>
      </w:r>
    </w:p>
    <w:p w14:paraId="4CDD66B4" w14:textId="77777777" w:rsidR="00703E54" w:rsidRDefault="009E1BF1" w:rsidP="005D5A7C">
      <w:pPr>
        <w:pStyle w:val="ListParagraph"/>
        <w:numPr>
          <w:ilvl w:val="0"/>
          <w:numId w:val="41"/>
        </w:numPr>
        <w:spacing w:after="0"/>
        <w:ind w:left="714" w:hanging="357"/>
      </w:pPr>
      <w:r>
        <w:t xml:space="preserve">Evidence from </w:t>
      </w:r>
      <w:r w:rsidR="00855BEA">
        <w:t>a</w:t>
      </w:r>
      <w:r>
        <w:t> </w:t>
      </w:r>
      <w:r w:rsidR="0005123E">
        <w:t xml:space="preserve">non-randomised observational </w:t>
      </w:r>
      <w:r>
        <w:t>stud</w:t>
      </w:r>
      <w:r w:rsidR="00855BEA">
        <w:t>y</w:t>
      </w:r>
      <w:r w:rsidR="00A026C7">
        <w:rPr>
          <w:rStyle w:val="FootnoteReference"/>
        </w:rPr>
        <w:footnoteReference w:id="8"/>
      </w:r>
      <w:r w:rsidR="00343E7C">
        <w:t xml:space="preserve"> </w:t>
      </w:r>
      <w:r>
        <w:t>showed that QoL</w:t>
      </w:r>
      <w:r w:rsidR="000C4863">
        <w:t xml:space="preserve"> outcomes</w:t>
      </w:r>
      <w:r>
        <w:t xml:space="preserve"> improved, although not significantly, for ESG patients, but improved significantly for LSG patients.</w:t>
      </w:r>
      <w:r w:rsidR="00B32DF0">
        <w:t xml:space="preserve"> </w:t>
      </w:r>
    </w:p>
    <w:p w14:paraId="4A258DC9" w14:textId="3C56112B" w:rsidR="004C1C57" w:rsidRDefault="00B32DF0" w:rsidP="005D5A7C">
      <w:pPr>
        <w:spacing w:before="0"/>
      </w:pPr>
      <w:r>
        <w:t>Due to the presented evidence</w:t>
      </w:r>
      <w:r w:rsidR="00EC79A5">
        <w:t>,</w:t>
      </w:r>
      <w:r w:rsidR="0085096D">
        <w:t xml:space="preserve"> </w:t>
      </w:r>
      <w:r w:rsidR="006C16C9" w:rsidDel="00833B9E">
        <w:t xml:space="preserve">MSAC considered </w:t>
      </w:r>
      <w:r w:rsidR="00DA320C">
        <w:t xml:space="preserve">that </w:t>
      </w:r>
      <w:r w:rsidR="006C16C9" w:rsidDel="00833B9E">
        <w:t xml:space="preserve">the claim of non-inferiority </w:t>
      </w:r>
      <w:r w:rsidR="001A532B">
        <w:t xml:space="preserve">of ESG to </w:t>
      </w:r>
      <w:r w:rsidR="00A2592B">
        <w:t xml:space="preserve">LSG </w:t>
      </w:r>
      <w:r w:rsidR="006C16C9" w:rsidDel="00833B9E">
        <w:t xml:space="preserve">was not </w:t>
      </w:r>
      <w:r w:rsidR="006C16C9">
        <w:t>supported</w:t>
      </w:r>
      <w:r w:rsidR="006C16C9" w:rsidDel="00833B9E">
        <w:t>.</w:t>
      </w:r>
      <w:r w:rsidR="00992EFF">
        <w:t xml:space="preserve"> </w:t>
      </w:r>
    </w:p>
    <w:p w14:paraId="39C13B81" w14:textId="3311693F" w:rsidR="009E1BF1" w:rsidRPr="00F73FDD" w:rsidRDefault="00992EFF" w:rsidP="009E1BF1">
      <w:r>
        <w:t>MSAC noted that the pre-MSAC response acknowledged that the non-inferiority evidence was not supported, but asked MSAC to consider a broader set of</w:t>
      </w:r>
      <w:r w:rsidR="00DE283B">
        <w:t xml:space="preserve"> potential health</w:t>
      </w:r>
      <w:r>
        <w:t xml:space="preserve"> benefits with even small %TBWL of 5–10%. MSAC considered that </w:t>
      </w:r>
      <w:r w:rsidR="00B161D7">
        <w:t xml:space="preserve">the broader health benefits referred to </w:t>
      </w:r>
      <w:r w:rsidR="001D6B00">
        <w:t xml:space="preserve">in the </w:t>
      </w:r>
      <w:r w:rsidR="00152418">
        <w:t xml:space="preserve">pre-MSAC response should </w:t>
      </w:r>
      <w:r w:rsidR="002D4FE8">
        <w:t>have</w:t>
      </w:r>
      <w:r w:rsidR="0084567C">
        <w:t xml:space="preserve"> </w:t>
      </w:r>
      <w:r w:rsidR="00152418">
        <w:t>be</w:t>
      </w:r>
      <w:r w:rsidR="0084567C">
        <w:t>en</w:t>
      </w:r>
      <w:r w:rsidR="00152418">
        <w:t xml:space="preserve"> defined and </w:t>
      </w:r>
      <w:r w:rsidR="00FB42F5">
        <w:t xml:space="preserve">presented within the </w:t>
      </w:r>
      <w:r w:rsidR="005F4028">
        <w:t xml:space="preserve">ADAR. MSAC noted that cardiometabolic benefits, which were referred to in the pre-MSAC response, are mostly seen for people with class I obesity, and not for those with class II or III obesity who may require </w:t>
      </w:r>
      <w:r w:rsidR="003B56DD">
        <w:t>a greater</w:t>
      </w:r>
      <w:r w:rsidR="005F4028">
        <w:t xml:space="preserve"> %TBWL to achieve cardiometabolic benefits.</w:t>
      </w:r>
      <w:r w:rsidR="00E97B51">
        <w:rPr>
          <w:rStyle w:val="FootnoteReference"/>
        </w:rPr>
        <w:footnoteReference w:id="9"/>
      </w:r>
      <w:r w:rsidR="00F73FDD">
        <w:rPr>
          <w:vertAlign w:val="superscript"/>
        </w:rPr>
        <w:t>,</w:t>
      </w:r>
      <w:r w:rsidR="00F73FDD">
        <w:rPr>
          <w:rStyle w:val="FootnoteReference"/>
        </w:rPr>
        <w:footnoteReference w:id="10"/>
      </w:r>
    </w:p>
    <w:p w14:paraId="451496E2" w14:textId="774025AC" w:rsidR="009E1BF1" w:rsidRDefault="00AE3CB8" w:rsidP="009E1BF1">
      <w:r>
        <w:t xml:space="preserve">MSAC discussed </w:t>
      </w:r>
      <w:r w:rsidR="009E1BF1">
        <w:t>the lack of long-term data and high loss to follow-up in the studies</w:t>
      </w:r>
      <w:r>
        <w:t xml:space="preserve"> presented in the </w:t>
      </w:r>
      <w:r w:rsidR="00443C13">
        <w:t>ADAR</w:t>
      </w:r>
      <w:r>
        <w:t>.</w:t>
      </w:r>
      <w:r w:rsidR="009E1BF1">
        <w:t xml:space="preserve"> MSAC noted that the pre-MSAC response stated that this was typical of observation</w:t>
      </w:r>
      <w:r>
        <w:t>al</w:t>
      </w:r>
      <w:r w:rsidR="009E1BF1">
        <w:t xml:space="preserve"> studies and in line with</w:t>
      </w:r>
      <w:r>
        <w:t xml:space="preserve"> the evidence available for</w:t>
      </w:r>
      <w:r w:rsidR="009E1BF1">
        <w:t xml:space="preserve"> bariatric surgery studies. However, MSAC considered that </w:t>
      </w:r>
      <w:r w:rsidR="00A62B9D">
        <w:t>this did not address uncertainty in</w:t>
      </w:r>
      <w:r w:rsidR="009E1BF1">
        <w:t xml:space="preserve"> benefit beyond 12 </w:t>
      </w:r>
      <w:r w:rsidR="00461E7F">
        <w:t>months and</w:t>
      </w:r>
      <w:r w:rsidR="009E1BF1">
        <w:t xml:space="preserve"> noted that most of the single-arm trials informing 5-year outcomes did not require prior failure of pharmacotherapy</w:t>
      </w:r>
      <w:r w:rsidR="00A62B9D">
        <w:t xml:space="preserve">, which </w:t>
      </w:r>
      <w:r w:rsidR="00211D85">
        <w:t xml:space="preserve">is not aligned with the population presented in </w:t>
      </w:r>
      <w:r w:rsidR="00992EFF">
        <w:t xml:space="preserve">the </w:t>
      </w:r>
      <w:r w:rsidR="006274A7">
        <w:t>ADAR</w:t>
      </w:r>
      <w:r w:rsidR="009E1BF1">
        <w:t xml:space="preserve">. </w:t>
      </w:r>
    </w:p>
    <w:p w14:paraId="64867329" w14:textId="77777777" w:rsidR="004B0B2D" w:rsidRDefault="009E1BF1" w:rsidP="00035815">
      <w:pPr>
        <w:spacing w:after="0"/>
      </w:pPr>
      <w:r>
        <w:t xml:space="preserve">MSAC noted that a cost-utility analysis was </w:t>
      </w:r>
      <w:r w:rsidR="00247235">
        <w:t xml:space="preserve">presented </w:t>
      </w:r>
      <w:r>
        <w:t>for PICO set 1, which MSAC considered appropriate given that ESG appears to be superior to lifestyle modifications in the short</w:t>
      </w:r>
      <w:r w:rsidR="00247235">
        <w:t>-</w:t>
      </w:r>
      <w:r>
        <w:t xml:space="preserve">term. </w:t>
      </w:r>
    </w:p>
    <w:p w14:paraId="2631571A" w14:textId="5A737756" w:rsidR="00AF7C9D" w:rsidRDefault="007A05A8" w:rsidP="00035815">
      <w:pPr>
        <w:pStyle w:val="ListParagraph"/>
        <w:numPr>
          <w:ilvl w:val="0"/>
          <w:numId w:val="32"/>
        </w:numPr>
        <w:spacing w:before="0" w:after="0"/>
        <w:ind w:left="714" w:hanging="357"/>
        <w:contextualSpacing w:val="0"/>
      </w:pPr>
      <w:r>
        <w:t>MSAC noted that o</w:t>
      </w:r>
      <w:r w:rsidR="009E1BF1">
        <w:t>ver a 40-year time horizon, the base case incremental cost-effectiveness ratios (ICERs) were $7,553 per quality-adjusted life year (QALY) gained</w:t>
      </w:r>
      <w:r w:rsidR="009E1BF1" w:rsidRPr="00A837E1">
        <w:t xml:space="preserve"> </w:t>
      </w:r>
      <w:r w:rsidR="009E1BF1">
        <w:t>for class I obesity patients,</w:t>
      </w:r>
      <w:r w:rsidR="00CF3944">
        <w:t xml:space="preserve"> and</w:t>
      </w:r>
      <w:r w:rsidR="009E1BF1">
        <w:t xml:space="preserve"> $12,591/</w:t>
      </w:r>
      <w:r w:rsidR="002B6C0F">
        <w:t xml:space="preserve">QALY gained for </w:t>
      </w:r>
      <w:r w:rsidR="009E1BF1">
        <w:t xml:space="preserve">class II obesity patients. </w:t>
      </w:r>
    </w:p>
    <w:p w14:paraId="6B8A8855" w14:textId="30ABF35D" w:rsidR="0040291B" w:rsidRDefault="009E1BF1" w:rsidP="00035815">
      <w:pPr>
        <w:pStyle w:val="ListParagraph"/>
        <w:numPr>
          <w:ilvl w:val="0"/>
          <w:numId w:val="31"/>
        </w:numPr>
        <w:spacing w:before="0" w:after="0"/>
        <w:ind w:left="714" w:hanging="357"/>
        <w:contextualSpacing w:val="0"/>
      </w:pPr>
      <w:r>
        <w:t>MSAC noted that the model assumed that &gt;60% of class I and class II obesity patients would achieve a lower obesity class in the first 6 months and maintain it for up to 40 years, while around 20% would return to their original weight. MSAC que</w:t>
      </w:r>
      <w:r w:rsidR="00251A8A">
        <w:t>ried</w:t>
      </w:r>
      <w:r>
        <w:t xml:space="preserve"> the assumption of </w:t>
      </w:r>
      <w:r w:rsidR="00564E68">
        <w:t xml:space="preserve">&gt;60% of patients sustaining </w:t>
      </w:r>
      <w:r>
        <w:t>long-term benefit</w:t>
      </w:r>
      <w:r w:rsidR="001204C0">
        <w:t xml:space="preserve"> and considered that the model may be optimistic</w:t>
      </w:r>
      <w:r w:rsidR="00FE43D9">
        <w:t xml:space="preserve"> based on the limited evidence provide</w:t>
      </w:r>
      <w:r w:rsidR="001204C0">
        <w:t>d</w:t>
      </w:r>
      <w:r w:rsidR="00FE43D9">
        <w:t xml:space="preserve"> in the </w:t>
      </w:r>
      <w:r w:rsidR="00096D3D">
        <w:t>ADAR</w:t>
      </w:r>
      <w:r w:rsidR="00B66DB4">
        <w:t xml:space="preserve"> to support longer term weight outcomes</w:t>
      </w:r>
      <w:r>
        <w:t>.</w:t>
      </w:r>
      <w:r w:rsidR="00FE43D9">
        <w:t xml:space="preserve"> </w:t>
      </w:r>
    </w:p>
    <w:p w14:paraId="7166C82B" w14:textId="0DE2504C" w:rsidR="00904646" w:rsidRDefault="009E1BF1" w:rsidP="00035815">
      <w:pPr>
        <w:pStyle w:val="ListParagraph"/>
        <w:numPr>
          <w:ilvl w:val="0"/>
          <w:numId w:val="31"/>
        </w:numPr>
        <w:spacing w:before="0" w:after="0"/>
        <w:ind w:left="714" w:hanging="357"/>
        <w:contextualSpacing w:val="0"/>
      </w:pPr>
      <w:r>
        <w:t xml:space="preserve">MSAC also noted ESC’s concerns regarding the uncertainty in the model assumptions, especially regarding key </w:t>
      </w:r>
      <w:r w:rsidR="00CD2B39">
        <w:t>AEs</w:t>
      </w:r>
      <w:r>
        <w:t xml:space="preserve"> and patient adherence</w:t>
      </w:r>
      <w:r w:rsidR="008D7CC4">
        <w:t xml:space="preserve"> (20% loss to follow-up)</w:t>
      </w:r>
      <w:r w:rsidR="008943A2">
        <w:t xml:space="preserve">. </w:t>
      </w:r>
      <w:r>
        <w:t xml:space="preserve">MSAC noted that the pre-MSAC response maintained that the rate of serious </w:t>
      </w:r>
      <w:r w:rsidR="00CD2B39">
        <w:t>AEs</w:t>
      </w:r>
      <w:r>
        <w:t xml:space="preserve"> was low</w:t>
      </w:r>
      <w:r w:rsidR="00050941">
        <w:t>,</w:t>
      </w:r>
      <w:r>
        <w:t xml:space="preserve"> and that rare </w:t>
      </w:r>
      <w:r w:rsidR="00CD2B39">
        <w:t>AEs</w:t>
      </w:r>
      <w:r>
        <w:t xml:space="preserve"> </w:t>
      </w:r>
      <w:r w:rsidR="00A30FA7">
        <w:t xml:space="preserve">(where the incidence rate is &lt;0.25%) </w:t>
      </w:r>
      <w:r>
        <w:t xml:space="preserve">could be excluded from the </w:t>
      </w:r>
      <w:r w:rsidR="00A30FA7">
        <w:t xml:space="preserve">economic </w:t>
      </w:r>
      <w:r>
        <w:t>model</w:t>
      </w:r>
      <w:r w:rsidR="00065404">
        <w:t>. However,</w:t>
      </w:r>
      <w:r>
        <w:t xml:space="preserve"> </w:t>
      </w:r>
      <w:r w:rsidR="00E359BE">
        <w:t xml:space="preserve">MSAC </w:t>
      </w:r>
      <w:r>
        <w:t>consider</w:t>
      </w:r>
      <w:r w:rsidR="00CD2B39">
        <w:t>ed</w:t>
      </w:r>
      <w:r w:rsidR="00E359BE">
        <w:t xml:space="preserve"> </w:t>
      </w:r>
      <w:r w:rsidR="00A30FA7">
        <w:t xml:space="preserve">it </w:t>
      </w:r>
      <w:r w:rsidR="00CD2B39">
        <w:t>in</w:t>
      </w:r>
      <w:r>
        <w:t>appropriate</w:t>
      </w:r>
      <w:r w:rsidR="00A30FA7" w:rsidRPr="00A30FA7">
        <w:t xml:space="preserve"> </w:t>
      </w:r>
      <w:r w:rsidR="00242680">
        <w:t xml:space="preserve">and </w:t>
      </w:r>
      <w:r w:rsidR="00A30FA7">
        <w:t>that all reported AEs should be included in the model</w:t>
      </w:r>
      <w:r>
        <w:t xml:space="preserve">. </w:t>
      </w:r>
    </w:p>
    <w:p w14:paraId="0A046DAB" w14:textId="27643B14" w:rsidR="009E1BF1" w:rsidRDefault="000806FF" w:rsidP="00035815">
      <w:pPr>
        <w:pStyle w:val="ListParagraph"/>
        <w:numPr>
          <w:ilvl w:val="0"/>
          <w:numId w:val="31"/>
        </w:numPr>
        <w:spacing w:before="0" w:after="0"/>
        <w:ind w:left="714" w:hanging="357"/>
      </w:pPr>
      <w:r>
        <w:t>MSAC noted that</w:t>
      </w:r>
      <w:r w:rsidR="009E1BF1">
        <w:t xml:space="preserve"> the pre-MSAC response </w:t>
      </w:r>
      <w:r w:rsidR="005D5ECF">
        <w:t>provided sensitivity ana</w:t>
      </w:r>
      <w:r w:rsidR="001B6659">
        <w:t>lys</w:t>
      </w:r>
      <w:r w:rsidR="001415E6">
        <w:t>e</w:t>
      </w:r>
      <w:r w:rsidR="001B6659">
        <w:t>s</w:t>
      </w:r>
      <w:r w:rsidR="00533A5B">
        <w:t xml:space="preserve"> </w:t>
      </w:r>
      <w:r w:rsidR="002C0A4A">
        <w:t>with some revised assumptions</w:t>
      </w:r>
      <w:r w:rsidR="008D2DDD">
        <w:t xml:space="preserve">, </w:t>
      </w:r>
      <w:r w:rsidR="008D2DDD" w:rsidRPr="008D2DDD">
        <w:t>includ</w:t>
      </w:r>
      <w:r w:rsidR="00825C3E">
        <w:t>ing</w:t>
      </w:r>
      <w:r w:rsidR="008D2DDD" w:rsidRPr="008D2DDD">
        <w:t xml:space="preserve"> a 6% revision rate at 2 years post-procedure and a 2.7% conversion rate to LSG at 3 years post-procedure</w:t>
      </w:r>
      <w:r w:rsidR="001415E6">
        <w:t xml:space="preserve"> (</w:t>
      </w:r>
      <w:r w:rsidR="001415E6">
        <w:fldChar w:fldCharType="begin"/>
      </w:r>
      <w:r w:rsidR="001415E6">
        <w:instrText xml:space="preserve"> REF _Ref191552147 \h </w:instrText>
      </w:r>
      <w:r w:rsidR="001415E6">
        <w:fldChar w:fldCharType="separate"/>
      </w:r>
      <w:r w:rsidR="008F37D1">
        <w:t xml:space="preserve">Table </w:t>
      </w:r>
      <w:r w:rsidR="008F37D1">
        <w:rPr>
          <w:noProof/>
        </w:rPr>
        <w:t>27</w:t>
      </w:r>
      <w:r w:rsidR="001415E6">
        <w:fldChar w:fldCharType="end"/>
      </w:r>
      <w:r w:rsidR="001415E6">
        <w:t>)</w:t>
      </w:r>
      <w:r w:rsidR="002C0A4A">
        <w:t>.</w:t>
      </w:r>
      <w:r w:rsidR="00CB6815">
        <w:t xml:space="preserve"> MSAC noted the</w:t>
      </w:r>
      <w:r w:rsidR="00CB6815" w:rsidRPr="00CB6815">
        <w:t xml:space="preserve"> ICERs </w:t>
      </w:r>
      <w:r w:rsidR="00CB6815">
        <w:t xml:space="preserve">increased </w:t>
      </w:r>
      <w:r w:rsidR="008E608B">
        <w:t xml:space="preserve">further </w:t>
      </w:r>
      <w:r w:rsidR="00CB6815">
        <w:t xml:space="preserve">to </w:t>
      </w:r>
      <w:r w:rsidR="00CB6815" w:rsidRPr="00CB6815">
        <w:t>$13,467</w:t>
      </w:r>
      <w:r w:rsidR="00AB7D46">
        <w:t xml:space="preserve"> </w:t>
      </w:r>
      <w:r w:rsidR="00CB6815" w:rsidRPr="00CB6815">
        <w:t>and $18,454</w:t>
      </w:r>
      <w:r w:rsidR="00AB7D46">
        <w:t xml:space="preserve"> per </w:t>
      </w:r>
      <w:r w:rsidR="00CB6815" w:rsidRPr="00CB6815">
        <w:t xml:space="preserve">QALY </w:t>
      </w:r>
      <w:r w:rsidR="00AB7D46">
        <w:t xml:space="preserve">gained </w:t>
      </w:r>
      <w:r w:rsidR="00CB6815" w:rsidRPr="00CB6815">
        <w:t xml:space="preserve">for class </w:t>
      </w:r>
      <w:r w:rsidR="001D4741">
        <w:t xml:space="preserve">I and </w:t>
      </w:r>
      <w:r w:rsidR="00CB6815" w:rsidRPr="00CB6815">
        <w:t>II obesity</w:t>
      </w:r>
      <w:r w:rsidR="00EB75AD">
        <w:t xml:space="preserve">, </w:t>
      </w:r>
      <w:r w:rsidR="001D4741">
        <w:t xml:space="preserve">respectively, </w:t>
      </w:r>
      <w:r w:rsidR="00264578">
        <w:t xml:space="preserve">when assuming reintervention </w:t>
      </w:r>
      <w:r w:rsidR="00181E1C">
        <w:t>wa</w:t>
      </w:r>
      <w:r w:rsidR="00264578">
        <w:t>s</w:t>
      </w:r>
      <w:r w:rsidR="009F1B33">
        <w:t xml:space="preserve"> </w:t>
      </w:r>
      <w:r w:rsidR="008F4B96">
        <w:t xml:space="preserve">applicable </w:t>
      </w:r>
      <w:r w:rsidR="00BB1808">
        <w:t>up to 1</w:t>
      </w:r>
      <w:r w:rsidR="008978C3">
        <w:t>5</w:t>
      </w:r>
      <w:r w:rsidR="00BB1808">
        <w:t xml:space="preserve"> years post-procedure.</w:t>
      </w:r>
      <w:r w:rsidR="00CB6815" w:rsidRPr="00CB6815">
        <w:t xml:space="preserve"> </w:t>
      </w:r>
      <w:r w:rsidR="00D503A5">
        <w:t>The pre-MSAC response also stated</w:t>
      </w:r>
      <w:r w:rsidR="005D5ECF">
        <w:t xml:space="preserve"> </w:t>
      </w:r>
      <w:r w:rsidR="009E1BF1">
        <w:t xml:space="preserve">that </w:t>
      </w:r>
      <w:r w:rsidR="00850556">
        <w:t xml:space="preserve">within the model, </w:t>
      </w:r>
      <w:r w:rsidR="009E1BF1">
        <w:t>the 20% of patients lost to follow-up were assumed to return to their baseline weight over 5–10 years (representing a worst-case assumption).</w:t>
      </w:r>
      <w:r w:rsidR="00753F82">
        <w:t xml:space="preserve"> MSAC considered that while th</w:t>
      </w:r>
      <w:r w:rsidR="005153A7">
        <w:t>e sensitivity analyses</w:t>
      </w:r>
      <w:r w:rsidR="00753F82">
        <w:t xml:space="preserve"> help</w:t>
      </w:r>
      <w:r w:rsidR="00882FF3">
        <w:t>ed</w:t>
      </w:r>
      <w:r w:rsidR="00753F82">
        <w:t xml:space="preserve"> address </w:t>
      </w:r>
      <w:r w:rsidR="008F3498">
        <w:t>some</w:t>
      </w:r>
      <w:r w:rsidR="00753F82">
        <w:t xml:space="preserve"> </w:t>
      </w:r>
      <w:r w:rsidR="008F3498">
        <w:t>model</w:t>
      </w:r>
      <w:r w:rsidR="00753F82">
        <w:t xml:space="preserve"> issues</w:t>
      </w:r>
      <w:r w:rsidR="009E39B8">
        <w:t xml:space="preserve">, </w:t>
      </w:r>
      <w:r w:rsidR="00753F82">
        <w:t>there were still significant issues around the uncertainty</w:t>
      </w:r>
      <w:r w:rsidR="0078430A">
        <w:t xml:space="preserve"> on the input</w:t>
      </w:r>
      <w:r w:rsidR="00297BA4">
        <w:t>s</w:t>
      </w:r>
      <w:r w:rsidR="0078430A">
        <w:t xml:space="preserve"> and </w:t>
      </w:r>
      <w:r w:rsidR="00F45DCC">
        <w:t>health state transition probability assumptions</w:t>
      </w:r>
      <w:r w:rsidR="008D0943">
        <w:t xml:space="preserve">. </w:t>
      </w:r>
    </w:p>
    <w:p w14:paraId="7592E6CE" w14:textId="11D0CA22" w:rsidR="00DA4F6D" w:rsidRDefault="009E1BF1" w:rsidP="00035815">
      <w:pPr>
        <w:spacing w:after="0"/>
      </w:pPr>
      <w:r>
        <w:t xml:space="preserve">For PICO set 2, MSAC noted that a cost-minimisation analysis was used. </w:t>
      </w:r>
    </w:p>
    <w:p w14:paraId="05457537" w14:textId="77777777" w:rsidR="00DA4F6D" w:rsidRDefault="009E1BF1" w:rsidP="00035815">
      <w:pPr>
        <w:pStyle w:val="ListParagraph"/>
        <w:numPr>
          <w:ilvl w:val="0"/>
          <w:numId w:val="33"/>
        </w:numPr>
        <w:spacing w:before="0" w:after="0"/>
        <w:ind w:left="714" w:hanging="357"/>
        <w:contextualSpacing w:val="0"/>
      </w:pPr>
      <w:r>
        <w:t xml:space="preserve">MSAC agreed with ESC that this was inappropriate given that the clinical claim of non-inferiority versus LSG was not </w:t>
      </w:r>
      <w:r w:rsidR="00CD1591">
        <w:t xml:space="preserve">established </w:t>
      </w:r>
      <w:r>
        <w:t xml:space="preserve">by the evidence presented. </w:t>
      </w:r>
    </w:p>
    <w:p w14:paraId="23CB1DF8" w14:textId="40E173F8" w:rsidR="00A93650" w:rsidRDefault="009E1BF1" w:rsidP="00035815">
      <w:pPr>
        <w:pStyle w:val="ListParagraph"/>
        <w:numPr>
          <w:ilvl w:val="0"/>
          <w:numId w:val="33"/>
        </w:numPr>
        <w:spacing w:before="0" w:after="0"/>
        <w:ind w:left="714" w:hanging="357"/>
        <w:contextualSpacing w:val="0"/>
      </w:pPr>
      <w:r>
        <w:t xml:space="preserve">The model showed that, over a 30-day time horizon, ESG results in a cost saving of </w:t>
      </w:r>
      <w:r w:rsidR="008954B0">
        <w:t xml:space="preserve">$5,658 per patient </w:t>
      </w:r>
      <w:r>
        <w:t xml:space="preserve">compared with LSG ($14,932 for ESG versus $20,590 for LSG). </w:t>
      </w:r>
      <w:r w:rsidR="00CC2E07">
        <w:t xml:space="preserve">MSAC noted </w:t>
      </w:r>
      <w:r w:rsidR="00EC77B0">
        <w:t xml:space="preserve">that </w:t>
      </w:r>
      <w:r w:rsidR="00370800">
        <w:t>the pre-ESC response</w:t>
      </w:r>
      <w:r w:rsidR="00433659">
        <w:t xml:space="preserve"> </w:t>
      </w:r>
      <w:r w:rsidR="00370800">
        <w:t>provided a</w:t>
      </w:r>
      <w:r w:rsidR="00C6117F">
        <w:t>n updated</w:t>
      </w:r>
      <w:r w:rsidR="00370800">
        <w:t xml:space="preserve"> sensitivity analysis</w:t>
      </w:r>
      <w:r w:rsidR="00433659">
        <w:t>, following evaluation feedback,</w:t>
      </w:r>
      <w:r w:rsidR="00370800">
        <w:t xml:space="preserve"> </w:t>
      </w:r>
      <w:r w:rsidR="00C6117F">
        <w:t xml:space="preserve">incorporating the costs of </w:t>
      </w:r>
      <w:r w:rsidR="00AA4452">
        <w:t>additional AEs from reoperation and readmission</w:t>
      </w:r>
      <w:r w:rsidR="00627041">
        <w:t xml:space="preserve">, </w:t>
      </w:r>
      <w:r w:rsidR="00EC1E18">
        <w:t xml:space="preserve">and extending </w:t>
      </w:r>
      <w:r w:rsidR="002D3AE4">
        <w:t xml:space="preserve">the time horizon </w:t>
      </w:r>
      <w:r w:rsidR="005D79B7">
        <w:t>to 12 months</w:t>
      </w:r>
      <w:r w:rsidR="00822C0D">
        <w:t>, resulting in a slightly reduced cost-savings</w:t>
      </w:r>
      <w:r w:rsidR="009A191D">
        <w:t xml:space="preserve"> with ESG</w:t>
      </w:r>
      <w:r w:rsidR="00852925">
        <w:t xml:space="preserve"> (</w:t>
      </w:r>
      <w:r w:rsidR="00852925">
        <w:fldChar w:fldCharType="begin"/>
      </w:r>
      <w:r w:rsidR="00852925">
        <w:instrText xml:space="preserve"> REF _Ref191573904 \h </w:instrText>
      </w:r>
      <w:r w:rsidR="00852925">
        <w:fldChar w:fldCharType="separate"/>
      </w:r>
      <w:r w:rsidR="008F37D1">
        <w:t xml:space="preserve">Table </w:t>
      </w:r>
      <w:r w:rsidR="008F37D1">
        <w:rPr>
          <w:noProof/>
        </w:rPr>
        <w:t>32</w:t>
      </w:r>
      <w:r w:rsidR="00852925">
        <w:fldChar w:fldCharType="end"/>
      </w:r>
      <w:r w:rsidR="00852925">
        <w:t xml:space="preserve">). </w:t>
      </w:r>
    </w:p>
    <w:p w14:paraId="54DC336B" w14:textId="7B474147" w:rsidR="00C86C42" w:rsidRDefault="009E1BF1" w:rsidP="00035815">
      <w:pPr>
        <w:pStyle w:val="ListParagraph"/>
        <w:numPr>
          <w:ilvl w:val="0"/>
          <w:numId w:val="33"/>
        </w:numPr>
        <w:spacing w:before="0"/>
        <w:ind w:left="714" w:hanging="357"/>
      </w:pPr>
      <w:r>
        <w:t xml:space="preserve">MSAC noted that the key drivers of the models were the time horizon, hospital costs, health state utilities, reintervention rates, equipment costs and success rates. </w:t>
      </w:r>
    </w:p>
    <w:p w14:paraId="50586906" w14:textId="2E47169F" w:rsidR="00E553D8" w:rsidRDefault="009E1BF1" w:rsidP="009E1BF1">
      <w:r>
        <w:t xml:space="preserve">The </w:t>
      </w:r>
      <w:r w:rsidR="00AD123F">
        <w:t xml:space="preserve">proposed MBS </w:t>
      </w:r>
      <w:r>
        <w:t>fee for ESG ($96</w:t>
      </w:r>
      <w:r w:rsidR="0097145F">
        <w:t>7.</w:t>
      </w:r>
      <w:r w:rsidR="001D3355">
        <w:t>90</w:t>
      </w:r>
      <w:r>
        <w:t xml:space="preserve">) was based on the </w:t>
      </w:r>
      <w:r w:rsidR="00C2069B">
        <w:t xml:space="preserve">MBS </w:t>
      </w:r>
      <w:r>
        <w:t xml:space="preserve">fee for LSG under </w:t>
      </w:r>
      <w:r w:rsidR="00717B16" w:rsidRPr="00AE36DD">
        <w:t>MBS item 31575</w:t>
      </w:r>
      <w:r w:rsidR="0043267A">
        <w:rPr>
          <w:rStyle w:val="FootnoteReference"/>
        </w:rPr>
        <w:footnoteReference w:id="11"/>
      </w:r>
      <w:r>
        <w:t xml:space="preserve">. MSAC noted that feedback from GESA disagreed with the </w:t>
      </w:r>
      <w:r w:rsidR="00C2069B">
        <w:t>ADAR’s proposed</w:t>
      </w:r>
      <w:r>
        <w:t xml:space="preserve"> fee, stating that ESG was a more complex procedure so should attract a higher fee. </w:t>
      </w:r>
      <w:r w:rsidR="006C473C">
        <w:t xml:space="preserve">MSAC considered that the complexity of ESG in relation to LSG was uncertain and more information would be required to determine an appropriate fee. </w:t>
      </w:r>
    </w:p>
    <w:p w14:paraId="1D405C29" w14:textId="7E577139" w:rsidR="009E1BF1" w:rsidRDefault="004C0C0A" w:rsidP="009E1BF1">
      <w:r>
        <w:t>MSAC noted o</w:t>
      </w:r>
      <w:r w:rsidR="009E1BF1">
        <w:t xml:space="preserve">ther costs included are </w:t>
      </w:r>
      <w:r w:rsidR="009E1BF1" w:rsidRPr="2AA1CA0C">
        <w:t xml:space="preserve">pre-surgery costs (haematology, renal function test, professional attendance items with </w:t>
      </w:r>
      <w:r w:rsidR="009E1BF1">
        <w:t xml:space="preserve">a </w:t>
      </w:r>
      <w:r w:rsidR="009E1BF1" w:rsidRPr="2AA1CA0C">
        <w:t xml:space="preserve">consultant physician and anaesthetist, </w:t>
      </w:r>
      <w:r w:rsidR="009E1BF1">
        <w:t>general practitioner [</w:t>
      </w:r>
      <w:r w:rsidR="009E1BF1" w:rsidRPr="2AA1CA0C">
        <w:t>GP</w:t>
      </w:r>
      <w:r w:rsidR="009E1BF1">
        <w:t>]</w:t>
      </w:r>
      <w:r w:rsidR="009E1BF1" w:rsidRPr="2AA1CA0C">
        <w:t xml:space="preserve"> and allied health services) and anaesthesia costs</w:t>
      </w:r>
      <w:r w:rsidR="009E1BF1">
        <w:t xml:space="preserve"> (based on </w:t>
      </w:r>
      <w:r w:rsidR="00717B16" w:rsidRPr="00AE36DD">
        <w:t>MBS item 23035</w:t>
      </w:r>
      <w:r w:rsidR="005665EC">
        <w:rPr>
          <w:rStyle w:val="FootnoteReference"/>
        </w:rPr>
        <w:footnoteReference w:id="12"/>
      </w:r>
      <w:r w:rsidR="009E1BF1">
        <w:t>). MSAC noted that MBS item 23035 provides for 31–45 minutes of anaesthesia time, which MSAC considered optimistic for the ESG procedure. Regarding the costs for revisions and removals, MSAC noted that the pre-MSAC response suggested fees of $967.90 per revision and $279.80 for removal.</w:t>
      </w:r>
      <w:r w:rsidR="001F06BF">
        <w:t xml:space="preserve"> MSAC also noted that the intervention requires an endoscopy suite and anaesthetist, an OverStitch™ device ($9,626), an overtube device ($511) and 8 sutures ($2,120).</w:t>
      </w:r>
      <w:r w:rsidR="00A718C9">
        <w:t xml:space="preserve"> MSAC considered that th</w:t>
      </w:r>
      <w:r w:rsidR="004B5022">
        <w:t>ese issues</w:t>
      </w:r>
      <w:r w:rsidR="00A718C9">
        <w:t xml:space="preserve"> added uncertainty around the model inputs, and ultimately </w:t>
      </w:r>
      <w:r w:rsidR="004B5022">
        <w:t xml:space="preserve">overall </w:t>
      </w:r>
      <w:r w:rsidR="009F1A56">
        <w:t>cost</w:t>
      </w:r>
      <w:r w:rsidR="00C9140D">
        <w:t>-</w:t>
      </w:r>
      <w:r w:rsidR="009F1A56">
        <w:t>effectiveness</w:t>
      </w:r>
      <w:r w:rsidR="004B5022">
        <w:t xml:space="preserve">. </w:t>
      </w:r>
    </w:p>
    <w:p w14:paraId="491C60C5" w14:textId="74D80D8A" w:rsidR="009E1BF1" w:rsidRDefault="002610C2" w:rsidP="009E1BF1">
      <w:r>
        <w:t xml:space="preserve">Regarding the financial analysis, MSAC noted that the estimated net financial impact to the MBS at 75% benefits was $1.07 million in year 1 to $2.90 million in year 5. At 100% benefits, the impact was estimated to be $1.43 million in year 1 to $3.87 million in year 5. The total budget impact to the MBS and Prescribed List (PL) was estimated as $5.79 million in year 1 to $19.15 million in year 5 at 75% benefits, and $6.16 million in year 1 to $20.12 million in year 5 at 100% benefits. </w:t>
      </w:r>
      <w:r w:rsidR="009E1BF1">
        <w:t>MSAC noted that estimated savings and offsets depend</w:t>
      </w:r>
      <w:r w:rsidR="00B346F6">
        <w:t>ed</w:t>
      </w:r>
      <w:r w:rsidR="009E1BF1">
        <w:t xml:space="preserve"> on ESG replacing LSG, estimated to </w:t>
      </w:r>
      <w:r w:rsidR="0009244A">
        <w:t>represent 48</w:t>
      </w:r>
      <w:r w:rsidR="00BC58DA">
        <w:t xml:space="preserve">% and </w:t>
      </w:r>
      <w:r w:rsidR="0009244A">
        <w:t>3</w:t>
      </w:r>
      <w:r w:rsidR="00BC58DA">
        <w:t>5</w:t>
      </w:r>
      <w:r w:rsidR="009E1BF1">
        <w:t xml:space="preserve">% </w:t>
      </w:r>
      <w:r w:rsidR="00BC58DA">
        <w:t>of total ESG procedures in Year 1 and Year 5, respectively</w:t>
      </w:r>
      <w:r w:rsidR="009E1BF1">
        <w:t>. However, MSAC considered this uncertain and noted that replacement</w:t>
      </w:r>
      <w:r w:rsidR="009F09B6">
        <w:t xml:space="preserve"> of </w:t>
      </w:r>
      <w:r w:rsidR="006C5F8B">
        <w:t>LSG with ESG</w:t>
      </w:r>
      <w:r w:rsidR="009E1BF1">
        <w:t xml:space="preserve"> also depends on the availability of trained providers.</w:t>
      </w:r>
    </w:p>
    <w:p w14:paraId="60B9312B" w14:textId="2A148F37" w:rsidR="009E1BF1" w:rsidRDefault="009E1BF1" w:rsidP="009E1BF1">
      <w:r>
        <w:t xml:space="preserve">MSAC noted that </w:t>
      </w:r>
      <w:r w:rsidR="005007B3">
        <w:t xml:space="preserve">the ADAR used </w:t>
      </w:r>
      <w:r>
        <w:t xml:space="preserve">a market share approach to estimate the financial impact, </w:t>
      </w:r>
      <w:r w:rsidR="005007B3">
        <w:t xml:space="preserve">using </w:t>
      </w:r>
      <w:r>
        <w:t xml:space="preserve">the number of claims for MBS item 31575 to estimate the market size. Utilisation was estimated to be 1,230 patients in year 1, increasing to 2,726 in year 5. </w:t>
      </w:r>
      <w:r w:rsidR="00BE185F">
        <w:t xml:space="preserve">MSAC noted the ADAR assumed various </w:t>
      </w:r>
      <w:r w:rsidR="006C2D8A">
        <w:t xml:space="preserve">market growth </w:t>
      </w:r>
      <w:r w:rsidR="006C2D8A" w:rsidRPr="00380FC7">
        <w:t xml:space="preserve">rates </w:t>
      </w:r>
      <w:r w:rsidR="00C630AA" w:rsidRPr="00380FC7">
        <w:t>(</w:t>
      </w:r>
      <w:r w:rsidR="00CE3C9C" w:rsidRPr="00380FC7">
        <w:rPr>
          <w:b/>
          <w:bCs/>
        </w:rPr>
        <w:t>redacted</w:t>
      </w:r>
      <w:r w:rsidR="00C630AA" w:rsidRPr="00380FC7">
        <w:t>%-</w:t>
      </w:r>
      <w:r w:rsidR="00CE3C9C" w:rsidRPr="00380FC7">
        <w:rPr>
          <w:b/>
          <w:bCs/>
        </w:rPr>
        <w:t xml:space="preserve"> redacted</w:t>
      </w:r>
      <w:r w:rsidR="00C630AA" w:rsidRPr="00380FC7">
        <w:t>% for</w:t>
      </w:r>
      <w:r w:rsidR="00C630AA" w:rsidRPr="00CE3C9C">
        <w:t xml:space="preserve"> </w:t>
      </w:r>
      <w:r w:rsidR="00723259" w:rsidRPr="00CE3C9C">
        <w:t xml:space="preserve">class I/II </w:t>
      </w:r>
      <w:r w:rsidR="00723259" w:rsidRPr="00380FC7">
        <w:t xml:space="preserve">and </w:t>
      </w:r>
      <w:r w:rsidR="00CE3C9C" w:rsidRPr="00380FC7">
        <w:rPr>
          <w:b/>
          <w:bCs/>
        </w:rPr>
        <w:t>redacted</w:t>
      </w:r>
      <w:r w:rsidR="00723259" w:rsidRPr="00380FC7">
        <w:t>% for</w:t>
      </w:r>
      <w:r w:rsidR="00723259" w:rsidRPr="00CE3C9C">
        <w:t xml:space="preserve"> class III obesity) </w:t>
      </w:r>
      <w:r w:rsidR="006C2D8A" w:rsidRPr="00CE3C9C">
        <w:t>and ESG uptake rates</w:t>
      </w:r>
      <w:r w:rsidR="002830D0" w:rsidRPr="00CE3C9C">
        <w:t xml:space="preserve"> for patients with class I</w:t>
      </w:r>
      <w:r w:rsidR="00BD6A3A" w:rsidRPr="00CE3C9C">
        <w:t>/II/</w:t>
      </w:r>
      <w:r w:rsidR="002830D0" w:rsidRPr="00CE3C9C">
        <w:t>III obesity</w:t>
      </w:r>
      <w:r w:rsidR="00BD6A3A" w:rsidRPr="00CE3C9C">
        <w:t xml:space="preserve"> (</w:t>
      </w:r>
      <w:r w:rsidR="00CE3C9C" w:rsidRPr="00380FC7">
        <w:rPr>
          <w:b/>
          <w:bCs/>
        </w:rPr>
        <w:t>redacted</w:t>
      </w:r>
      <w:r w:rsidR="00BD6A3A" w:rsidRPr="00380FC7">
        <w:t>%/</w:t>
      </w:r>
      <w:r w:rsidR="00CE3C9C" w:rsidRPr="00380FC7">
        <w:rPr>
          <w:b/>
          <w:bCs/>
        </w:rPr>
        <w:t>redacted</w:t>
      </w:r>
      <w:r w:rsidR="00BD6A3A" w:rsidRPr="00380FC7">
        <w:t>%-</w:t>
      </w:r>
      <w:r w:rsidR="00CE3C9C" w:rsidRPr="00380FC7">
        <w:rPr>
          <w:b/>
          <w:bCs/>
        </w:rPr>
        <w:t xml:space="preserve"> redacted</w:t>
      </w:r>
      <w:r w:rsidR="00BD6A3A" w:rsidRPr="00380FC7">
        <w:t>%</w:t>
      </w:r>
      <w:r w:rsidR="00AB2F2C" w:rsidRPr="00380FC7">
        <w:t>/</w:t>
      </w:r>
      <w:r w:rsidR="00CE3C9C" w:rsidRPr="00380FC7">
        <w:rPr>
          <w:b/>
          <w:bCs/>
        </w:rPr>
        <w:t>redacted</w:t>
      </w:r>
      <w:r w:rsidR="00AB2F2C" w:rsidRPr="00380FC7">
        <w:t>%)</w:t>
      </w:r>
      <w:r w:rsidR="002830D0" w:rsidRPr="00380FC7">
        <w:t>.</w:t>
      </w:r>
      <w:r w:rsidRPr="00380FC7">
        <w:t xml:space="preserve"> </w:t>
      </w:r>
      <w:r w:rsidR="008A000A" w:rsidRPr="00380FC7">
        <w:t>MSAC</w:t>
      </w:r>
      <w:r w:rsidR="008A000A">
        <w:t xml:space="preserve"> noted that </w:t>
      </w:r>
      <w:r w:rsidR="00214A7D">
        <w:t>around 30% of adult Australians have obesity</w:t>
      </w:r>
      <w:r w:rsidR="006134BC">
        <w:t>.</w:t>
      </w:r>
      <w:r w:rsidR="006134BC">
        <w:rPr>
          <w:rStyle w:val="FootnoteReference"/>
        </w:rPr>
        <w:footnoteReference w:id="13"/>
      </w:r>
      <w:r w:rsidR="008A000A">
        <w:t xml:space="preserve"> </w:t>
      </w:r>
      <w:r>
        <w:t>MSAC considered the estimated utilisation to be uncertain given</w:t>
      </w:r>
      <w:r w:rsidR="00C2274F">
        <w:t xml:space="preserve"> </w:t>
      </w:r>
      <w:r w:rsidR="002B403B">
        <w:t xml:space="preserve">the potential population could be large and little justification was provided for </w:t>
      </w:r>
      <w:r w:rsidR="008A000A">
        <w:t xml:space="preserve">who within the population would seek access to this service. </w:t>
      </w:r>
      <w:r>
        <w:t xml:space="preserve">MSAC considered that it would be more appropriate to estimate utilisation using </w:t>
      </w:r>
      <w:r w:rsidR="000C207D">
        <w:t xml:space="preserve">item </w:t>
      </w:r>
      <w:r>
        <w:t xml:space="preserve">statistics for </w:t>
      </w:r>
      <w:r w:rsidR="00836E02" w:rsidRPr="00AE36DD">
        <w:t>MBS item 20791</w:t>
      </w:r>
      <w:r w:rsidR="00717B16">
        <w:rPr>
          <w:rStyle w:val="FootnoteReference"/>
        </w:rPr>
        <w:footnoteReference w:id="14"/>
      </w:r>
      <w:r>
        <w:t xml:space="preserve">, which </w:t>
      </w:r>
      <w:r w:rsidRPr="2AA1CA0C">
        <w:t>pertains to the initiation of the anaesthesia management for bariatric surgery in patients with clinically severe obesity and is relevant to all bariatric surgery procedures</w:t>
      </w:r>
      <w:r>
        <w:t>. MSAC noted that a sensitivity analysis performed during the evaluation showed that using claims for MBS item 20791 resulted in a total budget impact that was 36% higher than the base-case estimates.</w:t>
      </w:r>
    </w:p>
    <w:p w14:paraId="096C864F" w14:textId="1E4BAAAB" w:rsidR="009E1BF1" w:rsidRDefault="009E1BF1" w:rsidP="009E1BF1">
      <w:r>
        <w:t>MSAC noted that the pre-MSAC response maintained it was appropriate to estimate utilisation based on MBS item 31575. The applicant claimed that</w:t>
      </w:r>
      <w:r w:rsidRPr="0013640C">
        <w:t xml:space="preserve"> LSG </w:t>
      </w:r>
      <w:r>
        <w:t xml:space="preserve">is the </w:t>
      </w:r>
      <w:r w:rsidRPr="0013640C">
        <w:t>best comparator</w:t>
      </w:r>
      <w:r>
        <w:t>,</w:t>
      </w:r>
      <w:r w:rsidRPr="0013640C">
        <w:t xml:space="preserve"> ESG</w:t>
      </w:r>
      <w:r>
        <w:t xml:space="preserve"> is unlikely to be</w:t>
      </w:r>
      <w:r w:rsidRPr="0013640C">
        <w:t xml:space="preserve"> </w:t>
      </w:r>
      <w:r>
        <w:t>substituted for</w:t>
      </w:r>
      <w:r w:rsidRPr="0013640C">
        <w:t xml:space="preserve"> other procedures, </w:t>
      </w:r>
      <w:r>
        <w:t xml:space="preserve">and that basing utilisation on the </w:t>
      </w:r>
      <w:r w:rsidRPr="0013640C">
        <w:t xml:space="preserve">anaesthesia item will overestimate </w:t>
      </w:r>
      <w:r>
        <w:t xml:space="preserve">the </w:t>
      </w:r>
      <w:r w:rsidRPr="0013640C">
        <w:t xml:space="preserve">size of </w:t>
      </w:r>
      <w:r>
        <w:t xml:space="preserve">the </w:t>
      </w:r>
      <w:r w:rsidRPr="0013640C">
        <w:t>ESG market</w:t>
      </w:r>
      <w:r>
        <w:t xml:space="preserve">. The </w:t>
      </w:r>
      <w:r w:rsidR="0086165E">
        <w:t>pre-MSAC response</w:t>
      </w:r>
      <w:r>
        <w:t xml:space="preserve"> provided a sensitivity analysis </w:t>
      </w:r>
      <w:r w:rsidR="00D41FEE">
        <w:t xml:space="preserve">incorporating </w:t>
      </w:r>
      <w:r>
        <w:t>revision</w:t>
      </w:r>
      <w:r w:rsidR="005D20CD">
        <w:t>s</w:t>
      </w:r>
      <w:r>
        <w:t xml:space="preserve"> </w:t>
      </w:r>
      <w:r w:rsidR="00D41FEE">
        <w:t>res</w:t>
      </w:r>
      <w:r w:rsidR="003A7B7D">
        <w:t xml:space="preserve">ulting in </w:t>
      </w:r>
      <w:r w:rsidR="009200AF">
        <w:t>greater</w:t>
      </w:r>
      <w:r>
        <w:t xml:space="preserve"> estimated </w:t>
      </w:r>
      <w:r w:rsidR="00911474">
        <w:t xml:space="preserve">net cost of </w:t>
      </w:r>
      <w:r>
        <w:t>$</w:t>
      </w:r>
      <w:r w:rsidR="005852D4">
        <w:t>4</w:t>
      </w:r>
      <w:r>
        <w:t>.2 million</w:t>
      </w:r>
      <w:r w:rsidR="00911474">
        <w:t xml:space="preserve"> to </w:t>
      </w:r>
      <w:r>
        <w:t xml:space="preserve">MBS and $22.7 million </w:t>
      </w:r>
      <w:r w:rsidR="00490B8C">
        <w:t>to the health budget at Year 5 of listing</w:t>
      </w:r>
      <w:r w:rsidR="003E4F92">
        <w:t xml:space="preserve"> (</w:t>
      </w:r>
      <w:r w:rsidR="003E4F92">
        <w:fldChar w:fldCharType="begin"/>
      </w:r>
      <w:r w:rsidR="003E4F92">
        <w:instrText xml:space="preserve"> REF _Ref191569214 \h </w:instrText>
      </w:r>
      <w:r w:rsidR="003E4F92">
        <w:fldChar w:fldCharType="separate"/>
      </w:r>
      <w:r w:rsidR="008F37D1">
        <w:t xml:space="preserve">Table </w:t>
      </w:r>
      <w:r w:rsidR="008F37D1">
        <w:rPr>
          <w:noProof/>
        </w:rPr>
        <w:t>35</w:t>
      </w:r>
      <w:r w:rsidR="003E4F92">
        <w:fldChar w:fldCharType="end"/>
      </w:r>
      <w:r w:rsidR="003E4F92">
        <w:t>)</w:t>
      </w:r>
      <w:r>
        <w:t>.</w:t>
      </w:r>
    </w:p>
    <w:p w14:paraId="310D5393" w14:textId="3B3AE1BB" w:rsidR="007F1F22" w:rsidRDefault="009E1BF1" w:rsidP="009E1BF1">
      <w:r>
        <w:t xml:space="preserve">MSAC considered that, if </w:t>
      </w:r>
      <w:r w:rsidR="00CB0382">
        <w:t xml:space="preserve">the applicant </w:t>
      </w:r>
      <w:r>
        <w:t>ha</w:t>
      </w:r>
      <w:r w:rsidR="00B46428">
        <w:t>s</w:t>
      </w:r>
      <w:r>
        <w:t xml:space="preserve"> not </w:t>
      </w:r>
      <w:r w:rsidR="00B46428">
        <w:t xml:space="preserve">already </w:t>
      </w:r>
      <w:r>
        <w:t xml:space="preserve">done so, </w:t>
      </w:r>
      <w:r w:rsidR="00CB0382">
        <w:t>it</w:t>
      </w:r>
      <w:r>
        <w:t xml:space="preserve"> should apply to have ESG as part of the Bariatric Surgery Registry. This would enable data collection and facilitate comparison with other surgical treatments</w:t>
      </w:r>
      <w:r w:rsidR="00844940">
        <w:t xml:space="preserve">, </w:t>
      </w:r>
      <w:r w:rsidR="001E3401">
        <w:t xml:space="preserve">and </w:t>
      </w:r>
      <w:r w:rsidR="00844940">
        <w:t xml:space="preserve">would be useful </w:t>
      </w:r>
      <w:r w:rsidR="001E3401">
        <w:t>to inform</w:t>
      </w:r>
      <w:r w:rsidR="00844940">
        <w:t xml:space="preserve"> more accurate </w:t>
      </w:r>
      <w:r w:rsidR="00135800">
        <w:t>estimates</w:t>
      </w:r>
      <w:r w:rsidR="00844940">
        <w:t xml:space="preserve"> around utilisation.</w:t>
      </w:r>
    </w:p>
    <w:p w14:paraId="2D40EC5D" w14:textId="77777777" w:rsidR="0090531A" w:rsidRDefault="0090531A" w:rsidP="0090531A">
      <w:r>
        <w:t>MSAC noted that t</w:t>
      </w:r>
      <w:r w:rsidRPr="004C5F93">
        <w:t>he ADAR proposed 2 new MBS item numbers, one for patients with class I or II obesity and another for patients with class III obesity, to monitor usage across different obesity classes. The applicant has proposed in the ADAR that they are open to a single combined listing for simplicity.</w:t>
      </w:r>
    </w:p>
    <w:p w14:paraId="157CA980" w14:textId="0A14076A" w:rsidR="002A0F5F" w:rsidRDefault="002A0F5F" w:rsidP="002A0F5F">
      <w:r>
        <w:t xml:space="preserve">MSAC </w:t>
      </w:r>
      <w:r w:rsidR="00D942E7">
        <w:t>advised</w:t>
      </w:r>
      <w:r>
        <w:t xml:space="preserve"> that the MBS item descriptors should stipulate that patients must be aged 18 years and over, and that the descriptors should be agnostic to the endoscopic suturing device. MSAC agreed with </w:t>
      </w:r>
      <w:r w:rsidR="008907D8">
        <w:t>the</w:t>
      </w:r>
      <w:r>
        <w:t xml:space="preserve"> feedback from GESA that a multidisciplinary team approach </w:t>
      </w:r>
      <w:r w:rsidR="00481E14">
        <w:t>i</w:t>
      </w:r>
      <w:r>
        <w:t xml:space="preserve">s essential for assessment and post-treatment care but noted </w:t>
      </w:r>
      <w:r w:rsidR="008907D8">
        <w:t xml:space="preserve">that </w:t>
      </w:r>
      <w:r>
        <w:t xml:space="preserve">this was not mentioned in the </w:t>
      </w:r>
      <w:r w:rsidR="00A26A3A">
        <w:t xml:space="preserve">ADAR’s </w:t>
      </w:r>
      <w:r>
        <w:t>proposed item descriptors.</w:t>
      </w:r>
      <w:r w:rsidRPr="00CD7697">
        <w:t xml:space="preserve"> </w:t>
      </w:r>
      <w:r w:rsidR="006C4CC1">
        <w:t xml:space="preserve">The procedure </w:t>
      </w:r>
      <w:r w:rsidR="00822437">
        <w:t>its</w:t>
      </w:r>
      <w:r w:rsidR="00842407">
        <w:t xml:space="preserve">elf </w:t>
      </w:r>
      <w:r w:rsidR="006C4CC1">
        <w:t xml:space="preserve">would involve gastroenterologists and surgeons, and </w:t>
      </w:r>
      <w:r w:rsidR="00B001B4">
        <w:t xml:space="preserve">the </w:t>
      </w:r>
      <w:r w:rsidR="002825D5">
        <w:t>applicant</w:t>
      </w:r>
      <w:r w:rsidR="006C4CC1">
        <w:t xml:space="preserve"> proposed that it is restricted to trained interventionalists. MSAC agreed that training was required, but questioned who would define and enforce credentialing</w:t>
      </w:r>
      <w:r w:rsidR="00AD5B12">
        <w:t>, as such</w:t>
      </w:r>
      <w:r w:rsidR="006C4CC1">
        <w:t xml:space="preserve"> </w:t>
      </w:r>
      <w:r w:rsidR="00844940">
        <w:t xml:space="preserve">MSAC considered that </w:t>
      </w:r>
      <w:r w:rsidR="00AD5B12">
        <w:t>further</w:t>
      </w:r>
      <w:r w:rsidR="00844940">
        <w:t xml:space="preserve"> advice was needed</w:t>
      </w:r>
      <w:r w:rsidR="00AD5B12">
        <w:t>.</w:t>
      </w:r>
      <w:r w:rsidR="007469EF">
        <w:t xml:space="preserve"> </w:t>
      </w:r>
      <w:r>
        <w:t>MSAC also</w:t>
      </w:r>
      <w:r w:rsidR="007469EF">
        <w:t xml:space="preserve"> noted ESC advice on </w:t>
      </w:r>
      <w:r w:rsidR="00C57EF6">
        <w:t>BMI and</w:t>
      </w:r>
      <w:r>
        <w:t xml:space="preserve"> considered that basing the ‘class’ of obesity on BMI was not always appropriate</w:t>
      </w:r>
      <w:r w:rsidR="00C57EF6">
        <w:t>, particularly</w:t>
      </w:r>
      <w:r>
        <w:t xml:space="preserve"> for some ethnic groups.</w:t>
      </w:r>
    </w:p>
    <w:p w14:paraId="66A9C0FE" w14:textId="794EFE9A" w:rsidR="005D1085" w:rsidRDefault="005D1085" w:rsidP="002A0F5F">
      <w:r>
        <w:t xml:space="preserve">MSAC noted potential equity issues associated with the application including the requirement of </w:t>
      </w:r>
      <w:r w:rsidR="00854BD6">
        <w:t>pharmacology for weight loss</w:t>
      </w:r>
      <w:r w:rsidR="008035EC">
        <w:t>,</w:t>
      </w:r>
      <w:r w:rsidR="00854BD6">
        <w:t xml:space="preserve"> which is not PBS listed, resulting in </w:t>
      </w:r>
      <w:r w:rsidR="00635B5B">
        <w:t xml:space="preserve">potential out-of-pocket </w:t>
      </w:r>
      <w:r w:rsidR="00FD795A">
        <w:t>costs to the patient. MSAC also noted that specialists who can provide the service are located in metro</w:t>
      </w:r>
      <w:r w:rsidR="00950D0E">
        <w:t>politan</w:t>
      </w:r>
      <w:r w:rsidR="00FD795A">
        <w:t xml:space="preserve"> areas, which may create an access barrier for patients in rural and remote areas.</w:t>
      </w:r>
    </w:p>
    <w:p w14:paraId="481E4C9F" w14:textId="4215C14B" w:rsidR="002A0F5F" w:rsidRPr="009A3778" w:rsidRDefault="000F73A4" w:rsidP="009E1BF1">
      <w:r>
        <w:t xml:space="preserve">Based on </w:t>
      </w:r>
      <w:r w:rsidR="005D69D9">
        <w:t xml:space="preserve">considerations of </w:t>
      </w:r>
      <w:r>
        <w:t xml:space="preserve">the </w:t>
      </w:r>
      <w:r w:rsidR="00877EEE">
        <w:t>ADAR</w:t>
      </w:r>
      <w:r w:rsidR="00025A83">
        <w:t>’s</w:t>
      </w:r>
      <w:r w:rsidR="005A44E6">
        <w:t xml:space="preserve"> </w:t>
      </w:r>
      <w:r w:rsidR="006279DE">
        <w:t>proposed</w:t>
      </w:r>
      <w:r w:rsidR="005A44E6">
        <w:t xml:space="preserve"> broad population, </w:t>
      </w:r>
      <w:r w:rsidR="00FD7B8F">
        <w:t xml:space="preserve">uncertain clinical place, </w:t>
      </w:r>
      <w:r w:rsidR="00303AB9">
        <w:t xml:space="preserve">limited </w:t>
      </w:r>
      <w:r w:rsidR="00025A83">
        <w:t>clinical</w:t>
      </w:r>
      <w:r w:rsidR="00303AB9">
        <w:t xml:space="preserve"> evidence,</w:t>
      </w:r>
      <w:r w:rsidR="007E43B6">
        <w:t xml:space="preserve"> and</w:t>
      </w:r>
      <w:r w:rsidR="00025A83">
        <w:t xml:space="preserve"> major</w:t>
      </w:r>
      <w:r w:rsidR="00303AB9">
        <w:t xml:space="preserve"> uncertain</w:t>
      </w:r>
      <w:r w:rsidR="007E43B6">
        <w:t xml:space="preserve">ty in </w:t>
      </w:r>
      <w:r w:rsidR="00220E68">
        <w:t xml:space="preserve">the </w:t>
      </w:r>
      <w:r w:rsidR="007E43B6">
        <w:t>economic and financial analys</w:t>
      </w:r>
      <w:r w:rsidR="00220E68">
        <w:t>e</w:t>
      </w:r>
      <w:r w:rsidR="007E43B6">
        <w:t xml:space="preserve">s, MSAC did not support the </w:t>
      </w:r>
      <w:r w:rsidR="00111D58">
        <w:t xml:space="preserve">public </w:t>
      </w:r>
      <w:r w:rsidR="007E43B6">
        <w:t>funding of ESG as a treatment for individuals with class I–III obesity, with and without comorbidities, who have failed 1L and 2L treatments. MSAC</w:t>
      </w:r>
      <w:r w:rsidR="00FD7B8F">
        <w:t xml:space="preserve"> </w:t>
      </w:r>
      <w:r w:rsidR="00E71B2A">
        <w:t xml:space="preserve">advised </w:t>
      </w:r>
      <w:r w:rsidR="00FD7B8F">
        <w:t>that</w:t>
      </w:r>
      <w:r w:rsidR="000A7AF1">
        <w:t xml:space="preserve"> </w:t>
      </w:r>
      <w:r w:rsidR="00637BFB">
        <w:t xml:space="preserve">all aspects of the </w:t>
      </w:r>
      <w:r w:rsidR="009319D4">
        <w:t>reapplication</w:t>
      </w:r>
      <w:r w:rsidR="00637BFB">
        <w:t xml:space="preserve"> would need to be </w:t>
      </w:r>
      <w:r w:rsidR="00D70C11">
        <w:t xml:space="preserve">reassessed, </w:t>
      </w:r>
      <w:r w:rsidR="00EA4EA3">
        <w:t>including reconsideration by PASC</w:t>
      </w:r>
      <w:r w:rsidR="00A46AAF">
        <w:t xml:space="preserve"> (to clarify clinical positioning, </w:t>
      </w:r>
      <w:r w:rsidR="00C70327">
        <w:t>comparator issue, etc)</w:t>
      </w:r>
      <w:r w:rsidR="006865A0">
        <w:t xml:space="preserve">, </w:t>
      </w:r>
      <w:r w:rsidR="00D70C11">
        <w:t xml:space="preserve">and new evidence (including </w:t>
      </w:r>
      <w:r w:rsidR="00950D0E">
        <w:t xml:space="preserve">a comparison with </w:t>
      </w:r>
      <w:r w:rsidR="00D70C11">
        <w:t>drug treatments) would need to be include</w:t>
      </w:r>
      <w:r w:rsidR="00F335EF">
        <w:t>d</w:t>
      </w:r>
      <w:r w:rsidR="00D70C11">
        <w:t xml:space="preserve"> as a part of any </w:t>
      </w:r>
      <w:r w:rsidR="00C812BF">
        <w:t>re</w:t>
      </w:r>
      <w:r w:rsidR="00F335EF">
        <w:t>application</w:t>
      </w:r>
      <w:r w:rsidR="00C812BF">
        <w:t xml:space="preserve">. MSAC also </w:t>
      </w:r>
      <w:r w:rsidR="00F813F9">
        <w:t xml:space="preserve">advised </w:t>
      </w:r>
      <w:r w:rsidR="00C812BF">
        <w:t>that</w:t>
      </w:r>
      <w:r w:rsidR="00FD795A">
        <w:t xml:space="preserve"> further</w:t>
      </w:r>
      <w:r w:rsidR="00C812BF">
        <w:t xml:space="preserve"> long-term outcomes</w:t>
      </w:r>
      <w:r w:rsidR="2382E1F0">
        <w:t xml:space="preserve">, including end-point data </w:t>
      </w:r>
      <w:r w:rsidR="00C11031">
        <w:t xml:space="preserve">(i.e., end-organ impacts) on </w:t>
      </w:r>
      <w:r w:rsidR="00AA4ACE">
        <w:t xml:space="preserve">weight-related </w:t>
      </w:r>
      <w:r w:rsidR="2382E1F0">
        <w:t>comorbidities</w:t>
      </w:r>
      <w:r w:rsidR="00AA4ACE">
        <w:t xml:space="preserve"> (</w:t>
      </w:r>
      <w:r w:rsidR="00ED2740">
        <w:t>cardiovascular disease, stroke, kidney disease and diabetes</w:t>
      </w:r>
      <w:r w:rsidR="00AA4ACE">
        <w:t>)</w:t>
      </w:r>
      <w:r w:rsidR="2382E1F0">
        <w:t>,</w:t>
      </w:r>
      <w:r w:rsidR="00C812BF">
        <w:t xml:space="preserve"> would </w:t>
      </w:r>
      <w:r w:rsidR="00691610">
        <w:t xml:space="preserve">also </w:t>
      </w:r>
      <w:r w:rsidR="00C812BF">
        <w:t xml:space="preserve">need to be provided as a part of </w:t>
      </w:r>
      <w:r w:rsidR="0068481F">
        <w:t>any re</w:t>
      </w:r>
      <w:r w:rsidR="00F335EF">
        <w:t>application</w:t>
      </w:r>
      <w:r w:rsidR="0068481F">
        <w:t xml:space="preserve">. </w:t>
      </w:r>
    </w:p>
    <w:p w14:paraId="6710B69D" w14:textId="6E50BF96" w:rsidR="00772829" w:rsidRPr="00CE28E3" w:rsidRDefault="00772829" w:rsidP="00361335">
      <w:pPr>
        <w:pStyle w:val="Heading2"/>
        <w:numPr>
          <w:ilvl w:val="0"/>
          <w:numId w:val="26"/>
        </w:numPr>
        <w:ind w:hanging="720"/>
      </w:pPr>
      <w:bookmarkStart w:id="6" w:name="_Toc69491416"/>
      <w:bookmarkEnd w:id="2"/>
      <w:r w:rsidRPr="00CE28E3">
        <w:t>Background</w:t>
      </w:r>
      <w:bookmarkEnd w:id="6"/>
    </w:p>
    <w:p w14:paraId="75753FB6" w14:textId="3AC34B3D" w:rsidR="7D413406" w:rsidRDefault="0087715F" w:rsidP="00172E5E">
      <w:pPr>
        <w:spacing w:after="240"/>
      </w:pPr>
      <w:bookmarkStart w:id="7" w:name="_Hlk69734494"/>
      <w:r>
        <w:t xml:space="preserve">In November 2019, MSAC </w:t>
      </w:r>
      <w:r w:rsidR="00A73499">
        <w:t xml:space="preserve">first </w:t>
      </w:r>
      <w:r w:rsidR="000820DA">
        <w:t xml:space="preserve">considered </w:t>
      </w:r>
      <w:r w:rsidR="00486B6E">
        <w:t>ESG</w:t>
      </w:r>
      <w:r w:rsidR="00734E8D">
        <w:t xml:space="preserve"> </w:t>
      </w:r>
      <w:r w:rsidR="00ED7E56">
        <w:t xml:space="preserve">in </w:t>
      </w:r>
      <w:r>
        <w:t>Application 1555</w:t>
      </w:r>
      <w:r w:rsidR="00302B2F">
        <w:t>,</w:t>
      </w:r>
      <w:r>
        <w:t xml:space="preserve"> </w:t>
      </w:r>
      <w:r w:rsidR="009C10FC">
        <w:t xml:space="preserve">which </w:t>
      </w:r>
      <w:r>
        <w:t xml:space="preserve">sought MBS listing for ESG to treat adults with </w:t>
      </w:r>
      <w:r w:rsidR="006A22CB">
        <w:t>c</w:t>
      </w:r>
      <w:r w:rsidR="008F5EBB">
        <w:t>lass</w:t>
      </w:r>
      <w:r w:rsidR="000C7E97">
        <w:t xml:space="preserve"> </w:t>
      </w:r>
      <w:r>
        <w:t>I and II obesity (BMI 30.0–39.9 kg/m²) and comorbidities</w:t>
      </w:r>
      <w:r w:rsidR="00D66E6C">
        <w:t>,</w:t>
      </w:r>
      <w:r>
        <w:t xml:space="preserve"> who had </w:t>
      </w:r>
      <w:r w:rsidR="00500BBF">
        <w:t>failed</w:t>
      </w:r>
      <w:r>
        <w:t xml:space="preserve"> first-line treatments </w:t>
      </w:r>
      <w:r w:rsidR="00500BBF">
        <w:t xml:space="preserve">such as </w:t>
      </w:r>
      <w:r>
        <w:t xml:space="preserve">lifestyle changes </w:t>
      </w:r>
      <w:r w:rsidR="00DA0680">
        <w:t>and/or pharmacotherapy</w:t>
      </w:r>
      <w:r>
        <w:t xml:space="preserve">. MSAC </w:t>
      </w:r>
      <w:r w:rsidR="00001FE0">
        <w:t>did not support</w:t>
      </w:r>
      <w:r w:rsidR="007D23B4">
        <w:t xml:space="preserve"> public funding for ESG</w:t>
      </w:r>
      <w:r w:rsidR="00CF4D21">
        <w:t xml:space="preserve"> and considered </w:t>
      </w:r>
      <w:r w:rsidR="00F97DC7">
        <w:t xml:space="preserve">the evidence base </w:t>
      </w:r>
      <w:r w:rsidR="00514DB2">
        <w:t xml:space="preserve">(2 non-randomised retrospective comparative studies and 6 case series) </w:t>
      </w:r>
      <w:r w:rsidR="00F97DC7">
        <w:t xml:space="preserve">for ESG </w:t>
      </w:r>
      <w:r w:rsidR="00BC6511">
        <w:t xml:space="preserve">to be </w:t>
      </w:r>
      <w:r w:rsidR="00F97DC7">
        <w:t xml:space="preserve">weak, </w:t>
      </w:r>
      <w:r w:rsidR="008E23C4">
        <w:t xml:space="preserve">with limited applicability </w:t>
      </w:r>
      <w:r w:rsidR="0036305C">
        <w:t>to the proposed population</w:t>
      </w:r>
      <w:r w:rsidR="00A925C3">
        <w:t xml:space="preserve"> and </w:t>
      </w:r>
      <w:r w:rsidR="001612A2">
        <w:t xml:space="preserve">highly uncertain </w:t>
      </w:r>
      <w:r w:rsidR="00A925C3">
        <w:t xml:space="preserve">safety, </w:t>
      </w:r>
      <w:r w:rsidR="00D312F7">
        <w:t>comparative clinical</w:t>
      </w:r>
      <w:r w:rsidR="00B51E4F">
        <w:t xml:space="preserve"> </w:t>
      </w:r>
      <w:r w:rsidR="00A925C3">
        <w:t>and cost-</w:t>
      </w:r>
      <w:r w:rsidR="00B51E4F">
        <w:t>effectiveness</w:t>
      </w:r>
      <w:r>
        <w:t>.</w:t>
      </w:r>
      <w:r w:rsidR="00E676B3">
        <w:rPr>
          <w:rStyle w:val="FootnoteReference"/>
        </w:rPr>
        <w:footnoteReference w:id="15"/>
      </w:r>
      <w:r w:rsidR="007B7348">
        <w:t xml:space="preserve"> </w:t>
      </w:r>
      <w:r w:rsidR="00172E5E">
        <w:t>Following the</w:t>
      </w:r>
      <w:r>
        <w:t xml:space="preserve"> </w:t>
      </w:r>
      <w:r w:rsidR="00500BBF">
        <w:t xml:space="preserve">completion of </w:t>
      </w:r>
      <w:r w:rsidR="00D727C8">
        <w:t xml:space="preserve">a </w:t>
      </w:r>
      <w:r w:rsidR="003D602D">
        <w:t>pivotal randomise</w:t>
      </w:r>
      <w:r w:rsidR="005E3661">
        <w:t>d trial (</w:t>
      </w:r>
      <w:r>
        <w:t>MERIT</w:t>
      </w:r>
      <w:r w:rsidR="005E3661">
        <w:t>)</w:t>
      </w:r>
      <w:r>
        <w:t xml:space="preserve">, </w:t>
      </w:r>
      <w:r w:rsidR="0055444C">
        <w:t xml:space="preserve">a re-application </w:t>
      </w:r>
      <w:r w:rsidR="002A1DF8">
        <w:t>(</w:t>
      </w:r>
      <w:r>
        <w:t>Application 1555.1</w:t>
      </w:r>
      <w:r w:rsidR="002A1DF8">
        <w:t>)</w:t>
      </w:r>
      <w:r>
        <w:t xml:space="preserve"> was submitted</w:t>
      </w:r>
      <w:r w:rsidR="00321A91">
        <w:t xml:space="preserve"> and considered by PASC in December 2021</w:t>
      </w:r>
      <w:r w:rsidR="00361580">
        <w:t>.</w:t>
      </w:r>
      <w:r>
        <w:t xml:space="preserve"> </w:t>
      </w:r>
      <w:bookmarkStart w:id="8" w:name="_Hlk69734557"/>
      <w:bookmarkEnd w:id="7"/>
    </w:p>
    <w:p w14:paraId="18893390" w14:textId="0ACB0CC5" w:rsidR="005D1A95" w:rsidRDefault="005D1A95" w:rsidP="7D413406">
      <w:pPr>
        <w:spacing w:after="240"/>
      </w:pPr>
      <w:r w:rsidRPr="2AA1CA0C">
        <w:t xml:space="preserve">A summary of </w:t>
      </w:r>
      <w:r w:rsidR="00E9467B" w:rsidRPr="2AA1CA0C">
        <w:t xml:space="preserve">the key matters of concern from the previous </w:t>
      </w:r>
      <w:r w:rsidR="005E253D" w:rsidRPr="2AA1CA0C">
        <w:t>consideration is presented below (</w:t>
      </w:r>
      <w:r>
        <w:fldChar w:fldCharType="begin"/>
      </w:r>
      <w:r>
        <w:instrText xml:space="preserve"> REF _Ref184201343 \h </w:instrText>
      </w:r>
      <w:r>
        <w:fldChar w:fldCharType="separate"/>
      </w:r>
      <w:r w:rsidR="008F37D1">
        <w:t xml:space="preserve">Table </w:t>
      </w:r>
      <w:r w:rsidR="008F37D1">
        <w:rPr>
          <w:noProof/>
        </w:rPr>
        <w:t>1</w:t>
      </w:r>
      <w:r>
        <w:fldChar w:fldCharType="end"/>
      </w:r>
      <w:r w:rsidR="005E253D" w:rsidRPr="2AA1CA0C">
        <w:t>).</w:t>
      </w:r>
    </w:p>
    <w:p w14:paraId="659D6950" w14:textId="32495D02" w:rsidR="00091CE3" w:rsidRDefault="000E21F1" w:rsidP="000E21F1">
      <w:pPr>
        <w:pStyle w:val="Caption"/>
      </w:pPr>
      <w:bookmarkStart w:id="9" w:name="_Ref184201343"/>
      <w:r>
        <w:t xml:space="preserve">Table </w:t>
      </w:r>
      <w:r>
        <w:fldChar w:fldCharType="begin"/>
      </w:r>
      <w:r>
        <w:instrText xml:space="preserve"> SEQ Table \* ARABIC </w:instrText>
      </w:r>
      <w:r>
        <w:fldChar w:fldCharType="separate"/>
      </w:r>
      <w:r w:rsidR="008F37D1">
        <w:rPr>
          <w:noProof/>
        </w:rPr>
        <w:t>1</w:t>
      </w:r>
      <w:r>
        <w:rPr>
          <w:noProof/>
        </w:rPr>
        <w:fldChar w:fldCharType="end"/>
      </w:r>
      <w:bookmarkEnd w:id="9"/>
      <w:r w:rsidR="00E002F8">
        <w:t xml:space="preserve"> </w:t>
      </w:r>
      <w:r w:rsidR="00091CE3">
        <w:t xml:space="preserve">Summary of key matters of concern from </w:t>
      </w:r>
      <w:r w:rsidR="00BA26D7">
        <w:t>A</w:t>
      </w:r>
      <w:r w:rsidR="00091CE3">
        <w:t>pplication 1555</w:t>
      </w:r>
      <w:r w:rsidR="0010245C">
        <w:t xml:space="preserve"> </w:t>
      </w:r>
    </w:p>
    <w:tbl>
      <w:tblPr>
        <w:tblStyle w:val="TableGrid"/>
        <w:tblW w:w="5000" w:type="pct"/>
        <w:tblLook w:val="04A0" w:firstRow="1" w:lastRow="0" w:firstColumn="1" w:lastColumn="0" w:noHBand="0" w:noVBand="1"/>
      </w:tblPr>
      <w:tblGrid>
        <w:gridCol w:w="1637"/>
        <w:gridCol w:w="2474"/>
        <w:gridCol w:w="4905"/>
      </w:tblGrid>
      <w:tr w:rsidR="001432BA" w14:paraId="62CB6618" w14:textId="77777777" w:rsidTr="2AA1CA0C">
        <w:trPr>
          <w:tblHeader/>
        </w:trPr>
        <w:tc>
          <w:tcPr>
            <w:tcW w:w="908" w:type="pct"/>
          </w:tcPr>
          <w:p w14:paraId="76FAF1CE" w14:textId="534D9F90" w:rsidR="001432BA" w:rsidRPr="00B8101E" w:rsidRDefault="00B8101E" w:rsidP="004E313E">
            <w:pPr>
              <w:pStyle w:val="Tabletext0"/>
              <w:spacing w:before="0" w:after="0"/>
              <w:jc w:val="left"/>
              <w:rPr>
                <w:b/>
                <w:bCs/>
              </w:rPr>
            </w:pPr>
            <w:r w:rsidRPr="2AA1CA0C">
              <w:rPr>
                <w:b/>
                <w:bCs/>
              </w:rPr>
              <w:t>Component</w:t>
            </w:r>
          </w:p>
        </w:tc>
        <w:tc>
          <w:tcPr>
            <w:tcW w:w="1372" w:type="pct"/>
          </w:tcPr>
          <w:p w14:paraId="4C382188" w14:textId="524888DA" w:rsidR="00B61447" w:rsidRDefault="004D4DB5" w:rsidP="004E313E">
            <w:pPr>
              <w:pStyle w:val="Tabletext0"/>
              <w:spacing w:before="0" w:after="0"/>
              <w:jc w:val="left"/>
              <w:rPr>
                <w:b/>
                <w:bCs/>
              </w:rPr>
            </w:pPr>
            <w:r>
              <w:rPr>
                <w:b/>
                <w:bCs/>
              </w:rPr>
              <w:t>Application 1555 (</w:t>
            </w:r>
            <w:r w:rsidR="001224A2">
              <w:rPr>
                <w:b/>
                <w:bCs/>
              </w:rPr>
              <w:t>November 2019 MSAC meeting)</w:t>
            </w:r>
          </w:p>
          <w:p w14:paraId="141B69A5" w14:textId="19BB9462" w:rsidR="001432BA" w:rsidRPr="00B8101E" w:rsidRDefault="00B8101E" w:rsidP="004E313E">
            <w:pPr>
              <w:pStyle w:val="Tabletext0"/>
              <w:spacing w:before="0" w:after="0"/>
              <w:jc w:val="left"/>
              <w:rPr>
                <w:b/>
              </w:rPr>
            </w:pPr>
            <w:r>
              <w:rPr>
                <w:b/>
                <w:bCs/>
              </w:rPr>
              <w:t>Matter of concern</w:t>
            </w:r>
          </w:p>
        </w:tc>
        <w:tc>
          <w:tcPr>
            <w:tcW w:w="2720" w:type="pct"/>
          </w:tcPr>
          <w:p w14:paraId="7AB09184" w14:textId="54621B21" w:rsidR="001432BA" w:rsidRPr="00B8101E" w:rsidRDefault="009D5B3E" w:rsidP="004E313E">
            <w:pPr>
              <w:pStyle w:val="Tabletext0"/>
              <w:spacing w:before="0" w:after="0"/>
              <w:jc w:val="left"/>
              <w:rPr>
                <w:b/>
              </w:rPr>
            </w:pPr>
            <w:r>
              <w:rPr>
                <w:b/>
                <w:bCs/>
              </w:rPr>
              <w:t>How the current assessment report</w:t>
            </w:r>
            <w:r w:rsidR="001432BA">
              <w:rPr>
                <w:b/>
              </w:rPr>
              <w:t xml:space="preserve"> </w:t>
            </w:r>
            <w:r>
              <w:rPr>
                <w:b/>
                <w:bCs/>
              </w:rPr>
              <w:t>addresses it</w:t>
            </w:r>
            <w:r w:rsidR="001432BA" w:rsidRPr="00B8101E">
              <w:rPr>
                <w:b/>
                <w:bCs/>
              </w:rPr>
              <w:t xml:space="preserve"> </w:t>
            </w:r>
          </w:p>
        </w:tc>
      </w:tr>
      <w:tr w:rsidR="001432BA" w14:paraId="1430D973" w14:textId="77777777" w:rsidTr="2AA1CA0C">
        <w:tc>
          <w:tcPr>
            <w:tcW w:w="908" w:type="pct"/>
          </w:tcPr>
          <w:p w14:paraId="30188B59" w14:textId="77777777" w:rsidR="001432BA" w:rsidRPr="00B8101E" w:rsidRDefault="001432BA" w:rsidP="004E313E">
            <w:pPr>
              <w:pStyle w:val="Tabletext0"/>
              <w:spacing w:before="0" w:after="0"/>
              <w:jc w:val="left"/>
            </w:pPr>
            <w:r w:rsidRPr="00B8101E">
              <w:t>Efficacy of ESG</w:t>
            </w:r>
          </w:p>
        </w:tc>
        <w:tc>
          <w:tcPr>
            <w:tcW w:w="1372" w:type="pct"/>
          </w:tcPr>
          <w:p w14:paraId="38A6AD00" w14:textId="4E7E7D74" w:rsidR="001432BA" w:rsidRPr="00923C04" w:rsidRDefault="001432BA" w:rsidP="004E313E">
            <w:pPr>
              <w:pStyle w:val="Tabletext0"/>
              <w:spacing w:before="0" w:after="0"/>
              <w:jc w:val="left"/>
              <w:rPr>
                <w:strike/>
              </w:rPr>
            </w:pPr>
            <w:r>
              <w:t xml:space="preserve">Relative to </w:t>
            </w:r>
            <w:r w:rsidR="00E82E9F">
              <w:t>c</w:t>
            </w:r>
            <w:r>
              <w:t>omparator 1 (first- and second-line interventions), ESG has unclear short-term and unknown long-term effectiveness.</w:t>
            </w:r>
          </w:p>
        </w:tc>
        <w:tc>
          <w:tcPr>
            <w:tcW w:w="2720" w:type="pct"/>
          </w:tcPr>
          <w:p w14:paraId="3F04B27B" w14:textId="28C8D8BE" w:rsidR="00901CD5" w:rsidRPr="00BC220C" w:rsidRDefault="00901CD5" w:rsidP="004E313E">
            <w:pPr>
              <w:pStyle w:val="Tabletext0"/>
              <w:spacing w:before="0" w:after="0"/>
              <w:jc w:val="left"/>
              <w:rPr>
                <w:b/>
              </w:rPr>
            </w:pPr>
            <w:r w:rsidRPr="00BC220C">
              <w:rPr>
                <w:b/>
              </w:rPr>
              <w:t>Partially addressed</w:t>
            </w:r>
          </w:p>
          <w:p w14:paraId="4D15B5F9" w14:textId="2D21E6AA" w:rsidR="004E2653" w:rsidRPr="00114731" w:rsidRDefault="004E2653" w:rsidP="004E313E">
            <w:pPr>
              <w:pStyle w:val="Tabletext0"/>
              <w:spacing w:before="0" w:after="0"/>
              <w:jc w:val="left"/>
            </w:pPr>
            <w:r w:rsidRPr="00114731">
              <w:t xml:space="preserve">The ADAR reports </w:t>
            </w:r>
            <w:r w:rsidR="006A3BBD">
              <w:t xml:space="preserve">comparative </w:t>
            </w:r>
            <w:r w:rsidRPr="00114731">
              <w:t xml:space="preserve">evidence from the MERIT trial </w:t>
            </w:r>
            <w:r w:rsidR="00CF61D1" w:rsidRPr="00114731">
              <w:t xml:space="preserve">that </w:t>
            </w:r>
            <w:r w:rsidRPr="00114731">
              <w:t xml:space="preserve">supports </w:t>
            </w:r>
            <w:r w:rsidR="00CF61D1" w:rsidRPr="00114731">
              <w:t xml:space="preserve">the </w:t>
            </w:r>
            <w:r w:rsidRPr="00114731">
              <w:t>effectiveness of ESG compared to lifestyle modifications up to 12 months.</w:t>
            </w:r>
          </w:p>
          <w:p w14:paraId="313688F4" w14:textId="04A50101" w:rsidR="001432BA" w:rsidRPr="00114731" w:rsidRDefault="00EF4365" w:rsidP="004E313E">
            <w:pPr>
              <w:pStyle w:val="Tabletext0"/>
              <w:spacing w:before="0" w:after="0"/>
              <w:jc w:val="left"/>
            </w:pPr>
            <w:r>
              <w:t>T</w:t>
            </w:r>
            <w:r w:rsidR="001432BA">
              <w:t xml:space="preserve">he long-term clinical effectiveness of ESG </w:t>
            </w:r>
            <w:r w:rsidR="008D3050">
              <w:t>beyond the 12</w:t>
            </w:r>
            <w:r w:rsidR="00CF61D1">
              <w:t xml:space="preserve"> </w:t>
            </w:r>
            <w:r w:rsidR="008D3050">
              <w:t>month</w:t>
            </w:r>
            <w:r w:rsidR="00CF61D1">
              <w:t>s</w:t>
            </w:r>
            <w:r w:rsidR="001432BA">
              <w:t xml:space="preserve"> is based on single-arm, uncontrolled cohort studies with high rates of loss to follow-up. This high loss to follow-up reduces the validity of the findings, as patients who do not complete the study often have different prognoses than those who do. Consequently, the long-term effectiveness of ESG treatment remains uncertain based on the current evidence.</w:t>
            </w:r>
          </w:p>
        </w:tc>
      </w:tr>
      <w:tr w:rsidR="001432BA" w14:paraId="48173858" w14:textId="77777777" w:rsidTr="2AA1CA0C">
        <w:tc>
          <w:tcPr>
            <w:tcW w:w="908" w:type="pct"/>
          </w:tcPr>
          <w:p w14:paraId="3112DE54" w14:textId="77777777" w:rsidR="001432BA" w:rsidRPr="00B8101E" w:rsidRDefault="001432BA" w:rsidP="004E313E">
            <w:pPr>
              <w:pStyle w:val="Tabletext0"/>
              <w:spacing w:before="0" w:after="0"/>
              <w:jc w:val="left"/>
            </w:pPr>
            <w:r w:rsidRPr="00B8101E">
              <w:t>Safety of ESG</w:t>
            </w:r>
          </w:p>
        </w:tc>
        <w:tc>
          <w:tcPr>
            <w:tcW w:w="1372" w:type="pct"/>
          </w:tcPr>
          <w:p w14:paraId="3BE81648" w14:textId="59CE9A4C" w:rsidR="001432BA" w:rsidRPr="00B8101E" w:rsidRDefault="001432BA" w:rsidP="004E313E">
            <w:pPr>
              <w:pStyle w:val="Tabletext0"/>
              <w:spacing w:before="0" w:after="0"/>
              <w:jc w:val="left"/>
            </w:pPr>
            <w:r>
              <w:t xml:space="preserve">ESG </w:t>
            </w:r>
            <w:r w:rsidR="00DF7EA7">
              <w:t>i</w:t>
            </w:r>
            <w:r>
              <w:t xml:space="preserve">s not associated with any serious safety concerns over the reported follow-up duration. However, the safety data obtained </w:t>
            </w:r>
            <w:r w:rsidR="00DF7EA7">
              <w:t>a</w:t>
            </w:r>
            <w:r w:rsidR="7CACAAC4">
              <w:t>re</w:t>
            </w:r>
            <w:r>
              <w:t xml:space="preserve"> limited and relatively short-term. The safety profile of ESG is inferior compared to standard care and non-inferior to other bariatric surgeries.</w:t>
            </w:r>
          </w:p>
        </w:tc>
        <w:tc>
          <w:tcPr>
            <w:tcW w:w="2720" w:type="pct"/>
          </w:tcPr>
          <w:p w14:paraId="6722FAEF" w14:textId="5CD649F1" w:rsidR="001A0AD0" w:rsidRPr="00BC220C" w:rsidRDefault="00B35E8B" w:rsidP="004E313E">
            <w:pPr>
              <w:pStyle w:val="Tabletext0"/>
              <w:spacing w:before="0" w:after="0"/>
              <w:jc w:val="left"/>
              <w:rPr>
                <w:b/>
                <w:bCs/>
                <w:iCs/>
              </w:rPr>
            </w:pPr>
            <w:r>
              <w:rPr>
                <w:b/>
                <w:bCs/>
                <w:iCs/>
              </w:rPr>
              <w:t>Partially</w:t>
            </w:r>
            <w:r w:rsidR="001A0AD0" w:rsidRPr="00BC220C">
              <w:rPr>
                <w:b/>
                <w:bCs/>
                <w:iCs/>
              </w:rPr>
              <w:t xml:space="preserve"> addressed</w:t>
            </w:r>
          </w:p>
          <w:p w14:paraId="00E1732E" w14:textId="14FA8940" w:rsidR="001432BA" w:rsidRPr="00B8101E" w:rsidRDefault="001432BA" w:rsidP="004E313E">
            <w:pPr>
              <w:pStyle w:val="Tabletext0"/>
              <w:spacing w:before="0" w:after="0"/>
              <w:jc w:val="left"/>
            </w:pPr>
            <w:r w:rsidRPr="00B8101E">
              <w:t xml:space="preserve">Data from MERIT supports </w:t>
            </w:r>
            <w:r w:rsidR="001A0AD0">
              <w:t>relative</w:t>
            </w:r>
            <w:r w:rsidRPr="00B8101E">
              <w:t xml:space="preserve"> safety of ESG compared to lifestyle modification up to </w:t>
            </w:r>
            <w:r w:rsidR="001A0AD0">
              <w:t>12 months</w:t>
            </w:r>
            <w:r w:rsidRPr="001A0AD0">
              <w:t>.</w:t>
            </w:r>
            <w:r w:rsidRPr="00B8101E">
              <w:t xml:space="preserve"> While ESG is associated with few </w:t>
            </w:r>
            <w:r w:rsidR="001A0AD0" w:rsidRPr="001A0AD0">
              <w:t>procedur</w:t>
            </w:r>
            <w:r w:rsidR="00570B29">
              <w:t>e-related</w:t>
            </w:r>
            <w:r w:rsidRPr="00B8101E">
              <w:t xml:space="preserve"> AEs</w:t>
            </w:r>
            <w:r w:rsidR="00570B29">
              <w:t xml:space="preserve"> (2%)</w:t>
            </w:r>
            <w:r w:rsidR="001A0AD0" w:rsidRPr="001A0AD0">
              <w:t>,</w:t>
            </w:r>
            <w:r w:rsidRPr="00B8101E">
              <w:t xml:space="preserve"> it is inherently inferior in short-term safety to standard of care</w:t>
            </w:r>
            <w:r w:rsidR="00DF7EA7" w:rsidRPr="00B8101E">
              <w:t>,</w:t>
            </w:r>
            <w:r w:rsidRPr="00B8101E">
              <w:t xml:space="preserve"> which involves no active intervention.</w:t>
            </w:r>
          </w:p>
          <w:p w14:paraId="640C549F" w14:textId="3CA136F7" w:rsidR="001432BA" w:rsidRPr="001A0AD0" w:rsidRDefault="001432BA" w:rsidP="004E313E">
            <w:pPr>
              <w:pStyle w:val="Tabletext0"/>
              <w:spacing w:before="0" w:after="0"/>
              <w:jc w:val="left"/>
            </w:pPr>
            <w:r>
              <w:t xml:space="preserve">The long-term safety of ESG is based on single-arm, uncontrolled cohort studies </w:t>
            </w:r>
            <w:r w:rsidR="001A0AD0">
              <w:t xml:space="preserve">up to 5 years, </w:t>
            </w:r>
            <w:r>
              <w:t xml:space="preserve">with high rates of loss to follow-up. This high loss to follow-up reduces the validity of the findings, as patients who do not complete the study often have different prognoses than those who do. Further long-term studies </w:t>
            </w:r>
            <w:r w:rsidR="00DF7EA7">
              <w:t>are</w:t>
            </w:r>
            <w:r>
              <w:t xml:space="preserve"> needed to substantiate this claim accurately. Consequently, the </w:t>
            </w:r>
            <w:r w:rsidR="00570B29">
              <w:t xml:space="preserve">long-term </w:t>
            </w:r>
            <w:r>
              <w:t>safety of ESG remains uncertain.</w:t>
            </w:r>
          </w:p>
        </w:tc>
      </w:tr>
      <w:tr w:rsidR="001432BA" w14:paraId="3216504B" w14:textId="77777777" w:rsidTr="2AA1CA0C">
        <w:tc>
          <w:tcPr>
            <w:tcW w:w="908" w:type="pct"/>
          </w:tcPr>
          <w:p w14:paraId="3DD97271" w14:textId="77777777" w:rsidR="001432BA" w:rsidRPr="00B8101E" w:rsidRDefault="001432BA" w:rsidP="004E313E">
            <w:pPr>
              <w:pStyle w:val="Tabletext0"/>
              <w:spacing w:before="0" w:after="0"/>
              <w:jc w:val="left"/>
            </w:pPr>
            <w:r w:rsidRPr="00B8101E">
              <w:t>ESG vs LSG</w:t>
            </w:r>
          </w:p>
          <w:p w14:paraId="5A083729" w14:textId="77777777" w:rsidR="001432BA" w:rsidRPr="00B8101E" w:rsidRDefault="001432BA" w:rsidP="004E313E">
            <w:pPr>
              <w:pStyle w:val="Tabletext0"/>
              <w:spacing w:before="0" w:after="0"/>
              <w:jc w:val="left"/>
            </w:pPr>
            <w:r w:rsidRPr="00B8101E">
              <w:t>Efficacy of ESG</w:t>
            </w:r>
          </w:p>
        </w:tc>
        <w:tc>
          <w:tcPr>
            <w:tcW w:w="1372" w:type="pct"/>
          </w:tcPr>
          <w:p w14:paraId="0838FF22" w14:textId="55F74486" w:rsidR="001432BA" w:rsidRPr="00B8101E" w:rsidRDefault="001432BA" w:rsidP="004E313E">
            <w:pPr>
              <w:pStyle w:val="Tabletext0"/>
              <w:spacing w:before="0" w:after="0"/>
              <w:jc w:val="left"/>
            </w:pPr>
            <w:r>
              <w:t xml:space="preserve">Relative to </w:t>
            </w:r>
            <w:r w:rsidR="6828145A">
              <w:t>c</w:t>
            </w:r>
            <w:r w:rsidR="7CACAAC4">
              <w:t>omparator</w:t>
            </w:r>
            <w:r>
              <w:t xml:space="preserve"> 2 (</w:t>
            </w:r>
            <w:r w:rsidR="6828145A">
              <w:t>SG</w:t>
            </w:r>
            <w:r>
              <w:t xml:space="preserve"> and </w:t>
            </w:r>
            <w:r w:rsidR="6828145A">
              <w:t>AGB</w:t>
            </w:r>
            <w:r>
              <w:t>), ESG is likely to have non-inferior short-term and unknown long-term effectiveness.</w:t>
            </w:r>
          </w:p>
        </w:tc>
        <w:tc>
          <w:tcPr>
            <w:tcW w:w="2720" w:type="pct"/>
          </w:tcPr>
          <w:p w14:paraId="51755629" w14:textId="393DA0C0" w:rsidR="00BC220C" w:rsidRPr="00A51AF5" w:rsidRDefault="00C924BA" w:rsidP="004E313E">
            <w:pPr>
              <w:pStyle w:val="Tabletext0"/>
              <w:spacing w:before="0" w:after="0"/>
              <w:jc w:val="left"/>
              <w:rPr>
                <w:b/>
              </w:rPr>
            </w:pPr>
            <w:r w:rsidRPr="00C924BA">
              <w:rPr>
                <w:b/>
                <w:bCs/>
              </w:rPr>
              <w:t>Partially</w:t>
            </w:r>
            <w:r w:rsidR="00543A48" w:rsidRPr="00C924BA">
              <w:rPr>
                <w:b/>
              </w:rPr>
              <w:t xml:space="preserve"> a</w:t>
            </w:r>
            <w:r w:rsidR="00A51AF5" w:rsidRPr="00C924BA">
              <w:rPr>
                <w:b/>
              </w:rPr>
              <w:t>ddressed</w:t>
            </w:r>
          </w:p>
          <w:p w14:paraId="6550F79B" w14:textId="39975E53" w:rsidR="0051156B" w:rsidRDefault="001432BA" w:rsidP="004E313E">
            <w:pPr>
              <w:pStyle w:val="Tabletext0"/>
              <w:spacing w:before="0" w:after="0"/>
              <w:jc w:val="left"/>
            </w:pPr>
            <w:r w:rsidRPr="00B8101E">
              <w:t>A total of 7 non-rando</w:t>
            </w:r>
            <w:r w:rsidRPr="0051156B">
              <w:t>mised controlled studies</w:t>
            </w:r>
            <w:r w:rsidR="00543A48" w:rsidRPr="0051156B">
              <w:t xml:space="preserve"> </w:t>
            </w:r>
            <w:r w:rsidR="0051156B" w:rsidRPr="0051156B">
              <w:t>investigated</w:t>
            </w:r>
            <w:r w:rsidRPr="0051156B">
              <w:t xml:space="preserve"> the efficacy of ESG compared to LSG</w:t>
            </w:r>
            <w:r w:rsidR="0051156B" w:rsidRPr="0051156B">
              <w:t>. The</w:t>
            </w:r>
            <w:r w:rsidR="0051156B">
              <w:t xml:space="preserve"> results of the meta-analyses for</w:t>
            </w:r>
            <w:r w:rsidR="00D32B29">
              <w:t xml:space="preserve"> the primary outcome of</w:t>
            </w:r>
            <w:r w:rsidR="0051156B">
              <w:t xml:space="preserve"> %TBWL do not support a finding of non-inferior effectiveness for ESG compared to LSG at 12 months, as the confidence interval of the pooled effect overlaps </w:t>
            </w:r>
            <w:r w:rsidR="00E95679">
              <w:t xml:space="preserve">with </w:t>
            </w:r>
            <w:r w:rsidR="0051156B">
              <w:t>the</w:t>
            </w:r>
            <w:r w:rsidR="00617C96">
              <w:t xml:space="preserve"> 10%</w:t>
            </w:r>
            <w:r w:rsidR="0051156B">
              <w:t xml:space="preserve"> MCID for non-inferiority</w:t>
            </w:r>
            <w:r w:rsidR="000E7B5C">
              <w:t xml:space="preserve"> (-9.95 [-10.70, -9.19])</w:t>
            </w:r>
            <w:r w:rsidR="0051156B">
              <w:t>.</w:t>
            </w:r>
          </w:p>
          <w:p w14:paraId="70CE36B9" w14:textId="41EEE2D9" w:rsidR="001432BA" w:rsidRPr="00F4117E" w:rsidRDefault="00C924BA" w:rsidP="004E313E">
            <w:pPr>
              <w:pStyle w:val="Tabletext0"/>
              <w:spacing w:before="0" w:after="0"/>
              <w:jc w:val="left"/>
            </w:pPr>
            <w:r w:rsidRPr="00EC09E5">
              <w:t xml:space="preserve">One non-randomised controlled study </w:t>
            </w:r>
            <w:r w:rsidR="00795473">
              <w:t xml:space="preserve">with a moderate risk of bias </w:t>
            </w:r>
            <w:r w:rsidRPr="00EC09E5">
              <w:t>report</w:t>
            </w:r>
            <w:r w:rsidR="00211449">
              <w:t>ed</w:t>
            </w:r>
            <w:r w:rsidRPr="00EC09E5">
              <w:t xml:space="preserve"> non-inferior </w:t>
            </w:r>
            <w:r w:rsidR="00795473">
              <w:t>efficacy</w:t>
            </w:r>
            <w:r w:rsidRPr="00EC09E5">
              <w:t xml:space="preserve"> based on %TBWL (</w:t>
            </w:r>
            <w:r>
              <w:t>-</w:t>
            </w:r>
            <w:r w:rsidRPr="00EC09E5">
              <w:t xml:space="preserve">4.8 </w:t>
            </w:r>
            <w:r>
              <w:t>[-</w:t>
            </w:r>
            <w:r w:rsidR="004E5FBB">
              <w:t xml:space="preserve">8.7, </w:t>
            </w:r>
            <w:r>
              <w:t>1.5</w:t>
            </w:r>
            <w:r w:rsidRPr="00EC09E5">
              <w:t>])</w:t>
            </w:r>
            <w:r w:rsidR="00211449">
              <w:t xml:space="preserve"> at 36 months.</w:t>
            </w:r>
          </w:p>
        </w:tc>
      </w:tr>
      <w:tr w:rsidR="001432BA" w14:paraId="290215BF" w14:textId="77777777" w:rsidTr="2AA1CA0C">
        <w:tc>
          <w:tcPr>
            <w:tcW w:w="908" w:type="pct"/>
          </w:tcPr>
          <w:p w14:paraId="1D13151B" w14:textId="77777777" w:rsidR="001432BA" w:rsidRPr="00B8101E" w:rsidRDefault="001432BA" w:rsidP="004E313E">
            <w:pPr>
              <w:pStyle w:val="Tabletext0"/>
              <w:spacing w:before="0" w:after="0"/>
              <w:jc w:val="left"/>
            </w:pPr>
            <w:r w:rsidRPr="00B8101E">
              <w:t>ESG vs LSG</w:t>
            </w:r>
          </w:p>
          <w:p w14:paraId="001D67B5" w14:textId="77777777" w:rsidR="001432BA" w:rsidRPr="00B8101E" w:rsidRDefault="001432BA" w:rsidP="004E313E">
            <w:pPr>
              <w:pStyle w:val="Tabletext0"/>
              <w:spacing w:before="0" w:after="0"/>
              <w:jc w:val="left"/>
            </w:pPr>
            <w:r w:rsidRPr="00B8101E">
              <w:t>Safety of ESG</w:t>
            </w:r>
          </w:p>
        </w:tc>
        <w:tc>
          <w:tcPr>
            <w:tcW w:w="1372" w:type="pct"/>
          </w:tcPr>
          <w:p w14:paraId="03203564" w14:textId="3ED8D0E1" w:rsidR="001432BA" w:rsidRPr="00B8101E" w:rsidRDefault="001432BA" w:rsidP="004E313E">
            <w:pPr>
              <w:pStyle w:val="Tabletext0"/>
              <w:spacing w:before="0" w:after="0"/>
              <w:jc w:val="left"/>
            </w:pPr>
            <w:r>
              <w:t xml:space="preserve">ESG </w:t>
            </w:r>
            <w:r w:rsidR="1653AABB">
              <w:t>i</w:t>
            </w:r>
            <w:r w:rsidR="7CACAAC4">
              <w:t>s</w:t>
            </w:r>
            <w:r>
              <w:t xml:space="preserve"> not associated with any serious safety concerns over the reported follow-up duration. However, the safety data obtained </w:t>
            </w:r>
            <w:r w:rsidR="009027C1">
              <w:t>a</w:t>
            </w:r>
            <w:r>
              <w:t>re limited and relatively short-term. The safety profile of ESG is non-inferior to other bariatric surgeries.</w:t>
            </w:r>
          </w:p>
        </w:tc>
        <w:tc>
          <w:tcPr>
            <w:tcW w:w="2720" w:type="pct"/>
          </w:tcPr>
          <w:p w14:paraId="3F8B77D5" w14:textId="6A0FF7F5" w:rsidR="00BC220C" w:rsidRPr="00A51AF5" w:rsidRDefault="00A51AF5" w:rsidP="004E313E">
            <w:pPr>
              <w:pStyle w:val="Tabletext0"/>
              <w:spacing w:before="0" w:after="0"/>
              <w:jc w:val="left"/>
              <w:rPr>
                <w:b/>
              </w:rPr>
            </w:pPr>
            <w:r>
              <w:rPr>
                <w:b/>
                <w:bCs/>
              </w:rPr>
              <w:t>A</w:t>
            </w:r>
            <w:r w:rsidRPr="00A51AF5">
              <w:rPr>
                <w:b/>
                <w:bCs/>
              </w:rPr>
              <w:t>ddressed</w:t>
            </w:r>
          </w:p>
          <w:p w14:paraId="22080705" w14:textId="27B80F99" w:rsidR="001432BA" w:rsidRPr="00A51AF5" w:rsidRDefault="1CA5DCF5" w:rsidP="004E313E">
            <w:pPr>
              <w:pStyle w:val="Tabletext0"/>
              <w:spacing w:before="0" w:after="0"/>
              <w:jc w:val="left"/>
            </w:pPr>
            <w:r>
              <w:t>Nine</w:t>
            </w:r>
            <w:r w:rsidR="001432BA">
              <w:t xml:space="preserve"> non-randomised controlled studies report the safety of ESG up to 3 years. This evidence demonstrates the </w:t>
            </w:r>
            <w:r w:rsidR="00A51AF5">
              <w:t>non-statistically significant improved</w:t>
            </w:r>
            <w:r w:rsidR="001432BA">
              <w:t xml:space="preserve"> </w:t>
            </w:r>
            <w:r w:rsidR="00CD3FE0">
              <w:t>rates of severe AEs</w:t>
            </w:r>
            <w:r w:rsidR="001432BA">
              <w:t xml:space="preserve"> of ESG compared to LSG </w:t>
            </w:r>
            <w:r w:rsidR="00B23D6F">
              <w:t>(OR 0.80 [0.48, 1.32])</w:t>
            </w:r>
            <w:r w:rsidR="001432BA">
              <w:t xml:space="preserve">. </w:t>
            </w:r>
            <w:r w:rsidR="00A51AF5">
              <w:t xml:space="preserve">Excluding studies with a high risk of bias, the results demonstrated a </w:t>
            </w:r>
            <w:r w:rsidR="00B23D6F">
              <w:t>more favourable</w:t>
            </w:r>
            <w:r w:rsidR="00A51AF5">
              <w:t xml:space="preserve"> </w:t>
            </w:r>
            <w:r w:rsidR="004F513C">
              <w:t xml:space="preserve">non-significant </w:t>
            </w:r>
            <w:r w:rsidR="00A51AF5">
              <w:t>safety profile for ESG compared to LSG</w:t>
            </w:r>
            <w:r w:rsidR="00B23D6F">
              <w:t xml:space="preserve"> (OR 0.40 [0.15, 1.06])</w:t>
            </w:r>
            <w:r w:rsidR="00A51AF5">
              <w:t>.</w:t>
            </w:r>
          </w:p>
        </w:tc>
      </w:tr>
      <w:tr w:rsidR="001432BA" w14:paraId="79CC696C" w14:textId="77777777" w:rsidTr="2AA1CA0C">
        <w:tc>
          <w:tcPr>
            <w:tcW w:w="908" w:type="pct"/>
          </w:tcPr>
          <w:p w14:paraId="50090C70" w14:textId="77777777" w:rsidR="001432BA" w:rsidRPr="00B8101E" w:rsidRDefault="001432BA" w:rsidP="004E313E">
            <w:pPr>
              <w:pStyle w:val="Tabletext0"/>
              <w:spacing w:before="0" w:after="0"/>
              <w:jc w:val="left"/>
            </w:pPr>
            <w:r w:rsidRPr="00B8101E">
              <w:t>MBS Item Descriptor</w:t>
            </w:r>
          </w:p>
        </w:tc>
        <w:tc>
          <w:tcPr>
            <w:tcW w:w="1372" w:type="pct"/>
          </w:tcPr>
          <w:p w14:paraId="062F0C8B" w14:textId="04FBA49F" w:rsidR="001432BA" w:rsidRPr="00B8101E" w:rsidRDefault="0A4005C3" w:rsidP="004E313E">
            <w:pPr>
              <w:pStyle w:val="Tabletext0"/>
              <w:spacing w:before="0" w:after="0"/>
              <w:jc w:val="left"/>
            </w:pPr>
            <w:r>
              <w:t>The</w:t>
            </w:r>
            <w:r w:rsidR="00042253">
              <w:t xml:space="preserve"> c</w:t>
            </w:r>
            <w:r w:rsidR="001432BA">
              <w:t>linical evidence provided is limited to ESG performed with OverStitch™. MSAC may want to consider whether it would list an item number for OverStitch™ only or consider a more generic item.</w:t>
            </w:r>
          </w:p>
        </w:tc>
        <w:tc>
          <w:tcPr>
            <w:tcW w:w="2720" w:type="pct"/>
          </w:tcPr>
          <w:p w14:paraId="0A7FA587" w14:textId="367EE192" w:rsidR="00B471B7" w:rsidRPr="00BC220C" w:rsidRDefault="00B471B7" w:rsidP="004E313E">
            <w:pPr>
              <w:pStyle w:val="Tabletext0"/>
              <w:spacing w:before="0" w:after="0"/>
              <w:jc w:val="left"/>
              <w:rPr>
                <w:b/>
                <w:lang w:val="en-US"/>
              </w:rPr>
            </w:pPr>
            <w:r w:rsidRPr="00BC220C">
              <w:rPr>
                <w:b/>
                <w:lang w:val="en-US"/>
              </w:rPr>
              <w:t>For noting</w:t>
            </w:r>
          </w:p>
          <w:p w14:paraId="5600DA88" w14:textId="069BA6FC" w:rsidR="001432BA" w:rsidRPr="00B8101E" w:rsidRDefault="00B471B7" w:rsidP="004E313E">
            <w:pPr>
              <w:pStyle w:val="Tabletext0"/>
              <w:spacing w:before="0" w:after="0"/>
              <w:jc w:val="left"/>
            </w:pPr>
            <w:r>
              <w:rPr>
                <w:lang w:val="en-US"/>
              </w:rPr>
              <w:t>The</w:t>
            </w:r>
            <w:r w:rsidR="00892820" w:rsidRPr="419A36BF">
              <w:rPr>
                <w:lang w:val="en-US"/>
              </w:rPr>
              <w:t xml:space="preserve"> Overstich</w:t>
            </w:r>
            <w:r w:rsidR="00EB4B9C" w:rsidRPr="419A36BF">
              <w:rPr>
                <w:lang w:val="en-US"/>
              </w:rPr>
              <w:t>™</w:t>
            </w:r>
            <w:r w:rsidR="00D52554" w:rsidRPr="419A36BF">
              <w:rPr>
                <w:lang w:val="en-US"/>
              </w:rPr>
              <w:t xml:space="preserve"> </w:t>
            </w:r>
            <w:r w:rsidR="00B1243E" w:rsidRPr="419A36BF">
              <w:rPr>
                <w:lang w:val="en-US"/>
              </w:rPr>
              <w:t xml:space="preserve">endoscopic suturing device </w:t>
            </w:r>
            <w:r w:rsidR="00D52554" w:rsidRPr="419A36BF">
              <w:rPr>
                <w:lang w:val="en-US"/>
              </w:rPr>
              <w:t xml:space="preserve">is a </w:t>
            </w:r>
            <w:r w:rsidR="00B1243E" w:rsidRPr="419A36BF">
              <w:rPr>
                <w:lang w:val="en-US"/>
              </w:rPr>
              <w:t xml:space="preserve">proprietary </w:t>
            </w:r>
            <w:r w:rsidR="00DF3774" w:rsidRPr="419A36BF">
              <w:rPr>
                <w:lang w:val="en-US"/>
              </w:rPr>
              <w:t>system</w:t>
            </w:r>
            <w:r w:rsidR="00212D15" w:rsidRPr="419A36BF">
              <w:rPr>
                <w:lang w:val="en-US"/>
              </w:rPr>
              <w:t xml:space="preserve"> (Apollo Endosurgery, USA</w:t>
            </w:r>
            <w:r w:rsidR="644FFF83" w:rsidRPr="419A36BF">
              <w:rPr>
                <w:lang w:val="en-US"/>
              </w:rPr>
              <w:t>)</w:t>
            </w:r>
            <w:r w:rsidR="65C51A1A" w:rsidRPr="419A36BF">
              <w:rPr>
                <w:lang w:val="en-US"/>
              </w:rPr>
              <w:t>.</w:t>
            </w:r>
            <w:r w:rsidR="00306359" w:rsidRPr="00BC220C" w:rsidDel="003F199F">
              <w:rPr>
                <w:lang w:val="en-US"/>
              </w:rPr>
              <w:t xml:space="preserve"> </w:t>
            </w:r>
            <w:r w:rsidRPr="00BC220C">
              <w:rPr>
                <w:lang w:val="en-US"/>
              </w:rPr>
              <w:t>Evidence from the ADAR comes from studies on the Overstitch device™ The proposed MBS item descriptors are generic.</w:t>
            </w:r>
            <w:r>
              <w:rPr>
                <w:lang w:val="en-US"/>
              </w:rPr>
              <w:t xml:space="preserve"> </w:t>
            </w:r>
            <w:r w:rsidR="00A87984" w:rsidRPr="419A36BF">
              <w:rPr>
                <w:lang w:val="en-US"/>
              </w:rPr>
              <w:t xml:space="preserve">MSAC </w:t>
            </w:r>
            <w:r w:rsidR="003942B0" w:rsidRPr="419A36BF">
              <w:rPr>
                <w:lang w:val="en-US"/>
              </w:rPr>
              <w:t>may wish</w:t>
            </w:r>
            <w:r w:rsidR="00637EFD" w:rsidRPr="419A36BF">
              <w:rPr>
                <w:lang w:val="en-US"/>
              </w:rPr>
              <w:t xml:space="preserve"> to include</w:t>
            </w:r>
            <w:r w:rsidR="00B63574" w:rsidRPr="419A36BF">
              <w:rPr>
                <w:lang w:val="en-US"/>
              </w:rPr>
              <w:t xml:space="preserve"> generic</w:t>
            </w:r>
            <w:r w:rsidR="005315CB" w:rsidRPr="419A36BF">
              <w:rPr>
                <w:lang w:val="en-US"/>
              </w:rPr>
              <w:t xml:space="preserve"> ESG</w:t>
            </w:r>
            <w:r w:rsidR="00C771D7" w:rsidRPr="419A36BF">
              <w:rPr>
                <w:lang w:val="en-US"/>
              </w:rPr>
              <w:t xml:space="preserve"> </w:t>
            </w:r>
            <w:r w:rsidR="00FC3FA6" w:rsidRPr="419A36BF">
              <w:rPr>
                <w:lang w:val="en-US"/>
              </w:rPr>
              <w:t>systems</w:t>
            </w:r>
            <w:r w:rsidR="0048533A" w:rsidRPr="419A36BF">
              <w:rPr>
                <w:lang w:val="en-US"/>
              </w:rPr>
              <w:t>.</w:t>
            </w:r>
          </w:p>
        </w:tc>
      </w:tr>
      <w:tr w:rsidR="001432BA" w14:paraId="56080530" w14:textId="77777777" w:rsidTr="2AA1CA0C">
        <w:tc>
          <w:tcPr>
            <w:tcW w:w="908" w:type="pct"/>
          </w:tcPr>
          <w:p w14:paraId="31F54228" w14:textId="77777777" w:rsidR="001432BA" w:rsidRPr="00B8101E" w:rsidRDefault="001432BA" w:rsidP="004E313E">
            <w:pPr>
              <w:pStyle w:val="Tabletext0"/>
              <w:spacing w:before="0" w:after="0"/>
              <w:jc w:val="left"/>
            </w:pPr>
            <w:r w:rsidRPr="00B8101E">
              <w:t>Low Quality Clinical Evidence</w:t>
            </w:r>
          </w:p>
        </w:tc>
        <w:tc>
          <w:tcPr>
            <w:tcW w:w="1372" w:type="pct"/>
          </w:tcPr>
          <w:p w14:paraId="28F7BDFE" w14:textId="3BFE6050" w:rsidR="001432BA" w:rsidRPr="00B8101E" w:rsidRDefault="001432BA" w:rsidP="004E313E">
            <w:pPr>
              <w:pStyle w:val="Tabletext0"/>
              <w:spacing w:before="0" w:after="0"/>
              <w:jc w:val="left"/>
            </w:pPr>
            <w:r w:rsidRPr="00B8101E">
              <w:t xml:space="preserve">Evidence on comparative effectiveness is limited to case series and 2 retrospective comparative studies </w:t>
            </w:r>
            <w:r w:rsidR="002452F7" w:rsidRPr="00B8101E">
              <w:t xml:space="preserve">that have </w:t>
            </w:r>
            <w:r w:rsidRPr="00B8101E">
              <w:t>significant risk of biases across included studies from open</w:t>
            </w:r>
            <w:r w:rsidR="002452F7" w:rsidRPr="00B8101E">
              <w:t>-</w:t>
            </w:r>
            <w:r w:rsidRPr="00B8101E">
              <w:t>label designs, short durations of follow-up, high attrition rates, and indirect comparisons (</w:t>
            </w:r>
            <w:r w:rsidR="002452F7" w:rsidRPr="00B8101E">
              <w:t xml:space="preserve">2 RCTs </w:t>
            </w:r>
            <w:r w:rsidRPr="00B8101E">
              <w:t>currently ongoing)</w:t>
            </w:r>
          </w:p>
        </w:tc>
        <w:tc>
          <w:tcPr>
            <w:tcW w:w="2720" w:type="pct"/>
          </w:tcPr>
          <w:p w14:paraId="406E496F" w14:textId="77777777" w:rsidR="0006591A" w:rsidRPr="0006591A" w:rsidRDefault="0006591A" w:rsidP="004E313E">
            <w:pPr>
              <w:pStyle w:val="Tabletext0"/>
              <w:spacing w:before="0" w:after="0"/>
              <w:jc w:val="left"/>
              <w:rPr>
                <w:b/>
                <w:bCs/>
              </w:rPr>
            </w:pPr>
            <w:r w:rsidRPr="0006591A">
              <w:rPr>
                <w:b/>
                <w:bCs/>
              </w:rPr>
              <w:t>Partially addressed</w:t>
            </w:r>
          </w:p>
          <w:p w14:paraId="1696584E" w14:textId="7B1C9B5A" w:rsidR="001432BA" w:rsidRPr="00B8101E" w:rsidRDefault="001432BA" w:rsidP="004E313E">
            <w:pPr>
              <w:pStyle w:val="Tabletext0"/>
              <w:spacing w:before="0" w:after="0"/>
              <w:jc w:val="left"/>
            </w:pPr>
            <w:r w:rsidRPr="00B8101E">
              <w:t xml:space="preserve">Direct RCT evidence </w:t>
            </w:r>
            <w:r w:rsidR="00F33329" w:rsidRPr="00B8101E">
              <w:t xml:space="preserve">from the MERIT trial </w:t>
            </w:r>
            <w:r w:rsidRPr="00B8101E">
              <w:t xml:space="preserve">with </w:t>
            </w:r>
            <w:r w:rsidR="00F33329" w:rsidRPr="00B8101E">
              <w:t xml:space="preserve">1- </w:t>
            </w:r>
            <w:r w:rsidRPr="00B8101E">
              <w:t>and 2</w:t>
            </w:r>
            <w:r w:rsidR="00F33329" w:rsidRPr="00B8101E">
              <w:t>-</w:t>
            </w:r>
            <w:r w:rsidRPr="00B8101E">
              <w:t>year follow-up supporting the use of ESG in patients with obesity is now available and presented in this ADAR.</w:t>
            </w:r>
          </w:p>
          <w:p w14:paraId="40429983" w14:textId="4808CC33" w:rsidR="001432BA" w:rsidRPr="00B8101E" w:rsidRDefault="001432BA" w:rsidP="004E313E">
            <w:pPr>
              <w:pStyle w:val="Tabletext0"/>
              <w:spacing w:before="0" w:after="0"/>
              <w:jc w:val="left"/>
            </w:pPr>
            <w:r>
              <w:t>Additional real-world studies are presented as supportive evidence for both the short- and long-term efficacy and safety of ESG.</w:t>
            </w:r>
            <w:r w:rsidR="0006591A">
              <w:t xml:space="preserve"> </w:t>
            </w:r>
            <w:r>
              <w:t>The additional evidence for longer</w:t>
            </w:r>
            <w:r w:rsidR="00C86D70">
              <w:t>-</w:t>
            </w:r>
            <w:r>
              <w:t>term follow-up is obtained from single</w:t>
            </w:r>
            <w:r w:rsidR="00C86D70">
              <w:t>-</w:t>
            </w:r>
            <w:r>
              <w:t>arm studies with high rates of loss to follow-up</w:t>
            </w:r>
            <w:r w:rsidR="00051D64">
              <w:t>.</w:t>
            </w:r>
            <w:r>
              <w:t xml:space="preserve"> This high loss to follow-up reduces the validity of the findings, as patients who do not complete the study often have different prognoses than those who do. Consequently, the long-term effectiveness of ESG treatment remains uncertain based on the current evidence.</w:t>
            </w:r>
          </w:p>
        </w:tc>
      </w:tr>
      <w:tr w:rsidR="001432BA" w14:paraId="32F36BD2" w14:textId="77777777" w:rsidTr="2AA1CA0C">
        <w:tc>
          <w:tcPr>
            <w:tcW w:w="908" w:type="pct"/>
          </w:tcPr>
          <w:p w14:paraId="0CBBF109" w14:textId="67600FFE" w:rsidR="001432BA" w:rsidRPr="0013585A" w:rsidRDefault="003D7273" w:rsidP="004E313E">
            <w:pPr>
              <w:pStyle w:val="Tabletext0"/>
              <w:spacing w:before="0" w:after="0"/>
              <w:jc w:val="left"/>
            </w:pPr>
            <w:r w:rsidRPr="00B8101E">
              <w:t>U</w:t>
            </w:r>
            <w:r w:rsidR="001432BA" w:rsidRPr="00B8101E">
              <w:t>ncertain Applicability Issues</w:t>
            </w:r>
          </w:p>
        </w:tc>
        <w:tc>
          <w:tcPr>
            <w:tcW w:w="1372" w:type="pct"/>
          </w:tcPr>
          <w:p w14:paraId="211A9DA5" w14:textId="45C5E535" w:rsidR="001432BA" w:rsidRPr="0013585A" w:rsidRDefault="001432BA" w:rsidP="004E313E">
            <w:pPr>
              <w:pStyle w:val="Tabletext0"/>
              <w:spacing w:before="0" w:after="0"/>
              <w:jc w:val="left"/>
            </w:pPr>
            <w:r>
              <w:t>The population</w:t>
            </w:r>
            <w:r w:rsidR="00A13764">
              <w:t>s</w:t>
            </w:r>
            <w:r>
              <w:t xml:space="preserve"> included in the ESG and comparator evidence bases generally d</w:t>
            </w:r>
            <w:r w:rsidR="00A13764">
              <w:t>o</w:t>
            </w:r>
            <w:r>
              <w:t xml:space="preserve"> not align with the</w:t>
            </w:r>
            <w:r w:rsidR="00A13764">
              <w:t xml:space="preserve"> proposed population in the</w:t>
            </w:r>
            <w:r>
              <w:t xml:space="preserve"> PICO Confirmation: study populations had higher baseline BMIs vs proposed MBS population</w:t>
            </w:r>
            <w:r w:rsidR="00EB474B">
              <w:t>s</w:t>
            </w:r>
            <w:r>
              <w:t>. As patients with higher baseline BMIs have a higher capacity to lose weight, the clinical effectiveness results (e.g. BMI reductions) may be subject to overestimation. In addition, the comorbidity and treatment failure</w:t>
            </w:r>
            <w:r w:rsidR="00EB474B">
              <w:t xml:space="preserve"> </w:t>
            </w:r>
            <w:r>
              <w:t>status of patients in the evidence base was often unclear</w:t>
            </w:r>
            <w:r w:rsidR="003C7C26">
              <w:t>. T</w:t>
            </w:r>
            <w:r>
              <w:t>hese uncertainties ha</w:t>
            </w:r>
            <w:r w:rsidR="003C7C26">
              <w:t>ve</w:t>
            </w:r>
            <w:r>
              <w:t xml:space="preserve"> flow-on effects to the economic</w:t>
            </w:r>
            <w:r w:rsidR="003C7C26">
              <w:t xml:space="preserve"> analyses</w:t>
            </w:r>
            <w:r>
              <w:t>.</w:t>
            </w:r>
          </w:p>
        </w:tc>
        <w:tc>
          <w:tcPr>
            <w:tcW w:w="2720" w:type="pct"/>
          </w:tcPr>
          <w:p w14:paraId="458B5293" w14:textId="1CE625C6" w:rsidR="0006591A" w:rsidRPr="0006591A" w:rsidRDefault="0006591A" w:rsidP="004E313E">
            <w:pPr>
              <w:pStyle w:val="Tabletext0"/>
              <w:spacing w:before="0" w:after="0"/>
              <w:jc w:val="left"/>
              <w:rPr>
                <w:b/>
                <w:bCs/>
              </w:rPr>
            </w:pPr>
            <w:r w:rsidRPr="0006591A">
              <w:rPr>
                <w:b/>
                <w:bCs/>
              </w:rPr>
              <w:t xml:space="preserve">Partially addressed </w:t>
            </w:r>
          </w:p>
          <w:p w14:paraId="27C1B628" w14:textId="47012F29" w:rsidR="001432BA" w:rsidRDefault="001432BA" w:rsidP="004E313E">
            <w:pPr>
              <w:pStyle w:val="Tabletext0"/>
              <w:spacing w:before="0" w:after="0"/>
              <w:jc w:val="left"/>
            </w:pPr>
            <w:r>
              <w:t xml:space="preserve">The MERIT trial provides </w:t>
            </w:r>
            <w:r w:rsidR="0006591A">
              <w:t>largely</w:t>
            </w:r>
            <w:r>
              <w:t xml:space="preserve"> applicable data supporting the efficacy and safety of ESG in people with </w:t>
            </w:r>
            <w:r w:rsidR="008F5EBB">
              <w:t>class</w:t>
            </w:r>
            <w:r>
              <w:t xml:space="preserve"> I and </w:t>
            </w:r>
            <w:r w:rsidR="008F5EBB">
              <w:t>class</w:t>
            </w:r>
            <w:r>
              <w:t xml:space="preserve"> II obesity, with or without comorbidities. </w:t>
            </w:r>
            <w:r w:rsidR="008D3050">
              <w:t xml:space="preserve">The MERIT </w:t>
            </w:r>
            <w:r w:rsidR="0086400B">
              <w:t xml:space="preserve">trial </w:t>
            </w:r>
            <w:r w:rsidR="008D3050">
              <w:t>and the single</w:t>
            </w:r>
            <w:r w:rsidR="00A00FE2">
              <w:t>-</w:t>
            </w:r>
            <w:r w:rsidR="008D3050">
              <w:t xml:space="preserve">arm studies did not report that patients had experienced 12 months of treatment failure including pharmacotherapy before enrolment. The implications of this disparity with the PASC guidance </w:t>
            </w:r>
            <w:r w:rsidR="007E0AC4">
              <w:t xml:space="preserve">and </w:t>
            </w:r>
            <w:r w:rsidR="00BB5410">
              <w:t xml:space="preserve">applicability </w:t>
            </w:r>
            <w:r w:rsidR="00072D30">
              <w:t xml:space="preserve">with the </w:t>
            </w:r>
            <w:r w:rsidR="003907AA">
              <w:t xml:space="preserve">proposed </w:t>
            </w:r>
            <w:r w:rsidR="00852076">
              <w:t xml:space="preserve">patient group </w:t>
            </w:r>
            <w:r w:rsidR="008D3050">
              <w:t>are unclear.</w:t>
            </w:r>
            <w:r w:rsidR="00FF02E7">
              <w:t xml:space="preserve"> </w:t>
            </w:r>
          </w:p>
          <w:p w14:paraId="1BBCBEE1" w14:textId="1C505807" w:rsidR="001432BA" w:rsidRPr="00B8101E" w:rsidRDefault="00FF02E7" w:rsidP="004E313E">
            <w:pPr>
              <w:pStyle w:val="Tabletext0"/>
              <w:spacing w:before="0" w:after="0"/>
              <w:jc w:val="left"/>
            </w:pPr>
            <w:r>
              <w:t>Moreover, t</w:t>
            </w:r>
            <w:r w:rsidRPr="00FF02E7">
              <w:t>here is uncertainty in applying MERIT trial data to the Australian context. There are discrepancies in gender, age, and BMI between the MERIT trials and the Australian Bariatric Surgery registry.</w:t>
            </w:r>
          </w:p>
        </w:tc>
      </w:tr>
      <w:tr w:rsidR="001432BA" w14:paraId="38C44B09" w14:textId="77777777" w:rsidTr="2AA1CA0C">
        <w:tc>
          <w:tcPr>
            <w:tcW w:w="908" w:type="pct"/>
          </w:tcPr>
          <w:p w14:paraId="3F7C25F7" w14:textId="77777777" w:rsidR="001432BA" w:rsidRPr="0013585A" w:rsidRDefault="001432BA" w:rsidP="004E313E">
            <w:pPr>
              <w:pStyle w:val="Tabletext0"/>
              <w:spacing w:before="0" w:after="0"/>
              <w:jc w:val="left"/>
            </w:pPr>
            <w:r w:rsidRPr="00B8101E">
              <w:t>Cost Implications and Possible Offsets</w:t>
            </w:r>
          </w:p>
        </w:tc>
        <w:tc>
          <w:tcPr>
            <w:tcW w:w="1372" w:type="pct"/>
          </w:tcPr>
          <w:p w14:paraId="18C943EF" w14:textId="290B3523" w:rsidR="001432BA" w:rsidRPr="0013585A" w:rsidRDefault="001432BA" w:rsidP="004E313E">
            <w:pPr>
              <w:pStyle w:val="Tabletext0"/>
              <w:spacing w:before="0" w:after="0"/>
              <w:jc w:val="left"/>
            </w:pPr>
            <w:r>
              <w:t xml:space="preserve">The base case of the </w:t>
            </w:r>
            <w:r w:rsidR="003C7C26">
              <w:t>CUA</w:t>
            </w:r>
            <w:r>
              <w:t xml:space="preserve"> assumes weight loss is sustained over the lifetime of the patient (40 years). The long-term clinical effectiveness of ESG is uncertain and concerns regarding the durability of the sleeve have been raised by clinicians.</w:t>
            </w:r>
          </w:p>
        </w:tc>
        <w:tc>
          <w:tcPr>
            <w:tcW w:w="2720" w:type="pct"/>
          </w:tcPr>
          <w:p w14:paraId="00B18D17" w14:textId="4AAD8AF8" w:rsidR="000A5EB0" w:rsidRPr="000A5EB0" w:rsidRDefault="00C553A2" w:rsidP="004E313E">
            <w:pPr>
              <w:pStyle w:val="Tabletext0"/>
              <w:spacing w:before="0" w:after="0"/>
              <w:jc w:val="left"/>
              <w:rPr>
                <w:b/>
                <w:bCs/>
              </w:rPr>
            </w:pPr>
            <w:r w:rsidRPr="2AA1CA0C">
              <w:rPr>
                <w:b/>
                <w:bCs/>
              </w:rPr>
              <w:t>This concern remains</w:t>
            </w:r>
          </w:p>
          <w:p w14:paraId="587397BD" w14:textId="4676218E" w:rsidR="008C27D0" w:rsidRDefault="003D3521" w:rsidP="004E313E">
            <w:pPr>
              <w:pStyle w:val="Tabletext0"/>
              <w:spacing w:before="0" w:after="0"/>
              <w:jc w:val="left"/>
            </w:pPr>
            <w:r>
              <w:t xml:space="preserve">The </w:t>
            </w:r>
            <w:r w:rsidR="003C7C26">
              <w:t>CUA</w:t>
            </w:r>
            <w:r>
              <w:t xml:space="preserve"> </w:t>
            </w:r>
            <w:r w:rsidR="001F0C37">
              <w:t>mo</w:t>
            </w:r>
            <w:r w:rsidR="00D12FE6">
              <w:t>dels</w:t>
            </w:r>
            <w:r>
              <w:t xml:space="preserve"> patient</w:t>
            </w:r>
            <w:r w:rsidR="005F71C0">
              <w:t xml:space="preserve"> </w:t>
            </w:r>
            <w:r w:rsidR="00D12FE6">
              <w:t>tra</w:t>
            </w:r>
            <w:r w:rsidR="00496F86">
              <w:t xml:space="preserve">nsitions through the various </w:t>
            </w:r>
            <w:r w:rsidR="00236574">
              <w:t>obesity</w:t>
            </w:r>
            <w:r w:rsidR="005F71C0">
              <w:t xml:space="preserve"> </w:t>
            </w:r>
            <w:r w:rsidR="008F5EBB">
              <w:t>class</w:t>
            </w:r>
            <w:r w:rsidR="005F71C0">
              <w:t xml:space="preserve">es according to </w:t>
            </w:r>
            <w:r w:rsidR="00236574">
              <w:t>MERIT trial</w:t>
            </w:r>
            <w:r w:rsidR="00F745BA">
              <w:t xml:space="preserve"> </w:t>
            </w:r>
            <w:r w:rsidR="00496F86">
              <w:t xml:space="preserve">data </w:t>
            </w:r>
            <w:r w:rsidR="009B409A">
              <w:t>in the initial 2 years</w:t>
            </w:r>
            <w:r w:rsidR="007B0293">
              <w:t xml:space="preserve"> following ESG</w:t>
            </w:r>
            <w:r w:rsidR="00236574">
              <w:t xml:space="preserve">. </w:t>
            </w:r>
            <w:r w:rsidR="00796660">
              <w:t xml:space="preserve">In years </w:t>
            </w:r>
            <w:r w:rsidR="00253C23">
              <w:t xml:space="preserve">3 </w:t>
            </w:r>
            <w:r w:rsidR="00796660">
              <w:t xml:space="preserve">to </w:t>
            </w:r>
            <w:r w:rsidR="00253C23">
              <w:t xml:space="preserve">5 </w:t>
            </w:r>
            <w:r w:rsidR="00796660">
              <w:t xml:space="preserve">it </w:t>
            </w:r>
            <w:r w:rsidR="006B44B9">
              <w:t xml:space="preserve">was assumed that 80% of individuals would remain in the health state they were in at the end of year 2, while 20% would regress back to their baseline BMI. </w:t>
            </w:r>
            <w:r w:rsidR="000D3B23">
              <w:t>The model assumed that</w:t>
            </w:r>
            <w:r w:rsidR="006B44B9">
              <w:t xml:space="preserve"> TBWL would be maintained for at least 80% of patients up to 5 years. </w:t>
            </w:r>
            <w:r w:rsidR="000D3B23">
              <w:t>C</w:t>
            </w:r>
            <w:r w:rsidR="006B44B9">
              <w:t>onservatively</w:t>
            </w:r>
            <w:r w:rsidR="001C4587">
              <w:t>,</w:t>
            </w:r>
            <w:r w:rsidR="006B44B9">
              <w:t xml:space="preserve"> </w:t>
            </w:r>
            <w:r w:rsidR="002B5460">
              <w:t xml:space="preserve">it was </w:t>
            </w:r>
            <w:r w:rsidR="006B44B9">
              <w:t>assumed that 20% would</w:t>
            </w:r>
            <w:r w:rsidR="000D3B23">
              <w:t xml:space="preserve"> </w:t>
            </w:r>
            <w:r w:rsidR="006B44B9">
              <w:t>return to baseline weight.</w:t>
            </w:r>
            <w:r w:rsidR="000F587D">
              <w:t xml:space="preserve"> However, for patients that gained weight during the first 2 years it was assumed that </w:t>
            </w:r>
            <w:r w:rsidR="00BA6CAF">
              <w:t>all patients (</w:t>
            </w:r>
            <w:r w:rsidR="000F587D">
              <w:t>100%</w:t>
            </w:r>
            <w:r w:rsidR="002F6541">
              <w:t>)</w:t>
            </w:r>
            <w:r w:rsidR="000F587D">
              <w:t xml:space="preserve"> would remain in the higher obesity </w:t>
            </w:r>
            <w:r w:rsidR="008F5EBB">
              <w:t>class</w:t>
            </w:r>
            <w:r w:rsidR="000F587D">
              <w:t>.</w:t>
            </w:r>
            <w:r w:rsidR="00482170">
              <w:t xml:space="preserve"> </w:t>
            </w:r>
          </w:p>
          <w:p w14:paraId="5BE52860" w14:textId="59F14364" w:rsidR="00127046" w:rsidRPr="00B8101E" w:rsidRDefault="009A4352" w:rsidP="004E313E">
            <w:pPr>
              <w:pStyle w:val="Tabletext0"/>
              <w:spacing w:before="0" w:after="0"/>
              <w:jc w:val="left"/>
            </w:pPr>
            <w:r>
              <w:t>T</w:t>
            </w:r>
            <w:r w:rsidR="002308CF">
              <w:t xml:space="preserve">he long-term effectiveness </w:t>
            </w:r>
            <w:r w:rsidR="00B44925">
              <w:t>of ESG</w:t>
            </w:r>
            <w:r w:rsidR="004712E8">
              <w:t xml:space="preserve"> is no</w:t>
            </w:r>
            <w:r w:rsidR="005D5AD4">
              <w:t xml:space="preserve">t </w:t>
            </w:r>
            <w:r w:rsidR="003E6725">
              <w:t xml:space="preserve">explicitly addressed as </w:t>
            </w:r>
            <w:r w:rsidR="008D1FAF">
              <w:t>treatment failure is not captured</w:t>
            </w:r>
            <w:r w:rsidR="003C52F8">
              <w:t>.</w:t>
            </w:r>
          </w:p>
          <w:p w14:paraId="7C3FDB12" w14:textId="22A8AA7B" w:rsidR="003A20BE" w:rsidRPr="003F4AF6" w:rsidRDefault="003A20BE" w:rsidP="004E313E">
            <w:pPr>
              <w:pStyle w:val="Tabletext0"/>
              <w:spacing w:before="0" w:after="0"/>
              <w:jc w:val="left"/>
            </w:pPr>
          </w:p>
        </w:tc>
      </w:tr>
      <w:tr w:rsidR="001432BA" w14:paraId="34AE4024" w14:textId="77777777" w:rsidTr="2AA1CA0C">
        <w:tc>
          <w:tcPr>
            <w:tcW w:w="908" w:type="pct"/>
          </w:tcPr>
          <w:p w14:paraId="5D7F57BB" w14:textId="4EE5355B" w:rsidR="001432BA" w:rsidRPr="003F4AF6" w:rsidRDefault="001432BA" w:rsidP="004E313E">
            <w:pPr>
              <w:pStyle w:val="Tabletext0"/>
              <w:spacing w:before="0" w:after="0"/>
              <w:jc w:val="left"/>
            </w:pPr>
            <w:r w:rsidRPr="00B8101E">
              <w:t>Highly Uncertain Model-Based Economic Evaluation (vs</w:t>
            </w:r>
            <w:r w:rsidR="007B7916" w:rsidRPr="00B8101E">
              <w:t xml:space="preserve"> c</w:t>
            </w:r>
            <w:r w:rsidRPr="00B8101E">
              <w:t>omparator 1)</w:t>
            </w:r>
          </w:p>
        </w:tc>
        <w:tc>
          <w:tcPr>
            <w:tcW w:w="1372" w:type="pct"/>
          </w:tcPr>
          <w:p w14:paraId="79559B5D" w14:textId="27B8175C" w:rsidR="001432BA" w:rsidRPr="00B8101E" w:rsidRDefault="001432BA" w:rsidP="004E313E">
            <w:pPr>
              <w:pStyle w:val="Tabletext0"/>
              <w:spacing w:before="0" w:after="0"/>
              <w:jc w:val="left"/>
            </w:pPr>
            <w:r>
              <w:t xml:space="preserve">There is a high level of uncertainty in </w:t>
            </w:r>
            <w:r w:rsidR="007B7916">
              <w:t xml:space="preserve">the </w:t>
            </w:r>
            <w:r>
              <w:t xml:space="preserve">model-based CUA arising from: </w:t>
            </w:r>
          </w:p>
          <w:p w14:paraId="64363758" w14:textId="4A3CC1B8" w:rsidR="001432BA" w:rsidRPr="003F4AF6" w:rsidRDefault="007B7916" w:rsidP="004E313E">
            <w:pPr>
              <w:pStyle w:val="Tabletext0"/>
              <w:spacing w:before="0" w:after="0"/>
              <w:jc w:val="left"/>
            </w:pPr>
            <w:r w:rsidRPr="00B8101E">
              <w:t>u</w:t>
            </w:r>
            <w:r w:rsidR="001432BA" w:rsidRPr="00B8101E">
              <w:t>ncertain applicability issues (patient characteristics and baseline BMI)</w:t>
            </w:r>
          </w:p>
          <w:p w14:paraId="0EF60EDA" w14:textId="78F75C10" w:rsidR="001432BA" w:rsidRPr="003F4AF6" w:rsidRDefault="007B7916" w:rsidP="004E313E">
            <w:pPr>
              <w:pStyle w:val="Tabletext0"/>
              <w:spacing w:before="0" w:after="0"/>
              <w:jc w:val="left"/>
            </w:pPr>
            <w:r>
              <w:t>h</w:t>
            </w:r>
            <w:r w:rsidR="001432BA">
              <w:t>ighly uncertain model inputs (baseline and treatment</w:t>
            </w:r>
            <w:r>
              <w:t xml:space="preserve"> </w:t>
            </w:r>
            <w:r w:rsidR="001432BA">
              <w:t>effect</w:t>
            </w:r>
            <w:r>
              <w:t xml:space="preserve"> </w:t>
            </w:r>
            <w:r w:rsidR="001432BA">
              <w:t>BMI trajectory component), informed from low-quality clinical evidence</w:t>
            </w:r>
          </w:p>
          <w:p w14:paraId="10A4798B" w14:textId="17BFFF2A" w:rsidR="001432BA" w:rsidRPr="003F4AF6" w:rsidRDefault="007B7916" w:rsidP="004E313E">
            <w:pPr>
              <w:pStyle w:val="Tabletext0"/>
              <w:spacing w:before="0" w:after="0"/>
              <w:jc w:val="left"/>
            </w:pPr>
            <w:r w:rsidRPr="00B8101E">
              <w:t>h</w:t>
            </w:r>
            <w:r w:rsidR="001432BA" w:rsidRPr="00B8101E">
              <w:t>ighly uncertain structural assumptions including oversimplifications, and duration of treatment effect (continuing effect)</w:t>
            </w:r>
            <w:r w:rsidRPr="00B8101E">
              <w:t>,</w:t>
            </w:r>
            <w:r w:rsidR="001432BA" w:rsidRPr="00B8101E">
              <w:t xml:space="preserve"> given short duration of follow-up and the model time horizon (lifetime)</w:t>
            </w:r>
          </w:p>
          <w:p w14:paraId="10D793C1" w14:textId="3BACBB96" w:rsidR="001432BA" w:rsidRPr="003F4AF6" w:rsidRDefault="007B7916" w:rsidP="004E313E">
            <w:pPr>
              <w:pStyle w:val="Tabletext0"/>
              <w:spacing w:before="0" w:after="0"/>
              <w:jc w:val="left"/>
            </w:pPr>
            <w:r w:rsidRPr="00B8101E">
              <w:t>u</w:t>
            </w:r>
            <w:r w:rsidR="001432BA" w:rsidRPr="00B8101E">
              <w:t>ncertain impact of revision/repair (which is highly likely to be needed).</w:t>
            </w:r>
          </w:p>
        </w:tc>
        <w:tc>
          <w:tcPr>
            <w:tcW w:w="2720" w:type="pct"/>
          </w:tcPr>
          <w:p w14:paraId="53021C0E" w14:textId="5034C0F6" w:rsidR="00B25022" w:rsidRPr="00B25022" w:rsidRDefault="00B25022" w:rsidP="004E313E">
            <w:pPr>
              <w:pStyle w:val="Tabletext0"/>
              <w:spacing w:before="0" w:after="0"/>
              <w:jc w:val="left"/>
              <w:rPr>
                <w:b/>
                <w:bCs/>
              </w:rPr>
            </w:pPr>
            <w:r w:rsidRPr="00B25022">
              <w:rPr>
                <w:b/>
                <w:bCs/>
              </w:rPr>
              <w:t>Partially addressed</w:t>
            </w:r>
          </w:p>
          <w:p w14:paraId="699EB008" w14:textId="299022C5" w:rsidR="00121211" w:rsidRPr="003F4AF6" w:rsidRDefault="00805105" w:rsidP="004E313E">
            <w:pPr>
              <w:pStyle w:val="Tabletext0"/>
              <w:spacing w:before="0" w:after="0"/>
              <w:jc w:val="left"/>
            </w:pPr>
            <w:r>
              <w:t>The baseline population (sourced from the MERIT trial and validated with Australian clinicians and with the Bariatric Surgery Registry) is applicable to the proposed MBS population</w:t>
            </w:r>
            <w:r w:rsidR="008B2D65">
              <w:t>.</w:t>
            </w:r>
          </w:p>
          <w:p w14:paraId="6157C5C8" w14:textId="15B5F963" w:rsidR="00121211" w:rsidRPr="003F4AF6" w:rsidRDefault="00B95461" w:rsidP="004E313E">
            <w:pPr>
              <w:pStyle w:val="Tabletext0"/>
              <w:spacing w:before="0" w:after="0"/>
              <w:jc w:val="left"/>
            </w:pPr>
            <w:r>
              <w:t>The evidence was from the MERIT trial (direct comparative trial comparing ESG to lifestyle modification), which is appropriate. However, there is uncertainty related to treatment allocation and transition probabilities extracted from the MERIT trial</w:t>
            </w:r>
            <w:r w:rsidR="004B617A">
              <w:t>.</w:t>
            </w:r>
          </w:p>
          <w:p w14:paraId="1F0728B1" w14:textId="7B18BEB4" w:rsidR="00121211" w:rsidRPr="003F4AF6" w:rsidRDefault="6724DE5C" w:rsidP="004E313E">
            <w:pPr>
              <w:pStyle w:val="Tabletext0"/>
              <w:spacing w:before="0" w:after="0"/>
              <w:jc w:val="left"/>
            </w:pPr>
            <w:r w:rsidRPr="00B8101E">
              <w:t xml:space="preserve">The duration of treatment effects is supported by </w:t>
            </w:r>
            <w:r w:rsidR="34760E57" w:rsidRPr="00B8101E">
              <w:t xml:space="preserve">a </w:t>
            </w:r>
            <w:r w:rsidRPr="00B8101E">
              <w:t>single</w:t>
            </w:r>
            <w:r w:rsidR="307EE334" w:rsidRPr="00B8101E">
              <w:t>-</w:t>
            </w:r>
            <w:r w:rsidRPr="00B8101E">
              <w:t xml:space="preserve">arm study. However, oversimplifications </w:t>
            </w:r>
            <w:r w:rsidR="10AB3D0A" w:rsidRPr="00B8101E">
              <w:t xml:space="preserve">are made </w:t>
            </w:r>
            <w:r w:rsidRPr="00B8101E">
              <w:t>on continuing effects beyond the 5-year time horizon</w:t>
            </w:r>
            <w:r w:rsidR="4229497B" w:rsidRPr="00B8101E">
              <w:t xml:space="preserve">, and </w:t>
            </w:r>
            <w:r w:rsidR="006A0E45" w:rsidRPr="00B8101E" w:rsidDel="6724DE5C">
              <w:t>s</w:t>
            </w:r>
            <w:r w:rsidRPr="00B8101E">
              <w:t>hort-term follow-up</w:t>
            </w:r>
            <w:r w:rsidR="59E1E42A" w:rsidRPr="00B8101E">
              <w:t>.</w:t>
            </w:r>
          </w:p>
          <w:p w14:paraId="394C06D1" w14:textId="0F894739" w:rsidR="00C57C9E" w:rsidRPr="00E25CB1" w:rsidRDefault="00C57C9E" w:rsidP="004E313E">
            <w:pPr>
              <w:pStyle w:val="Tabletext0"/>
              <w:spacing w:before="0" w:after="0"/>
              <w:jc w:val="left"/>
            </w:pPr>
            <w:r w:rsidRPr="003F4AF6">
              <w:rPr>
                <w:lang w:val="en-US"/>
              </w:rPr>
              <w:t>The impact of</w:t>
            </w:r>
            <w:r w:rsidR="00121211" w:rsidRPr="003F4AF6">
              <w:rPr>
                <w:lang w:val="en-US"/>
              </w:rPr>
              <w:t xml:space="preserve"> </w:t>
            </w:r>
            <w:r w:rsidR="004166FD" w:rsidRPr="003F4AF6">
              <w:rPr>
                <w:lang w:val="en-US"/>
              </w:rPr>
              <w:t>revision surgery and</w:t>
            </w:r>
            <w:r w:rsidR="00372B71" w:rsidRPr="003F4AF6">
              <w:rPr>
                <w:lang w:val="en-US"/>
              </w:rPr>
              <w:t xml:space="preserve"> repair is not </w:t>
            </w:r>
            <w:r w:rsidR="001D10BD" w:rsidRPr="003F4AF6">
              <w:rPr>
                <w:lang w:val="en-US"/>
              </w:rPr>
              <w:t>accurately</w:t>
            </w:r>
            <w:r w:rsidR="00372B71" w:rsidRPr="003F4AF6">
              <w:rPr>
                <w:lang w:val="en-US"/>
              </w:rPr>
              <w:t xml:space="preserve"> captured in the </w:t>
            </w:r>
            <w:r w:rsidR="00545E1C" w:rsidRPr="419A36BF">
              <w:rPr>
                <w:lang w:val="en-US"/>
              </w:rPr>
              <w:t>CUA</w:t>
            </w:r>
            <w:r w:rsidR="00372B71" w:rsidRPr="003F4AF6">
              <w:rPr>
                <w:lang w:val="en-US"/>
              </w:rPr>
              <w:t xml:space="preserve"> or the cost</w:t>
            </w:r>
            <w:r w:rsidR="001D10BD" w:rsidRPr="003F4AF6">
              <w:rPr>
                <w:lang w:val="en-US"/>
              </w:rPr>
              <w:t>-</w:t>
            </w:r>
            <w:r w:rsidR="00E60D62" w:rsidRPr="003F4AF6">
              <w:rPr>
                <w:lang w:val="en-US"/>
              </w:rPr>
              <w:t xml:space="preserve">minimisation analysis. Neither model </w:t>
            </w:r>
            <w:r w:rsidR="00E60D62" w:rsidRPr="003F4AF6" w:rsidDel="00545E1C">
              <w:rPr>
                <w:lang w:val="en-US"/>
              </w:rPr>
              <w:t>consider</w:t>
            </w:r>
            <w:r w:rsidR="003D34D4" w:rsidRPr="003F4AF6" w:rsidDel="00545E1C">
              <w:rPr>
                <w:lang w:val="en-US"/>
              </w:rPr>
              <w:t>s</w:t>
            </w:r>
            <w:r w:rsidR="00545E1C" w:rsidRPr="419A36BF">
              <w:rPr>
                <w:lang w:val="en-US"/>
              </w:rPr>
              <w:t xml:space="preserve"> </w:t>
            </w:r>
            <w:r w:rsidR="00E60D62" w:rsidRPr="003F4AF6">
              <w:rPr>
                <w:lang w:val="en-US"/>
              </w:rPr>
              <w:t xml:space="preserve">ESG </w:t>
            </w:r>
            <w:r w:rsidR="00620152" w:rsidRPr="003F4AF6">
              <w:rPr>
                <w:lang w:val="en-US"/>
              </w:rPr>
              <w:t>conversion</w:t>
            </w:r>
            <w:r w:rsidR="00E60D62" w:rsidRPr="003F4AF6">
              <w:rPr>
                <w:lang w:val="en-US"/>
              </w:rPr>
              <w:t xml:space="preserve"> to </w:t>
            </w:r>
            <w:r w:rsidR="00F76CF5" w:rsidRPr="003F4AF6">
              <w:rPr>
                <w:lang w:val="en-US"/>
              </w:rPr>
              <w:t>other forms</w:t>
            </w:r>
            <w:r w:rsidR="00064C9B" w:rsidRPr="003F4AF6">
              <w:rPr>
                <w:lang w:val="en-US"/>
              </w:rPr>
              <w:t xml:space="preserve"> ba</w:t>
            </w:r>
            <w:r w:rsidR="00B65FA0" w:rsidRPr="003F4AF6">
              <w:rPr>
                <w:lang w:val="en-US"/>
              </w:rPr>
              <w:t xml:space="preserve">riatric </w:t>
            </w:r>
            <w:r w:rsidR="00064C9B" w:rsidRPr="003F4AF6">
              <w:rPr>
                <w:lang w:val="en-US"/>
              </w:rPr>
              <w:t>surgery</w:t>
            </w:r>
            <w:r w:rsidR="00B65FA0" w:rsidRPr="003F4AF6">
              <w:rPr>
                <w:lang w:val="en-US"/>
              </w:rPr>
              <w:t>.</w:t>
            </w:r>
            <w:r w:rsidR="003D34D4" w:rsidRPr="003F4AF6">
              <w:rPr>
                <w:lang w:val="en-US"/>
              </w:rPr>
              <w:t xml:space="preserve"> </w:t>
            </w:r>
            <w:r w:rsidR="00545E1C" w:rsidRPr="419A36BF">
              <w:rPr>
                <w:lang w:val="en-US"/>
              </w:rPr>
              <w:t>C</w:t>
            </w:r>
            <w:r w:rsidR="007976DF" w:rsidRPr="003F4AF6">
              <w:rPr>
                <w:lang w:val="en-US"/>
              </w:rPr>
              <w:t xml:space="preserve">osts </w:t>
            </w:r>
            <w:r w:rsidR="00B949C5" w:rsidRPr="003F4AF6">
              <w:rPr>
                <w:lang w:val="en-US"/>
              </w:rPr>
              <w:t>associated</w:t>
            </w:r>
            <w:r w:rsidR="007976DF" w:rsidRPr="003F4AF6">
              <w:rPr>
                <w:lang w:val="en-US"/>
              </w:rPr>
              <w:t xml:space="preserve"> with revision</w:t>
            </w:r>
            <w:r w:rsidR="00B949C5" w:rsidRPr="003F4AF6">
              <w:rPr>
                <w:lang w:val="en-US"/>
              </w:rPr>
              <w:t xml:space="preserve"> </w:t>
            </w:r>
            <w:r w:rsidR="007976DF" w:rsidRPr="003F4AF6">
              <w:rPr>
                <w:lang w:val="en-US"/>
              </w:rPr>
              <w:t xml:space="preserve">and </w:t>
            </w:r>
            <w:r w:rsidR="00B8742B" w:rsidRPr="003F4AF6">
              <w:rPr>
                <w:lang w:val="en-US"/>
              </w:rPr>
              <w:t>repair</w:t>
            </w:r>
            <w:r w:rsidR="007976DF" w:rsidRPr="003F4AF6">
              <w:rPr>
                <w:lang w:val="en-US"/>
              </w:rPr>
              <w:t xml:space="preserve"> surger</w:t>
            </w:r>
            <w:r w:rsidR="00B949C5" w:rsidRPr="003F4AF6">
              <w:rPr>
                <w:lang w:val="en-US"/>
              </w:rPr>
              <w:t>ies</w:t>
            </w:r>
            <w:r w:rsidR="007976DF" w:rsidRPr="003F4AF6">
              <w:rPr>
                <w:lang w:val="en-US"/>
              </w:rPr>
              <w:t xml:space="preserve"> would likely be high in patients </w:t>
            </w:r>
            <w:r w:rsidR="00545E1C" w:rsidRPr="419A36BF">
              <w:rPr>
                <w:lang w:val="en-US"/>
              </w:rPr>
              <w:t xml:space="preserve">who </w:t>
            </w:r>
            <w:r w:rsidR="007976DF" w:rsidRPr="003F4AF6">
              <w:rPr>
                <w:lang w:val="en-US"/>
              </w:rPr>
              <w:t xml:space="preserve">received ESG. </w:t>
            </w:r>
            <w:r w:rsidR="00302061" w:rsidRPr="003F4AF6">
              <w:rPr>
                <w:lang w:val="en-US"/>
              </w:rPr>
              <w:t>Alquahtani, Elamedi et al (2022)</w:t>
            </w:r>
            <w:r w:rsidR="00DD7CE8" w:rsidRPr="003F4AF6">
              <w:rPr>
                <w:lang w:val="en-US"/>
              </w:rPr>
              <w:t xml:space="preserve"> reported </w:t>
            </w:r>
            <w:r w:rsidR="005C52C3" w:rsidRPr="003F4AF6">
              <w:rPr>
                <w:lang w:val="en-US"/>
              </w:rPr>
              <w:t xml:space="preserve">that within 10 months of </w:t>
            </w:r>
            <w:r w:rsidR="001D1E57" w:rsidRPr="003F4AF6">
              <w:rPr>
                <w:lang w:val="en-US"/>
              </w:rPr>
              <w:t>receiving</w:t>
            </w:r>
            <w:r w:rsidR="005C52C3" w:rsidRPr="003F4AF6">
              <w:rPr>
                <w:lang w:val="en-US"/>
              </w:rPr>
              <w:t xml:space="preserve"> ESG, </w:t>
            </w:r>
            <w:r w:rsidR="00DD7CE8" w:rsidRPr="003F4AF6">
              <w:rPr>
                <w:lang w:val="en-US"/>
              </w:rPr>
              <w:t>2.7</w:t>
            </w:r>
            <w:r w:rsidR="0011052B" w:rsidRPr="003F4AF6">
              <w:rPr>
                <w:lang w:val="en-US"/>
              </w:rPr>
              <w:t>%</w:t>
            </w:r>
            <w:r w:rsidR="00DD7CE8" w:rsidRPr="003F4AF6">
              <w:rPr>
                <w:lang w:val="en-US"/>
              </w:rPr>
              <w:t xml:space="preserve"> </w:t>
            </w:r>
            <w:r w:rsidR="00545E1C" w:rsidRPr="419A36BF">
              <w:rPr>
                <w:lang w:val="en-US"/>
              </w:rPr>
              <w:t xml:space="preserve">of patients </w:t>
            </w:r>
            <w:r w:rsidR="00DD7CE8" w:rsidRPr="003F4AF6">
              <w:rPr>
                <w:lang w:val="en-US"/>
              </w:rPr>
              <w:t>(n</w:t>
            </w:r>
            <w:r w:rsidR="00545E1C" w:rsidRPr="419A36BF">
              <w:rPr>
                <w:lang w:val="en-US"/>
              </w:rPr>
              <w:t> </w:t>
            </w:r>
            <w:r w:rsidR="00DD7CE8" w:rsidRPr="419A36BF">
              <w:rPr>
                <w:lang w:val="en-US"/>
              </w:rPr>
              <w:t>=</w:t>
            </w:r>
            <w:r w:rsidR="00545E1C" w:rsidRPr="419A36BF">
              <w:rPr>
                <w:lang w:val="en-US"/>
              </w:rPr>
              <w:t> </w:t>
            </w:r>
            <w:r w:rsidR="00DD7CE8" w:rsidRPr="003F4AF6">
              <w:rPr>
                <w:lang w:val="en-US"/>
              </w:rPr>
              <w:t xml:space="preserve">80) </w:t>
            </w:r>
            <w:r w:rsidR="0011052B" w:rsidRPr="003F4AF6">
              <w:rPr>
                <w:lang w:val="en-US"/>
              </w:rPr>
              <w:t xml:space="preserve">underwent conversion </w:t>
            </w:r>
            <w:r w:rsidR="003A7903" w:rsidRPr="003F4AF6">
              <w:rPr>
                <w:lang w:val="en-US"/>
              </w:rPr>
              <w:t>to LSG</w:t>
            </w:r>
            <w:r w:rsidR="0075550A" w:rsidRPr="003F4AF6">
              <w:rPr>
                <w:lang w:val="en-US"/>
              </w:rPr>
              <w:t xml:space="preserve"> after </w:t>
            </w:r>
            <w:r w:rsidR="007976DF" w:rsidRPr="003F4AF6">
              <w:rPr>
                <w:lang w:val="en-US"/>
              </w:rPr>
              <w:t xml:space="preserve">not </w:t>
            </w:r>
            <w:r w:rsidR="0076509A" w:rsidRPr="003F4AF6">
              <w:rPr>
                <w:lang w:val="en-US"/>
              </w:rPr>
              <w:t>achiev</w:t>
            </w:r>
            <w:r w:rsidR="007976DF" w:rsidRPr="003F4AF6">
              <w:rPr>
                <w:lang w:val="en-US"/>
              </w:rPr>
              <w:t>ing</w:t>
            </w:r>
            <w:r w:rsidR="0076509A" w:rsidRPr="003F4AF6">
              <w:rPr>
                <w:lang w:val="en-US"/>
              </w:rPr>
              <w:t xml:space="preserve"> %TBWL of 5%</w:t>
            </w:r>
            <w:r w:rsidR="0075550A" w:rsidRPr="003F4AF6">
              <w:rPr>
                <w:lang w:val="en-US"/>
              </w:rPr>
              <w:t xml:space="preserve">. </w:t>
            </w:r>
            <w:r w:rsidR="007E65A9" w:rsidRPr="003F4AF6">
              <w:rPr>
                <w:lang w:val="en-US"/>
              </w:rPr>
              <w:t xml:space="preserve">Similarly, </w:t>
            </w:r>
            <w:r w:rsidR="005B0D4C" w:rsidRPr="003F4AF6">
              <w:rPr>
                <w:lang w:val="en-US"/>
              </w:rPr>
              <w:t>within 19 months</w:t>
            </w:r>
            <w:r w:rsidR="00545E1C" w:rsidRPr="419A36BF">
              <w:rPr>
                <w:lang w:val="en-US"/>
              </w:rPr>
              <w:t>,</w:t>
            </w:r>
            <w:r w:rsidR="005B0D4C" w:rsidRPr="003F4AF6">
              <w:rPr>
                <w:lang w:val="en-US"/>
              </w:rPr>
              <w:t xml:space="preserve"> </w:t>
            </w:r>
            <w:r w:rsidR="003409D6" w:rsidRPr="003F4AF6">
              <w:rPr>
                <w:lang w:val="en-US"/>
              </w:rPr>
              <w:t>0.9% (n</w:t>
            </w:r>
            <w:r w:rsidR="00545E1C" w:rsidRPr="419A36BF">
              <w:rPr>
                <w:lang w:val="en-US"/>
              </w:rPr>
              <w:t> </w:t>
            </w:r>
            <w:r w:rsidR="003409D6" w:rsidRPr="419A36BF">
              <w:rPr>
                <w:lang w:val="en-US"/>
              </w:rPr>
              <w:t>=</w:t>
            </w:r>
            <w:r w:rsidR="00545E1C" w:rsidRPr="419A36BF">
              <w:rPr>
                <w:lang w:val="en-US"/>
              </w:rPr>
              <w:t> </w:t>
            </w:r>
            <w:r w:rsidR="003409D6" w:rsidRPr="003F4AF6">
              <w:rPr>
                <w:lang w:val="en-US"/>
              </w:rPr>
              <w:t>28)</w:t>
            </w:r>
            <w:r w:rsidR="003409D6" w:rsidRPr="419A36BF">
              <w:rPr>
                <w:lang w:val="en-US"/>
              </w:rPr>
              <w:t xml:space="preserve"> </w:t>
            </w:r>
            <w:r w:rsidR="00545E1C" w:rsidRPr="419A36BF">
              <w:rPr>
                <w:lang w:val="en-US"/>
              </w:rPr>
              <w:t>of</w:t>
            </w:r>
            <w:r w:rsidR="00545E1C" w:rsidRPr="003F4AF6">
              <w:rPr>
                <w:lang w:val="en-US"/>
              </w:rPr>
              <w:t xml:space="preserve"> </w:t>
            </w:r>
            <w:r w:rsidR="00631B91" w:rsidRPr="003F4AF6">
              <w:rPr>
                <w:lang w:val="en-US"/>
              </w:rPr>
              <w:t xml:space="preserve">ESG </w:t>
            </w:r>
            <w:r w:rsidR="005B0D4C" w:rsidRPr="003F4AF6">
              <w:rPr>
                <w:lang w:val="en-US"/>
              </w:rPr>
              <w:t>recipients</w:t>
            </w:r>
            <w:r w:rsidR="00631B91" w:rsidRPr="003F4AF6">
              <w:rPr>
                <w:lang w:val="en-US"/>
              </w:rPr>
              <w:t xml:space="preserve"> had to undergo </w:t>
            </w:r>
            <w:r w:rsidR="00821715" w:rsidRPr="003F4AF6">
              <w:rPr>
                <w:lang w:val="en-US"/>
              </w:rPr>
              <w:t>a sub</w:t>
            </w:r>
            <w:r w:rsidR="005B0D4C" w:rsidRPr="003F4AF6">
              <w:rPr>
                <w:lang w:val="en-US"/>
              </w:rPr>
              <w:t xml:space="preserve">sequent ESG due to insufficient weight loss. </w:t>
            </w:r>
            <w:r w:rsidR="00545E1C" w:rsidRPr="419A36BF">
              <w:rPr>
                <w:lang w:val="en-US"/>
              </w:rPr>
              <w:t>No</w:t>
            </w:r>
            <w:r w:rsidR="00A02CD9" w:rsidRPr="003F4AF6">
              <w:rPr>
                <w:lang w:val="en-US"/>
              </w:rPr>
              <w:t xml:space="preserve"> LSG patients had </w:t>
            </w:r>
            <w:r w:rsidR="007976DF" w:rsidRPr="003F4AF6">
              <w:rPr>
                <w:lang w:val="en-US"/>
              </w:rPr>
              <w:t xml:space="preserve">to </w:t>
            </w:r>
            <w:r w:rsidR="00202AEA" w:rsidRPr="003F4AF6">
              <w:rPr>
                <w:lang w:val="en-US"/>
              </w:rPr>
              <w:t>undergo</w:t>
            </w:r>
            <w:r w:rsidR="007976DF" w:rsidRPr="003F4AF6">
              <w:rPr>
                <w:lang w:val="en-US"/>
              </w:rPr>
              <w:t xml:space="preserve"> </w:t>
            </w:r>
            <w:r w:rsidR="001F504A" w:rsidRPr="003F4AF6">
              <w:rPr>
                <w:lang w:val="en-US"/>
              </w:rPr>
              <w:t xml:space="preserve">conversion </w:t>
            </w:r>
            <w:r w:rsidR="002F79B4" w:rsidRPr="003F4AF6">
              <w:rPr>
                <w:lang w:val="en-US"/>
              </w:rPr>
              <w:t xml:space="preserve">surgery due to </w:t>
            </w:r>
            <w:r w:rsidR="00BA6EE4" w:rsidRPr="003F4AF6">
              <w:rPr>
                <w:lang w:val="en-US"/>
              </w:rPr>
              <w:t>weight regain over 5%</w:t>
            </w:r>
            <w:r w:rsidR="00CF6A24">
              <w:rPr>
                <w:lang w:val="en-US"/>
              </w:rPr>
              <w:t xml:space="preserve"> TBWL</w:t>
            </w:r>
            <w:r w:rsidR="00BA6EE4" w:rsidRPr="003F4AF6">
              <w:rPr>
                <w:lang w:val="en-US"/>
              </w:rPr>
              <w:t xml:space="preserve"> within </w:t>
            </w:r>
            <w:r w:rsidR="00566AB5" w:rsidRPr="003F4AF6">
              <w:rPr>
                <w:lang w:val="en-US"/>
              </w:rPr>
              <w:t>10 months</w:t>
            </w:r>
            <w:r w:rsidR="00545E1C" w:rsidRPr="419A36BF">
              <w:rPr>
                <w:lang w:val="en-US"/>
              </w:rPr>
              <w:t>; h</w:t>
            </w:r>
            <w:r w:rsidR="00566AB5" w:rsidRPr="00E25CB1">
              <w:rPr>
                <w:lang w:val="en-US"/>
              </w:rPr>
              <w:t>owever</w:t>
            </w:r>
            <w:r w:rsidR="00B949C5" w:rsidRPr="00E25CB1">
              <w:rPr>
                <w:lang w:val="en-US"/>
              </w:rPr>
              <w:t>,</w:t>
            </w:r>
            <w:r w:rsidR="00E56A32" w:rsidRPr="00E25CB1">
              <w:rPr>
                <w:lang w:val="en-US"/>
              </w:rPr>
              <w:t xml:space="preserve"> 3</w:t>
            </w:r>
            <w:r w:rsidR="00545E1C" w:rsidRPr="419A36BF">
              <w:rPr>
                <w:lang w:val="en-US"/>
              </w:rPr>
              <w:t xml:space="preserve"> </w:t>
            </w:r>
            <w:r w:rsidR="00E56A32" w:rsidRPr="00E25CB1">
              <w:rPr>
                <w:lang w:val="en-US"/>
              </w:rPr>
              <w:t xml:space="preserve">LSG </w:t>
            </w:r>
            <w:r w:rsidR="00B949C5" w:rsidRPr="00E25CB1">
              <w:rPr>
                <w:lang w:val="en-US"/>
              </w:rPr>
              <w:t>recipients</w:t>
            </w:r>
            <w:r w:rsidR="00E56A32" w:rsidRPr="00E25CB1">
              <w:rPr>
                <w:lang w:val="en-US"/>
              </w:rPr>
              <w:t xml:space="preserve"> had to undergo </w:t>
            </w:r>
            <w:r w:rsidR="00566AB5" w:rsidRPr="00E25CB1">
              <w:rPr>
                <w:lang w:val="en-US"/>
              </w:rPr>
              <w:t>Roux-en-</w:t>
            </w:r>
            <w:r w:rsidR="009B1F05">
              <w:rPr>
                <w:lang w:val="en-US"/>
              </w:rPr>
              <w:t>Y</w:t>
            </w:r>
            <w:r w:rsidR="00566AB5" w:rsidRPr="00E25CB1">
              <w:rPr>
                <w:lang w:val="en-US"/>
              </w:rPr>
              <w:t xml:space="preserve"> gastric bypass and 1 underwent endoscopic stenting</w:t>
            </w:r>
            <w:r w:rsidR="00E56A32" w:rsidRPr="00E25CB1">
              <w:rPr>
                <w:lang w:val="en-US"/>
              </w:rPr>
              <w:t>, due to</w:t>
            </w:r>
            <w:r w:rsidR="00B949C5" w:rsidRPr="00E25CB1">
              <w:rPr>
                <w:lang w:val="en-US"/>
              </w:rPr>
              <w:t xml:space="preserve"> suffering</w:t>
            </w:r>
            <w:r w:rsidR="00E56A32" w:rsidRPr="00E25CB1">
              <w:rPr>
                <w:lang w:val="en-US"/>
              </w:rPr>
              <w:t xml:space="preserve"> </w:t>
            </w:r>
            <w:r w:rsidR="007A0FF5" w:rsidRPr="00E25CB1">
              <w:rPr>
                <w:lang w:val="en-US"/>
              </w:rPr>
              <w:t>staple</w:t>
            </w:r>
            <w:r w:rsidR="00545E1C" w:rsidRPr="419A36BF">
              <w:rPr>
                <w:lang w:val="en-US"/>
              </w:rPr>
              <w:t>-</w:t>
            </w:r>
            <w:r w:rsidR="007A0FF5" w:rsidRPr="00E25CB1">
              <w:rPr>
                <w:lang w:val="en-US"/>
              </w:rPr>
              <w:t>line leaks</w:t>
            </w:r>
            <w:r w:rsidR="00B949C5" w:rsidRPr="00E25CB1">
              <w:rPr>
                <w:lang w:val="en-US"/>
              </w:rPr>
              <w:t>.</w:t>
            </w:r>
          </w:p>
        </w:tc>
      </w:tr>
      <w:tr w:rsidR="001432BA" w14:paraId="5EE4578F" w14:textId="77777777" w:rsidTr="2AA1CA0C">
        <w:tc>
          <w:tcPr>
            <w:tcW w:w="908" w:type="pct"/>
          </w:tcPr>
          <w:p w14:paraId="1BDF721B" w14:textId="77777777" w:rsidR="001432BA" w:rsidRPr="00B8101E" w:rsidRDefault="001432BA" w:rsidP="004E313E">
            <w:pPr>
              <w:pStyle w:val="Tabletext0"/>
              <w:spacing w:before="0" w:after="0"/>
              <w:jc w:val="left"/>
            </w:pPr>
            <w:r w:rsidRPr="00B8101E">
              <w:t>Uncertain Financial Impact</w:t>
            </w:r>
          </w:p>
        </w:tc>
        <w:tc>
          <w:tcPr>
            <w:tcW w:w="1372" w:type="pct"/>
          </w:tcPr>
          <w:p w14:paraId="6869BB84" w14:textId="0ADC4FF7" w:rsidR="001432BA" w:rsidRPr="00B8101E" w:rsidRDefault="001432BA" w:rsidP="004E313E">
            <w:pPr>
              <w:pStyle w:val="Tabletext0"/>
              <w:spacing w:before="0" w:after="0"/>
              <w:jc w:val="left"/>
            </w:pPr>
            <w:r w:rsidRPr="00B8101E">
              <w:t>Potential for net cost to be overestimated due to</w:t>
            </w:r>
            <w:r w:rsidR="00545E1C" w:rsidRPr="00B8101E">
              <w:t xml:space="preserve"> o</w:t>
            </w:r>
            <w:r w:rsidRPr="00B8101E">
              <w:t>verestimated eligible population (uptake rate, comorbidities derived from population with BMI &gt;35</w:t>
            </w:r>
            <w:r w:rsidR="00E17C70" w:rsidRPr="00B8101E">
              <w:t> </w:t>
            </w:r>
            <w:r w:rsidRPr="00B8101E">
              <w:t>kg/m2</w:t>
            </w:r>
            <w:r w:rsidR="00E17C70" w:rsidRPr="00B8101E">
              <w:t>)</w:t>
            </w:r>
            <w:r w:rsidR="00352F90" w:rsidRPr="00B8101E">
              <w:t>. Also</w:t>
            </w:r>
            <w:r w:rsidRPr="00B8101E" w:rsidDel="00352F90">
              <w:t>,</w:t>
            </w:r>
            <w:r w:rsidRPr="00B8101E">
              <w:t xml:space="preserve"> the cost of ESG revision/repair was not included and potential leakage may be possible (particularly in patients without comorbidities).</w:t>
            </w:r>
          </w:p>
        </w:tc>
        <w:tc>
          <w:tcPr>
            <w:tcW w:w="2720" w:type="pct"/>
          </w:tcPr>
          <w:p w14:paraId="4EE47BF0" w14:textId="79577CB7" w:rsidR="008E42A5" w:rsidRPr="00EC6405" w:rsidRDefault="008E42A5" w:rsidP="004E313E">
            <w:pPr>
              <w:pStyle w:val="Tabletext0"/>
              <w:spacing w:before="0" w:after="0"/>
              <w:jc w:val="left"/>
              <w:rPr>
                <w:b/>
                <w:bCs/>
                <w:lang w:val="en-US"/>
              </w:rPr>
            </w:pPr>
            <w:r w:rsidRPr="00EC6405">
              <w:rPr>
                <w:b/>
                <w:bCs/>
                <w:lang w:val="en-US"/>
              </w:rPr>
              <w:t>Partially addressed</w:t>
            </w:r>
          </w:p>
          <w:p w14:paraId="21487249" w14:textId="6EC67788" w:rsidR="001432BA" w:rsidRPr="00B8101E" w:rsidRDefault="00A57C07" w:rsidP="004E313E">
            <w:pPr>
              <w:pStyle w:val="Tabletext0"/>
              <w:spacing w:before="0" w:after="0"/>
              <w:jc w:val="left"/>
            </w:pPr>
            <w:r w:rsidRPr="419A36BF">
              <w:rPr>
                <w:lang w:val="en-US"/>
              </w:rPr>
              <w:t>The f</w:t>
            </w:r>
            <w:r w:rsidR="2CAD12AD" w:rsidRPr="419A36BF">
              <w:rPr>
                <w:lang w:val="en-US"/>
              </w:rPr>
              <w:t xml:space="preserve">inancial </w:t>
            </w:r>
            <w:r w:rsidRPr="419A36BF">
              <w:rPr>
                <w:lang w:val="en-US"/>
              </w:rPr>
              <w:t>analysis used a</w:t>
            </w:r>
            <w:r w:rsidR="64D7E62A" w:rsidRPr="419A36BF">
              <w:rPr>
                <w:lang w:val="en-US"/>
              </w:rPr>
              <w:t xml:space="preserve"> market share approach, </w:t>
            </w:r>
            <w:r w:rsidR="00103953" w:rsidRPr="419A36BF">
              <w:rPr>
                <w:lang w:val="en-US"/>
              </w:rPr>
              <w:t xml:space="preserve">defining the market </w:t>
            </w:r>
            <w:r w:rsidR="00B74556" w:rsidRPr="419A36BF">
              <w:rPr>
                <w:lang w:val="en-US"/>
              </w:rPr>
              <w:t>based on</w:t>
            </w:r>
            <w:r w:rsidR="64D7E62A" w:rsidRPr="419A36BF">
              <w:rPr>
                <w:lang w:val="en-US"/>
              </w:rPr>
              <w:t xml:space="preserve"> </w:t>
            </w:r>
            <w:r w:rsidR="56BC46CD" w:rsidRPr="419A36BF">
              <w:rPr>
                <w:lang w:val="en-US"/>
              </w:rPr>
              <w:t xml:space="preserve">the number of patients </w:t>
            </w:r>
            <w:r w:rsidR="00103953" w:rsidRPr="419A36BF">
              <w:rPr>
                <w:lang w:val="en-US"/>
              </w:rPr>
              <w:t>currently</w:t>
            </w:r>
            <w:r w:rsidR="56BC46CD" w:rsidRPr="419A36BF">
              <w:rPr>
                <w:lang w:val="en-US"/>
              </w:rPr>
              <w:t xml:space="preserve"> accessing LSG </w:t>
            </w:r>
            <w:r w:rsidR="7D30B4FB" w:rsidRPr="419A36BF">
              <w:rPr>
                <w:lang w:val="en-US"/>
              </w:rPr>
              <w:t xml:space="preserve">through the </w:t>
            </w:r>
            <w:r w:rsidR="56BC46CD" w:rsidRPr="419A36BF">
              <w:rPr>
                <w:lang w:val="en-US"/>
              </w:rPr>
              <w:t>MBS</w:t>
            </w:r>
            <w:r w:rsidR="005C2C75" w:rsidRPr="419A36BF">
              <w:rPr>
                <w:lang w:val="en-US"/>
              </w:rPr>
              <w:t xml:space="preserve"> (item 31</w:t>
            </w:r>
            <w:r w:rsidR="00EB787B" w:rsidRPr="419A36BF">
              <w:rPr>
                <w:lang w:val="en-US"/>
              </w:rPr>
              <w:t>575)</w:t>
            </w:r>
            <w:r w:rsidR="00B74556" w:rsidRPr="419A36BF">
              <w:rPr>
                <w:lang w:val="en-US"/>
              </w:rPr>
              <w:t>. The analysis considered</w:t>
            </w:r>
            <w:r w:rsidR="000F05B9" w:rsidRPr="419A36BF">
              <w:rPr>
                <w:lang w:val="en-US"/>
              </w:rPr>
              <w:t xml:space="preserve"> </w:t>
            </w:r>
            <w:r w:rsidR="00812938" w:rsidRPr="419A36BF">
              <w:rPr>
                <w:lang w:val="en-US"/>
              </w:rPr>
              <w:t>that a</w:t>
            </w:r>
            <w:r w:rsidR="000F05B9" w:rsidRPr="419A36BF">
              <w:rPr>
                <w:lang w:val="en-US"/>
              </w:rPr>
              <w:t xml:space="preserve"> proportion </w:t>
            </w:r>
            <w:r w:rsidR="00812938" w:rsidRPr="419A36BF">
              <w:rPr>
                <w:lang w:val="en-US"/>
              </w:rPr>
              <w:t>of these patients would substitute to ESG should it be listed</w:t>
            </w:r>
            <w:r w:rsidR="56BC46CD" w:rsidRPr="419A36BF">
              <w:rPr>
                <w:lang w:val="en-US"/>
              </w:rPr>
              <w:t xml:space="preserve">. </w:t>
            </w:r>
            <w:r w:rsidR="00812938" w:rsidRPr="419A36BF">
              <w:rPr>
                <w:lang w:val="en-US"/>
              </w:rPr>
              <w:t>In addition</w:t>
            </w:r>
            <w:r w:rsidR="56BC46CD" w:rsidRPr="419A36BF">
              <w:rPr>
                <w:lang w:val="en-US"/>
              </w:rPr>
              <w:t xml:space="preserve">, </w:t>
            </w:r>
            <w:r w:rsidR="00340147" w:rsidRPr="419A36BF">
              <w:rPr>
                <w:lang w:val="en-US"/>
              </w:rPr>
              <w:t>a</w:t>
            </w:r>
            <w:r w:rsidR="56BC46CD" w:rsidRPr="419A36BF">
              <w:rPr>
                <w:lang w:val="en-US"/>
              </w:rPr>
              <w:t xml:space="preserve"> </w:t>
            </w:r>
            <w:r w:rsidR="66CEA78B" w:rsidRPr="419A36BF">
              <w:rPr>
                <w:lang w:val="en-US"/>
              </w:rPr>
              <w:t xml:space="preserve">market growth rate </w:t>
            </w:r>
            <w:r w:rsidR="00340147" w:rsidRPr="419A36BF">
              <w:rPr>
                <w:lang w:val="en-US"/>
              </w:rPr>
              <w:t xml:space="preserve">percentage </w:t>
            </w:r>
            <w:r w:rsidR="00FE4509" w:rsidRPr="419A36BF">
              <w:rPr>
                <w:lang w:val="en-US"/>
              </w:rPr>
              <w:t>was applied to account for</w:t>
            </w:r>
            <w:r w:rsidR="7D30B4FB" w:rsidRPr="419A36BF">
              <w:rPr>
                <w:lang w:val="en-US"/>
              </w:rPr>
              <w:t xml:space="preserve"> </w:t>
            </w:r>
            <w:r w:rsidR="000C2815" w:rsidRPr="419A36BF">
              <w:rPr>
                <w:lang w:val="en-US"/>
              </w:rPr>
              <w:t>uptake of ESG among patients who would otherwise not have opted to undergo</w:t>
            </w:r>
            <w:r w:rsidR="00DB26B9" w:rsidRPr="419A36BF">
              <w:rPr>
                <w:lang w:val="en-US"/>
              </w:rPr>
              <w:t xml:space="preserve"> bariatric surgery</w:t>
            </w:r>
            <w:r w:rsidR="7D30B4FB" w:rsidRPr="419A36BF">
              <w:rPr>
                <w:lang w:val="en-US"/>
              </w:rPr>
              <w:t xml:space="preserve">. </w:t>
            </w:r>
          </w:p>
          <w:p w14:paraId="79C83B2D" w14:textId="77777777" w:rsidR="007D087B" w:rsidRPr="00B8101E" w:rsidRDefault="0006073A" w:rsidP="004E313E">
            <w:pPr>
              <w:pStyle w:val="Tabletext0"/>
              <w:spacing w:before="0" w:after="0"/>
              <w:jc w:val="left"/>
            </w:pPr>
            <w:r w:rsidRPr="00B8101E">
              <w:t>This approach differs to the epidemiological approach used in the prior application (</w:t>
            </w:r>
            <w:r w:rsidR="000B37DB" w:rsidRPr="00B8101E">
              <w:t>Application 1555).</w:t>
            </w:r>
            <w:r w:rsidR="00E614DA" w:rsidRPr="00B8101E">
              <w:t xml:space="preserve"> </w:t>
            </w:r>
          </w:p>
          <w:p w14:paraId="1AE0F4A1" w14:textId="207E165F" w:rsidR="005F4AEE" w:rsidRPr="00B8101E" w:rsidRDefault="004C02D6" w:rsidP="004E313E">
            <w:pPr>
              <w:pStyle w:val="Tabletext0"/>
              <w:spacing w:before="0" w:after="0"/>
              <w:jc w:val="left"/>
            </w:pPr>
            <w:r w:rsidRPr="00B8101E">
              <w:t xml:space="preserve">Expert advice provided in the PICO for </w:t>
            </w:r>
            <w:r w:rsidR="00BA26D7">
              <w:t>A</w:t>
            </w:r>
            <w:r w:rsidRPr="00B8101E">
              <w:t xml:space="preserve">pplication 1555.1 was that 10–20% of eligible patients may be willing to undergo ESG, as opposed to 1% who would consider bariatric surgery. Presumably, estimating service numbers as a percentage of MBS item 31575 utilisation risks underestimating ESG </w:t>
            </w:r>
            <w:r w:rsidR="007D087B" w:rsidRPr="00B8101E">
              <w:t>uptake</w:t>
            </w:r>
            <w:r w:rsidRPr="00B8101E">
              <w:t>.</w:t>
            </w:r>
          </w:p>
          <w:p w14:paraId="3B4B9D75" w14:textId="21957685" w:rsidR="001432BA" w:rsidRPr="00B8101E" w:rsidRDefault="7BC62E3C" w:rsidP="004E313E">
            <w:pPr>
              <w:pStyle w:val="Tabletext0"/>
              <w:spacing w:before="0" w:after="0"/>
              <w:jc w:val="left"/>
            </w:pPr>
            <w:r w:rsidRPr="419A36BF">
              <w:rPr>
                <w:lang w:val="en-US"/>
              </w:rPr>
              <w:t xml:space="preserve">The cost of </w:t>
            </w:r>
            <w:r w:rsidR="004C02D6" w:rsidRPr="419A36BF">
              <w:rPr>
                <w:lang w:val="en-US"/>
              </w:rPr>
              <w:t xml:space="preserve">ESG </w:t>
            </w:r>
            <w:r w:rsidRPr="419A36BF">
              <w:rPr>
                <w:lang w:val="en-US"/>
              </w:rPr>
              <w:t>repair</w:t>
            </w:r>
            <w:r w:rsidR="00CC00E9" w:rsidRPr="419A36BF">
              <w:rPr>
                <w:lang w:val="en-US"/>
              </w:rPr>
              <w:t xml:space="preserve">s and </w:t>
            </w:r>
            <w:r w:rsidRPr="419A36BF">
              <w:rPr>
                <w:lang w:val="en-US"/>
              </w:rPr>
              <w:t xml:space="preserve">revisions </w:t>
            </w:r>
            <w:r w:rsidR="72B89C1E" w:rsidRPr="419A36BF">
              <w:rPr>
                <w:lang w:val="en-US"/>
              </w:rPr>
              <w:t>are still lacking in the analysis</w:t>
            </w:r>
            <w:r w:rsidR="3379F896" w:rsidRPr="419A36BF">
              <w:rPr>
                <w:lang w:val="en-US"/>
              </w:rPr>
              <w:t>, indica</w:t>
            </w:r>
            <w:r w:rsidR="3A5CD738" w:rsidRPr="419A36BF">
              <w:rPr>
                <w:lang w:val="en-US"/>
              </w:rPr>
              <w:t>ting underestimation of net cost</w:t>
            </w:r>
            <w:r w:rsidR="72B89C1E" w:rsidRPr="419A36BF">
              <w:rPr>
                <w:lang w:val="en-US"/>
              </w:rPr>
              <w:t>. The estimation was</w:t>
            </w:r>
            <w:r w:rsidR="19ECD624" w:rsidRPr="419A36BF">
              <w:rPr>
                <w:lang w:val="en-US"/>
              </w:rPr>
              <w:t xml:space="preserve"> based on the </w:t>
            </w:r>
            <w:r w:rsidR="68BBE04D" w:rsidRPr="419A36BF">
              <w:rPr>
                <w:lang w:val="en-US"/>
              </w:rPr>
              <w:t xml:space="preserve">cost of </w:t>
            </w:r>
            <w:r w:rsidR="00FE4AA2" w:rsidRPr="419A36BF">
              <w:rPr>
                <w:lang w:val="en-US"/>
              </w:rPr>
              <w:t xml:space="preserve">the </w:t>
            </w:r>
            <w:r w:rsidR="000657C4" w:rsidRPr="419A36BF">
              <w:rPr>
                <w:lang w:val="en-US"/>
              </w:rPr>
              <w:t>initial</w:t>
            </w:r>
            <w:r w:rsidR="00FE4AA2" w:rsidRPr="419A36BF">
              <w:rPr>
                <w:lang w:val="en-US"/>
              </w:rPr>
              <w:t xml:space="preserve"> </w:t>
            </w:r>
            <w:r w:rsidR="68BBE04D" w:rsidRPr="419A36BF">
              <w:rPr>
                <w:lang w:val="en-US"/>
              </w:rPr>
              <w:t>procedure only</w:t>
            </w:r>
            <w:r w:rsidR="0063538A">
              <w:rPr>
                <w:lang w:val="en-US"/>
              </w:rPr>
              <w:t>,</w:t>
            </w:r>
            <w:r w:rsidR="68BBE04D" w:rsidRPr="419A36BF">
              <w:rPr>
                <w:lang w:val="en-US"/>
              </w:rPr>
              <w:t xml:space="preserve"> which indicates </w:t>
            </w:r>
            <w:r w:rsidR="2C3E8C93" w:rsidRPr="419A36BF">
              <w:rPr>
                <w:lang w:val="en-US"/>
              </w:rPr>
              <w:t>uncertainties on the budget estimation including the pattern of healthcare utili</w:t>
            </w:r>
            <w:r w:rsidR="36D9E85E" w:rsidRPr="419A36BF">
              <w:rPr>
                <w:lang w:val="en-US"/>
              </w:rPr>
              <w:t>s</w:t>
            </w:r>
            <w:r w:rsidR="2C3E8C93" w:rsidRPr="419A36BF">
              <w:rPr>
                <w:lang w:val="en-US"/>
              </w:rPr>
              <w:t xml:space="preserve">ation and cost-saving. </w:t>
            </w:r>
          </w:p>
        </w:tc>
      </w:tr>
    </w:tbl>
    <w:p w14:paraId="13221CB6" w14:textId="5AAD07C6" w:rsidR="004E3148" w:rsidRPr="003526EA" w:rsidRDefault="00887649" w:rsidP="00B3616C">
      <w:pPr>
        <w:pStyle w:val="TableFigureFooter"/>
        <w:spacing w:after="0"/>
      </w:pPr>
      <w:r w:rsidRPr="00D76EFB">
        <w:t>Abbreviations:</w:t>
      </w:r>
      <w:r>
        <w:rPr>
          <w:b/>
          <w:bCs/>
        </w:rPr>
        <w:t xml:space="preserve"> </w:t>
      </w:r>
      <w:r w:rsidR="00DF7EA7" w:rsidRPr="00D76EFB">
        <w:t>AE</w:t>
      </w:r>
      <w:r w:rsidR="00DF7EA7">
        <w:rPr>
          <w:b/>
          <w:bCs/>
        </w:rPr>
        <w:t xml:space="preserve">: </w:t>
      </w:r>
      <w:r w:rsidR="00DF7EA7" w:rsidRPr="003526EA">
        <w:t xml:space="preserve">adverse event; </w:t>
      </w:r>
      <w:r w:rsidR="00221D55" w:rsidRPr="00D76EFB">
        <w:t>AGB:</w:t>
      </w:r>
      <w:r w:rsidR="00221D55" w:rsidRPr="003526EA">
        <w:t xml:space="preserve"> </w:t>
      </w:r>
      <w:r w:rsidR="00DD081C" w:rsidRPr="003526EA">
        <w:t>a</w:t>
      </w:r>
      <w:r w:rsidR="00221D55" w:rsidRPr="003526EA">
        <w:t xml:space="preserve">djustable </w:t>
      </w:r>
      <w:r w:rsidR="00DD081C" w:rsidRPr="003526EA">
        <w:t>g</w:t>
      </w:r>
      <w:r w:rsidR="00221D55" w:rsidRPr="003526EA">
        <w:t>astric</w:t>
      </w:r>
      <w:r w:rsidR="00DD081C" w:rsidRPr="003526EA">
        <w:t xml:space="preserve"> b</w:t>
      </w:r>
      <w:r w:rsidR="00221D55" w:rsidRPr="003526EA">
        <w:t xml:space="preserve">anding; </w:t>
      </w:r>
      <w:r w:rsidR="00221D55" w:rsidRPr="00D76EFB">
        <w:t>BMI:</w:t>
      </w:r>
      <w:r w:rsidR="00221D55" w:rsidRPr="003526EA">
        <w:t xml:space="preserve"> </w:t>
      </w:r>
      <w:r w:rsidR="00A13764" w:rsidRPr="003526EA">
        <w:t>b</w:t>
      </w:r>
      <w:r w:rsidR="00221D55" w:rsidRPr="003526EA">
        <w:t xml:space="preserve">ody </w:t>
      </w:r>
      <w:r w:rsidR="00A13764" w:rsidRPr="003526EA">
        <w:t>m</w:t>
      </w:r>
      <w:r w:rsidR="00221D55" w:rsidRPr="003526EA">
        <w:t xml:space="preserve">ass </w:t>
      </w:r>
      <w:r w:rsidR="00A13764" w:rsidRPr="003526EA">
        <w:t>i</w:t>
      </w:r>
      <w:r w:rsidR="00221D55" w:rsidRPr="003526EA">
        <w:t xml:space="preserve">ndex; </w:t>
      </w:r>
      <w:r w:rsidR="00221D55" w:rsidRPr="00D76EFB">
        <w:t>CUA:</w:t>
      </w:r>
      <w:r w:rsidR="00221D55" w:rsidRPr="003526EA">
        <w:t xml:space="preserve"> </w:t>
      </w:r>
      <w:r w:rsidR="003C7C26" w:rsidRPr="003526EA">
        <w:t>c</w:t>
      </w:r>
      <w:r w:rsidR="00221D55" w:rsidRPr="003526EA">
        <w:t>ost-</w:t>
      </w:r>
      <w:r w:rsidR="003C7C26" w:rsidRPr="003526EA">
        <w:t>u</w:t>
      </w:r>
      <w:r w:rsidR="00221D55" w:rsidRPr="003526EA">
        <w:t xml:space="preserve">tility </w:t>
      </w:r>
      <w:r w:rsidR="003C7C26" w:rsidRPr="003526EA">
        <w:t>a</w:t>
      </w:r>
      <w:r w:rsidR="00221D55" w:rsidRPr="003526EA">
        <w:t xml:space="preserve">nalysis; </w:t>
      </w:r>
      <w:r w:rsidR="00221D55" w:rsidRPr="00D76EFB">
        <w:t>ESC:</w:t>
      </w:r>
      <w:r w:rsidR="00221D55" w:rsidRPr="003526EA">
        <w:t xml:space="preserve"> Evaluation Sub-Committee; </w:t>
      </w:r>
      <w:r w:rsidR="00221D55" w:rsidRPr="00D76EFB">
        <w:t>ESG:</w:t>
      </w:r>
      <w:r w:rsidR="00221D55" w:rsidRPr="003526EA">
        <w:t xml:space="preserve"> </w:t>
      </w:r>
      <w:r w:rsidR="000B73D0" w:rsidRPr="003526EA">
        <w:t>e</w:t>
      </w:r>
      <w:r w:rsidR="00221D55" w:rsidRPr="003526EA">
        <w:t xml:space="preserve">ndoscopic </w:t>
      </w:r>
      <w:r w:rsidR="000B73D0" w:rsidRPr="003526EA">
        <w:t>s</w:t>
      </w:r>
      <w:r w:rsidR="00221D55" w:rsidRPr="003526EA">
        <w:t xml:space="preserve">leeve </w:t>
      </w:r>
      <w:r w:rsidR="000B73D0" w:rsidRPr="003526EA">
        <w:t>g</w:t>
      </w:r>
      <w:r w:rsidR="00221D55" w:rsidRPr="003526EA">
        <w:t xml:space="preserve">astroplasty; </w:t>
      </w:r>
      <w:r w:rsidR="00765FCE" w:rsidRPr="00D76EFB">
        <w:t xml:space="preserve">LSG: </w:t>
      </w:r>
      <w:r w:rsidR="00765FCE">
        <w:t>laparoscopic sleeve gastrectomy;</w:t>
      </w:r>
      <w:r w:rsidR="00765FCE" w:rsidRPr="00D76EFB">
        <w:t xml:space="preserve"> </w:t>
      </w:r>
      <w:r w:rsidR="00221D55" w:rsidRPr="00D76EFB">
        <w:t>MBS:</w:t>
      </w:r>
      <w:r w:rsidR="00221D55" w:rsidRPr="003526EA">
        <w:t xml:space="preserve"> Medicare Benefits Schedule; </w:t>
      </w:r>
      <w:r w:rsidR="00221D55" w:rsidRPr="00D76EFB">
        <w:t>MSAC:</w:t>
      </w:r>
      <w:r w:rsidR="00221D55" w:rsidRPr="003526EA">
        <w:t xml:space="preserve"> Medical Services Advisory Committee; </w:t>
      </w:r>
      <w:r w:rsidR="00221D55" w:rsidRPr="00D76EFB">
        <w:t>PICO:</w:t>
      </w:r>
      <w:r w:rsidR="00221D55" w:rsidRPr="003526EA">
        <w:t xml:space="preserve"> Population, Intervention, Comparator, Outcome; </w:t>
      </w:r>
      <w:r w:rsidR="00221D55" w:rsidRPr="00D76EFB">
        <w:t>RCT:</w:t>
      </w:r>
      <w:r w:rsidR="00221D55" w:rsidRPr="003526EA">
        <w:t xml:space="preserve"> </w:t>
      </w:r>
      <w:r w:rsidR="004E3148" w:rsidRPr="003526EA">
        <w:t>r</w:t>
      </w:r>
      <w:r w:rsidR="00221D55" w:rsidRPr="003526EA">
        <w:t>andomi</w:t>
      </w:r>
      <w:r w:rsidR="00E65CE5" w:rsidRPr="003526EA">
        <w:t>s</w:t>
      </w:r>
      <w:r w:rsidR="00221D55" w:rsidRPr="003526EA">
        <w:t xml:space="preserve">ed </w:t>
      </w:r>
      <w:r w:rsidR="004E3148" w:rsidRPr="003526EA">
        <w:t>c</w:t>
      </w:r>
      <w:r w:rsidR="00221D55" w:rsidRPr="003526EA">
        <w:t xml:space="preserve">ontrolled </w:t>
      </w:r>
      <w:r w:rsidR="004E3148" w:rsidRPr="003526EA">
        <w:t>t</w:t>
      </w:r>
      <w:r w:rsidR="00221D55" w:rsidRPr="003526EA">
        <w:t xml:space="preserve">rial; </w:t>
      </w:r>
      <w:r w:rsidR="00221D55" w:rsidRPr="00D76EFB">
        <w:t>SG:</w:t>
      </w:r>
      <w:r w:rsidR="00221D55" w:rsidRPr="003526EA">
        <w:t xml:space="preserve"> </w:t>
      </w:r>
      <w:r w:rsidR="00DD081C" w:rsidRPr="003526EA">
        <w:t>s</w:t>
      </w:r>
      <w:r w:rsidR="00221D55" w:rsidRPr="003526EA">
        <w:t xml:space="preserve">leeve </w:t>
      </w:r>
      <w:r w:rsidR="00DD081C" w:rsidRPr="003526EA">
        <w:t>g</w:t>
      </w:r>
      <w:r w:rsidR="00221D55" w:rsidRPr="003526EA">
        <w:t>astrectomy</w:t>
      </w:r>
      <w:r w:rsidR="00245B0D" w:rsidRPr="003526EA">
        <w:t xml:space="preserve">; </w:t>
      </w:r>
      <w:r w:rsidR="00245B0D" w:rsidRPr="00D76EFB">
        <w:t>%TBWL</w:t>
      </w:r>
      <w:r w:rsidR="00245B0D" w:rsidRPr="003526EA">
        <w:t>: total body weight loss</w:t>
      </w:r>
    </w:p>
    <w:p w14:paraId="5556933E" w14:textId="443DB2D4" w:rsidR="001432BA" w:rsidRPr="00CE28E3" w:rsidRDefault="00D375AF" w:rsidP="002A7643">
      <w:pPr>
        <w:pStyle w:val="TableFigureFooter"/>
        <w:spacing w:before="0"/>
      </w:pPr>
      <w:r w:rsidRPr="00D76EFB">
        <w:t>Source:</w:t>
      </w:r>
      <w:r>
        <w:t xml:space="preserve"> P</w:t>
      </w:r>
      <w:r w:rsidR="00B3616C">
        <w:t xml:space="preserve">ublic </w:t>
      </w:r>
      <w:r>
        <w:t>S</w:t>
      </w:r>
      <w:r w:rsidR="00B3616C">
        <w:t xml:space="preserve">ummary </w:t>
      </w:r>
      <w:r>
        <w:t>D</w:t>
      </w:r>
      <w:r w:rsidR="002778E8">
        <w:t>ocument</w:t>
      </w:r>
      <w:r>
        <w:t xml:space="preserve"> for </w:t>
      </w:r>
      <w:r w:rsidR="002778E8">
        <w:t xml:space="preserve">MSAC Application </w:t>
      </w:r>
      <w:r>
        <w:t>1555; Table 1-2 from ADAR</w:t>
      </w:r>
    </w:p>
    <w:p w14:paraId="6F52500A" w14:textId="73116A59" w:rsidR="00772829" w:rsidRPr="00CE28E3" w:rsidRDefault="00772829" w:rsidP="00361335">
      <w:pPr>
        <w:pStyle w:val="Heading2"/>
        <w:numPr>
          <w:ilvl w:val="0"/>
          <w:numId w:val="26"/>
        </w:numPr>
        <w:ind w:hanging="720"/>
      </w:pPr>
      <w:bookmarkStart w:id="10" w:name="_Toc69491417"/>
      <w:bookmarkStart w:id="11" w:name="_Ref187415391"/>
      <w:bookmarkEnd w:id="8"/>
      <w:r w:rsidRPr="00CE28E3">
        <w:t>Prerequisites to implementation of any funding advice</w:t>
      </w:r>
      <w:bookmarkEnd w:id="10"/>
      <w:bookmarkEnd w:id="11"/>
    </w:p>
    <w:p w14:paraId="57842240" w14:textId="0A634843" w:rsidR="00C42277" w:rsidRDefault="00C42277" w:rsidP="00E76AE0">
      <w:pPr>
        <w:pStyle w:val="Instructionaltext"/>
        <w:rPr>
          <w:color w:val="auto"/>
        </w:rPr>
      </w:pPr>
      <w:r w:rsidRPr="00C42277">
        <w:rPr>
          <w:color w:val="auto"/>
        </w:rPr>
        <w:t>ESG is a minimally invasive weight loss intervention performed with an incisionless transoral endoscopic procedure that uses a full-thickness endoscopic suturing system to reduce the stomach volume into a tubular gastric cavity. The gastroplasty is created using an endoscopic suturing device fitted to an endoscope.</w:t>
      </w:r>
    </w:p>
    <w:p w14:paraId="51D2377D" w14:textId="08AD2278" w:rsidR="00EE37E4" w:rsidRDefault="00B67DEC" w:rsidP="00E76AE0">
      <w:pPr>
        <w:pStyle w:val="Instructionaltext"/>
        <w:rPr>
          <w:color w:val="auto"/>
          <w:lang w:val="en-US"/>
        </w:rPr>
      </w:pPr>
      <w:r>
        <w:rPr>
          <w:color w:val="auto"/>
        </w:rPr>
        <w:t>T</w:t>
      </w:r>
      <w:r w:rsidR="00CA2E36" w:rsidRPr="0D77DCC5">
        <w:rPr>
          <w:color w:val="auto"/>
        </w:rPr>
        <w:t xml:space="preserve">he </w:t>
      </w:r>
      <w:r w:rsidR="0021739D">
        <w:rPr>
          <w:color w:val="auto"/>
        </w:rPr>
        <w:t>ADAR</w:t>
      </w:r>
      <w:r w:rsidR="0021739D" w:rsidRPr="0D77DCC5">
        <w:rPr>
          <w:color w:val="auto"/>
        </w:rPr>
        <w:t xml:space="preserve"> </w:t>
      </w:r>
      <w:r>
        <w:rPr>
          <w:color w:val="auto"/>
        </w:rPr>
        <w:t>reported</w:t>
      </w:r>
      <w:r w:rsidRPr="0D77DCC5">
        <w:rPr>
          <w:color w:val="auto"/>
        </w:rPr>
        <w:t xml:space="preserve"> </w:t>
      </w:r>
      <w:r w:rsidR="00CA2E36" w:rsidRPr="0D77DCC5">
        <w:rPr>
          <w:color w:val="auto"/>
        </w:rPr>
        <w:t xml:space="preserve">that </w:t>
      </w:r>
      <w:r w:rsidR="00006A56">
        <w:rPr>
          <w:color w:val="auto"/>
        </w:rPr>
        <w:t>ESG</w:t>
      </w:r>
      <w:r w:rsidR="00907037">
        <w:rPr>
          <w:color w:val="auto"/>
        </w:rPr>
        <w:t xml:space="preserve"> is perf</w:t>
      </w:r>
      <w:r w:rsidR="00006A56">
        <w:rPr>
          <w:color w:val="auto"/>
        </w:rPr>
        <w:t xml:space="preserve">ormed using </w:t>
      </w:r>
      <w:r w:rsidR="00441E68" w:rsidRPr="0D77DCC5">
        <w:rPr>
          <w:color w:val="auto"/>
        </w:rPr>
        <w:t>the Apollo ESG NXT system</w:t>
      </w:r>
      <w:r w:rsidR="00006A56">
        <w:rPr>
          <w:color w:val="auto"/>
        </w:rPr>
        <w:t xml:space="preserve">, </w:t>
      </w:r>
      <w:r w:rsidR="00FA248C">
        <w:rPr>
          <w:color w:val="auto"/>
        </w:rPr>
        <w:t>which</w:t>
      </w:r>
      <w:r w:rsidR="0092251B">
        <w:rPr>
          <w:color w:val="auto"/>
        </w:rPr>
        <w:t xml:space="preserve"> </w:t>
      </w:r>
      <w:r w:rsidR="00B819EC" w:rsidRPr="0D77DCC5">
        <w:rPr>
          <w:color w:val="auto"/>
        </w:rPr>
        <w:t>was</w:t>
      </w:r>
      <w:r w:rsidR="00230EEE" w:rsidRPr="0D77DCC5">
        <w:rPr>
          <w:color w:val="auto"/>
        </w:rPr>
        <w:t xml:space="preserve"> registered </w:t>
      </w:r>
      <w:r w:rsidR="00B4318F" w:rsidRPr="0D77DCC5">
        <w:rPr>
          <w:color w:val="auto"/>
        </w:rPr>
        <w:t>with the Thera</w:t>
      </w:r>
      <w:r w:rsidR="00D223A4" w:rsidRPr="0D77DCC5">
        <w:rPr>
          <w:color w:val="auto"/>
        </w:rPr>
        <w:t xml:space="preserve">peutic Goods Administration (TGA) </w:t>
      </w:r>
      <w:r w:rsidR="005D32F9" w:rsidRPr="0D77DCC5">
        <w:rPr>
          <w:color w:val="auto"/>
        </w:rPr>
        <w:t>under ARTG</w:t>
      </w:r>
      <w:r w:rsidR="00AE2A3C" w:rsidRPr="0D77DCC5">
        <w:rPr>
          <w:color w:val="auto"/>
        </w:rPr>
        <w:t xml:space="preserve"> </w:t>
      </w:r>
      <w:r w:rsidR="00AE2A3C" w:rsidRPr="00F03270">
        <w:rPr>
          <w:color w:val="auto"/>
          <w:lang w:val="en-US"/>
        </w:rPr>
        <w:t>461292</w:t>
      </w:r>
      <w:r w:rsidR="00B819EC" w:rsidRPr="0D77DCC5">
        <w:rPr>
          <w:color w:val="auto"/>
          <w:lang w:val="en-US"/>
        </w:rPr>
        <w:t xml:space="preserve"> in August 2024</w:t>
      </w:r>
      <w:r w:rsidR="00EE13E8">
        <w:rPr>
          <w:color w:val="auto"/>
          <w:lang w:val="en-US"/>
        </w:rPr>
        <w:t>, with ongoing</w:t>
      </w:r>
      <w:r w:rsidR="00F02B3D" w:rsidRPr="0D77DCC5">
        <w:rPr>
          <w:color w:val="auto"/>
          <w:lang w:val="en-US"/>
        </w:rPr>
        <w:t xml:space="preserve"> a</w:t>
      </w:r>
      <w:r w:rsidR="00073357" w:rsidRPr="0D77DCC5">
        <w:rPr>
          <w:color w:val="auto"/>
          <w:lang w:val="en-US"/>
        </w:rPr>
        <w:t>pproval</w:t>
      </w:r>
      <w:r w:rsidR="00A973F5">
        <w:rPr>
          <w:color w:val="auto"/>
          <w:lang w:val="en-US"/>
        </w:rPr>
        <w:t>, but not listed on the Prescribed List (PL)</w:t>
      </w:r>
      <w:r w:rsidR="00DC242D" w:rsidRPr="0D77DCC5">
        <w:rPr>
          <w:color w:val="auto"/>
          <w:lang w:val="en-US"/>
        </w:rPr>
        <w:t xml:space="preserve">. </w:t>
      </w:r>
      <w:r w:rsidR="00EE37E4">
        <w:rPr>
          <w:color w:val="auto"/>
          <w:lang w:val="en-US"/>
        </w:rPr>
        <w:t xml:space="preserve">The intended purpose of </w:t>
      </w:r>
      <w:r w:rsidR="006E1F1D">
        <w:rPr>
          <w:color w:val="auto"/>
          <w:lang w:val="en-US"/>
        </w:rPr>
        <w:t>the Apollo ES</w:t>
      </w:r>
      <w:r w:rsidR="00277C99">
        <w:rPr>
          <w:color w:val="auto"/>
          <w:lang w:val="en-US"/>
        </w:rPr>
        <w:t>G</w:t>
      </w:r>
      <w:r w:rsidR="006E1F1D">
        <w:rPr>
          <w:color w:val="auto"/>
          <w:lang w:val="en-US"/>
        </w:rPr>
        <w:t xml:space="preserve"> NXT system </w:t>
      </w:r>
      <w:r w:rsidR="0079406F">
        <w:rPr>
          <w:color w:val="auto"/>
          <w:lang w:val="en-US"/>
        </w:rPr>
        <w:t>is:</w:t>
      </w:r>
      <w:r w:rsidR="00C3682B">
        <w:rPr>
          <w:rStyle w:val="FootnoteReference"/>
          <w:color w:val="auto"/>
          <w:lang w:val="en-US"/>
        </w:rPr>
        <w:footnoteReference w:id="16"/>
      </w:r>
    </w:p>
    <w:p w14:paraId="086B339F" w14:textId="5DC78D05" w:rsidR="0079406F" w:rsidRDefault="0079406F" w:rsidP="0D77DCC5">
      <w:pPr>
        <w:pStyle w:val="Instructionaltext"/>
        <w:ind w:left="397" w:right="397"/>
        <w:jc w:val="both"/>
        <w:rPr>
          <w:i/>
          <w:iCs/>
          <w:color w:val="auto"/>
          <w:lang w:val="en-US"/>
        </w:rPr>
      </w:pPr>
      <w:r w:rsidRPr="0D77DCC5">
        <w:rPr>
          <w:i/>
          <w:iCs/>
          <w:color w:val="auto"/>
          <w:lang w:val="en-US"/>
        </w:rPr>
        <w:t>“</w:t>
      </w:r>
      <w:r w:rsidR="000061FC" w:rsidRPr="0D77DCC5">
        <w:rPr>
          <w:i/>
          <w:iCs/>
          <w:color w:val="auto"/>
          <w:lang w:val="en-US"/>
        </w:rPr>
        <w:t>The Device is intended to be used by trained gastroenterologists or surgeons that perform bariatric procedures to facilitate weight loss by reducing stomach volume through endoscopic sleeve gastroplasty in adult patients with obesity with BMI between 30</w:t>
      </w:r>
      <w:r w:rsidR="00A21EF0" w:rsidRPr="0D77DCC5">
        <w:rPr>
          <w:i/>
          <w:iCs/>
          <w:color w:val="auto"/>
          <w:lang w:val="en-US"/>
        </w:rPr>
        <w:t>–</w:t>
      </w:r>
      <w:r w:rsidR="000061FC" w:rsidRPr="0D77DCC5">
        <w:rPr>
          <w:i/>
          <w:iCs/>
          <w:color w:val="auto"/>
          <w:lang w:val="en-US"/>
        </w:rPr>
        <w:t>50</w:t>
      </w:r>
      <w:r w:rsidR="00A21EF0" w:rsidRPr="0D77DCC5">
        <w:rPr>
          <w:i/>
          <w:iCs/>
          <w:color w:val="auto"/>
          <w:lang w:val="en-US"/>
        </w:rPr>
        <w:t> </w:t>
      </w:r>
      <w:r w:rsidR="000061FC" w:rsidRPr="0D77DCC5">
        <w:rPr>
          <w:i/>
          <w:iCs/>
          <w:color w:val="auto"/>
          <w:lang w:val="en-US"/>
        </w:rPr>
        <w:t>kg/m</w:t>
      </w:r>
      <w:r w:rsidR="000061FC" w:rsidRPr="0D77DCC5">
        <w:rPr>
          <w:i/>
          <w:iCs/>
          <w:color w:val="auto"/>
          <w:vertAlign w:val="superscript"/>
          <w:lang w:val="en-US"/>
        </w:rPr>
        <w:t>2</w:t>
      </w:r>
      <w:r w:rsidR="000061FC" w:rsidRPr="0D77DCC5">
        <w:rPr>
          <w:i/>
          <w:iCs/>
          <w:color w:val="auto"/>
          <w:lang w:val="en-US"/>
        </w:rPr>
        <w:t xml:space="preserve"> who have not been able to lose weight, or maintain weight loss, through more conservative measures.”</w:t>
      </w:r>
    </w:p>
    <w:p w14:paraId="6DF06791" w14:textId="2AB35C4F" w:rsidR="000061FC" w:rsidRDefault="00584602" w:rsidP="000061FC">
      <w:pPr>
        <w:pStyle w:val="Instructionaltext"/>
        <w:rPr>
          <w:color w:val="auto"/>
          <w:lang w:val="en-US"/>
        </w:rPr>
      </w:pPr>
      <w:r w:rsidRPr="0D77DCC5">
        <w:rPr>
          <w:color w:val="auto"/>
          <w:lang w:val="en-US"/>
        </w:rPr>
        <w:t xml:space="preserve">The </w:t>
      </w:r>
      <w:r w:rsidR="00854E2D" w:rsidRPr="00854E2D">
        <w:rPr>
          <w:color w:val="auto"/>
          <w:lang w:val="en-US"/>
        </w:rPr>
        <w:t xml:space="preserve">Apollo ESG NXT system </w:t>
      </w:r>
      <w:r w:rsidRPr="0D77DCC5">
        <w:rPr>
          <w:color w:val="auto"/>
          <w:lang w:val="en-US"/>
        </w:rPr>
        <w:t xml:space="preserve">is </w:t>
      </w:r>
      <w:r w:rsidR="00854E2D">
        <w:rPr>
          <w:color w:val="auto"/>
          <w:lang w:val="en-US"/>
        </w:rPr>
        <w:t xml:space="preserve">to be </w:t>
      </w:r>
      <w:r w:rsidRPr="0D77DCC5">
        <w:rPr>
          <w:color w:val="auto"/>
          <w:lang w:val="en-US"/>
        </w:rPr>
        <w:t xml:space="preserve">used in conjunction with the Endotherapy Overtube device (also registered with the TGA under </w:t>
      </w:r>
      <w:r w:rsidRPr="0D77DCC5">
        <w:rPr>
          <w:color w:val="auto"/>
        </w:rPr>
        <w:t xml:space="preserve">ARTG </w:t>
      </w:r>
      <w:r w:rsidRPr="00F03270">
        <w:rPr>
          <w:color w:val="auto"/>
        </w:rPr>
        <w:t>236427</w:t>
      </w:r>
      <w:r w:rsidRPr="0D77DCC5">
        <w:rPr>
          <w:color w:val="auto"/>
        </w:rPr>
        <w:t xml:space="preserve"> as of April 2015).</w:t>
      </w:r>
      <w:r w:rsidR="00CD2B28">
        <w:rPr>
          <w:color w:val="auto"/>
        </w:rPr>
        <w:t xml:space="preserve"> </w:t>
      </w:r>
      <w:r w:rsidR="00AE0D96" w:rsidRPr="0D77DCC5">
        <w:rPr>
          <w:color w:val="auto"/>
          <w:lang w:val="en-US"/>
        </w:rPr>
        <w:t xml:space="preserve">The applicant </w:t>
      </w:r>
      <w:r w:rsidR="0082289A">
        <w:rPr>
          <w:color w:val="auto"/>
          <w:lang w:val="en-US"/>
        </w:rPr>
        <w:t xml:space="preserve">reported its </w:t>
      </w:r>
      <w:r w:rsidR="00AE0D96" w:rsidRPr="0D77DCC5">
        <w:rPr>
          <w:color w:val="auto"/>
          <w:lang w:val="en-US"/>
        </w:rPr>
        <w:t>inten</w:t>
      </w:r>
      <w:r w:rsidR="0082289A">
        <w:rPr>
          <w:color w:val="auto"/>
          <w:lang w:val="en-US"/>
        </w:rPr>
        <w:t>tion</w:t>
      </w:r>
      <w:r w:rsidR="00AE0D96" w:rsidRPr="0D77DCC5">
        <w:rPr>
          <w:color w:val="auto"/>
          <w:lang w:val="en-US"/>
        </w:rPr>
        <w:t xml:space="preserve"> to submit a PL application </w:t>
      </w:r>
      <w:r w:rsidR="004F53AC" w:rsidRPr="00C43AC9">
        <w:rPr>
          <w:color w:val="auto"/>
        </w:rPr>
        <w:t xml:space="preserve">to list the Apollo ESG NXT system </w:t>
      </w:r>
      <w:r w:rsidR="00AE0D96" w:rsidRPr="0D77DCC5">
        <w:rPr>
          <w:color w:val="auto"/>
          <w:lang w:val="en-US"/>
        </w:rPr>
        <w:t>following assessment of the MSAC application</w:t>
      </w:r>
      <w:r w:rsidR="00BF0723">
        <w:rPr>
          <w:color w:val="auto"/>
          <w:lang w:val="en-US"/>
        </w:rPr>
        <w:t>.</w:t>
      </w:r>
    </w:p>
    <w:p w14:paraId="167D0EBA" w14:textId="0084A1A5" w:rsidR="000A6F0E" w:rsidRPr="000061FC" w:rsidRDefault="00180344" w:rsidP="00180344">
      <w:pPr>
        <w:pStyle w:val="Instructionaltext"/>
        <w:rPr>
          <w:color w:val="auto"/>
          <w:lang w:val="en-US"/>
        </w:rPr>
      </w:pPr>
      <w:r w:rsidRPr="6D72E583">
        <w:rPr>
          <w:color w:val="auto"/>
          <w:lang w:val="en-US"/>
        </w:rPr>
        <w:t>The app</w:t>
      </w:r>
      <w:r w:rsidR="009F30A5" w:rsidRPr="6D72E583">
        <w:rPr>
          <w:color w:val="auto"/>
          <w:lang w:val="en-US"/>
        </w:rPr>
        <w:t xml:space="preserve">lication </w:t>
      </w:r>
      <w:r w:rsidR="00A74DA7" w:rsidRPr="6D72E583">
        <w:rPr>
          <w:color w:val="auto"/>
          <w:lang w:val="en-US"/>
        </w:rPr>
        <w:t>for 1555</w:t>
      </w:r>
      <w:r w:rsidR="008C2FB5" w:rsidRPr="6D72E583">
        <w:rPr>
          <w:color w:val="auto"/>
          <w:lang w:val="en-US"/>
        </w:rPr>
        <w:t xml:space="preserve">.1 </w:t>
      </w:r>
      <w:r w:rsidR="00AB6D53" w:rsidRPr="6D72E583">
        <w:rPr>
          <w:color w:val="auto"/>
          <w:lang w:val="en-US"/>
        </w:rPr>
        <w:t xml:space="preserve">proposed the use of ESG with </w:t>
      </w:r>
      <w:r w:rsidR="006F250E" w:rsidRPr="6D72E583">
        <w:rPr>
          <w:color w:val="auto"/>
          <w:lang w:val="en-US"/>
        </w:rPr>
        <w:t xml:space="preserve">two </w:t>
      </w:r>
      <w:r w:rsidR="009A1355" w:rsidRPr="6D72E583">
        <w:rPr>
          <w:color w:val="auto"/>
          <w:lang w:val="en-US"/>
        </w:rPr>
        <w:t>devices</w:t>
      </w:r>
      <w:r w:rsidR="005646DE" w:rsidRPr="6D72E583">
        <w:rPr>
          <w:color w:val="auto"/>
          <w:lang w:val="en-US"/>
        </w:rPr>
        <w:t>, the</w:t>
      </w:r>
      <w:r w:rsidR="00447987" w:rsidRPr="6D72E583">
        <w:rPr>
          <w:color w:val="auto"/>
          <w:lang w:val="en-US"/>
        </w:rPr>
        <w:t xml:space="preserve"> </w:t>
      </w:r>
      <w:r w:rsidR="0081305C" w:rsidRPr="6D72E583">
        <w:rPr>
          <w:color w:val="auto"/>
          <w:lang w:val="en-US"/>
        </w:rPr>
        <w:t>QQ015</w:t>
      </w:r>
      <w:r w:rsidRPr="6D72E583">
        <w:rPr>
          <w:color w:val="auto"/>
          <w:lang w:val="en-US"/>
        </w:rPr>
        <w:t xml:space="preserve"> OverStitchTM Endoscopic Suturing </w:t>
      </w:r>
      <w:r w:rsidRPr="00380FC7">
        <w:rPr>
          <w:color w:val="auto"/>
          <w:lang w:val="en-US"/>
        </w:rPr>
        <w:t>System</w:t>
      </w:r>
      <w:r w:rsidR="00447987" w:rsidRPr="00380FC7">
        <w:rPr>
          <w:color w:val="auto"/>
          <w:lang w:val="en-US"/>
        </w:rPr>
        <w:t xml:space="preserve"> (</w:t>
      </w:r>
      <w:r w:rsidRPr="00380FC7">
        <w:rPr>
          <w:color w:val="auto"/>
          <w:lang w:val="en-US"/>
        </w:rPr>
        <w:t>$</w:t>
      </w:r>
      <w:r w:rsidR="004D7B17" w:rsidRPr="00380FC7">
        <w:rPr>
          <w:b/>
          <w:bCs/>
          <w:color w:val="auto"/>
        </w:rPr>
        <w:t>redacted</w:t>
      </w:r>
      <w:r w:rsidR="00447987" w:rsidRPr="00380FC7">
        <w:rPr>
          <w:color w:val="auto"/>
          <w:lang w:val="en-US"/>
        </w:rPr>
        <w:t>)</w:t>
      </w:r>
      <w:r w:rsidR="00B5753C" w:rsidRPr="00380FC7">
        <w:rPr>
          <w:color w:val="auto"/>
          <w:lang w:val="en-US"/>
        </w:rPr>
        <w:t xml:space="preserve"> and</w:t>
      </w:r>
      <w:r w:rsidR="005646DE" w:rsidRPr="6D72E583">
        <w:rPr>
          <w:color w:val="auto"/>
          <w:lang w:val="en-US"/>
        </w:rPr>
        <w:t xml:space="preserve"> the</w:t>
      </w:r>
      <w:r w:rsidR="00B5753C" w:rsidRPr="6D72E583">
        <w:rPr>
          <w:color w:val="auto"/>
          <w:lang w:val="en-US"/>
        </w:rPr>
        <w:t xml:space="preserve"> </w:t>
      </w:r>
      <w:r w:rsidR="0081305C" w:rsidRPr="6D72E583">
        <w:rPr>
          <w:color w:val="auto"/>
          <w:lang w:val="en-US"/>
        </w:rPr>
        <w:t>QQ107</w:t>
      </w:r>
      <w:r w:rsidRPr="6D72E583">
        <w:rPr>
          <w:color w:val="auto"/>
          <w:lang w:val="en-US"/>
        </w:rPr>
        <w:t xml:space="preserve"> OverStitchTM Endoscopic Suturing System – 2.0 </w:t>
      </w:r>
      <w:r w:rsidRPr="00380FC7">
        <w:rPr>
          <w:color w:val="auto"/>
          <w:lang w:val="en-US"/>
        </w:rPr>
        <w:t>Suture ($</w:t>
      </w:r>
      <w:r w:rsidR="004D7B17" w:rsidRPr="00380FC7">
        <w:rPr>
          <w:b/>
          <w:bCs/>
          <w:color w:val="auto"/>
        </w:rPr>
        <w:t>redacted</w:t>
      </w:r>
      <w:r w:rsidR="004D7B17" w:rsidRPr="00380FC7">
        <w:rPr>
          <w:color w:val="auto"/>
          <w:lang w:val="en-US"/>
        </w:rPr>
        <w:t xml:space="preserve"> </w:t>
      </w:r>
      <w:r w:rsidRPr="00380FC7">
        <w:rPr>
          <w:color w:val="auto"/>
          <w:lang w:val="en-US"/>
        </w:rPr>
        <w:t>=$</w:t>
      </w:r>
      <w:r w:rsidR="004D7B17" w:rsidRPr="00380FC7">
        <w:rPr>
          <w:b/>
          <w:bCs/>
          <w:color w:val="auto"/>
        </w:rPr>
        <w:t>redacted</w:t>
      </w:r>
      <w:r w:rsidRPr="00380FC7">
        <w:rPr>
          <w:color w:val="auto"/>
          <w:lang w:val="en-US"/>
        </w:rPr>
        <w:t xml:space="preserve"> x</w:t>
      </w:r>
      <w:r w:rsidR="004D7B17" w:rsidRPr="00380FC7">
        <w:rPr>
          <w:b/>
          <w:bCs/>
          <w:color w:val="auto"/>
        </w:rPr>
        <w:t xml:space="preserve"> redacted</w:t>
      </w:r>
      <w:r w:rsidRPr="00380FC7">
        <w:rPr>
          <w:color w:val="auto"/>
          <w:lang w:val="en-US"/>
        </w:rPr>
        <w:t>)</w:t>
      </w:r>
      <w:r w:rsidR="00447987" w:rsidRPr="00380FC7">
        <w:rPr>
          <w:color w:val="auto"/>
          <w:lang w:val="en-US"/>
        </w:rPr>
        <w:t>.</w:t>
      </w:r>
      <w:r w:rsidR="00BE201B" w:rsidRPr="6D72E583">
        <w:rPr>
          <w:color w:val="auto"/>
          <w:lang w:val="en-US"/>
        </w:rPr>
        <w:t xml:space="preserve"> </w:t>
      </w:r>
      <w:r w:rsidR="006022AF" w:rsidRPr="6D72E583">
        <w:rPr>
          <w:color w:val="auto"/>
          <w:lang w:val="en-US"/>
        </w:rPr>
        <w:t xml:space="preserve"> </w:t>
      </w:r>
      <w:r w:rsidR="00BE201B" w:rsidRPr="6D72E583">
        <w:rPr>
          <w:color w:val="auto"/>
          <w:lang w:val="en-US"/>
        </w:rPr>
        <w:t>The ADAR reported that the Apollo ESG NXT system is the next generation of the OverStitch™ family of products</w:t>
      </w:r>
      <w:r w:rsidR="00B14752" w:rsidRPr="6D72E583">
        <w:rPr>
          <w:color w:val="auto"/>
          <w:lang w:val="en-US"/>
        </w:rPr>
        <w:t xml:space="preserve"> and comprises </w:t>
      </w:r>
      <w:r w:rsidR="00CE2F5D" w:rsidRPr="6D72E583">
        <w:rPr>
          <w:color w:val="auto"/>
          <w:lang w:val="en-US"/>
        </w:rPr>
        <w:t>the following devices</w:t>
      </w:r>
      <w:r w:rsidR="003E711D" w:rsidRPr="6D72E583">
        <w:rPr>
          <w:color w:val="auto"/>
          <w:lang w:val="en-US"/>
        </w:rPr>
        <w:t xml:space="preserve">: </w:t>
      </w:r>
      <w:r w:rsidR="00377526" w:rsidRPr="6D72E583">
        <w:rPr>
          <w:color w:val="auto"/>
          <w:lang w:val="en-US"/>
        </w:rPr>
        <w:t xml:space="preserve">OverStitch™ NXT Handle (1 unit), </w:t>
      </w:r>
      <w:r w:rsidR="004643E2" w:rsidRPr="6D72E583">
        <w:rPr>
          <w:color w:val="auto"/>
          <w:lang w:val="en-US"/>
        </w:rPr>
        <w:t xml:space="preserve">Tissue Helix (1 unit), </w:t>
      </w:r>
      <w:r w:rsidR="00C55097" w:rsidRPr="6D72E583">
        <w:rPr>
          <w:color w:val="auto"/>
          <w:lang w:val="en-US"/>
        </w:rPr>
        <w:t>S</w:t>
      </w:r>
      <w:r w:rsidR="005644E5" w:rsidRPr="6D72E583">
        <w:rPr>
          <w:color w:val="auto"/>
          <w:lang w:val="en-US"/>
        </w:rPr>
        <w:t>uture-</w:t>
      </w:r>
      <w:r w:rsidR="00C55097" w:rsidRPr="6D72E583">
        <w:rPr>
          <w:color w:val="auto"/>
          <w:lang w:val="en-US"/>
        </w:rPr>
        <w:t>A</w:t>
      </w:r>
      <w:r w:rsidR="005644E5" w:rsidRPr="6D72E583">
        <w:rPr>
          <w:color w:val="auto"/>
          <w:lang w:val="en-US"/>
        </w:rPr>
        <w:t>nchors (8 units)</w:t>
      </w:r>
      <w:r w:rsidR="00C03826" w:rsidRPr="6D72E583">
        <w:rPr>
          <w:color w:val="auto"/>
          <w:lang w:val="en-US"/>
        </w:rPr>
        <w:t xml:space="preserve"> and</w:t>
      </w:r>
      <w:r w:rsidR="0095665F" w:rsidRPr="6D72E583">
        <w:rPr>
          <w:color w:val="auto"/>
          <w:lang w:val="en-US"/>
        </w:rPr>
        <w:t xml:space="preserve"> Suture Cinch device (8 units).</w:t>
      </w:r>
    </w:p>
    <w:p w14:paraId="44C3B242" w14:textId="520C7562" w:rsidR="00772829" w:rsidRPr="00CE28E3" w:rsidRDefault="00772829" w:rsidP="00361335">
      <w:pPr>
        <w:pStyle w:val="Heading2"/>
        <w:numPr>
          <w:ilvl w:val="0"/>
          <w:numId w:val="26"/>
        </w:numPr>
        <w:ind w:hanging="720"/>
      </w:pPr>
      <w:bookmarkStart w:id="12" w:name="_Toc69491418"/>
      <w:bookmarkStart w:id="13" w:name="_Ref187414705"/>
      <w:bookmarkStart w:id="14" w:name="_Ref187414750"/>
      <w:r w:rsidRPr="00CE28E3">
        <w:t>Proposal for public funding</w:t>
      </w:r>
      <w:bookmarkEnd w:id="12"/>
      <w:bookmarkEnd w:id="13"/>
      <w:bookmarkEnd w:id="14"/>
    </w:p>
    <w:p w14:paraId="05D66CC7" w14:textId="032D4BCE" w:rsidR="00D00DF6" w:rsidRDefault="00D00DF6" w:rsidP="00DC4F64">
      <w:pPr>
        <w:pStyle w:val="Instructionaltext"/>
        <w:keepNext/>
        <w:tabs>
          <w:tab w:val="left" w:pos="2172"/>
        </w:tabs>
        <w:rPr>
          <w:color w:val="auto"/>
        </w:rPr>
      </w:pPr>
      <w:r w:rsidRPr="0D77DCC5">
        <w:rPr>
          <w:color w:val="auto"/>
        </w:rPr>
        <w:t xml:space="preserve">The </w:t>
      </w:r>
      <w:r w:rsidR="00541BC6" w:rsidRPr="0D77DCC5">
        <w:rPr>
          <w:color w:val="auto"/>
        </w:rPr>
        <w:t>ADAR</w:t>
      </w:r>
      <w:r w:rsidRPr="0D77DCC5">
        <w:rPr>
          <w:color w:val="auto"/>
        </w:rPr>
        <w:t xml:space="preserve"> propose</w:t>
      </w:r>
      <w:r w:rsidR="00CC2CD8">
        <w:rPr>
          <w:color w:val="auto"/>
        </w:rPr>
        <w:t>d</w:t>
      </w:r>
      <w:r w:rsidRPr="0D77DCC5">
        <w:rPr>
          <w:color w:val="auto"/>
        </w:rPr>
        <w:t xml:space="preserve"> that patients would be </w:t>
      </w:r>
      <w:r w:rsidR="004C3DEF" w:rsidRPr="0D77DCC5">
        <w:rPr>
          <w:color w:val="auto"/>
        </w:rPr>
        <w:t>eligible</w:t>
      </w:r>
      <w:r w:rsidRPr="0D77DCC5">
        <w:rPr>
          <w:color w:val="auto"/>
        </w:rPr>
        <w:t xml:space="preserve"> for</w:t>
      </w:r>
      <w:r w:rsidR="004A6614" w:rsidRPr="0D77DCC5">
        <w:rPr>
          <w:color w:val="auto"/>
        </w:rPr>
        <w:t xml:space="preserve"> ESG</w:t>
      </w:r>
      <w:r w:rsidRPr="0D77DCC5">
        <w:rPr>
          <w:color w:val="auto"/>
        </w:rPr>
        <w:t xml:space="preserve"> treatment </w:t>
      </w:r>
      <w:r w:rsidR="0023567E" w:rsidRPr="0D77DCC5">
        <w:rPr>
          <w:color w:val="auto"/>
        </w:rPr>
        <w:t>by a specialist</w:t>
      </w:r>
      <w:r w:rsidRPr="0D77DCC5">
        <w:rPr>
          <w:color w:val="auto"/>
        </w:rPr>
        <w:t xml:space="preserve"> if they meet the following criteria:</w:t>
      </w:r>
    </w:p>
    <w:p w14:paraId="329B835B" w14:textId="3EBE1A01" w:rsidR="00D00DF6" w:rsidRDefault="00D00DF6" w:rsidP="00C05DB4">
      <w:pPr>
        <w:pStyle w:val="Instructionaltext"/>
        <w:keepNext/>
        <w:numPr>
          <w:ilvl w:val="0"/>
          <w:numId w:val="12"/>
        </w:numPr>
        <w:tabs>
          <w:tab w:val="left" w:pos="2172"/>
        </w:tabs>
        <w:rPr>
          <w:color w:val="auto"/>
        </w:rPr>
      </w:pPr>
      <w:r w:rsidRPr="6D72E583">
        <w:rPr>
          <w:color w:val="auto"/>
        </w:rPr>
        <w:t xml:space="preserve">age 18 years or older with </w:t>
      </w:r>
      <w:r w:rsidR="008F5EBB" w:rsidRPr="6D72E583">
        <w:rPr>
          <w:color w:val="auto"/>
        </w:rPr>
        <w:t>class</w:t>
      </w:r>
      <w:r w:rsidRPr="6D72E583">
        <w:rPr>
          <w:color w:val="auto"/>
        </w:rPr>
        <w:t xml:space="preserve"> I or II obesity</w:t>
      </w:r>
      <w:r w:rsidR="00104093" w:rsidRPr="6D72E583">
        <w:rPr>
          <w:color w:val="auto"/>
        </w:rPr>
        <w:t xml:space="preserve"> with or without comorbidities</w:t>
      </w:r>
      <w:r w:rsidRPr="6D72E583">
        <w:rPr>
          <w:color w:val="auto"/>
        </w:rPr>
        <w:t xml:space="preserve">, </w:t>
      </w:r>
      <w:r w:rsidR="00162295" w:rsidRPr="6D72E583">
        <w:rPr>
          <w:color w:val="auto"/>
        </w:rPr>
        <w:t>and do not have an</w:t>
      </w:r>
      <w:r w:rsidRPr="6D72E583">
        <w:rPr>
          <w:color w:val="auto"/>
        </w:rPr>
        <w:t xml:space="preserve"> adequate response </w:t>
      </w:r>
      <w:r w:rsidR="002F470C" w:rsidRPr="6D72E583">
        <w:rPr>
          <w:color w:val="auto"/>
        </w:rPr>
        <w:t xml:space="preserve">to </w:t>
      </w:r>
      <w:r w:rsidR="0334C144" w:rsidRPr="6D72E583">
        <w:rPr>
          <w:color w:val="auto"/>
        </w:rPr>
        <w:t>very low energy diet (</w:t>
      </w:r>
      <w:r w:rsidR="002F470C" w:rsidRPr="6D72E583">
        <w:rPr>
          <w:color w:val="auto"/>
        </w:rPr>
        <w:t>VLED</w:t>
      </w:r>
      <w:r w:rsidR="2C8FAC84" w:rsidRPr="6D72E583">
        <w:rPr>
          <w:color w:val="auto"/>
        </w:rPr>
        <w:t>)</w:t>
      </w:r>
      <w:r w:rsidR="002F470C" w:rsidRPr="6D72E583">
        <w:rPr>
          <w:color w:val="auto"/>
        </w:rPr>
        <w:t xml:space="preserve"> </w:t>
      </w:r>
      <w:r w:rsidR="00951532" w:rsidRPr="6D72E583">
        <w:rPr>
          <w:color w:val="auto"/>
        </w:rPr>
        <w:t>and</w:t>
      </w:r>
      <w:r w:rsidR="002F470C" w:rsidRPr="6D72E583">
        <w:rPr>
          <w:color w:val="auto"/>
        </w:rPr>
        <w:t xml:space="preserve"> pharmacotherapy</w:t>
      </w:r>
    </w:p>
    <w:p w14:paraId="78FB0C90" w14:textId="768A313A" w:rsidR="00A27605" w:rsidRDefault="007A2612" w:rsidP="00C05DB4">
      <w:pPr>
        <w:pStyle w:val="Instructionaltext"/>
        <w:keepNext/>
        <w:numPr>
          <w:ilvl w:val="0"/>
          <w:numId w:val="12"/>
        </w:numPr>
        <w:tabs>
          <w:tab w:val="left" w:pos="2172"/>
        </w:tabs>
        <w:spacing w:after="0"/>
        <w:ind w:left="714" w:hanging="357"/>
        <w:rPr>
          <w:color w:val="auto"/>
        </w:rPr>
      </w:pPr>
      <w:r w:rsidRPr="0D77DCC5">
        <w:rPr>
          <w:color w:val="auto"/>
        </w:rPr>
        <w:t xml:space="preserve">age 18 years </w:t>
      </w:r>
      <w:r w:rsidR="00790B85" w:rsidRPr="0D77DCC5">
        <w:rPr>
          <w:color w:val="auto"/>
        </w:rPr>
        <w:t xml:space="preserve">or older with </w:t>
      </w:r>
      <w:r w:rsidR="008F5EBB">
        <w:rPr>
          <w:color w:val="auto"/>
        </w:rPr>
        <w:t>class</w:t>
      </w:r>
      <w:r w:rsidR="00790B85" w:rsidRPr="0D77DCC5">
        <w:rPr>
          <w:color w:val="auto"/>
        </w:rPr>
        <w:t xml:space="preserve"> III obesity</w:t>
      </w:r>
      <w:r w:rsidR="00104093" w:rsidRPr="0D77DCC5">
        <w:rPr>
          <w:color w:val="auto"/>
        </w:rPr>
        <w:t xml:space="preserve"> with or withou</w:t>
      </w:r>
      <w:r w:rsidR="00156B99" w:rsidRPr="0D77DCC5">
        <w:rPr>
          <w:color w:val="auto"/>
        </w:rPr>
        <w:t>t</w:t>
      </w:r>
      <w:r w:rsidR="00104093" w:rsidRPr="0D77DCC5">
        <w:rPr>
          <w:color w:val="auto"/>
        </w:rPr>
        <w:t xml:space="preserve"> comorbidities</w:t>
      </w:r>
      <w:r w:rsidR="00790B85" w:rsidRPr="0D77DCC5">
        <w:rPr>
          <w:color w:val="auto"/>
        </w:rPr>
        <w:t xml:space="preserve"> </w:t>
      </w:r>
      <w:r w:rsidR="00162295">
        <w:rPr>
          <w:color w:val="auto"/>
        </w:rPr>
        <w:t>and</w:t>
      </w:r>
      <w:r w:rsidR="00A27605" w:rsidRPr="0D77DCC5">
        <w:rPr>
          <w:color w:val="auto"/>
        </w:rPr>
        <w:t>:</w:t>
      </w:r>
    </w:p>
    <w:p w14:paraId="0E60A160" w14:textId="1DCD4F55" w:rsidR="007A2612" w:rsidRDefault="00162295" w:rsidP="00C05DB4">
      <w:pPr>
        <w:pStyle w:val="Instructionaltext"/>
        <w:keepNext/>
        <w:numPr>
          <w:ilvl w:val="1"/>
          <w:numId w:val="12"/>
        </w:numPr>
        <w:tabs>
          <w:tab w:val="left" w:pos="2172"/>
        </w:tabs>
        <w:spacing w:after="120"/>
        <w:ind w:left="1434" w:hanging="357"/>
        <w:rPr>
          <w:color w:val="auto"/>
        </w:rPr>
      </w:pPr>
      <w:r>
        <w:rPr>
          <w:color w:val="auto"/>
        </w:rPr>
        <w:t>do not have an</w:t>
      </w:r>
      <w:r w:rsidRPr="0D77DCC5">
        <w:rPr>
          <w:color w:val="auto"/>
        </w:rPr>
        <w:t xml:space="preserve"> </w:t>
      </w:r>
      <w:r w:rsidR="00790B85" w:rsidRPr="0D77DCC5">
        <w:rPr>
          <w:color w:val="auto"/>
        </w:rPr>
        <w:t>adequate response to</w:t>
      </w:r>
      <w:r w:rsidR="00A27605" w:rsidRPr="0D77DCC5">
        <w:rPr>
          <w:color w:val="auto"/>
        </w:rPr>
        <w:t xml:space="preserve"> VLED or pharmacotherapy</w:t>
      </w:r>
    </w:p>
    <w:p w14:paraId="7750E4A5" w14:textId="2E8F7B47" w:rsidR="00A27605" w:rsidRDefault="004B6B0B" w:rsidP="00C05DB4">
      <w:pPr>
        <w:pStyle w:val="Instructionaltext"/>
        <w:keepNext/>
        <w:numPr>
          <w:ilvl w:val="1"/>
          <w:numId w:val="12"/>
        </w:numPr>
        <w:tabs>
          <w:tab w:val="left" w:pos="2172"/>
        </w:tabs>
        <w:rPr>
          <w:color w:val="auto"/>
        </w:rPr>
      </w:pPr>
      <w:r>
        <w:rPr>
          <w:color w:val="auto"/>
        </w:rPr>
        <w:t xml:space="preserve">are </w:t>
      </w:r>
      <w:r w:rsidR="005167CE" w:rsidRPr="0D77DCC5">
        <w:rPr>
          <w:color w:val="auto"/>
        </w:rPr>
        <w:t>in</w:t>
      </w:r>
      <w:r w:rsidR="00E37AB8" w:rsidRPr="0D77DCC5">
        <w:rPr>
          <w:color w:val="auto"/>
        </w:rPr>
        <w:t xml:space="preserve">eligible </w:t>
      </w:r>
      <w:r w:rsidR="005167CE" w:rsidRPr="0D77DCC5">
        <w:rPr>
          <w:color w:val="auto"/>
        </w:rPr>
        <w:t xml:space="preserve">or refusing </w:t>
      </w:r>
      <w:r w:rsidR="00E37AB8" w:rsidRPr="0D77DCC5">
        <w:rPr>
          <w:color w:val="auto"/>
        </w:rPr>
        <w:t>alternative bariatric surgery</w:t>
      </w:r>
    </w:p>
    <w:p w14:paraId="0786FA6D" w14:textId="0DC68737" w:rsidR="00823FE2" w:rsidRDefault="009727CA" w:rsidP="00823FE2">
      <w:pPr>
        <w:pStyle w:val="BodyText"/>
      </w:pPr>
      <w:r w:rsidRPr="0D77DCC5">
        <w:t xml:space="preserve">The </w:t>
      </w:r>
      <w:r w:rsidR="006436B2" w:rsidRPr="0D77DCC5">
        <w:t>ADAR</w:t>
      </w:r>
      <w:r w:rsidRPr="0D77DCC5">
        <w:t xml:space="preserve"> propose</w:t>
      </w:r>
      <w:r w:rsidR="00F05B5B">
        <w:t>d</w:t>
      </w:r>
      <w:r w:rsidRPr="0D77DCC5">
        <w:t xml:space="preserve"> </w:t>
      </w:r>
      <w:r w:rsidR="00677F25">
        <w:t xml:space="preserve">2 </w:t>
      </w:r>
      <w:r w:rsidRPr="0D77DCC5">
        <w:t xml:space="preserve">new MBS item </w:t>
      </w:r>
      <w:r w:rsidR="00BF480D">
        <w:t>numbers</w:t>
      </w:r>
      <w:r w:rsidR="00FD118D">
        <w:t>,</w:t>
      </w:r>
      <w:r w:rsidR="00BF480D">
        <w:t xml:space="preserve"> one for patients with class I or II obesity</w:t>
      </w:r>
      <w:r w:rsidR="00FD118D">
        <w:t>,</w:t>
      </w:r>
      <w:r w:rsidR="00BF480D">
        <w:t xml:space="preserve"> and another for patients with class III obesity</w:t>
      </w:r>
      <w:r w:rsidR="00FD118D">
        <w:t xml:space="preserve">. </w:t>
      </w:r>
      <w:r w:rsidR="00A3195D">
        <w:t>It proposed this will</w:t>
      </w:r>
      <w:r w:rsidR="00BF480D" w:rsidRPr="0D77DCC5">
        <w:t xml:space="preserve"> </w:t>
      </w:r>
      <w:r w:rsidR="009F0774" w:rsidRPr="0D77DCC5">
        <w:t xml:space="preserve">allow </w:t>
      </w:r>
      <w:r w:rsidR="00D21594">
        <w:t xml:space="preserve">for </w:t>
      </w:r>
      <w:r w:rsidR="00E63C41" w:rsidRPr="0D77DCC5">
        <w:t>monitor</w:t>
      </w:r>
      <w:r w:rsidR="00351B0D" w:rsidRPr="0D77DCC5">
        <w:t xml:space="preserve">ing </w:t>
      </w:r>
      <w:r w:rsidR="008A0B2D">
        <w:t xml:space="preserve">of </w:t>
      </w:r>
      <w:r w:rsidR="00E63C41" w:rsidRPr="0D77DCC5">
        <w:t xml:space="preserve">the use of the </w:t>
      </w:r>
      <w:r w:rsidR="005C3D23">
        <w:t>intervention</w:t>
      </w:r>
      <w:r w:rsidR="00E63C41" w:rsidRPr="0D77DCC5">
        <w:t xml:space="preserve"> between </w:t>
      </w:r>
      <w:r w:rsidR="00373D88">
        <w:t xml:space="preserve">the </w:t>
      </w:r>
      <w:r w:rsidR="00F801DC" w:rsidRPr="0D77DCC5">
        <w:t xml:space="preserve">different </w:t>
      </w:r>
      <w:r w:rsidR="008F5EBB">
        <w:t>class</w:t>
      </w:r>
      <w:r w:rsidR="00F801DC" w:rsidRPr="0D77DCC5">
        <w:t xml:space="preserve">es of obesity. </w:t>
      </w:r>
      <w:r w:rsidR="001A0CC2" w:rsidRPr="0D77DCC5">
        <w:t xml:space="preserve">The </w:t>
      </w:r>
      <w:r w:rsidR="005916B2">
        <w:t>ADAR</w:t>
      </w:r>
      <w:r w:rsidR="005916B2" w:rsidRPr="0D77DCC5">
        <w:t xml:space="preserve"> </w:t>
      </w:r>
      <w:r w:rsidR="001A0CC2" w:rsidRPr="0D77DCC5">
        <w:t xml:space="preserve">states </w:t>
      </w:r>
      <w:r w:rsidR="004C6342">
        <w:t xml:space="preserve">that </w:t>
      </w:r>
      <w:r w:rsidR="00A16148">
        <w:t>the applicant</w:t>
      </w:r>
      <w:r w:rsidR="00130A73" w:rsidRPr="0D77DCC5">
        <w:t xml:space="preserve"> is </w:t>
      </w:r>
      <w:r w:rsidR="00D049E1">
        <w:t xml:space="preserve">open </w:t>
      </w:r>
      <w:r w:rsidR="009B29DD" w:rsidRPr="0D77DCC5">
        <w:t xml:space="preserve">to </w:t>
      </w:r>
      <w:r w:rsidR="00D049E1">
        <w:t>working</w:t>
      </w:r>
      <w:r w:rsidR="00D049E1" w:rsidRPr="0D77DCC5">
        <w:t xml:space="preserve"> </w:t>
      </w:r>
      <w:r w:rsidR="00456033" w:rsidRPr="0D77DCC5">
        <w:t xml:space="preserve">with the Department of Health </w:t>
      </w:r>
      <w:r w:rsidR="00F654EB">
        <w:t xml:space="preserve">and Aged Care </w:t>
      </w:r>
      <w:r w:rsidR="00C629FD" w:rsidRPr="0D77DCC5">
        <w:t xml:space="preserve">to </w:t>
      </w:r>
      <w:r w:rsidR="00C978A9">
        <w:t>agree</w:t>
      </w:r>
      <w:r w:rsidR="00C978A9" w:rsidRPr="0D77DCC5">
        <w:t xml:space="preserve"> </w:t>
      </w:r>
      <w:r w:rsidR="00C629FD" w:rsidRPr="0D77DCC5">
        <w:t>the proposed descript</w:t>
      </w:r>
      <w:r w:rsidR="00C978A9">
        <w:t>ors</w:t>
      </w:r>
      <w:r w:rsidR="00C629FD" w:rsidRPr="0D77DCC5">
        <w:t xml:space="preserve"> and use of</w:t>
      </w:r>
      <w:r w:rsidR="00BD4EE1" w:rsidRPr="0D77DCC5">
        <w:t xml:space="preserve"> the </w:t>
      </w:r>
      <w:r w:rsidR="00AF63B8">
        <w:t>proposed items</w:t>
      </w:r>
      <w:r w:rsidR="00823FE2">
        <w:t xml:space="preserve">, including a single combined item across all </w:t>
      </w:r>
      <w:r w:rsidR="008F5EBB">
        <w:t>class</w:t>
      </w:r>
      <w:r w:rsidR="00823FE2">
        <w:t>es of obesity if a streamlined listing is preferred.</w:t>
      </w:r>
    </w:p>
    <w:p w14:paraId="143CD452" w14:textId="7ECCACC3" w:rsidR="00512C4C" w:rsidRDefault="006436B2" w:rsidP="007F1F22">
      <w:pPr>
        <w:pStyle w:val="Instructionaltext"/>
        <w:tabs>
          <w:tab w:val="left" w:pos="2172"/>
        </w:tabs>
        <w:rPr>
          <w:color w:val="auto"/>
        </w:rPr>
      </w:pPr>
      <w:r w:rsidRPr="0D77DCC5">
        <w:rPr>
          <w:color w:val="auto"/>
        </w:rPr>
        <w:t>The ADAR</w:t>
      </w:r>
      <w:r w:rsidR="003F4F23" w:rsidRPr="0D77DCC5">
        <w:rPr>
          <w:color w:val="auto"/>
        </w:rPr>
        <w:t xml:space="preserve"> proposes using the Apollo ESG NXT system, an upgraded version of the OverStitch™ system, for performing ESG. The TGA-registered Apollo ESG NXT </w:t>
      </w:r>
      <w:r w:rsidR="00130A73" w:rsidRPr="0D77DCC5">
        <w:rPr>
          <w:color w:val="auto"/>
        </w:rPr>
        <w:t xml:space="preserve">system </w:t>
      </w:r>
      <w:r w:rsidR="003F4F23" w:rsidRPr="0D77DCC5">
        <w:rPr>
          <w:color w:val="auto"/>
        </w:rPr>
        <w:t xml:space="preserve">is intended for </w:t>
      </w:r>
      <w:r w:rsidR="001A2734" w:rsidRPr="0D77DCC5">
        <w:rPr>
          <w:color w:val="auto"/>
        </w:rPr>
        <w:t xml:space="preserve">use by </w:t>
      </w:r>
      <w:r w:rsidR="003F4F23" w:rsidRPr="0D77DCC5">
        <w:rPr>
          <w:color w:val="auto"/>
        </w:rPr>
        <w:t xml:space="preserve">gastroenterologists or bariatric surgeons to aid </w:t>
      </w:r>
      <w:r w:rsidR="00130A73" w:rsidRPr="0D77DCC5">
        <w:rPr>
          <w:color w:val="auto"/>
        </w:rPr>
        <w:t xml:space="preserve">patient </w:t>
      </w:r>
      <w:r w:rsidR="003F4F23" w:rsidRPr="0D77DCC5">
        <w:rPr>
          <w:color w:val="auto"/>
        </w:rPr>
        <w:t>weight loss by reducing stomach volume in adults with a BMI of 30</w:t>
      </w:r>
      <w:r w:rsidR="00130A73" w:rsidRPr="0D77DCC5">
        <w:rPr>
          <w:color w:val="auto"/>
        </w:rPr>
        <w:t>–</w:t>
      </w:r>
      <w:r w:rsidR="003F4F23" w:rsidRPr="0D77DCC5">
        <w:rPr>
          <w:color w:val="auto"/>
        </w:rPr>
        <w:t>50 kg/m² who have</w:t>
      </w:r>
      <w:r w:rsidR="00130A73" w:rsidRPr="0D77DCC5">
        <w:rPr>
          <w:color w:val="auto"/>
        </w:rPr>
        <w:t xml:space="preserve"> no</w:t>
      </w:r>
      <w:r w:rsidR="003F4F23" w:rsidRPr="0D77DCC5">
        <w:rPr>
          <w:color w:val="auto"/>
        </w:rPr>
        <w:t xml:space="preserve">t succeeded with conservative methods. </w:t>
      </w:r>
      <w:r w:rsidR="009415A2" w:rsidRPr="0D77DCC5">
        <w:rPr>
          <w:color w:val="auto"/>
        </w:rPr>
        <w:t>The proposed</w:t>
      </w:r>
      <w:r w:rsidR="001557AB" w:rsidRPr="0D77DCC5">
        <w:rPr>
          <w:color w:val="auto"/>
        </w:rPr>
        <w:t xml:space="preserve"> MBS items </w:t>
      </w:r>
      <w:r w:rsidR="00A9228A" w:rsidRPr="0D77DCC5">
        <w:rPr>
          <w:color w:val="auto"/>
        </w:rPr>
        <w:t xml:space="preserve">are </w:t>
      </w:r>
      <w:r w:rsidR="00D5073E" w:rsidRPr="0D77DCC5">
        <w:rPr>
          <w:color w:val="auto"/>
        </w:rPr>
        <w:t>listed</w:t>
      </w:r>
      <w:r w:rsidR="001C5501" w:rsidRPr="00E531BA">
        <w:rPr>
          <w:color w:val="auto"/>
        </w:rPr>
        <w:t xml:space="preserve"> in </w:t>
      </w:r>
      <w:r w:rsidR="00E531BA" w:rsidRPr="00E531BA">
        <w:rPr>
          <w:color w:val="auto"/>
        </w:rPr>
        <w:fldChar w:fldCharType="begin"/>
      </w:r>
      <w:r w:rsidR="00E531BA" w:rsidRPr="00E531BA">
        <w:rPr>
          <w:color w:val="auto"/>
        </w:rPr>
        <w:instrText xml:space="preserve"> REF _Ref69481033 \h  \* MERGEFORMAT </w:instrText>
      </w:r>
      <w:r w:rsidR="00E531BA" w:rsidRPr="00E531BA">
        <w:rPr>
          <w:color w:val="auto"/>
        </w:rPr>
      </w:r>
      <w:r w:rsidR="00E531BA" w:rsidRPr="00E531BA">
        <w:rPr>
          <w:color w:val="auto"/>
        </w:rPr>
        <w:fldChar w:fldCharType="separate"/>
      </w:r>
      <w:r w:rsidR="008F37D1" w:rsidRPr="008F37D1">
        <w:rPr>
          <w:color w:val="auto"/>
        </w:rPr>
        <w:t>Table 2</w:t>
      </w:r>
      <w:r w:rsidR="00E531BA" w:rsidRPr="00E531BA">
        <w:rPr>
          <w:color w:val="auto"/>
        </w:rPr>
        <w:fldChar w:fldCharType="end"/>
      </w:r>
      <w:r w:rsidR="00E531BA" w:rsidRPr="00E531BA">
        <w:rPr>
          <w:color w:val="auto"/>
        </w:rPr>
        <w:t xml:space="preserve"> </w:t>
      </w:r>
      <w:r w:rsidR="001C5501" w:rsidRPr="00E531BA">
        <w:rPr>
          <w:color w:val="auto"/>
        </w:rPr>
        <w:t xml:space="preserve">and </w:t>
      </w:r>
      <w:r w:rsidR="00E531BA" w:rsidRPr="00E531BA">
        <w:rPr>
          <w:color w:val="auto"/>
        </w:rPr>
        <w:fldChar w:fldCharType="begin"/>
      </w:r>
      <w:r w:rsidR="00E531BA" w:rsidRPr="00E531BA">
        <w:rPr>
          <w:color w:val="auto"/>
        </w:rPr>
        <w:instrText xml:space="preserve"> REF _Ref184203220 \h  \* MERGEFORMAT </w:instrText>
      </w:r>
      <w:r w:rsidR="00E531BA" w:rsidRPr="00E531BA">
        <w:rPr>
          <w:color w:val="auto"/>
        </w:rPr>
      </w:r>
      <w:r w:rsidR="00E531BA" w:rsidRPr="00E531BA">
        <w:rPr>
          <w:color w:val="auto"/>
        </w:rPr>
        <w:fldChar w:fldCharType="separate"/>
      </w:r>
      <w:r w:rsidR="008F37D1" w:rsidRPr="008F37D1">
        <w:rPr>
          <w:color w:val="auto"/>
        </w:rPr>
        <w:t>Table 3</w:t>
      </w:r>
      <w:r w:rsidR="00E531BA" w:rsidRPr="00E531BA">
        <w:rPr>
          <w:color w:val="auto"/>
        </w:rPr>
        <w:fldChar w:fldCharType="end"/>
      </w:r>
      <w:r w:rsidR="000F2ADE" w:rsidRPr="00E531BA">
        <w:rPr>
          <w:color w:val="auto"/>
        </w:rPr>
        <w:t>.</w:t>
      </w:r>
    </w:p>
    <w:p w14:paraId="39392CFD" w14:textId="11C6E7C0" w:rsidR="003328A9" w:rsidRPr="00CE28E3" w:rsidRDefault="00310C3F" w:rsidP="007F1F22">
      <w:pPr>
        <w:pStyle w:val="Caption"/>
        <w:keepLines/>
        <w:rPr>
          <w:rFonts w:cs="Arial"/>
        </w:rPr>
      </w:pPr>
      <w:bookmarkStart w:id="15" w:name="_Ref69481033"/>
      <w:r w:rsidRPr="2AA1CA0C">
        <w:t>Table</w:t>
      </w:r>
      <w:r w:rsidR="004A4FDF" w:rsidRPr="2AA1CA0C">
        <w:t> </w:t>
      </w:r>
      <w:r w:rsidRPr="2AA1CA0C">
        <w:fldChar w:fldCharType="begin"/>
      </w:r>
      <w:r>
        <w:instrText xml:space="preserve"> SEQ Table \* ARABIC </w:instrText>
      </w:r>
      <w:r w:rsidRPr="2AA1CA0C">
        <w:fldChar w:fldCharType="separate"/>
      </w:r>
      <w:r w:rsidR="008F37D1">
        <w:rPr>
          <w:noProof/>
        </w:rPr>
        <w:t>2</w:t>
      </w:r>
      <w:r w:rsidRPr="2AA1CA0C">
        <w:rPr>
          <w:noProof/>
        </w:rPr>
        <w:fldChar w:fldCharType="end"/>
      </w:r>
      <w:bookmarkEnd w:id="15"/>
      <w:r w:rsidR="00E002F8" w:rsidRPr="2AA1CA0C">
        <w:rPr>
          <w:rFonts w:cs="Arial"/>
        </w:rPr>
        <w:t xml:space="preserve">: </w:t>
      </w:r>
      <w:r w:rsidR="007F5009" w:rsidRPr="2AA1CA0C">
        <w:t xml:space="preserve">Proposed </w:t>
      </w:r>
      <w:r w:rsidR="004146B1" w:rsidRPr="2AA1CA0C">
        <w:t xml:space="preserve">new </w:t>
      </w:r>
      <w:r w:rsidR="007F5009" w:rsidRPr="2AA1CA0C">
        <w:t xml:space="preserve">item descriptor for ESG in </w:t>
      </w:r>
      <w:r w:rsidR="007F2FC3" w:rsidRPr="2AA1CA0C">
        <w:t>c</w:t>
      </w:r>
      <w:r w:rsidR="008F5EBB" w:rsidRPr="2AA1CA0C">
        <w:t>lass</w:t>
      </w:r>
      <w:r w:rsidR="007F5009" w:rsidRPr="2AA1CA0C">
        <w:t xml:space="preserve"> I</w:t>
      </w:r>
      <w:r w:rsidR="003D6833" w:rsidRPr="2AA1CA0C">
        <w:t>–</w:t>
      </w:r>
      <w:r w:rsidR="007F5009" w:rsidRPr="2AA1CA0C">
        <w:t>II obesity</w:t>
      </w:r>
      <w:r w:rsidR="007F5009" w:rsidRPr="2AA1CA0C">
        <w:rPr>
          <w:rFonts w:cs="Arial"/>
        </w:rPr>
        <w:t xml:space="preserve"> </w:t>
      </w:r>
      <w:r w:rsidR="00664B0D" w:rsidRPr="2AA1CA0C">
        <w:rPr>
          <w:rFonts w:cs="Arial"/>
        </w:rPr>
        <w:t>in the ADAR</w:t>
      </w:r>
    </w:p>
    <w:tbl>
      <w:tblPr>
        <w:tblW w:w="5003" w:type="pct"/>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5"/>
      </w:tblGrid>
      <w:tr w:rsidR="003E2730" w:rsidRPr="00CE28E3" w14:paraId="7A70B700" w14:textId="77777777" w:rsidTr="21E9C1B2">
        <w:trPr>
          <w:trHeight w:val="351"/>
          <w:tblHeader/>
        </w:trPr>
        <w:tc>
          <w:tcPr>
            <w:tcW w:w="5000" w:type="pct"/>
            <w:tcBorders>
              <w:top w:val="single" w:sz="6" w:space="0" w:color="auto"/>
              <w:left w:val="single" w:sz="6" w:space="0" w:color="auto"/>
              <w:bottom w:val="single" w:sz="6" w:space="0" w:color="auto"/>
              <w:right w:val="single" w:sz="6" w:space="0" w:color="auto"/>
            </w:tcBorders>
            <w:shd w:val="clear" w:color="auto" w:fill="auto"/>
            <w:hideMark/>
          </w:tcPr>
          <w:p w14:paraId="617FAF30" w14:textId="48D8D98D" w:rsidR="003328A9" w:rsidRPr="00285F48" w:rsidRDefault="00F55116" w:rsidP="007F1F22">
            <w:pPr>
              <w:pStyle w:val="TableText"/>
              <w:keepNext/>
              <w:keepLines/>
              <w:spacing w:before="0" w:after="0"/>
              <w:rPr>
                <w:rStyle w:val="eop"/>
                <w:rFonts w:cs="Segoe UI"/>
              </w:rPr>
            </w:pPr>
            <w:bookmarkStart w:id="16" w:name="_Hlk182487879"/>
            <w:r w:rsidRPr="70162758">
              <w:rPr>
                <w:rStyle w:val="normaltextrun"/>
                <w:rFonts w:cs="Segoe UI"/>
                <w:b/>
              </w:rPr>
              <w:t>Category 3 – Therapeutic Procedures </w:t>
            </w:r>
            <w:r w:rsidRPr="70162758">
              <w:rPr>
                <w:rStyle w:val="eop"/>
                <w:rFonts w:cs="Segoe UI"/>
              </w:rPr>
              <w:t> </w:t>
            </w:r>
          </w:p>
        </w:tc>
      </w:tr>
      <w:tr w:rsidR="000D5848" w:rsidRPr="00CE28E3" w14:paraId="05A9B76F" w14:textId="77777777" w:rsidTr="21E9C1B2">
        <w:tc>
          <w:tcPr>
            <w:tcW w:w="5000" w:type="pct"/>
            <w:tcBorders>
              <w:top w:val="single" w:sz="6" w:space="0" w:color="auto"/>
              <w:left w:val="single" w:sz="6" w:space="0" w:color="auto"/>
              <w:bottom w:val="single" w:sz="6" w:space="0" w:color="auto"/>
              <w:right w:val="single" w:sz="6" w:space="0" w:color="auto"/>
            </w:tcBorders>
            <w:shd w:val="clear" w:color="auto" w:fill="auto"/>
            <w:hideMark/>
          </w:tcPr>
          <w:p w14:paraId="354E6E65" w14:textId="77777777" w:rsidR="00F55116" w:rsidRPr="00285F48" w:rsidRDefault="00F55116" w:rsidP="007F1F22">
            <w:pPr>
              <w:pStyle w:val="paragraph"/>
              <w:keepNext/>
              <w:keepLines/>
              <w:spacing w:before="0" w:beforeAutospacing="0" w:after="0" w:afterAutospacing="0"/>
              <w:textAlignment w:val="baseline"/>
              <w:divId w:val="71397141"/>
              <w:rPr>
                <w:rFonts w:ascii="Arial Narrow" w:hAnsi="Arial Narrow" w:cs="Segoe UI"/>
                <w:sz w:val="20"/>
                <w:szCs w:val="20"/>
              </w:rPr>
            </w:pPr>
            <w:r w:rsidRPr="00285F48">
              <w:rPr>
                <w:rStyle w:val="normaltextrun"/>
                <w:rFonts w:ascii="Arial Narrow" w:hAnsi="Arial Narrow" w:cs="Segoe UI"/>
                <w:sz w:val="20"/>
                <w:szCs w:val="20"/>
                <w:lang w:val="en-US"/>
              </w:rPr>
              <w:t xml:space="preserve">MBS item </w:t>
            </w:r>
            <w:r w:rsidRPr="00285F48">
              <w:rPr>
                <w:rStyle w:val="normaltextrun"/>
                <w:rFonts w:ascii="Arial Narrow" w:hAnsi="Arial Narrow" w:cs="Segoe UI"/>
                <w:sz w:val="20"/>
                <w:szCs w:val="20"/>
              </w:rPr>
              <w:t>xxxx</w:t>
            </w:r>
            <w:r w:rsidRPr="00285F48">
              <w:rPr>
                <w:rStyle w:val="eop"/>
                <w:rFonts w:ascii="Arial Narrow" w:hAnsi="Arial Narrow" w:cs="Segoe UI"/>
                <w:sz w:val="20"/>
                <w:szCs w:val="20"/>
              </w:rPr>
              <w:t> </w:t>
            </w:r>
          </w:p>
          <w:p w14:paraId="1CEDF83A" w14:textId="7B4AD3DF" w:rsidR="00F55116" w:rsidRPr="00285F48" w:rsidRDefault="00F55116" w:rsidP="007F1F22">
            <w:pPr>
              <w:pStyle w:val="paragraph"/>
              <w:keepNext/>
              <w:keepLines/>
              <w:spacing w:before="0" w:beforeAutospacing="0" w:after="0" w:afterAutospacing="0"/>
              <w:textAlignment w:val="baseline"/>
              <w:divId w:val="283778390"/>
              <w:rPr>
                <w:rFonts w:ascii="Arial Narrow" w:hAnsi="Arial Narrow" w:cs="Segoe UI"/>
                <w:sz w:val="20"/>
                <w:szCs w:val="20"/>
              </w:rPr>
            </w:pPr>
            <w:r w:rsidRPr="2AA1CA0C">
              <w:rPr>
                <w:rStyle w:val="normaltextrun"/>
                <w:rFonts w:ascii="Arial Narrow" w:hAnsi="Arial Narrow" w:cs="Segoe UI"/>
                <w:sz w:val="20"/>
                <w:szCs w:val="20"/>
              </w:rPr>
              <w:t>Endoscopic sleeve gastroplasty, by a specialist, for patients age</w:t>
            </w:r>
            <w:r w:rsidR="00E260CB" w:rsidRPr="2AA1CA0C">
              <w:rPr>
                <w:rStyle w:val="normaltextrun"/>
                <w:rFonts w:ascii="Arial Narrow" w:hAnsi="Arial Narrow" w:cs="Segoe UI"/>
                <w:sz w:val="20"/>
                <w:szCs w:val="20"/>
              </w:rPr>
              <w:t>d</w:t>
            </w:r>
            <w:r w:rsidRPr="2AA1CA0C">
              <w:rPr>
                <w:rStyle w:val="normaltextrun"/>
                <w:rFonts w:ascii="Arial Narrow" w:hAnsi="Arial Narrow" w:cs="Segoe UI"/>
                <w:sz w:val="20"/>
                <w:szCs w:val="20"/>
              </w:rPr>
              <w:t xml:space="preserve"> 18 years or over with </w:t>
            </w:r>
            <w:r w:rsidR="00FE76F9" w:rsidRPr="2AA1CA0C">
              <w:rPr>
                <w:rStyle w:val="normaltextrun"/>
                <w:rFonts w:ascii="Arial Narrow" w:hAnsi="Arial Narrow" w:cs="Segoe UI"/>
                <w:sz w:val="20"/>
                <w:szCs w:val="20"/>
              </w:rPr>
              <w:t>c</w:t>
            </w:r>
            <w:r w:rsidR="008F5EBB" w:rsidRPr="2AA1CA0C">
              <w:rPr>
                <w:rStyle w:val="normaltextrun"/>
                <w:rFonts w:ascii="Arial Narrow" w:hAnsi="Arial Narrow" w:cs="Segoe UI"/>
                <w:sz w:val="20"/>
                <w:szCs w:val="20"/>
              </w:rPr>
              <w:t>lass</w:t>
            </w:r>
            <w:r w:rsidRPr="2AA1CA0C">
              <w:rPr>
                <w:rStyle w:val="normaltextrun"/>
                <w:rFonts w:ascii="Arial Narrow" w:hAnsi="Arial Narrow" w:cs="Segoe UI"/>
                <w:sz w:val="20"/>
                <w:szCs w:val="20"/>
              </w:rPr>
              <w:t xml:space="preserve"> I or </w:t>
            </w:r>
            <w:r w:rsidR="00FE76F9" w:rsidRPr="2AA1CA0C">
              <w:rPr>
                <w:rStyle w:val="normaltextrun"/>
                <w:rFonts w:ascii="Arial Narrow" w:hAnsi="Arial Narrow" w:cs="Segoe UI"/>
                <w:sz w:val="20"/>
                <w:szCs w:val="20"/>
              </w:rPr>
              <w:t>c</w:t>
            </w:r>
            <w:r w:rsidR="008F5EBB" w:rsidRPr="2AA1CA0C">
              <w:rPr>
                <w:rStyle w:val="normaltextrun"/>
                <w:rFonts w:ascii="Arial Narrow" w:hAnsi="Arial Narrow" w:cs="Segoe UI"/>
                <w:sz w:val="20"/>
                <w:szCs w:val="20"/>
              </w:rPr>
              <w:t>lass</w:t>
            </w:r>
            <w:r w:rsidRPr="2AA1CA0C">
              <w:rPr>
                <w:rStyle w:val="normaltextrun"/>
                <w:rFonts w:ascii="Arial Narrow" w:hAnsi="Arial Narrow" w:cs="Segoe UI"/>
                <w:sz w:val="20"/>
                <w:szCs w:val="20"/>
              </w:rPr>
              <w:t xml:space="preserve"> II obesity</w:t>
            </w:r>
            <w:r w:rsidR="002B29D1" w:rsidRPr="2AA1CA0C">
              <w:rPr>
                <w:rStyle w:val="normaltextrun"/>
                <w:rFonts w:ascii="Arial Narrow" w:hAnsi="Arial Narrow" w:cs="Segoe UI"/>
                <w:sz w:val="20"/>
                <w:szCs w:val="20"/>
              </w:rPr>
              <w:t>*</w:t>
            </w:r>
            <w:r w:rsidRPr="2AA1CA0C">
              <w:rPr>
                <w:rStyle w:val="normaltextrun"/>
                <w:rFonts w:ascii="Arial Narrow" w:hAnsi="Arial Narrow" w:cs="Segoe UI"/>
                <w:sz w:val="20"/>
                <w:szCs w:val="20"/>
              </w:rPr>
              <w:t xml:space="preserve"> without adequate and/or sustained response to very low energy diet therapy delivered with or without pharmacotherapy.</w:t>
            </w:r>
            <w:r w:rsidRPr="2AA1CA0C">
              <w:rPr>
                <w:rStyle w:val="eop"/>
                <w:rFonts w:ascii="Arial Narrow" w:hAnsi="Arial Narrow" w:cs="Segoe UI"/>
                <w:sz w:val="20"/>
                <w:szCs w:val="20"/>
              </w:rPr>
              <w:t> </w:t>
            </w:r>
          </w:p>
          <w:p w14:paraId="30556627" w14:textId="36320B9F" w:rsidR="003328A9" w:rsidRDefault="00F55116" w:rsidP="007F1F22">
            <w:pPr>
              <w:keepNext/>
              <w:keepLines/>
              <w:spacing w:before="0" w:after="0" w:line="240" w:lineRule="auto"/>
              <w:rPr>
                <w:rStyle w:val="eop"/>
                <w:rFonts w:ascii="Arial Narrow" w:hAnsi="Arial Narrow" w:cs="Segoe UI"/>
                <w:sz w:val="20"/>
                <w:szCs w:val="20"/>
              </w:rPr>
            </w:pPr>
            <w:r w:rsidRPr="00285F48">
              <w:rPr>
                <w:rStyle w:val="normaltextrun"/>
                <w:rFonts w:ascii="Arial Narrow" w:hAnsi="Arial Narrow" w:cs="Segoe UI"/>
                <w:sz w:val="20"/>
                <w:szCs w:val="20"/>
              </w:rPr>
              <w:t xml:space="preserve">Applicable once per </w:t>
            </w:r>
            <w:r w:rsidRPr="00C8307F">
              <w:rPr>
                <w:rStyle w:val="normaltextrun"/>
                <w:rFonts w:ascii="Arial Narrow" w:hAnsi="Arial Narrow" w:cs="Segoe UI"/>
                <w:b/>
                <w:bCs/>
                <w:sz w:val="20"/>
                <w:szCs w:val="20"/>
              </w:rPr>
              <w:t>24-month period</w:t>
            </w:r>
            <w:r w:rsidR="00372C51" w:rsidRPr="00F35FB2">
              <w:rPr>
                <w:rStyle w:val="eop"/>
                <w:rFonts w:ascii="Arial Narrow" w:hAnsi="Arial Narrow" w:cs="Segoe UI"/>
                <w:sz w:val="20"/>
                <w:szCs w:val="20"/>
              </w:rPr>
              <w:t>**</w:t>
            </w:r>
          </w:p>
          <w:p w14:paraId="54B7F0B6" w14:textId="1CE36502" w:rsidR="00674898" w:rsidRPr="00356EEB" w:rsidRDefault="00674898" w:rsidP="007F1F22">
            <w:pPr>
              <w:keepNext/>
              <w:keepLines/>
              <w:spacing w:before="0" w:after="0" w:line="240" w:lineRule="auto"/>
              <w:rPr>
                <w:rFonts w:ascii="Arial Narrow" w:hAnsi="Arial Narrow"/>
                <w:color w:val="ED0000"/>
                <w:sz w:val="20"/>
                <w:szCs w:val="20"/>
              </w:rPr>
            </w:pPr>
            <w:r w:rsidRPr="00356EEB">
              <w:rPr>
                <w:rFonts w:ascii="Arial Narrow" w:hAnsi="Arial Narrow"/>
                <w:color w:val="ED0000"/>
                <w:sz w:val="20"/>
                <w:szCs w:val="20"/>
              </w:rPr>
              <w:t xml:space="preserve">Multiple </w:t>
            </w:r>
            <w:r w:rsidR="69E6EE0E" w:rsidRPr="00356EEB">
              <w:rPr>
                <w:rFonts w:ascii="Arial Narrow" w:hAnsi="Arial Narrow"/>
                <w:color w:val="ED0000"/>
                <w:sz w:val="20"/>
                <w:szCs w:val="20"/>
              </w:rPr>
              <w:t>Operation</w:t>
            </w:r>
            <w:r w:rsidRPr="00356EEB">
              <w:rPr>
                <w:rFonts w:ascii="Arial Narrow" w:hAnsi="Arial Narrow"/>
                <w:color w:val="ED0000"/>
                <w:sz w:val="20"/>
                <w:szCs w:val="20"/>
              </w:rPr>
              <w:t xml:space="preserve"> Rule</w:t>
            </w:r>
          </w:p>
          <w:p w14:paraId="3EEC2DE6" w14:textId="32847A9C" w:rsidR="00132BB1" w:rsidRPr="00170D5B" w:rsidRDefault="00674898" w:rsidP="007F1F22">
            <w:pPr>
              <w:keepNext/>
              <w:keepLines/>
              <w:spacing w:before="0" w:after="0" w:line="240" w:lineRule="auto"/>
              <w:rPr>
                <w:rFonts w:ascii="Arial Narrow" w:hAnsi="Arial Narrow"/>
                <w:sz w:val="20"/>
                <w:szCs w:val="20"/>
                <w:lang w:eastAsia="ja-JP"/>
              </w:rPr>
            </w:pPr>
            <w:r w:rsidRPr="00356EEB">
              <w:rPr>
                <w:rFonts w:ascii="Arial Narrow" w:hAnsi="Arial Narrow"/>
                <w:color w:val="ED0000"/>
                <w:sz w:val="20"/>
                <w:szCs w:val="20"/>
              </w:rPr>
              <w:t>(Anaes.) (Assist.)</w:t>
            </w:r>
          </w:p>
        </w:tc>
      </w:tr>
      <w:tr w:rsidR="000D5848" w:rsidRPr="005D749D" w14:paraId="190EE027" w14:textId="77777777" w:rsidTr="21E9C1B2">
        <w:tc>
          <w:tcPr>
            <w:tcW w:w="5000" w:type="pct"/>
            <w:tcBorders>
              <w:top w:val="single" w:sz="6" w:space="0" w:color="auto"/>
              <w:left w:val="single" w:sz="6" w:space="0" w:color="auto"/>
              <w:bottom w:val="single" w:sz="6" w:space="0" w:color="auto"/>
              <w:right w:val="single" w:sz="6" w:space="0" w:color="auto"/>
            </w:tcBorders>
            <w:shd w:val="clear" w:color="auto" w:fill="auto"/>
            <w:hideMark/>
          </w:tcPr>
          <w:p w14:paraId="5AEEDFDC" w14:textId="44B1D42D" w:rsidR="003328A9" w:rsidRPr="005D749D" w:rsidRDefault="67966FB2" w:rsidP="007F1F22">
            <w:pPr>
              <w:pStyle w:val="TableText"/>
              <w:keepNext/>
              <w:keepLines/>
              <w:spacing w:before="0" w:after="0"/>
              <w:rPr>
                <w:rStyle w:val="eop"/>
                <w:rFonts w:cs="Segoe UI"/>
              </w:rPr>
            </w:pPr>
            <w:r w:rsidRPr="3F9AD25B">
              <w:rPr>
                <w:rStyle w:val="eop"/>
                <w:rFonts w:cs="Segoe UI"/>
              </w:rPr>
              <w:t> </w:t>
            </w:r>
            <w:r w:rsidR="2789C292" w:rsidRPr="3F9AD25B">
              <w:rPr>
                <w:rStyle w:val="normaltextrun"/>
                <w:rFonts w:cs="Segoe UI"/>
              </w:rPr>
              <w:t xml:space="preserve"> </w:t>
            </w:r>
            <w:r w:rsidR="00F55116" w:rsidRPr="043A900C">
              <w:rPr>
                <w:rStyle w:val="normaltextrun"/>
                <w:rFonts w:cs="Segoe UI"/>
              </w:rPr>
              <w:t xml:space="preserve">Fee: $967.90 </w:t>
            </w:r>
            <w:r w:rsidR="00F55116" w:rsidRPr="043A900C">
              <w:rPr>
                <w:rStyle w:val="normaltextrun"/>
                <w:rFonts w:cs="Segoe UI"/>
                <w:b/>
              </w:rPr>
              <w:t>Benefit:</w:t>
            </w:r>
            <w:r w:rsidR="00F55116" w:rsidRPr="043A900C">
              <w:rPr>
                <w:rStyle w:val="normaltextrun"/>
                <w:rFonts w:cs="Segoe UI"/>
              </w:rPr>
              <w:t xml:space="preserve"> 75% = $725.95</w:t>
            </w:r>
            <w:r w:rsidR="00F55116" w:rsidRPr="3F9AD25B">
              <w:rPr>
                <w:rStyle w:val="normaltextrun"/>
                <w:rFonts w:cs="Segoe UI"/>
              </w:rPr>
              <w:t> </w:t>
            </w:r>
          </w:p>
        </w:tc>
      </w:tr>
    </w:tbl>
    <w:p w14:paraId="1E9D4539" w14:textId="3BDD94EB" w:rsidR="00674898" w:rsidRPr="00115CA8" w:rsidRDefault="00674898" w:rsidP="007F1F22">
      <w:pPr>
        <w:pStyle w:val="TableFigureFooter"/>
        <w:keepNext/>
        <w:keepLines/>
        <w:rPr>
          <w:rStyle w:val="normaltextrun"/>
          <w:rFonts w:cs="Segoe UI"/>
        </w:rPr>
      </w:pPr>
      <w:r w:rsidRPr="2AA1CA0C">
        <w:rPr>
          <w:rStyle w:val="normaltextrun"/>
          <w:rFonts w:cs="Segoe UI"/>
        </w:rPr>
        <w:t xml:space="preserve">Notes: </w:t>
      </w:r>
      <w:r w:rsidRPr="2AA1CA0C">
        <w:rPr>
          <w:rStyle w:val="normaltextrun"/>
          <w:rFonts w:cs="Segoe UI"/>
          <w:color w:val="ED0000"/>
        </w:rPr>
        <w:t>Red</w:t>
      </w:r>
      <w:r w:rsidRPr="2AA1CA0C">
        <w:rPr>
          <w:rStyle w:val="normaltextrun"/>
          <w:rFonts w:cs="Segoe UI"/>
        </w:rPr>
        <w:t xml:space="preserve"> text added by assessment group</w:t>
      </w:r>
      <w:r w:rsidR="002020C1" w:rsidRPr="2AA1CA0C">
        <w:rPr>
          <w:rStyle w:val="normaltextrun"/>
          <w:rFonts w:cs="Segoe UI"/>
        </w:rPr>
        <w:t xml:space="preserve"> in line with proposed item descriptor in the ratified PICO Confirmation for Application 1555.1 (p</w:t>
      </w:r>
      <w:r w:rsidR="00893B01" w:rsidRPr="2AA1CA0C">
        <w:rPr>
          <w:rStyle w:val="normaltextrun"/>
          <w:rFonts w:cs="Segoe UI"/>
        </w:rPr>
        <w:t>.20)</w:t>
      </w:r>
      <w:r w:rsidR="00893B01" w:rsidRPr="00646712">
        <w:rPr>
          <w:rStyle w:val="normaltextrun"/>
          <w:rFonts w:cs="Segoe UI"/>
          <w:vertAlign w:val="superscript"/>
        </w:rPr>
        <w:fldChar w:fldCharType="begin"/>
      </w:r>
      <w:r w:rsidR="00893B01" w:rsidRPr="00D75951">
        <w:rPr>
          <w:rStyle w:val="normaltextrun"/>
          <w:rFonts w:cs="Segoe UI"/>
          <w:vertAlign w:val="superscript"/>
        </w:rPr>
        <w:instrText xml:space="preserve"> NOTEREF _Ref187143473 \h </w:instrText>
      </w:r>
      <w:r w:rsidR="00893B01" w:rsidRPr="002615FC">
        <w:rPr>
          <w:rStyle w:val="normaltextrun"/>
          <w:rFonts w:cs="Segoe UI"/>
          <w:vertAlign w:val="superscript"/>
        </w:rPr>
        <w:instrText xml:space="preserve"> </w:instrText>
      </w:r>
      <w:r w:rsidR="00893B01">
        <w:rPr>
          <w:rStyle w:val="normaltextrun"/>
          <w:rFonts w:cs="Segoe UI"/>
          <w:vertAlign w:val="superscript"/>
        </w:rPr>
        <w:instrText xml:space="preserve">\* MERGEFORMAT </w:instrText>
      </w:r>
      <w:r w:rsidR="00893B01" w:rsidRPr="00646712">
        <w:rPr>
          <w:rStyle w:val="normaltextrun"/>
          <w:rFonts w:cs="Segoe UI"/>
          <w:vertAlign w:val="superscript"/>
        </w:rPr>
      </w:r>
      <w:r w:rsidR="00893B01" w:rsidRPr="00646712">
        <w:rPr>
          <w:rStyle w:val="normaltextrun"/>
          <w:rFonts w:cs="Segoe UI"/>
          <w:vertAlign w:val="superscript"/>
        </w:rPr>
        <w:fldChar w:fldCharType="separate"/>
      </w:r>
      <w:r w:rsidR="008F37D1">
        <w:rPr>
          <w:rStyle w:val="normaltextrun"/>
          <w:rFonts w:cs="Segoe UI"/>
          <w:vertAlign w:val="superscript"/>
        </w:rPr>
        <w:t>17</w:t>
      </w:r>
      <w:r w:rsidR="00893B01" w:rsidRPr="00646712">
        <w:rPr>
          <w:rStyle w:val="normaltextrun"/>
          <w:rFonts w:cs="Segoe UI"/>
          <w:vertAlign w:val="superscript"/>
        </w:rPr>
        <w:fldChar w:fldCharType="end"/>
      </w:r>
      <w:r w:rsidR="00902398" w:rsidRPr="2AA1CA0C">
        <w:rPr>
          <w:rStyle w:val="normaltextrun"/>
          <w:rFonts w:cs="Segoe UI"/>
          <w:vertAlign w:val="superscript"/>
        </w:rPr>
        <w:t xml:space="preserve"> </w:t>
      </w:r>
      <w:r w:rsidR="00B805FB" w:rsidRPr="2AA1CA0C">
        <w:rPr>
          <w:rStyle w:val="normaltextrun"/>
          <w:rFonts w:cs="Segoe UI"/>
        </w:rPr>
        <w:t xml:space="preserve">. </w:t>
      </w:r>
    </w:p>
    <w:p w14:paraId="30409735" w14:textId="209372B3" w:rsidR="00491D3C" w:rsidRPr="00D76EFB" w:rsidRDefault="00CA511D" w:rsidP="007F1F22">
      <w:pPr>
        <w:pStyle w:val="TableFigureFooter"/>
        <w:keepNext/>
        <w:keepLines/>
        <w:rPr>
          <w:rStyle w:val="normaltextrun"/>
          <w:rFonts w:cs="Segoe UI"/>
        </w:rPr>
      </w:pPr>
      <w:r>
        <w:rPr>
          <w:rStyle w:val="normaltextrun"/>
          <w:rFonts w:cs="Segoe UI"/>
        </w:rPr>
        <w:t>*</w:t>
      </w:r>
      <w:r w:rsidR="00491D3C">
        <w:rPr>
          <w:rStyle w:val="normaltextrun"/>
          <w:rFonts w:cs="Segoe UI"/>
        </w:rPr>
        <w:t xml:space="preserve"> </w:t>
      </w:r>
      <w:r w:rsidR="00491D3C" w:rsidRPr="00491D3C">
        <w:rPr>
          <w:rStyle w:val="normaltextrun"/>
          <w:rFonts w:cs="Segoe UI"/>
        </w:rPr>
        <w:t>BMI thresholds developed for Caucasians may not be suitable for Asian or Aboriginal and Torres Strait Islander individuals</w:t>
      </w:r>
      <w:r w:rsidR="00491D3C">
        <w:rPr>
          <w:rStyle w:val="normaltextrun"/>
          <w:rFonts w:cs="Segoe UI"/>
        </w:rPr>
        <w:t>.</w:t>
      </w:r>
      <w:r w:rsidR="00600EE9" w:rsidRPr="00646712">
        <w:rPr>
          <w:rStyle w:val="normaltextrun"/>
          <w:rFonts w:cs="Segoe UI"/>
          <w:vertAlign w:val="superscript"/>
        </w:rPr>
        <w:fldChar w:fldCharType="begin"/>
      </w:r>
      <w:r w:rsidR="00600EE9" w:rsidRPr="00D75951">
        <w:rPr>
          <w:rStyle w:val="normaltextrun"/>
          <w:rFonts w:cs="Segoe UI"/>
          <w:vertAlign w:val="superscript"/>
        </w:rPr>
        <w:instrText xml:space="preserve"> NOTEREF _Ref187143473 \h </w:instrText>
      </w:r>
      <w:r w:rsidR="00600EE9" w:rsidRPr="002615FC">
        <w:rPr>
          <w:rStyle w:val="normaltextrun"/>
          <w:rFonts w:cs="Segoe UI"/>
          <w:vertAlign w:val="superscript"/>
        </w:rPr>
        <w:instrText xml:space="preserve"> </w:instrText>
      </w:r>
      <w:r w:rsidR="00600EE9">
        <w:rPr>
          <w:rStyle w:val="normaltextrun"/>
          <w:rFonts w:cs="Segoe UI"/>
          <w:vertAlign w:val="superscript"/>
        </w:rPr>
        <w:instrText xml:space="preserve">\* MERGEFORMAT </w:instrText>
      </w:r>
      <w:r w:rsidR="00600EE9" w:rsidRPr="00646712">
        <w:rPr>
          <w:rStyle w:val="normaltextrun"/>
          <w:rFonts w:cs="Segoe UI"/>
          <w:vertAlign w:val="superscript"/>
        </w:rPr>
      </w:r>
      <w:r w:rsidR="00600EE9" w:rsidRPr="00646712">
        <w:rPr>
          <w:rStyle w:val="normaltextrun"/>
          <w:rFonts w:cs="Segoe UI"/>
          <w:vertAlign w:val="superscript"/>
        </w:rPr>
        <w:fldChar w:fldCharType="separate"/>
      </w:r>
      <w:r w:rsidR="008F37D1">
        <w:rPr>
          <w:rStyle w:val="normaltextrun"/>
          <w:rFonts w:cs="Segoe UI"/>
          <w:vertAlign w:val="superscript"/>
        </w:rPr>
        <w:t>17</w:t>
      </w:r>
      <w:r w:rsidR="00600EE9" w:rsidRPr="00646712">
        <w:rPr>
          <w:rStyle w:val="normaltextrun"/>
          <w:rFonts w:cs="Segoe UI"/>
          <w:vertAlign w:val="superscript"/>
        </w:rPr>
        <w:fldChar w:fldCharType="end"/>
      </w:r>
      <w:r w:rsidR="00600EE9">
        <w:rPr>
          <w:rStyle w:val="normaltextrun"/>
          <w:rFonts w:cs="Segoe UI"/>
          <w:vertAlign w:val="superscript"/>
        </w:rPr>
        <w:t xml:space="preserve"> </w:t>
      </w:r>
      <w:r w:rsidR="00D64346">
        <w:rPr>
          <w:rStyle w:val="normaltextrun"/>
          <w:rFonts w:cs="Segoe UI"/>
        </w:rPr>
        <w:t xml:space="preserve"> Explanatory Note TN 8</w:t>
      </w:r>
      <w:r w:rsidR="00482198">
        <w:rPr>
          <w:rStyle w:val="normaltextrun"/>
          <w:rFonts w:cs="Segoe UI"/>
        </w:rPr>
        <w:t xml:space="preserve">.29 details </w:t>
      </w:r>
      <w:r w:rsidR="0039099C">
        <w:rPr>
          <w:rStyle w:val="normaltextrun"/>
          <w:rFonts w:cs="Segoe UI"/>
        </w:rPr>
        <w:t>that</w:t>
      </w:r>
      <w:r w:rsidR="00AA1B44">
        <w:rPr>
          <w:rStyle w:val="normaltextrun"/>
          <w:rFonts w:cs="Segoe UI"/>
        </w:rPr>
        <w:t xml:space="preserve"> </w:t>
      </w:r>
      <w:r w:rsidR="00A647D4" w:rsidRPr="00A647D4">
        <w:rPr>
          <w:rStyle w:val="normaltextrun"/>
          <w:rFonts w:cs="Segoe UI"/>
        </w:rPr>
        <w:t>different ethnic groups may experience major health risks at a BMI that is below the 35-40 kg/m</w:t>
      </w:r>
      <w:r w:rsidR="00A647D4" w:rsidRPr="00D76EFB">
        <w:rPr>
          <w:rStyle w:val="normaltextrun"/>
          <w:rFonts w:cs="Segoe UI"/>
          <w:vertAlign w:val="superscript"/>
        </w:rPr>
        <w:t>2</w:t>
      </w:r>
      <w:r w:rsidR="0039099C">
        <w:rPr>
          <w:rStyle w:val="normaltextrun"/>
          <w:rFonts w:cs="Segoe UI"/>
        </w:rPr>
        <w:t xml:space="preserve">, and that the </w:t>
      </w:r>
      <w:r w:rsidR="00BE6BAA" w:rsidRPr="00BE6BAA">
        <w:rPr>
          <w:rStyle w:val="normaltextrun"/>
          <w:rFonts w:cs="Segoe UI"/>
        </w:rPr>
        <w:t>decision to undertake obesity surgery remains a matter for the clinical judgment of the surgeon.</w:t>
      </w:r>
      <w:r w:rsidR="00A37F9A">
        <w:rPr>
          <w:rStyle w:val="normaltextrun"/>
          <w:rFonts w:cs="Segoe UI"/>
        </w:rPr>
        <w:t xml:space="preserve"> This explanatory note may need to be expanded to </w:t>
      </w:r>
      <w:r w:rsidR="006141AA">
        <w:rPr>
          <w:rStyle w:val="normaltextrun"/>
          <w:rFonts w:cs="Segoe UI"/>
        </w:rPr>
        <w:t>include</w:t>
      </w:r>
      <w:r w:rsidR="00A37F9A">
        <w:rPr>
          <w:rStyle w:val="normaltextrun"/>
          <w:rFonts w:cs="Segoe UI"/>
        </w:rPr>
        <w:t xml:space="preserve"> the </w:t>
      </w:r>
      <w:r w:rsidR="005C35D1">
        <w:rPr>
          <w:rStyle w:val="normaltextrun"/>
          <w:rFonts w:cs="Segoe UI"/>
        </w:rPr>
        <w:t>new</w:t>
      </w:r>
      <w:r w:rsidR="00A37F9A">
        <w:rPr>
          <w:rStyle w:val="normaltextrun"/>
          <w:rFonts w:cs="Segoe UI"/>
        </w:rPr>
        <w:t xml:space="preserve"> MBS items</w:t>
      </w:r>
      <w:r w:rsidR="005C35D1">
        <w:rPr>
          <w:rStyle w:val="normaltextrun"/>
          <w:rFonts w:cs="Segoe UI"/>
        </w:rPr>
        <w:t>, should the application be approved</w:t>
      </w:r>
      <w:r w:rsidR="00A37F9A">
        <w:rPr>
          <w:rStyle w:val="normaltextrun"/>
          <w:rFonts w:cs="Segoe UI"/>
        </w:rPr>
        <w:t>.</w:t>
      </w:r>
    </w:p>
    <w:p w14:paraId="3542E723" w14:textId="6D51284A" w:rsidR="00372C51" w:rsidRPr="00D76EFB" w:rsidRDefault="00372C51" w:rsidP="007F1F22">
      <w:pPr>
        <w:pStyle w:val="TableFigureFooter"/>
        <w:keepNext/>
        <w:keepLines/>
        <w:rPr>
          <w:rStyle w:val="normaltextrun"/>
          <w:rFonts w:cs="Segoe UI"/>
        </w:rPr>
      </w:pPr>
      <w:r w:rsidRPr="2AA1CA0C">
        <w:rPr>
          <w:rStyle w:val="normaltextrun"/>
          <w:rFonts w:cs="Segoe UI"/>
        </w:rPr>
        <w:t xml:space="preserve">**The proposed item descriptor in the ratified PICO Confirmation specified the proposed item would be applicable once per lifetime. </w:t>
      </w:r>
      <w:r w:rsidR="00E154B1" w:rsidRPr="2AA1CA0C">
        <w:rPr>
          <w:rStyle w:val="normaltextrun"/>
          <w:rFonts w:cs="Segoe UI"/>
        </w:rPr>
        <w:t xml:space="preserve">However, </w:t>
      </w:r>
      <w:r w:rsidR="0027461A" w:rsidRPr="2AA1CA0C">
        <w:rPr>
          <w:rStyle w:val="normaltextrun"/>
          <w:rFonts w:cs="Segoe UI"/>
        </w:rPr>
        <w:t xml:space="preserve">the applicant </w:t>
      </w:r>
      <w:r w:rsidR="00611A81" w:rsidRPr="2AA1CA0C">
        <w:rPr>
          <w:rStyle w:val="normaltextrun"/>
          <w:rFonts w:cs="Segoe UI"/>
        </w:rPr>
        <w:t>revised this to ‘once per 24-month period’ in the ADAR</w:t>
      </w:r>
      <w:r w:rsidR="00503EC1" w:rsidRPr="2AA1CA0C">
        <w:rPr>
          <w:rStyle w:val="normaltextrun"/>
          <w:rFonts w:cs="Segoe UI"/>
        </w:rPr>
        <w:t xml:space="preserve"> to account for the need for rev</w:t>
      </w:r>
      <w:r w:rsidR="002B109C" w:rsidRPr="2AA1CA0C">
        <w:rPr>
          <w:rStyle w:val="normaltextrun"/>
          <w:rFonts w:cs="Segoe UI"/>
        </w:rPr>
        <w:t xml:space="preserve">ision procedures. </w:t>
      </w:r>
      <w:r w:rsidR="003D292D" w:rsidRPr="2AA1CA0C">
        <w:rPr>
          <w:rStyle w:val="normaltextrun"/>
          <w:rFonts w:cs="Segoe UI"/>
        </w:rPr>
        <w:t>This represents a difference relative to the proposed item ratified by PASC.</w:t>
      </w:r>
    </w:p>
    <w:p w14:paraId="4DDE1764" w14:textId="1F8AE394" w:rsidR="00143237" w:rsidRDefault="50F72635" w:rsidP="007F1F22">
      <w:pPr>
        <w:pStyle w:val="TableFigureFooter"/>
        <w:keepNext/>
        <w:keepLines/>
        <w:rPr>
          <w:rStyle w:val="normaltextrun"/>
          <w:rFonts w:cs="Segoe UI"/>
        </w:rPr>
      </w:pPr>
      <w:r w:rsidRPr="31F003CF">
        <w:rPr>
          <w:rStyle w:val="normaltextrun"/>
          <w:rFonts w:cs="Segoe UI"/>
        </w:rPr>
        <w:t>Source: Table ES 3 pg. 2</w:t>
      </w:r>
      <w:r w:rsidR="009D2D7E">
        <w:rPr>
          <w:rStyle w:val="normaltextrun"/>
          <w:rFonts w:cs="Segoe UI"/>
        </w:rPr>
        <w:t>4</w:t>
      </w:r>
      <w:r w:rsidRPr="31F003CF">
        <w:rPr>
          <w:rStyle w:val="normaltextrun"/>
          <w:rFonts w:cs="Segoe UI"/>
        </w:rPr>
        <w:t xml:space="preserve"> from ADAR</w:t>
      </w:r>
      <w:r w:rsidR="00143237">
        <w:rPr>
          <w:rStyle w:val="normaltextrun"/>
          <w:rFonts w:cs="Segoe UI"/>
        </w:rPr>
        <w:t>.</w:t>
      </w:r>
      <w:r w:rsidRPr="31F003CF">
        <w:rPr>
          <w:rStyle w:val="normaltextrun"/>
          <w:rFonts w:cs="Segoe UI"/>
        </w:rPr>
        <w:t> </w:t>
      </w:r>
    </w:p>
    <w:p w14:paraId="7C9B9489" w14:textId="2D6C2768" w:rsidR="005C4CC1" w:rsidRPr="005C4CC1" w:rsidRDefault="005C4CC1" w:rsidP="2AA1CA0C">
      <w:pPr>
        <w:pStyle w:val="Caption"/>
        <w:keepLines/>
        <w:rPr>
          <w:rFonts w:cs="Arial"/>
        </w:rPr>
      </w:pPr>
      <w:bookmarkStart w:id="17" w:name="_Ref184203220"/>
      <w:bookmarkEnd w:id="16"/>
      <w:r w:rsidRPr="2AA1CA0C">
        <w:t>Table </w:t>
      </w:r>
      <w:r w:rsidRPr="2AA1CA0C">
        <w:fldChar w:fldCharType="begin"/>
      </w:r>
      <w:r>
        <w:instrText xml:space="preserve"> SEQ Table \* ARABIC </w:instrText>
      </w:r>
      <w:r w:rsidRPr="2AA1CA0C">
        <w:fldChar w:fldCharType="separate"/>
      </w:r>
      <w:r w:rsidR="008F37D1">
        <w:rPr>
          <w:noProof/>
        </w:rPr>
        <w:t>3</w:t>
      </w:r>
      <w:r w:rsidRPr="2AA1CA0C">
        <w:rPr>
          <w:noProof/>
        </w:rPr>
        <w:fldChar w:fldCharType="end"/>
      </w:r>
      <w:bookmarkEnd w:id="17"/>
      <w:r w:rsidR="00E002F8" w:rsidRPr="2AA1CA0C">
        <w:rPr>
          <w:rFonts w:cs="Arial"/>
        </w:rPr>
        <w:t xml:space="preserve">: </w:t>
      </w:r>
      <w:r w:rsidR="003D254E" w:rsidRPr="2AA1CA0C">
        <w:t>Proposed</w:t>
      </w:r>
      <w:r w:rsidR="004146B1" w:rsidRPr="2AA1CA0C">
        <w:t xml:space="preserve"> new</w:t>
      </w:r>
      <w:r w:rsidR="003D254E" w:rsidRPr="2AA1CA0C">
        <w:t xml:space="preserve"> item descriptor for ESG in </w:t>
      </w:r>
      <w:r w:rsidR="00CF1918" w:rsidRPr="2AA1CA0C">
        <w:t>c</w:t>
      </w:r>
      <w:r w:rsidR="008F5EBB" w:rsidRPr="2AA1CA0C">
        <w:t>lass</w:t>
      </w:r>
      <w:r w:rsidR="003D254E" w:rsidRPr="2AA1CA0C">
        <w:t xml:space="preserve"> III obesity</w:t>
      </w:r>
      <w:r w:rsidR="003D254E" w:rsidRPr="2AA1CA0C">
        <w:rPr>
          <w:rFonts w:cs="Arial"/>
        </w:rPr>
        <w:t xml:space="preserve"> </w:t>
      </w:r>
      <w:r w:rsidR="00143237" w:rsidRPr="2AA1CA0C">
        <w:rPr>
          <w:rFonts w:cs="Arial"/>
        </w:rPr>
        <w:t>in the ADAR</w:t>
      </w:r>
    </w:p>
    <w:tbl>
      <w:tblPr>
        <w:tblW w:w="5003" w:type="pct"/>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5"/>
      </w:tblGrid>
      <w:tr w:rsidR="00677F25" w:rsidRPr="00285F48" w14:paraId="08A92A10" w14:textId="77777777" w:rsidTr="21E9C1B2">
        <w:trPr>
          <w:trHeight w:val="351"/>
          <w:tblHeader/>
        </w:trPr>
        <w:tc>
          <w:tcPr>
            <w:tcW w:w="5000" w:type="pct"/>
            <w:tcBorders>
              <w:top w:val="single" w:sz="6" w:space="0" w:color="auto"/>
              <w:left w:val="single" w:sz="6" w:space="0" w:color="auto"/>
              <w:bottom w:val="single" w:sz="6" w:space="0" w:color="auto"/>
              <w:right w:val="single" w:sz="6" w:space="0" w:color="auto"/>
            </w:tcBorders>
            <w:shd w:val="clear" w:color="auto" w:fill="auto"/>
            <w:hideMark/>
          </w:tcPr>
          <w:p w14:paraId="40293A2A" w14:textId="77777777" w:rsidR="0076349B" w:rsidRPr="0076349B" w:rsidRDefault="0076349B" w:rsidP="00E140D5">
            <w:pPr>
              <w:pStyle w:val="TableText"/>
              <w:keepNext/>
              <w:keepLines/>
              <w:spacing w:before="0" w:after="0"/>
              <w:rPr>
                <w:szCs w:val="20"/>
              </w:rPr>
            </w:pPr>
            <w:bookmarkStart w:id="18" w:name="_Hlk184219093"/>
            <w:r w:rsidRPr="0076349B">
              <w:rPr>
                <w:rStyle w:val="normaltextrun"/>
                <w:rFonts w:cs="Segoe UI"/>
                <w:b/>
                <w:bCs/>
                <w:szCs w:val="20"/>
              </w:rPr>
              <w:t>Category 3 – Therapeutic Procedures </w:t>
            </w:r>
            <w:r w:rsidRPr="0076349B">
              <w:rPr>
                <w:rStyle w:val="eop"/>
                <w:rFonts w:cs="Segoe UI"/>
                <w:szCs w:val="20"/>
              </w:rPr>
              <w:t> </w:t>
            </w:r>
          </w:p>
        </w:tc>
      </w:tr>
      <w:tr w:rsidR="003C6576" w:rsidRPr="00285F48" w14:paraId="0DF2F6E8" w14:textId="77777777" w:rsidTr="21E9C1B2">
        <w:tc>
          <w:tcPr>
            <w:tcW w:w="5000" w:type="pct"/>
            <w:tcBorders>
              <w:top w:val="single" w:sz="6" w:space="0" w:color="auto"/>
              <w:left w:val="single" w:sz="6" w:space="0" w:color="auto"/>
              <w:bottom w:val="single" w:sz="6" w:space="0" w:color="auto"/>
              <w:right w:val="single" w:sz="6" w:space="0" w:color="auto"/>
            </w:tcBorders>
            <w:shd w:val="clear" w:color="auto" w:fill="auto"/>
            <w:hideMark/>
          </w:tcPr>
          <w:p w14:paraId="5CBF6241" w14:textId="4CF4C15B" w:rsidR="0076349B" w:rsidRPr="0076349B" w:rsidRDefault="0076349B" w:rsidP="008D39BB">
            <w:pPr>
              <w:pStyle w:val="paragraph"/>
              <w:keepNext/>
              <w:keepLines/>
              <w:spacing w:before="0" w:beforeAutospacing="0" w:after="0" w:afterAutospacing="0"/>
              <w:textAlignment w:val="baseline"/>
              <w:divId w:val="1099180050"/>
              <w:rPr>
                <w:rFonts w:ascii="Arial Narrow" w:hAnsi="Arial Narrow" w:cs="Segoe UI"/>
                <w:sz w:val="20"/>
                <w:szCs w:val="20"/>
              </w:rPr>
            </w:pPr>
            <w:r w:rsidRPr="0076349B">
              <w:rPr>
                <w:rStyle w:val="findhit"/>
                <w:rFonts w:ascii="Arial Narrow" w:hAnsi="Arial Narrow" w:cs="Segoe UI"/>
                <w:sz w:val="20"/>
                <w:szCs w:val="20"/>
                <w:lang w:val="en-US"/>
              </w:rPr>
              <w:t>MBS item</w:t>
            </w:r>
            <w:r w:rsidRPr="0076349B">
              <w:rPr>
                <w:rStyle w:val="normaltextrun"/>
                <w:rFonts w:ascii="Arial Narrow" w:hAnsi="Arial Narrow" w:cs="Segoe UI"/>
                <w:sz w:val="20"/>
                <w:szCs w:val="20"/>
                <w:lang w:val="en-US"/>
              </w:rPr>
              <w:t xml:space="preserve"> </w:t>
            </w:r>
            <w:r w:rsidRPr="0076349B">
              <w:rPr>
                <w:rStyle w:val="normaltextrun"/>
                <w:rFonts w:ascii="Arial Narrow" w:hAnsi="Arial Narrow" w:cs="Segoe UI"/>
                <w:sz w:val="20"/>
                <w:szCs w:val="20"/>
              </w:rPr>
              <w:t>xxxx</w:t>
            </w:r>
            <w:r w:rsidRPr="0076349B">
              <w:rPr>
                <w:rStyle w:val="eop"/>
                <w:rFonts w:ascii="Arial Narrow" w:hAnsi="Arial Narrow" w:cs="Segoe UI"/>
                <w:sz w:val="20"/>
                <w:szCs w:val="20"/>
              </w:rPr>
              <w:t> </w:t>
            </w:r>
          </w:p>
          <w:p w14:paraId="5BE0EBC2" w14:textId="1A49C833" w:rsidR="0076349B" w:rsidRPr="0076349B" w:rsidRDefault="0076349B" w:rsidP="008D39BB">
            <w:pPr>
              <w:pStyle w:val="paragraph"/>
              <w:keepNext/>
              <w:keepLines/>
              <w:spacing w:before="0" w:beforeAutospacing="0" w:after="0" w:afterAutospacing="0"/>
              <w:textAlignment w:val="baseline"/>
              <w:divId w:val="1313219710"/>
              <w:rPr>
                <w:rFonts w:ascii="Arial Narrow" w:hAnsi="Arial Narrow" w:cs="Segoe UI"/>
                <w:sz w:val="20"/>
                <w:szCs w:val="20"/>
              </w:rPr>
            </w:pPr>
            <w:r w:rsidRPr="0076349B">
              <w:rPr>
                <w:rStyle w:val="normaltextrun"/>
                <w:rFonts w:ascii="Arial Narrow" w:hAnsi="Arial Narrow" w:cs="Segoe UI"/>
                <w:sz w:val="20"/>
                <w:szCs w:val="20"/>
              </w:rPr>
              <w:t>Endoscopic sleeve gastroplasty, by a specialist, for patients age</w:t>
            </w:r>
            <w:r w:rsidR="00143237">
              <w:rPr>
                <w:rStyle w:val="normaltextrun"/>
                <w:rFonts w:ascii="Arial Narrow" w:hAnsi="Arial Narrow" w:cs="Segoe UI"/>
                <w:sz w:val="20"/>
                <w:szCs w:val="20"/>
              </w:rPr>
              <w:t>d</w:t>
            </w:r>
            <w:r w:rsidRPr="0076349B">
              <w:rPr>
                <w:rStyle w:val="normaltextrun"/>
                <w:rFonts w:ascii="Arial Narrow" w:hAnsi="Arial Narrow" w:cs="Segoe UI"/>
                <w:sz w:val="20"/>
                <w:szCs w:val="20"/>
              </w:rPr>
              <w:t xml:space="preserve"> 18 years or over with </w:t>
            </w:r>
            <w:r w:rsidR="00CF1918">
              <w:rPr>
                <w:rStyle w:val="normaltextrun"/>
                <w:rFonts w:ascii="Arial Narrow" w:hAnsi="Arial Narrow" w:cs="Segoe UI"/>
                <w:sz w:val="20"/>
                <w:szCs w:val="20"/>
              </w:rPr>
              <w:t>c</w:t>
            </w:r>
            <w:r w:rsidR="008F5EBB">
              <w:rPr>
                <w:rStyle w:val="normaltextrun"/>
                <w:rFonts w:ascii="Arial Narrow" w:hAnsi="Arial Narrow" w:cs="Segoe UI"/>
                <w:sz w:val="20"/>
                <w:szCs w:val="20"/>
              </w:rPr>
              <w:t>lass</w:t>
            </w:r>
            <w:r w:rsidRPr="0076349B">
              <w:rPr>
                <w:rStyle w:val="normaltextrun"/>
                <w:rFonts w:ascii="Arial Narrow" w:hAnsi="Arial Narrow" w:cs="Segoe UI"/>
                <w:sz w:val="20"/>
                <w:szCs w:val="20"/>
              </w:rPr>
              <w:t xml:space="preserve"> III obesity</w:t>
            </w:r>
            <w:r w:rsidR="00514551">
              <w:rPr>
                <w:rStyle w:val="normaltextrun"/>
                <w:rFonts w:ascii="Arial Narrow" w:hAnsi="Arial Narrow" w:cs="Segoe UI"/>
                <w:sz w:val="20"/>
                <w:szCs w:val="20"/>
              </w:rPr>
              <w:t>:</w:t>
            </w:r>
            <w:r w:rsidRPr="0076349B">
              <w:rPr>
                <w:rStyle w:val="eop"/>
                <w:rFonts w:ascii="Arial Narrow" w:hAnsi="Arial Narrow" w:cs="Segoe UI"/>
                <w:sz w:val="20"/>
                <w:szCs w:val="20"/>
              </w:rPr>
              <w:t> </w:t>
            </w:r>
          </w:p>
          <w:p w14:paraId="5EC14685" w14:textId="08B86EDE" w:rsidR="0076349B" w:rsidRPr="0076349B" w:rsidRDefault="0076349B" w:rsidP="008D39BB">
            <w:pPr>
              <w:pStyle w:val="paragraph"/>
              <w:keepNext/>
              <w:keepLines/>
              <w:numPr>
                <w:ilvl w:val="0"/>
                <w:numId w:val="10"/>
              </w:numPr>
              <w:spacing w:before="0" w:beforeAutospacing="0" w:after="0" w:afterAutospacing="0"/>
              <w:ind w:left="1110" w:firstLine="0"/>
              <w:textAlignment w:val="baseline"/>
              <w:divId w:val="1237279004"/>
              <w:rPr>
                <w:rFonts w:ascii="Arial Narrow" w:hAnsi="Arial Narrow" w:cs="Segoe UI"/>
                <w:sz w:val="20"/>
                <w:szCs w:val="20"/>
              </w:rPr>
            </w:pPr>
            <w:r w:rsidRPr="2AA1CA0C">
              <w:rPr>
                <w:rStyle w:val="normaltextrun"/>
                <w:rFonts w:ascii="Arial Narrow" w:hAnsi="Arial Narrow" w:cs="Segoe UI"/>
                <w:sz w:val="20"/>
                <w:szCs w:val="20"/>
              </w:rPr>
              <w:t>without adequate and/or sustained response to very low energy diet therapy delivered with or without pharmacotherapy, OR</w:t>
            </w:r>
            <w:r w:rsidRPr="2AA1CA0C">
              <w:rPr>
                <w:rStyle w:val="eop"/>
                <w:rFonts w:ascii="Arial Narrow" w:hAnsi="Arial Narrow" w:cs="Segoe UI"/>
                <w:sz w:val="20"/>
                <w:szCs w:val="20"/>
              </w:rPr>
              <w:t> </w:t>
            </w:r>
          </w:p>
          <w:p w14:paraId="35294B87" w14:textId="65E7A3D0" w:rsidR="0076349B" w:rsidRPr="0076349B" w:rsidRDefault="0076349B" w:rsidP="008D39BB">
            <w:pPr>
              <w:pStyle w:val="paragraph"/>
              <w:keepNext/>
              <w:keepLines/>
              <w:numPr>
                <w:ilvl w:val="0"/>
                <w:numId w:val="11"/>
              </w:numPr>
              <w:spacing w:before="0" w:beforeAutospacing="0" w:after="0" w:afterAutospacing="0"/>
              <w:ind w:left="1110" w:firstLine="0"/>
              <w:textAlignment w:val="baseline"/>
              <w:divId w:val="1842234314"/>
              <w:rPr>
                <w:rFonts w:ascii="Arial Narrow" w:hAnsi="Arial Narrow" w:cs="Segoe UI"/>
                <w:sz w:val="20"/>
                <w:szCs w:val="20"/>
              </w:rPr>
            </w:pPr>
            <w:r w:rsidRPr="0076349B">
              <w:rPr>
                <w:rStyle w:val="normaltextrun"/>
                <w:rFonts w:ascii="Arial Narrow" w:hAnsi="Arial Narrow" w:cs="Segoe UI"/>
                <w:sz w:val="20"/>
                <w:szCs w:val="20"/>
              </w:rPr>
              <w:t xml:space="preserve">who are </w:t>
            </w:r>
            <w:r w:rsidR="00B15799">
              <w:rPr>
                <w:rStyle w:val="normaltextrun"/>
                <w:rFonts w:ascii="Arial Narrow" w:hAnsi="Arial Narrow" w:cs="Segoe UI"/>
                <w:sz w:val="20"/>
                <w:szCs w:val="20"/>
              </w:rPr>
              <w:t>un</w:t>
            </w:r>
            <w:r w:rsidRPr="0076349B">
              <w:rPr>
                <w:rStyle w:val="normaltextrun"/>
                <w:rFonts w:ascii="Arial Narrow" w:hAnsi="Arial Narrow" w:cs="Segoe UI"/>
                <w:sz w:val="20"/>
                <w:szCs w:val="20"/>
              </w:rPr>
              <w:t xml:space="preserve">suitable </w:t>
            </w:r>
            <w:r w:rsidR="00B15799">
              <w:rPr>
                <w:rStyle w:val="normaltextrun"/>
                <w:rFonts w:ascii="Arial Narrow" w:hAnsi="Arial Narrow" w:cs="Segoe UI"/>
                <w:sz w:val="20"/>
                <w:szCs w:val="20"/>
              </w:rPr>
              <w:t>for</w:t>
            </w:r>
            <w:r w:rsidRPr="0076349B">
              <w:rPr>
                <w:rStyle w:val="normaltextrun"/>
                <w:rFonts w:ascii="Arial Narrow" w:hAnsi="Arial Narrow" w:cs="Segoe UI"/>
                <w:sz w:val="20"/>
                <w:szCs w:val="20"/>
              </w:rPr>
              <w:t xml:space="preserve"> or would refuse to undergo bariatric surgery</w:t>
            </w:r>
            <w:r w:rsidRPr="0076349B">
              <w:rPr>
                <w:rStyle w:val="eop"/>
                <w:rFonts w:ascii="Arial Narrow" w:hAnsi="Arial Narrow" w:cs="Segoe UI"/>
                <w:sz w:val="20"/>
                <w:szCs w:val="20"/>
              </w:rPr>
              <w:t> </w:t>
            </w:r>
          </w:p>
          <w:p w14:paraId="037B7A4A" w14:textId="02845C2D" w:rsidR="0052019D" w:rsidRDefault="0076349B" w:rsidP="00E140D5">
            <w:pPr>
              <w:keepNext/>
              <w:keepLines/>
              <w:spacing w:before="0" w:after="0" w:line="240" w:lineRule="auto"/>
              <w:rPr>
                <w:rStyle w:val="eop"/>
                <w:rFonts w:ascii="Arial Narrow" w:hAnsi="Arial Narrow" w:cs="Segoe UI"/>
                <w:sz w:val="20"/>
                <w:szCs w:val="20"/>
              </w:rPr>
            </w:pPr>
            <w:r w:rsidRPr="0076349B">
              <w:rPr>
                <w:rStyle w:val="normaltextrun"/>
                <w:rFonts w:ascii="Arial Narrow" w:hAnsi="Arial Narrow" w:cs="Segoe UI"/>
                <w:sz w:val="20"/>
                <w:szCs w:val="20"/>
              </w:rPr>
              <w:t xml:space="preserve">Applicable once </w:t>
            </w:r>
            <w:r w:rsidRPr="00F35FB2">
              <w:rPr>
                <w:rStyle w:val="normaltextrun"/>
                <w:rFonts w:ascii="Arial Narrow" w:hAnsi="Arial Narrow" w:cs="Segoe UI"/>
                <w:sz w:val="20"/>
                <w:szCs w:val="20"/>
              </w:rPr>
              <w:t>per</w:t>
            </w:r>
            <w:r w:rsidRPr="00C8307F">
              <w:rPr>
                <w:rStyle w:val="normaltextrun"/>
                <w:rFonts w:ascii="Arial Narrow" w:hAnsi="Arial Narrow" w:cs="Segoe UI"/>
                <w:sz w:val="20"/>
                <w:szCs w:val="20"/>
              </w:rPr>
              <w:t xml:space="preserve"> </w:t>
            </w:r>
            <w:r w:rsidRPr="00C8307F">
              <w:rPr>
                <w:rStyle w:val="normaltextrun"/>
                <w:rFonts w:ascii="Arial Narrow" w:hAnsi="Arial Narrow" w:cs="Segoe UI"/>
                <w:b/>
                <w:bCs/>
                <w:sz w:val="20"/>
                <w:szCs w:val="20"/>
              </w:rPr>
              <w:t>24-month period</w:t>
            </w:r>
            <w:r w:rsidR="003D292D" w:rsidRPr="00F35FB2">
              <w:rPr>
                <w:rStyle w:val="normaltextrun"/>
                <w:rFonts w:ascii="Arial Narrow" w:hAnsi="Arial Narrow" w:cs="Segoe UI"/>
                <w:sz w:val="20"/>
                <w:szCs w:val="20"/>
              </w:rPr>
              <w:t>*</w:t>
            </w:r>
          </w:p>
          <w:p w14:paraId="65393870" w14:textId="155D4F15" w:rsidR="004C73DB" w:rsidRPr="00356EEB" w:rsidRDefault="004C73DB" w:rsidP="00E140D5">
            <w:pPr>
              <w:keepNext/>
              <w:keepLines/>
              <w:spacing w:before="0" w:after="0" w:line="240" w:lineRule="auto"/>
              <w:rPr>
                <w:rFonts w:ascii="Arial Narrow" w:hAnsi="Arial Narrow"/>
                <w:color w:val="ED0000"/>
                <w:sz w:val="20"/>
                <w:szCs w:val="20"/>
              </w:rPr>
            </w:pPr>
            <w:r w:rsidRPr="00356EEB">
              <w:rPr>
                <w:rFonts w:ascii="Arial Narrow" w:hAnsi="Arial Narrow"/>
                <w:color w:val="ED0000"/>
                <w:sz w:val="20"/>
                <w:szCs w:val="20"/>
              </w:rPr>
              <w:t xml:space="preserve">Multiple </w:t>
            </w:r>
            <w:r w:rsidR="530A2589" w:rsidRPr="00356EEB">
              <w:rPr>
                <w:rFonts w:ascii="Arial Narrow" w:hAnsi="Arial Narrow"/>
                <w:color w:val="ED0000"/>
                <w:sz w:val="20"/>
                <w:szCs w:val="20"/>
              </w:rPr>
              <w:t>Operation</w:t>
            </w:r>
            <w:r w:rsidRPr="00356EEB">
              <w:rPr>
                <w:rFonts w:ascii="Arial Narrow" w:hAnsi="Arial Narrow"/>
                <w:color w:val="ED0000"/>
                <w:sz w:val="20"/>
                <w:szCs w:val="20"/>
              </w:rPr>
              <w:t xml:space="preserve"> Rule</w:t>
            </w:r>
          </w:p>
          <w:p w14:paraId="0C4353CF" w14:textId="453CCE96" w:rsidR="0076349B" w:rsidRPr="0076349B" w:rsidRDefault="004C73DB" w:rsidP="00E140D5">
            <w:pPr>
              <w:keepNext/>
              <w:keepLines/>
              <w:spacing w:before="0" w:after="0" w:line="240" w:lineRule="auto"/>
              <w:rPr>
                <w:rFonts w:ascii="Arial Narrow" w:hAnsi="Arial Narrow"/>
                <w:sz w:val="20"/>
                <w:szCs w:val="20"/>
                <w:lang w:eastAsia="ja-JP"/>
              </w:rPr>
            </w:pPr>
            <w:r w:rsidRPr="00356EEB">
              <w:rPr>
                <w:rFonts w:ascii="Arial Narrow" w:hAnsi="Arial Narrow"/>
                <w:color w:val="ED0000"/>
                <w:sz w:val="20"/>
                <w:szCs w:val="20"/>
              </w:rPr>
              <w:t>(Anaes.) (Assist.)</w:t>
            </w:r>
          </w:p>
        </w:tc>
      </w:tr>
      <w:tr w:rsidR="003C6576" w:rsidRPr="00285F48" w14:paraId="65001ECF" w14:textId="77777777" w:rsidTr="21E9C1B2">
        <w:tc>
          <w:tcPr>
            <w:tcW w:w="5000" w:type="pct"/>
            <w:tcBorders>
              <w:top w:val="single" w:sz="6" w:space="0" w:color="auto"/>
              <w:left w:val="single" w:sz="6" w:space="0" w:color="auto"/>
              <w:bottom w:val="single" w:sz="6" w:space="0" w:color="auto"/>
              <w:right w:val="single" w:sz="6" w:space="0" w:color="auto"/>
            </w:tcBorders>
            <w:shd w:val="clear" w:color="auto" w:fill="auto"/>
            <w:hideMark/>
          </w:tcPr>
          <w:p w14:paraId="3CF6D96E" w14:textId="49833E7D" w:rsidR="0076349B" w:rsidRPr="0076349B" w:rsidRDefault="0076349B" w:rsidP="00E140D5">
            <w:pPr>
              <w:pStyle w:val="TableText"/>
              <w:keepNext/>
              <w:keepLines/>
              <w:spacing w:before="0" w:after="0"/>
              <w:rPr>
                <w:rStyle w:val="eop"/>
                <w:rFonts w:cs="Segoe UI"/>
              </w:rPr>
            </w:pPr>
            <w:r w:rsidRPr="14B0BD50">
              <w:rPr>
                <w:rStyle w:val="normaltextrun"/>
                <w:rFonts w:cs="Segoe UI"/>
              </w:rPr>
              <w:t xml:space="preserve">Fee: $967.90 </w:t>
            </w:r>
            <w:r w:rsidRPr="14B0BD50">
              <w:rPr>
                <w:rStyle w:val="normaltextrun"/>
                <w:rFonts w:cs="Segoe UI"/>
                <w:b/>
              </w:rPr>
              <w:t>Benefit:</w:t>
            </w:r>
            <w:r w:rsidRPr="14B0BD50">
              <w:rPr>
                <w:rStyle w:val="normaltextrun"/>
                <w:rFonts w:cs="Segoe UI"/>
              </w:rPr>
              <w:t xml:space="preserve"> 75% = $725.95</w:t>
            </w:r>
            <w:r w:rsidRPr="14B0BD50">
              <w:rPr>
                <w:rStyle w:val="eop"/>
                <w:rFonts w:cs="Segoe UI"/>
              </w:rPr>
              <w:t> </w:t>
            </w:r>
          </w:p>
        </w:tc>
      </w:tr>
    </w:tbl>
    <w:bookmarkEnd w:id="18"/>
    <w:p w14:paraId="5AD74470" w14:textId="53233879" w:rsidR="004C73DB" w:rsidRDefault="004C73DB" w:rsidP="00E140D5">
      <w:pPr>
        <w:pStyle w:val="TableFigureFooter"/>
        <w:rPr>
          <w:rStyle w:val="normaltextrun"/>
          <w:rFonts w:cs="Segoe UI"/>
          <w:vertAlign w:val="superscript"/>
        </w:rPr>
      </w:pPr>
      <w:r>
        <w:rPr>
          <w:rStyle w:val="normaltextrun"/>
          <w:rFonts w:cs="Segoe UI"/>
        </w:rPr>
        <w:t xml:space="preserve">Notes: </w:t>
      </w:r>
      <w:r w:rsidRPr="00356EEB">
        <w:rPr>
          <w:rStyle w:val="normaltextrun"/>
          <w:rFonts w:cs="Segoe UI"/>
          <w:color w:val="ED0000"/>
        </w:rPr>
        <w:t>Red</w:t>
      </w:r>
      <w:r>
        <w:rPr>
          <w:rStyle w:val="normaltextrun"/>
          <w:rFonts w:cs="Segoe UI"/>
        </w:rPr>
        <w:t xml:space="preserve"> text added by assessment group in line with proposed item descriptor in the ratified PICO Confirmation for Application 1555.1 (p.20)</w:t>
      </w:r>
      <w:r w:rsidRPr="00206EF3">
        <w:rPr>
          <w:rStyle w:val="normaltextrun"/>
          <w:rFonts w:cs="Segoe UI"/>
          <w:vertAlign w:val="superscript"/>
        </w:rPr>
        <w:fldChar w:fldCharType="begin"/>
      </w:r>
      <w:r w:rsidRPr="00206EF3">
        <w:rPr>
          <w:rStyle w:val="normaltextrun"/>
          <w:rFonts w:cs="Segoe UI"/>
          <w:vertAlign w:val="superscript"/>
        </w:rPr>
        <w:instrText xml:space="preserve"> NOTEREF _Ref187143473 \h </w:instrText>
      </w:r>
      <w:r>
        <w:rPr>
          <w:rStyle w:val="normaltextrun"/>
          <w:rFonts w:cs="Segoe UI"/>
          <w:vertAlign w:val="superscript"/>
        </w:rPr>
        <w:instrText xml:space="preserve"> \* MERGEFORMAT </w:instrText>
      </w:r>
      <w:r w:rsidRPr="00206EF3">
        <w:rPr>
          <w:rStyle w:val="normaltextrun"/>
          <w:rFonts w:cs="Segoe UI"/>
          <w:vertAlign w:val="superscript"/>
        </w:rPr>
      </w:r>
      <w:r w:rsidRPr="00206EF3">
        <w:rPr>
          <w:rStyle w:val="normaltextrun"/>
          <w:rFonts w:cs="Segoe UI"/>
          <w:vertAlign w:val="superscript"/>
        </w:rPr>
        <w:fldChar w:fldCharType="separate"/>
      </w:r>
      <w:r w:rsidR="008F37D1">
        <w:rPr>
          <w:rStyle w:val="normaltextrun"/>
          <w:rFonts w:cs="Segoe UI"/>
          <w:vertAlign w:val="superscript"/>
        </w:rPr>
        <w:t>17</w:t>
      </w:r>
      <w:r w:rsidRPr="00206EF3">
        <w:rPr>
          <w:rStyle w:val="normaltextrun"/>
          <w:rFonts w:cs="Segoe UI"/>
          <w:vertAlign w:val="superscript"/>
        </w:rPr>
        <w:fldChar w:fldCharType="end"/>
      </w:r>
    </w:p>
    <w:p w14:paraId="6C314B0E" w14:textId="2525C0F1" w:rsidR="003D292D" w:rsidRDefault="003D292D" w:rsidP="00E140D5">
      <w:pPr>
        <w:pStyle w:val="TableFigureFooter"/>
        <w:rPr>
          <w:rStyle w:val="normaltextrun"/>
          <w:rFonts w:cs="Segoe UI"/>
        </w:rPr>
      </w:pPr>
      <w:r w:rsidRPr="2AA1CA0C">
        <w:rPr>
          <w:rStyle w:val="normaltextrun"/>
          <w:rFonts w:cs="Segoe UI"/>
          <w:vertAlign w:val="superscript"/>
        </w:rPr>
        <w:t>*</w:t>
      </w:r>
      <w:r w:rsidRPr="2AA1CA0C">
        <w:rPr>
          <w:rStyle w:val="normaltextrun"/>
          <w:rFonts w:cs="Segoe UI"/>
        </w:rPr>
        <w:t>The proposed item descriptor in the ratified PICO Confirmation specified the proposed item would be applicable once per lifetime. However, the applicant revised this to ‘once per 24-month period’ in the ADAR to account for the need for revision procedures. This represents a difference relative to the proposed item ratified by PASC.</w:t>
      </w:r>
    </w:p>
    <w:p w14:paraId="54824678" w14:textId="752A6018" w:rsidR="007451DA" w:rsidRDefault="4D1FA33B" w:rsidP="00E140D5">
      <w:pPr>
        <w:pStyle w:val="TableFigureFooter"/>
        <w:rPr>
          <w:rStyle w:val="eop"/>
          <w:rFonts w:cs="Segoe UI"/>
        </w:rPr>
      </w:pPr>
      <w:r w:rsidRPr="3F9AD25B">
        <w:rPr>
          <w:rStyle w:val="normaltextrun"/>
          <w:rFonts w:cs="Segoe UI"/>
        </w:rPr>
        <w:t>Source: Table ES 4 pg. 2</w:t>
      </w:r>
      <w:r w:rsidR="00EA2AED">
        <w:rPr>
          <w:rStyle w:val="normaltextrun"/>
          <w:rFonts w:cs="Segoe UI"/>
        </w:rPr>
        <w:t>5</w:t>
      </w:r>
      <w:r w:rsidRPr="3F9AD25B">
        <w:rPr>
          <w:rStyle w:val="normaltextrun"/>
          <w:rFonts w:cs="Segoe UI"/>
        </w:rPr>
        <w:t xml:space="preserve"> from ADAR </w:t>
      </w:r>
    </w:p>
    <w:p w14:paraId="5881BA60" w14:textId="79719F13" w:rsidR="00907B4B" w:rsidRDefault="00A549E5" w:rsidP="00D76EFB">
      <w:r w:rsidRPr="2AA1CA0C">
        <w:rPr>
          <w:lang w:eastAsia="ja-JP"/>
        </w:rPr>
        <w:t>The ESG procedure is conducted during an inpatient hospital admission</w:t>
      </w:r>
      <w:r w:rsidR="001548BD" w:rsidRPr="2AA1CA0C">
        <w:rPr>
          <w:lang w:eastAsia="ja-JP"/>
        </w:rPr>
        <w:t>—</w:t>
      </w:r>
      <w:r w:rsidRPr="2AA1CA0C">
        <w:rPr>
          <w:lang w:eastAsia="ja-JP"/>
        </w:rPr>
        <w:t>either as a day surgery or overnight admission</w:t>
      </w:r>
      <w:r w:rsidR="001548BD" w:rsidRPr="2AA1CA0C">
        <w:rPr>
          <w:lang w:eastAsia="ja-JP"/>
        </w:rPr>
        <w:t>—</w:t>
      </w:r>
      <w:r w:rsidRPr="2AA1CA0C">
        <w:rPr>
          <w:lang w:eastAsia="ja-JP"/>
        </w:rPr>
        <w:t>by a multidisciplinary team including gastroenterologists qualified in endoscopic interventions or general, bariatric or upper gastrointestinal (GI) surgeons and anaesthesiologists. The proposed MBS item and fee are for the proceduralist conducting the ESG procedure. Existing MBS items would be used for the anaesthetist as the ESG procedure is performed under general anaesthesia. </w:t>
      </w:r>
    </w:p>
    <w:p w14:paraId="72546FFE" w14:textId="627603C9" w:rsidR="00F02187" w:rsidRDefault="00F02187" w:rsidP="2AA1CA0C">
      <w:pPr>
        <w:pStyle w:val="Instructionaltext"/>
        <w:keepNext/>
        <w:tabs>
          <w:tab w:val="left" w:pos="2172"/>
        </w:tabs>
        <w:rPr>
          <w:color w:val="auto"/>
        </w:rPr>
      </w:pPr>
      <w:r w:rsidRPr="2AA1CA0C">
        <w:rPr>
          <w:color w:val="auto"/>
        </w:rPr>
        <w:t>The ADAR state</w:t>
      </w:r>
      <w:r w:rsidR="00E40C59" w:rsidRPr="2AA1CA0C">
        <w:rPr>
          <w:color w:val="auto"/>
        </w:rPr>
        <w:t>d</w:t>
      </w:r>
      <w:r w:rsidRPr="2AA1CA0C">
        <w:rPr>
          <w:color w:val="auto"/>
        </w:rPr>
        <w:t xml:space="preserve"> that the proposed </w:t>
      </w:r>
      <w:r w:rsidR="00E40C59" w:rsidRPr="2AA1CA0C">
        <w:rPr>
          <w:color w:val="auto"/>
        </w:rPr>
        <w:t xml:space="preserve">MBS </w:t>
      </w:r>
      <w:r w:rsidRPr="2AA1CA0C">
        <w:rPr>
          <w:color w:val="auto"/>
        </w:rPr>
        <w:t xml:space="preserve">fees are the same as those suggested for MBS bariatric surgery item </w:t>
      </w:r>
      <w:r w:rsidR="006135F5" w:rsidRPr="2AA1CA0C">
        <w:rPr>
          <w:color w:val="auto"/>
        </w:rPr>
        <w:t>31575</w:t>
      </w:r>
      <w:r w:rsidRPr="2AA1CA0C">
        <w:rPr>
          <w:color w:val="auto"/>
        </w:rPr>
        <w:t xml:space="preserve">. </w:t>
      </w:r>
      <w:r w:rsidR="008E252B" w:rsidRPr="2AA1CA0C">
        <w:rPr>
          <w:color w:val="auto"/>
        </w:rPr>
        <w:t xml:space="preserve">It is noted that </w:t>
      </w:r>
      <w:r w:rsidR="00A23D4B" w:rsidRPr="2AA1CA0C">
        <w:rPr>
          <w:color w:val="auto"/>
        </w:rPr>
        <w:t>MBS item</w:t>
      </w:r>
      <w:r w:rsidR="0044220B" w:rsidRPr="2AA1CA0C">
        <w:rPr>
          <w:color w:val="auto"/>
        </w:rPr>
        <w:t xml:space="preserve"> 31575</w:t>
      </w:r>
      <w:r w:rsidR="00A23D4B" w:rsidRPr="2AA1CA0C">
        <w:rPr>
          <w:color w:val="auto"/>
        </w:rPr>
        <w:t xml:space="preserve"> states: </w:t>
      </w:r>
      <w:r w:rsidR="00357E8A" w:rsidRPr="2AA1CA0C">
        <w:rPr>
          <w:color w:val="auto"/>
        </w:rPr>
        <w:t>‘</w:t>
      </w:r>
      <w:r w:rsidR="00A23D4B" w:rsidRPr="2AA1CA0C">
        <w:rPr>
          <w:color w:val="auto"/>
        </w:rPr>
        <w:t>Sleeve gastrectomy, with or without crural repair taking 45 minutes or less, for a patient with clinically severe obesity</w:t>
      </w:r>
      <w:r w:rsidR="00357E8A" w:rsidRPr="2AA1CA0C">
        <w:rPr>
          <w:color w:val="auto"/>
        </w:rPr>
        <w:t>’</w:t>
      </w:r>
      <w:r w:rsidR="00A23D4B" w:rsidRPr="2AA1CA0C">
        <w:rPr>
          <w:color w:val="auto"/>
        </w:rPr>
        <w:t xml:space="preserve">. </w:t>
      </w:r>
      <w:r w:rsidR="00116AF1" w:rsidRPr="2AA1CA0C">
        <w:rPr>
          <w:color w:val="auto"/>
        </w:rPr>
        <w:t>The</w:t>
      </w:r>
      <w:r w:rsidR="009B3176" w:rsidRPr="2AA1CA0C">
        <w:rPr>
          <w:color w:val="auto"/>
        </w:rPr>
        <w:t xml:space="preserve"> ADAR claims that the </w:t>
      </w:r>
      <w:r w:rsidR="00F9497E" w:rsidRPr="2AA1CA0C">
        <w:rPr>
          <w:color w:val="auto"/>
        </w:rPr>
        <w:t xml:space="preserve">ESG </w:t>
      </w:r>
      <w:r w:rsidR="009B3176" w:rsidRPr="2AA1CA0C">
        <w:rPr>
          <w:color w:val="auto"/>
        </w:rPr>
        <w:t xml:space="preserve">procedure takes </w:t>
      </w:r>
      <w:r w:rsidR="007A428C" w:rsidRPr="2AA1CA0C">
        <w:rPr>
          <w:color w:val="auto"/>
        </w:rPr>
        <w:t xml:space="preserve">less than 90 minutes </w:t>
      </w:r>
      <w:r w:rsidR="00FE4A75" w:rsidRPr="2AA1CA0C">
        <w:rPr>
          <w:color w:val="auto"/>
        </w:rPr>
        <w:t>if a proceduralist is experienced.</w:t>
      </w:r>
      <w:r w:rsidR="009403D9" w:rsidRPr="2AA1CA0C">
        <w:rPr>
          <w:color w:val="auto"/>
        </w:rPr>
        <w:t xml:space="preserve"> Other surgical centres suggest the procedure can take 60</w:t>
      </w:r>
      <w:r w:rsidR="00357E8A" w:rsidRPr="2AA1CA0C">
        <w:rPr>
          <w:color w:val="auto"/>
        </w:rPr>
        <w:t>–</w:t>
      </w:r>
      <w:r w:rsidR="009403D9" w:rsidRPr="2AA1CA0C">
        <w:rPr>
          <w:color w:val="auto"/>
        </w:rPr>
        <w:t>90 minutes.</w:t>
      </w:r>
      <w:r w:rsidRPr="2AA1CA0C">
        <w:rPr>
          <w:rStyle w:val="FootnoteReference"/>
          <w:color w:val="auto"/>
        </w:rPr>
        <w:footnoteReference w:id="17"/>
      </w:r>
      <w:r w:rsidR="151B2018" w:rsidRPr="2AA1CA0C">
        <w:rPr>
          <w:color w:val="auto"/>
        </w:rPr>
        <w:t xml:space="preserve"> </w:t>
      </w:r>
      <w:r w:rsidR="1E511577" w:rsidRPr="2AA1CA0C">
        <w:rPr>
          <w:color w:val="auto"/>
        </w:rPr>
        <w:t xml:space="preserve">MBS item 31575 does not impose a restriction on the time taken to complete a sleeve gastrectomy. </w:t>
      </w:r>
      <w:r w:rsidR="7062AF6C" w:rsidRPr="2AA1CA0C">
        <w:rPr>
          <w:color w:val="auto"/>
        </w:rPr>
        <w:t xml:space="preserve">The timeframe in 31575 refers to a crural repair done in addition to the sleeve gastrectomy. In the event that a crural repair is </w:t>
      </w:r>
      <w:r w:rsidR="0F51A4EC" w:rsidRPr="2AA1CA0C">
        <w:rPr>
          <w:color w:val="auto"/>
        </w:rPr>
        <w:t xml:space="preserve">undertaken with ESG </w:t>
      </w:r>
      <w:r w:rsidR="3CECC41F" w:rsidRPr="2AA1CA0C">
        <w:rPr>
          <w:color w:val="auto"/>
        </w:rPr>
        <w:t>the draft item descriptors would result in</w:t>
      </w:r>
      <w:r w:rsidR="2DF6BCE5" w:rsidRPr="2AA1CA0C">
        <w:rPr>
          <w:color w:val="auto"/>
        </w:rPr>
        <w:t xml:space="preserve"> a separate MBS item</w:t>
      </w:r>
      <w:r w:rsidR="506A1557" w:rsidRPr="2AA1CA0C">
        <w:rPr>
          <w:color w:val="auto"/>
        </w:rPr>
        <w:t xml:space="preserve"> being claimed. </w:t>
      </w:r>
      <w:r w:rsidR="79C212DB" w:rsidRPr="2AA1CA0C">
        <w:rPr>
          <w:color w:val="auto"/>
        </w:rPr>
        <w:t xml:space="preserve">The current draft items would be consistent with the situation where </w:t>
      </w:r>
      <w:r w:rsidR="506A1557" w:rsidRPr="2AA1CA0C">
        <w:rPr>
          <w:color w:val="auto"/>
        </w:rPr>
        <w:t>an alternative surgical route (</w:t>
      </w:r>
      <w:r w:rsidR="7C41E296" w:rsidRPr="2AA1CA0C">
        <w:rPr>
          <w:color w:val="auto"/>
        </w:rPr>
        <w:t>laparoscopic</w:t>
      </w:r>
      <w:r w:rsidR="506A1557" w:rsidRPr="2AA1CA0C">
        <w:rPr>
          <w:color w:val="auto"/>
        </w:rPr>
        <w:t xml:space="preserve">/open) </w:t>
      </w:r>
      <w:r w:rsidR="2F0DC511" w:rsidRPr="2AA1CA0C">
        <w:rPr>
          <w:color w:val="auto"/>
        </w:rPr>
        <w:t>was used.</w:t>
      </w:r>
    </w:p>
    <w:p w14:paraId="7DEBC2D0" w14:textId="30B4953D" w:rsidR="007451DA" w:rsidRPr="007451DA" w:rsidRDefault="009E5AB3" w:rsidP="002A7643">
      <w:pPr>
        <w:pStyle w:val="Instructionaltext"/>
        <w:tabs>
          <w:tab w:val="left" w:pos="2172"/>
        </w:tabs>
      </w:pPr>
      <w:r w:rsidRPr="2AA1CA0C">
        <w:rPr>
          <w:color w:val="auto"/>
        </w:rPr>
        <w:t xml:space="preserve">PASC </w:t>
      </w:r>
      <w:r w:rsidR="0029435C" w:rsidRPr="2AA1CA0C">
        <w:rPr>
          <w:color w:val="auto"/>
        </w:rPr>
        <w:t>(</w:t>
      </w:r>
      <w:r w:rsidR="00FE391C" w:rsidRPr="2AA1CA0C">
        <w:rPr>
          <w:color w:val="auto"/>
        </w:rPr>
        <w:t>December</w:t>
      </w:r>
      <w:r w:rsidR="0029435C" w:rsidRPr="2AA1CA0C">
        <w:rPr>
          <w:color w:val="auto"/>
        </w:rPr>
        <w:t xml:space="preserve"> 2021) </w:t>
      </w:r>
      <w:r w:rsidR="00FE391C" w:rsidRPr="2AA1CA0C">
        <w:rPr>
          <w:color w:val="auto"/>
        </w:rPr>
        <w:t xml:space="preserve">previously advised that </w:t>
      </w:r>
      <w:r w:rsidR="00B30C30" w:rsidRPr="2AA1CA0C">
        <w:rPr>
          <w:color w:val="auto"/>
        </w:rPr>
        <w:t>a</w:t>
      </w:r>
      <w:r w:rsidR="00D34A42" w:rsidRPr="2AA1CA0C">
        <w:rPr>
          <w:color w:val="auto"/>
        </w:rPr>
        <w:t xml:space="preserve">n </w:t>
      </w:r>
      <w:r w:rsidR="00C978A9">
        <w:rPr>
          <w:color w:val="auto"/>
        </w:rPr>
        <w:t xml:space="preserve">MBS </w:t>
      </w:r>
      <w:r w:rsidR="00D6438F" w:rsidRPr="2AA1CA0C">
        <w:rPr>
          <w:color w:val="auto"/>
        </w:rPr>
        <w:t xml:space="preserve">item for </w:t>
      </w:r>
      <w:r w:rsidR="000076FB" w:rsidRPr="2AA1CA0C">
        <w:rPr>
          <w:color w:val="auto"/>
        </w:rPr>
        <w:t xml:space="preserve">post-ESG </w:t>
      </w:r>
      <w:r w:rsidR="00AC771C" w:rsidRPr="2AA1CA0C">
        <w:rPr>
          <w:color w:val="auto"/>
        </w:rPr>
        <w:t>revision</w:t>
      </w:r>
      <w:r w:rsidR="00B22A64" w:rsidRPr="2AA1CA0C">
        <w:rPr>
          <w:color w:val="auto"/>
        </w:rPr>
        <w:t xml:space="preserve"> </w:t>
      </w:r>
      <w:r w:rsidR="001E0DAB" w:rsidRPr="2AA1CA0C">
        <w:rPr>
          <w:color w:val="auto"/>
        </w:rPr>
        <w:t>was</w:t>
      </w:r>
      <w:r w:rsidR="005E3690" w:rsidRPr="2AA1CA0C">
        <w:rPr>
          <w:color w:val="auto"/>
        </w:rPr>
        <w:t xml:space="preserve"> </w:t>
      </w:r>
      <w:r w:rsidR="009C02A5" w:rsidRPr="2AA1CA0C">
        <w:rPr>
          <w:color w:val="auto"/>
        </w:rPr>
        <w:t xml:space="preserve">required </w:t>
      </w:r>
      <w:r w:rsidR="009E3221" w:rsidRPr="2AA1CA0C">
        <w:rPr>
          <w:color w:val="auto"/>
        </w:rPr>
        <w:t xml:space="preserve">due to the potential for </w:t>
      </w:r>
      <w:r w:rsidR="00DD5F62" w:rsidRPr="2AA1CA0C">
        <w:rPr>
          <w:color w:val="auto"/>
        </w:rPr>
        <w:t>intervention fail</w:t>
      </w:r>
      <w:r w:rsidR="00C978A9">
        <w:rPr>
          <w:color w:val="auto"/>
        </w:rPr>
        <w:t>ure</w:t>
      </w:r>
      <w:r w:rsidR="00DD5F62" w:rsidRPr="2AA1CA0C">
        <w:rPr>
          <w:color w:val="auto"/>
        </w:rPr>
        <w:t xml:space="preserve"> (</w:t>
      </w:r>
      <w:r w:rsidR="00DD5F62">
        <w:rPr>
          <w:color w:val="auto"/>
        </w:rPr>
        <w:fldChar w:fldCharType="begin"/>
      </w:r>
      <w:r w:rsidR="00DD5F62">
        <w:rPr>
          <w:color w:val="auto"/>
        </w:rPr>
        <w:instrText xml:space="preserve"> REF _Ref184219594 \h </w:instrText>
      </w:r>
      <w:r w:rsidR="007D13B3">
        <w:rPr>
          <w:color w:val="auto"/>
        </w:rPr>
        <w:instrText xml:space="preserve"> \* MERGEFORMAT </w:instrText>
      </w:r>
      <w:r w:rsidR="00DD5F62">
        <w:rPr>
          <w:color w:val="auto"/>
        </w:rPr>
      </w:r>
      <w:r w:rsidR="00DD5F62">
        <w:rPr>
          <w:color w:val="auto"/>
        </w:rPr>
        <w:fldChar w:fldCharType="separate"/>
      </w:r>
      <w:r w:rsidR="008F37D1" w:rsidRPr="008F37D1">
        <w:rPr>
          <w:color w:val="auto"/>
        </w:rPr>
        <w:t>Table 4</w:t>
      </w:r>
      <w:r w:rsidR="00DD5F62">
        <w:rPr>
          <w:color w:val="auto"/>
        </w:rPr>
        <w:fldChar w:fldCharType="end"/>
      </w:r>
      <w:r w:rsidR="00DD5F62" w:rsidRPr="2AA1CA0C">
        <w:rPr>
          <w:color w:val="auto"/>
        </w:rPr>
        <w:t>).</w:t>
      </w:r>
      <w:r w:rsidR="001E0DAB" w:rsidRPr="2AA1CA0C">
        <w:rPr>
          <w:color w:val="auto"/>
        </w:rPr>
        <w:t xml:space="preserve"> </w:t>
      </w:r>
      <w:r w:rsidR="004613AD" w:rsidRPr="2AA1CA0C">
        <w:rPr>
          <w:color w:val="auto"/>
        </w:rPr>
        <w:t xml:space="preserve">The ADAR did not </w:t>
      </w:r>
      <w:r w:rsidR="00E64BBD" w:rsidRPr="2AA1CA0C">
        <w:rPr>
          <w:color w:val="auto"/>
        </w:rPr>
        <w:t>propose any MBS item for revision surgery</w:t>
      </w:r>
      <w:r w:rsidR="38B5C81C" w:rsidRPr="2AA1CA0C">
        <w:rPr>
          <w:color w:val="auto"/>
        </w:rPr>
        <w:t xml:space="preserve"> to an alternate bariatric procedure</w:t>
      </w:r>
      <w:r w:rsidR="001E0DAB" w:rsidRPr="2AA1CA0C">
        <w:rPr>
          <w:color w:val="auto"/>
        </w:rPr>
        <w:t xml:space="preserve">, and it is unclear how these services would be funded </w:t>
      </w:r>
      <w:r w:rsidR="2F0F5DA2" w:rsidRPr="2AA1CA0C">
        <w:rPr>
          <w:color w:val="auto"/>
        </w:rPr>
        <w:t>and covered under MBS listings</w:t>
      </w:r>
      <w:r w:rsidR="00C978A9">
        <w:rPr>
          <w:color w:val="auto"/>
        </w:rPr>
        <w:t>,</w:t>
      </w:r>
      <w:r w:rsidR="001E0DAB" w:rsidRPr="2AA1CA0C">
        <w:rPr>
          <w:color w:val="auto"/>
        </w:rPr>
        <w:t xml:space="preserve"> if required.</w:t>
      </w:r>
      <w:r w:rsidR="004F5873" w:rsidRPr="2AA1CA0C">
        <w:rPr>
          <w:color w:val="auto"/>
        </w:rPr>
        <w:t xml:space="preserve"> </w:t>
      </w:r>
    </w:p>
    <w:p w14:paraId="3AEB4EBF" w14:textId="2B706CD6" w:rsidR="005C4462" w:rsidRDefault="005C4462" w:rsidP="002A7643">
      <w:pPr>
        <w:pStyle w:val="Caption"/>
        <w:keepLines/>
      </w:pPr>
      <w:bookmarkStart w:id="19" w:name="_Ref184219594"/>
      <w:r>
        <w:t xml:space="preserve">Table </w:t>
      </w:r>
      <w:r w:rsidR="009C59B0">
        <w:fldChar w:fldCharType="begin"/>
      </w:r>
      <w:r w:rsidR="009C59B0">
        <w:instrText xml:space="preserve"> SEQ Table \* ARABIC </w:instrText>
      </w:r>
      <w:r w:rsidR="009C59B0">
        <w:fldChar w:fldCharType="separate"/>
      </w:r>
      <w:r w:rsidR="008F37D1">
        <w:rPr>
          <w:noProof/>
        </w:rPr>
        <w:t>4</w:t>
      </w:r>
      <w:r w:rsidR="009C59B0">
        <w:rPr>
          <w:noProof/>
        </w:rPr>
        <w:fldChar w:fldCharType="end"/>
      </w:r>
      <w:bookmarkEnd w:id="19"/>
      <w:r>
        <w:t xml:space="preserve">: Presentation of </w:t>
      </w:r>
      <w:r w:rsidR="00A76543">
        <w:t>a proposed</w:t>
      </w:r>
      <w:r>
        <w:t xml:space="preserve"> MBS item</w:t>
      </w:r>
      <w:r w:rsidR="00C1094E">
        <w:t xml:space="preserve"> </w:t>
      </w:r>
      <w:r w:rsidR="00A76543">
        <w:t>for revision or repair</w:t>
      </w:r>
      <w:r w:rsidR="00C1094E">
        <w:t xml:space="preserve"> (proposed during the </w:t>
      </w:r>
      <w:r w:rsidR="00A76543">
        <w:t>commentary</w:t>
      </w:r>
      <w:r w:rsidR="00C1094E">
        <w:t>)</w:t>
      </w:r>
    </w:p>
    <w:tbl>
      <w:tblPr>
        <w:tblW w:w="5003" w:type="pct"/>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5"/>
      </w:tblGrid>
      <w:tr w:rsidR="00FF4DFD" w:rsidRPr="00285F48" w14:paraId="4FD6B6CA" w14:textId="77777777">
        <w:trPr>
          <w:trHeight w:val="351"/>
          <w:tblHeader/>
        </w:trPr>
        <w:tc>
          <w:tcPr>
            <w:tcW w:w="5000" w:type="pct"/>
            <w:tcBorders>
              <w:top w:val="single" w:sz="6" w:space="0" w:color="auto"/>
              <w:left w:val="single" w:sz="6" w:space="0" w:color="auto"/>
              <w:bottom w:val="single" w:sz="6" w:space="0" w:color="auto"/>
              <w:right w:val="single" w:sz="6" w:space="0" w:color="auto"/>
            </w:tcBorders>
            <w:shd w:val="clear" w:color="auto" w:fill="auto"/>
            <w:hideMark/>
          </w:tcPr>
          <w:p w14:paraId="6D722A89" w14:textId="77777777" w:rsidR="00614B7A" w:rsidRPr="0076349B" w:rsidRDefault="00614B7A" w:rsidP="00E140D5">
            <w:pPr>
              <w:pStyle w:val="TableText"/>
              <w:keepNext/>
              <w:keepLines/>
              <w:spacing w:before="0" w:after="0"/>
              <w:rPr>
                <w:szCs w:val="20"/>
              </w:rPr>
            </w:pPr>
            <w:r w:rsidRPr="0076349B">
              <w:rPr>
                <w:rStyle w:val="normaltextrun"/>
                <w:rFonts w:cs="Segoe UI"/>
                <w:b/>
                <w:bCs/>
                <w:szCs w:val="20"/>
              </w:rPr>
              <w:t>Category 3 – Therapeutic Procedures </w:t>
            </w:r>
            <w:r w:rsidRPr="0076349B">
              <w:rPr>
                <w:rStyle w:val="eop"/>
                <w:rFonts w:cs="Segoe UI"/>
                <w:szCs w:val="20"/>
              </w:rPr>
              <w:t> </w:t>
            </w:r>
          </w:p>
        </w:tc>
      </w:tr>
      <w:tr w:rsidR="004877A5" w:rsidRPr="00285F48" w14:paraId="10888D14" w14:textId="77777777">
        <w:tc>
          <w:tcPr>
            <w:tcW w:w="5000" w:type="pct"/>
            <w:tcBorders>
              <w:top w:val="single" w:sz="6" w:space="0" w:color="auto"/>
              <w:left w:val="single" w:sz="6" w:space="0" w:color="auto"/>
              <w:bottom w:val="single" w:sz="6" w:space="0" w:color="auto"/>
              <w:right w:val="single" w:sz="6" w:space="0" w:color="auto"/>
            </w:tcBorders>
            <w:shd w:val="clear" w:color="auto" w:fill="auto"/>
            <w:hideMark/>
          </w:tcPr>
          <w:p w14:paraId="53B5B390" w14:textId="77777777" w:rsidR="005C4462" w:rsidRPr="005C4462" w:rsidRDefault="005C4462" w:rsidP="00E140D5">
            <w:pPr>
              <w:keepNext/>
              <w:keepLines/>
              <w:spacing w:before="0" w:after="0" w:line="240" w:lineRule="auto"/>
              <w:rPr>
                <w:rFonts w:ascii="Arial Narrow" w:hAnsi="Arial Narrow"/>
                <w:sz w:val="20"/>
                <w:szCs w:val="20"/>
                <w:lang w:val="en-US" w:eastAsia="ja-JP"/>
              </w:rPr>
            </w:pPr>
            <w:r w:rsidRPr="005C4462">
              <w:rPr>
                <w:rFonts w:ascii="Arial Narrow" w:hAnsi="Arial Narrow"/>
                <w:sz w:val="20"/>
                <w:szCs w:val="20"/>
                <w:lang w:val="en-US" w:eastAsia="ja-JP"/>
              </w:rPr>
              <w:t>MBS item *XXXX</w:t>
            </w:r>
          </w:p>
          <w:p w14:paraId="7CB68EC6" w14:textId="77777777" w:rsidR="005C4462" w:rsidRPr="005C4462" w:rsidRDefault="005C4462" w:rsidP="00E140D5">
            <w:pPr>
              <w:keepNext/>
              <w:keepLines/>
              <w:spacing w:before="0" w:after="0" w:line="240" w:lineRule="auto"/>
              <w:rPr>
                <w:rFonts w:ascii="Arial Narrow" w:hAnsi="Arial Narrow"/>
                <w:sz w:val="20"/>
                <w:szCs w:val="20"/>
                <w:lang w:val="en-US" w:eastAsia="ja-JP"/>
              </w:rPr>
            </w:pPr>
            <w:r w:rsidRPr="005C4462">
              <w:rPr>
                <w:rFonts w:ascii="Arial Narrow" w:hAnsi="Arial Narrow"/>
                <w:sz w:val="20"/>
                <w:szCs w:val="20"/>
                <w:lang w:val="en-US" w:eastAsia="ja-JP"/>
              </w:rPr>
              <w:t>Surgical repair or revision of endoscopic sleeve gastroplasty.</w:t>
            </w:r>
          </w:p>
          <w:p w14:paraId="00B08FC8" w14:textId="02903E9D" w:rsidR="00614B7A" w:rsidRPr="0076349B" w:rsidRDefault="005C4462" w:rsidP="00E140D5">
            <w:pPr>
              <w:keepNext/>
              <w:keepLines/>
              <w:spacing w:before="0" w:after="0" w:line="240" w:lineRule="auto"/>
              <w:rPr>
                <w:rFonts w:ascii="Arial Narrow" w:hAnsi="Arial Narrow"/>
                <w:sz w:val="20"/>
                <w:szCs w:val="20"/>
                <w:lang w:val="en-US" w:eastAsia="ja-JP"/>
              </w:rPr>
            </w:pPr>
            <w:r w:rsidRPr="005C4462">
              <w:rPr>
                <w:rFonts w:ascii="Arial Narrow" w:hAnsi="Arial Narrow"/>
                <w:sz w:val="20"/>
                <w:szCs w:val="20"/>
                <w:lang w:val="en-US" w:eastAsia="ja-JP"/>
              </w:rPr>
              <w:t>&lt;*Specify any relevant explanatory notes&gt;</w:t>
            </w:r>
          </w:p>
        </w:tc>
      </w:tr>
      <w:tr w:rsidR="004877A5" w:rsidRPr="00285F48" w14:paraId="42A9F46C" w14:textId="77777777">
        <w:tc>
          <w:tcPr>
            <w:tcW w:w="5000" w:type="pct"/>
            <w:tcBorders>
              <w:top w:val="single" w:sz="6" w:space="0" w:color="auto"/>
              <w:left w:val="single" w:sz="6" w:space="0" w:color="auto"/>
              <w:bottom w:val="single" w:sz="6" w:space="0" w:color="auto"/>
              <w:right w:val="single" w:sz="6" w:space="0" w:color="auto"/>
            </w:tcBorders>
            <w:shd w:val="clear" w:color="auto" w:fill="auto"/>
            <w:hideMark/>
          </w:tcPr>
          <w:p w14:paraId="6198EC31" w14:textId="62C1F7DB" w:rsidR="00614B7A" w:rsidRPr="0076349B" w:rsidRDefault="005C4462" w:rsidP="00E140D5">
            <w:pPr>
              <w:pStyle w:val="TableText"/>
              <w:keepNext/>
              <w:keepLines/>
              <w:spacing w:before="0" w:after="0"/>
              <w:rPr>
                <w:szCs w:val="20"/>
              </w:rPr>
            </w:pPr>
            <w:r>
              <w:rPr>
                <w:szCs w:val="20"/>
              </w:rPr>
              <w:t>Fee: TBA</w:t>
            </w:r>
          </w:p>
        </w:tc>
      </w:tr>
    </w:tbl>
    <w:p w14:paraId="4AE0C8AE" w14:textId="76BB0064" w:rsidR="001825C7" w:rsidRPr="00D76EFB" w:rsidRDefault="00A76543" w:rsidP="00E140D5">
      <w:pPr>
        <w:pStyle w:val="TableFigureFooter"/>
      </w:pPr>
      <w:r w:rsidRPr="2AA1CA0C">
        <w:t xml:space="preserve">Source: </w:t>
      </w:r>
      <w:r w:rsidR="0032082B" w:rsidRPr="2AA1CA0C">
        <w:t xml:space="preserve">Ratified </w:t>
      </w:r>
      <w:r w:rsidRPr="2AA1CA0C">
        <w:t xml:space="preserve">PICO Confirmation </w:t>
      </w:r>
      <w:r w:rsidR="0032082B" w:rsidRPr="2AA1CA0C">
        <w:t>A</w:t>
      </w:r>
      <w:r w:rsidRPr="2AA1CA0C">
        <w:t xml:space="preserve">pplication 1555.1 </w:t>
      </w:r>
      <w:r w:rsidR="0032082B" w:rsidRPr="2AA1CA0C">
        <w:t>(</w:t>
      </w:r>
      <w:r w:rsidRPr="2AA1CA0C">
        <w:t>p.20</w:t>
      </w:r>
      <w:bookmarkStart w:id="20" w:name="_Ref187141885"/>
      <w:r w:rsidR="0032082B" w:rsidRPr="2AA1CA0C">
        <w:t>)</w:t>
      </w:r>
      <w:bookmarkStart w:id="21" w:name="_Ref187143473"/>
      <w:r w:rsidR="00B546C1" w:rsidRPr="2AA1CA0C">
        <w:rPr>
          <w:rStyle w:val="FootnoteReference"/>
          <w:rFonts w:cs="Segoe UI"/>
          <w:szCs w:val="18"/>
        </w:rPr>
        <w:footnoteReference w:id="18"/>
      </w:r>
      <w:bookmarkEnd w:id="20"/>
      <w:bookmarkEnd w:id="21"/>
    </w:p>
    <w:p w14:paraId="20C1064E" w14:textId="6A4C9428" w:rsidR="00CC0D2A" w:rsidRDefault="2CEEF606" w:rsidP="2AA1CA0C">
      <w:pPr>
        <w:pStyle w:val="Instructionaltext"/>
        <w:keepNext/>
        <w:tabs>
          <w:tab w:val="left" w:pos="2172"/>
        </w:tabs>
        <w:rPr>
          <w:color w:val="auto"/>
        </w:rPr>
      </w:pPr>
      <w:r w:rsidRPr="2AA1CA0C">
        <w:rPr>
          <w:color w:val="auto"/>
        </w:rPr>
        <w:t>In the PSD for MSAC assessment 1555, MSAC considered that the</w:t>
      </w:r>
      <w:r w:rsidR="00C978A9">
        <w:rPr>
          <w:color w:val="auto"/>
        </w:rPr>
        <w:t xml:space="preserve"> ESG</w:t>
      </w:r>
      <w:r w:rsidRPr="2AA1CA0C">
        <w:rPr>
          <w:color w:val="auto"/>
        </w:rPr>
        <w:t xml:space="preserve"> procedure is not reversible but is highly likely to fail and therefore needs a revision item. </w:t>
      </w:r>
      <w:r w:rsidR="45BCDA04" w:rsidRPr="2AA1CA0C">
        <w:rPr>
          <w:color w:val="auto"/>
        </w:rPr>
        <w:t>However, t</w:t>
      </w:r>
      <w:r w:rsidR="00CC0D2A" w:rsidRPr="2AA1CA0C">
        <w:rPr>
          <w:color w:val="auto"/>
        </w:rPr>
        <w:t xml:space="preserve">he ADAR </w:t>
      </w:r>
      <w:r w:rsidR="009A5B2B" w:rsidRPr="2AA1CA0C">
        <w:rPr>
          <w:color w:val="auto"/>
        </w:rPr>
        <w:t xml:space="preserve">reported </w:t>
      </w:r>
      <w:r w:rsidR="00CC0D2A" w:rsidRPr="2AA1CA0C">
        <w:rPr>
          <w:color w:val="auto"/>
        </w:rPr>
        <w:t xml:space="preserve">that </w:t>
      </w:r>
      <w:r w:rsidR="00714337" w:rsidRPr="2AA1CA0C">
        <w:rPr>
          <w:color w:val="auto"/>
        </w:rPr>
        <w:t xml:space="preserve">total </w:t>
      </w:r>
      <w:r w:rsidR="00CC0D2A" w:rsidRPr="2AA1CA0C">
        <w:rPr>
          <w:color w:val="auto"/>
        </w:rPr>
        <w:t>removal of ESG could be completed using an existing MBS item for removal of a foreign body, but it is unclear which specific item this refers to</w:t>
      </w:r>
      <w:r w:rsidR="00DD3D95" w:rsidRPr="2AA1CA0C">
        <w:rPr>
          <w:color w:val="auto"/>
        </w:rPr>
        <w:t>. I</w:t>
      </w:r>
      <w:r w:rsidR="00CC0D2A" w:rsidRPr="2AA1CA0C">
        <w:rPr>
          <w:color w:val="auto"/>
        </w:rPr>
        <w:t xml:space="preserve">t is presumed to be item 30478 which carries a </w:t>
      </w:r>
      <w:r w:rsidR="00DD3D95" w:rsidRPr="2AA1CA0C">
        <w:rPr>
          <w:color w:val="auto"/>
        </w:rPr>
        <w:t>f</w:t>
      </w:r>
      <w:r w:rsidR="00CC0D2A" w:rsidRPr="2AA1CA0C">
        <w:rPr>
          <w:color w:val="auto"/>
        </w:rPr>
        <w:t>ee of $279.80</w:t>
      </w:r>
      <w:r w:rsidR="1B798E78" w:rsidRPr="2AA1CA0C">
        <w:rPr>
          <w:color w:val="auto"/>
        </w:rPr>
        <w:t>.</w:t>
      </w:r>
      <w:r w:rsidR="009B19EA" w:rsidRPr="2AA1CA0C">
        <w:rPr>
          <w:color w:val="auto"/>
        </w:rPr>
        <w:t xml:space="preserve"> </w:t>
      </w:r>
      <w:r w:rsidR="6AB0D8D3" w:rsidRPr="2AA1CA0C">
        <w:rPr>
          <w:color w:val="auto"/>
        </w:rPr>
        <w:t xml:space="preserve">Without modifications, </w:t>
      </w:r>
      <w:r w:rsidR="74846C80" w:rsidRPr="2AA1CA0C">
        <w:rPr>
          <w:color w:val="auto"/>
        </w:rPr>
        <w:t xml:space="preserve">MBS item </w:t>
      </w:r>
      <w:r w:rsidR="27C095A9" w:rsidRPr="2AA1CA0C">
        <w:rPr>
          <w:color w:val="auto"/>
        </w:rPr>
        <w:t>30478</w:t>
      </w:r>
      <w:r w:rsidR="4F38FCBB" w:rsidRPr="2AA1CA0C">
        <w:rPr>
          <w:color w:val="auto"/>
        </w:rPr>
        <w:t xml:space="preserve"> </w:t>
      </w:r>
      <w:r w:rsidR="04325B94" w:rsidRPr="2AA1CA0C">
        <w:rPr>
          <w:color w:val="auto"/>
        </w:rPr>
        <w:t xml:space="preserve">would </w:t>
      </w:r>
      <w:r w:rsidR="4F38FCBB" w:rsidRPr="2AA1CA0C">
        <w:rPr>
          <w:color w:val="auto"/>
        </w:rPr>
        <w:t xml:space="preserve">not </w:t>
      </w:r>
      <w:r w:rsidR="57CD5D7E" w:rsidRPr="2AA1CA0C">
        <w:rPr>
          <w:color w:val="auto"/>
        </w:rPr>
        <w:t xml:space="preserve">be </w:t>
      </w:r>
      <w:r w:rsidR="4F38FCBB" w:rsidRPr="2AA1CA0C">
        <w:rPr>
          <w:color w:val="auto"/>
        </w:rPr>
        <w:t xml:space="preserve">appropriate </w:t>
      </w:r>
      <w:r w:rsidR="3EF6784D" w:rsidRPr="2AA1CA0C">
        <w:rPr>
          <w:color w:val="auto"/>
        </w:rPr>
        <w:t xml:space="preserve">for a reversal procedure </w:t>
      </w:r>
      <w:r w:rsidR="4F38FCBB" w:rsidRPr="2AA1CA0C">
        <w:rPr>
          <w:color w:val="auto"/>
        </w:rPr>
        <w:t>as it requires the removal of a foreign body</w:t>
      </w:r>
      <w:r w:rsidR="2593FDF0" w:rsidRPr="2AA1CA0C">
        <w:rPr>
          <w:color w:val="auto"/>
        </w:rPr>
        <w:t xml:space="preserve"> in </w:t>
      </w:r>
      <w:r w:rsidR="4F38FCBB" w:rsidRPr="2AA1CA0C">
        <w:rPr>
          <w:color w:val="auto"/>
        </w:rPr>
        <w:t>addition</w:t>
      </w:r>
      <w:r w:rsidR="680D57D7" w:rsidRPr="2AA1CA0C">
        <w:rPr>
          <w:color w:val="auto"/>
        </w:rPr>
        <w:t xml:space="preserve"> to one or more </w:t>
      </w:r>
      <w:r w:rsidR="73871F40" w:rsidRPr="2AA1CA0C">
        <w:rPr>
          <w:color w:val="auto"/>
        </w:rPr>
        <w:t>endoscopic procedures</w:t>
      </w:r>
      <w:r w:rsidR="40A5579A" w:rsidRPr="2AA1CA0C">
        <w:rPr>
          <w:color w:val="auto"/>
        </w:rPr>
        <w:t xml:space="preserve"> listed in the item</w:t>
      </w:r>
      <w:r w:rsidR="73871F40" w:rsidRPr="2AA1CA0C">
        <w:rPr>
          <w:color w:val="auto"/>
        </w:rPr>
        <w:t xml:space="preserve">. </w:t>
      </w:r>
    </w:p>
    <w:p w14:paraId="0152B85A" w14:textId="7DB94EF9" w:rsidR="00B81E3E" w:rsidRDefault="001A4351" w:rsidP="2AA1CA0C">
      <w:pPr>
        <w:pStyle w:val="Instructionaltext"/>
        <w:keepNext/>
        <w:tabs>
          <w:tab w:val="left" w:pos="2172"/>
        </w:tabs>
        <w:rPr>
          <w:color w:val="auto"/>
        </w:rPr>
      </w:pPr>
      <w:r w:rsidRPr="2AA1CA0C">
        <w:rPr>
          <w:color w:val="auto"/>
        </w:rPr>
        <w:t xml:space="preserve">Conversion to other bariatric procedures may also be </w:t>
      </w:r>
      <w:r w:rsidR="00CC74A5" w:rsidRPr="2AA1CA0C">
        <w:rPr>
          <w:color w:val="auto"/>
        </w:rPr>
        <w:t xml:space="preserve">undertaken after ESG. </w:t>
      </w:r>
      <w:r w:rsidR="00646F78" w:rsidRPr="2AA1CA0C">
        <w:rPr>
          <w:color w:val="auto"/>
        </w:rPr>
        <w:t>MBS item 31584 is available for the surgical reversal of previous bariatric procedures, including revisions or conversions</w:t>
      </w:r>
      <w:r w:rsidR="00A419A0" w:rsidRPr="2AA1CA0C">
        <w:rPr>
          <w:color w:val="auto"/>
        </w:rPr>
        <w:t xml:space="preserve">, although </w:t>
      </w:r>
      <w:r w:rsidR="610B1C52" w:rsidRPr="2AA1CA0C">
        <w:rPr>
          <w:color w:val="auto"/>
        </w:rPr>
        <w:t>will</w:t>
      </w:r>
      <w:r w:rsidR="00A419A0" w:rsidRPr="2AA1CA0C">
        <w:rPr>
          <w:color w:val="auto"/>
        </w:rPr>
        <w:t xml:space="preserve"> need </w:t>
      </w:r>
      <w:r w:rsidR="0042209E" w:rsidRPr="2AA1CA0C">
        <w:rPr>
          <w:color w:val="auto"/>
        </w:rPr>
        <w:t xml:space="preserve">amending if it is to be used to convert ESG. </w:t>
      </w:r>
      <w:r w:rsidR="00646F78" w:rsidRPr="2AA1CA0C">
        <w:rPr>
          <w:color w:val="auto"/>
        </w:rPr>
        <w:t xml:space="preserve"> </w:t>
      </w:r>
    </w:p>
    <w:p w14:paraId="34E0B08F" w14:textId="7BD3ADC3" w:rsidR="00772829" w:rsidRPr="00CE28E3" w:rsidRDefault="00772829" w:rsidP="00361335">
      <w:pPr>
        <w:pStyle w:val="Heading2"/>
        <w:numPr>
          <w:ilvl w:val="0"/>
          <w:numId w:val="26"/>
        </w:numPr>
        <w:ind w:hanging="720"/>
      </w:pPr>
      <w:bookmarkStart w:id="22" w:name="_Toc69491419"/>
      <w:r w:rsidRPr="00CE28E3">
        <w:t>Population</w:t>
      </w:r>
      <w:bookmarkEnd w:id="22"/>
      <w:r w:rsidRPr="00CE28E3">
        <w:t xml:space="preserve"> </w:t>
      </w:r>
    </w:p>
    <w:p w14:paraId="2971F0AF" w14:textId="5F934061" w:rsidR="007E115E" w:rsidRPr="005D5C0E" w:rsidRDefault="006A72EF" w:rsidP="0026762C">
      <w:pPr>
        <w:pStyle w:val="Instructionaltext"/>
        <w:rPr>
          <w:color w:val="auto"/>
        </w:rPr>
      </w:pPr>
      <w:r>
        <w:rPr>
          <w:color w:val="auto"/>
        </w:rPr>
        <w:t>The ADAR presented 2</w:t>
      </w:r>
      <w:r w:rsidR="006C3AB6" w:rsidRPr="00AA71D0">
        <w:rPr>
          <w:color w:val="auto"/>
        </w:rPr>
        <w:t xml:space="preserve"> PI</w:t>
      </w:r>
      <w:r w:rsidR="00905923" w:rsidRPr="00AA71D0">
        <w:rPr>
          <w:color w:val="auto"/>
        </w:rPr>
        <w:t xml:space="preserve">CO </w:t>
      </w:r>
      <w:r w:rsidR="00047B2A">
        <w:rPr>
          <w:color w:val="auto"/>
        </w:rPr>
        <w:t>set</w:t>
      </w:r>
      <w:r w:rsidR="00905923" w:rsidRPr="00AA71D0">
        <w:rPr>
          <w:color w:val="auto"/>
        </w:rPr>
        <w:t xml:space="preserve"> </w:t>
      </w:r>
      <w:r w:rsidR="00033C4F" w:rsidRPr="004E313E">
        <w:rPr>
          <w:color w:val="auto"/>
        </w:rPr>
        <w:t xml:space="preserve">populations </w:t>
      </w:r>
      <w:r w:rsidR="003F073B" w:rsidRPr="004E313E">
        <w:rPr>
          <w:color w:val="auto"/>
        </w:rPr>
        <w:t>(</w:t>
      </w:r>
      <w:r w:rsidR="004E313E" w:rsidRPr="005D5C0E">
        <w:rPr>
          <w:color w:val="000000" w:themeColor="text1"/>
        </w:rPr>
        <w:fldChar w:fldCharType="begin"/>
      </w:r>
      <w:r w:rsidR="004E313E" w:rsidRPr="005D5C0E">
        <w:rPr>
          <w:color w:val="000000" w:themeColor="text1"/>
        </w:rPr>
        <w:instrText xml:space="preserve"> REF _Ref202517960 \h </w:instrText>
      </w:r>
      <w:r w:rsidR="004E313E" w:rsidRPr="005D5C0E">
        <w:rPr>
          <w:color w:val="000000" w:themeColor="text1"/>
        </w:rPr>
      </w:r>
      <w:r w:rsidR="005D5C0E">
        <w:rPr>
          <w:color w:val="000000" w:themeColor="text1"/>
        </w:rPr>
        <w:instrText xml:space="preserve"> \* MERGEFORMAT </w:instrText>
      </w:r>
      <w:r w:rsidR="004E313E" w:rsidRPr="005D5C0E">
        <w:rPr>
          <w:color w:val="000000" w:themeColor="text1"/>
        </w:rPr>
        <w:fldChar w:fldCharType="separate"/>
      </w:r>
      <w:r w:rsidR="008F37D1" w:rsidRPr="008F37D1">
        <w:rPr>
          <w:color w:val="000000" w:themeColor="text1"/>
        </w:rPr>
        <w:t>Table 5</w:t>
      </w:r>
      <w:r w:rsidR="004E313E" w:rsidRPr="005D5C0E">
        <w:rPr>
          <w:color w:val="000000" w:themeColor="text1"/>
        </w:rPr>
        <w:fldChar w:fldCharType="end"/>
      </w:r>
      <w:r w:rsidR="004E313E" w:rsidRPr="005D5C0E">
        <w:rPr>
          <w:color w:val="000000" w:themeColor="text1"/>
        </w:rPr>
        <w:t>;</w:t>
      </w:r>
      <w:r w:rsidR="003F073B" w:rsidRPr="005D5C0E">
        <w:rPr>
          <w:color w:val="000000" w:themeColor="text1"/>
        </w:rPr>
        <w:t xml:space="preserve"> </w:t>
      </w:r>
      <w:r w:rsidR="003F073B" w:rsidRPr="005D5C0E">
        <w:rPr>
          <w:color w:val="000000" w:themeColor="text1"/>
        </w:rPr>
        <w:fldChar w:fldCharType="begin"/>
      </w:r>
      <w:r w:rsidR="003F073B" w:rsidRPr="005D5C0E">
        <w:rPr>
          <w:color w:val="000000" w:themeColor="text1"/>
        </w:rPr>
        <w:instrText xml:space="preserve"> REF _Ref183592051 \h  \* MERGEFORMAT </w:instrText>
      </w:r>
      <w:r w:rsidR="003F073B" w:rsidRPr="005D5C0E">
        <w:rPr>
          <w:color w:val="000000" w:themeColor="text1"/>
        </w:rPr>
      </w:r>
      <w:r w:rsidR="003F073B" w:rsidRPr="005D5C0E">
        <w:rPr>
          <w:color w:val="000000" w:themeColor="text1"/>
        </w:rPr>
        <w:fldChar w:fldCharType="separate"/>
      </w:r>
      <w:r w:rsidR="008F37D1" w:rsidRPr="008F37D1">
        <w:rPr>
          <w:color w:val="000000" w:themeColor="text1"/>
        </w:rPr>
        <w:t>Table 6</w:t>
      </w:r>
      <w:r w:rsidR="003F073B" w:rsidRPr="005D5C0E">
        <w:rPr>
          <w:color w:val="000000" w:themeColor="text1"/>
        </w:rPr>
        <w:fldChar w:fldCharType="end"/>
      </w:r>
      <w:r w:rsidR="003F073B" w:rsidRPr="003F073B">
        <w:rPr>
          <w:color w:val="auto"/>
        </w:rPr>
        <w:t>)</w:t>
      </w:r>
      <w:r w:rsidR="00AA71D0" w:rsidRPr="003F073B">
        <w:rPr>
          <w:color w:val="auto"/>
        </w:rPr>
        <w:t>.</w:t>
      </w:r>
      <w:r w:rsidR="00AA71D0">
        <w:rPr>
          <w:color w:val="auto"/>
        </w:rPr>
        <w:t xml:space="preserve"> </w:t>
      </w:r>
      <w:bookmarkStart w:id="23" w:name="_Ref184203327"/>
      <w:r w:rsidR="007E115E">
        <w:br w:type="page"/>
      </w:r>
    </w:p>
    <w:p w14:paraId="1FCF9696" w14:textId="69BDFF1D" w:rsidR="00A9683A" w:rsidRPr="00A9683A" w:rsidRDefault="00A9683A" w:rsidP="00A9683A">
      <w:pPr>
        <w:pStyle w:val="Caption"/>
        <w:rPr>
          <w:rFonts w:cs="Arial"/>
        </w:rPr>
      </w:pPr>
      <w:bookmarkStart w:id="24" w:name="_Ref202517960"/>
      <w:r>
        <w:t>Table </w:t>
      </w:r>
      <w:r w:rsidR="009C59B0">
        <w:fldChar w:fldCharType="begin"/>
      </w:r>
      <w:r w:rsidR="009C59B0">
        <w:instrText xml:space="preserve"> SEQ Table \* ARABIC </w:instrText>
      </w:r>
      <w:r w:rsidR="009C59B0">
        <w:fldChar w:fldCharType="separate"/>
      </w:r>
      <w:r w:rsidR="008F37D1">
        <w:rPr>
          <w:noProof/>
        </w:rPr>
        <w:t>5</w:t>
      </w:r>
      <w:r w:rsidR="009C59B0">
        <w:rPr>
          <w:noProof/>
        </w:rPr>
        <w:fldChar w:fldCharType="end"/>
      </w:r>
      <w:bookmarkEnd w:id="23"/>
      <w:bookmarkEnd w:id="24"/>
      <w:r w:rsidR="00E002F8">
        <w:rPr>
          <w:rFonts w:cs="Arial"/>
        </w:rPr>
        <w:t xml:space="preserve">: </w:t>
      </w:r>
      <w:r w:rsidRPr="00CE28E3">
        <w:rPr>
          <w:rFonts w:cs="Arial"/>
        </w:rPr>
        <w:t>P</w:t>
      </w:r>
      <w:r w:rsidR="002D1698">
        <w:rPr>
          <w:rFonts w:cs="Arial"/>
        </w:rPr>
        <w:t>ICO set 1</w:t>
      </w:r>
      <w:r w:rsidRPr="00CE28E3">
        <w:rPr>
          <w:rFonts w:cs="Arial"/>
        </w:rPr>
        <w:t xml:space="preserve"> </w:t>
      </w:r>
    </w:p>
    <w:tbl>
      <w:tblPr>
        <w:tblW w:w="90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1"/>
        <w:gridCol w:w="7884"/>
      </w:tblGrid>
      <w:tr w:rsidR="00A9683A" w:rsidRPr="00A9683A" w14:paraId="62772FCF" w14:textId="77777777" w:rsidTr="004A59A6">
        <w:trPr>
          <w:trHeight w:val="300"/>
        </w:trPr>
        <w:tc>
          <w:tcPr>
            <w:tcW w:w="11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3B354D" w14:textId="1E3101AE" w:rsidR="00A9683A" w:rsidRPr="00A9683A" w:rsidRDefault="00A9683A" w:rsidP="004A59A6">
            <w:pPr>
              <w:keepNext/>
              <w:spacing w:before="20" w:after="20" w:line="240" w:lineRule="auto"/>
              <w:jc w:val="both"/>
              <w:textAlignment w:val="baseline"/>
              <w:rPr>
                <w:rFonts w:ascii="Arial Narrow" w:eastAsia="Arial Narrow" w:hAnsi="Arial Narrow" w:cs="Arial Narrow"/>
                <w:sz w:val="20"/>
                <w:szCs w:val="20"/>
                <w:lang w:eastAsia="en-AU"/>
              </w:rPr>
            </w:pPr>
            <w:r w:rsidRPr="2AA1CA0C">
              <w:rPr>
                <w:rFonts w:ascii="Arial Narrow" w:eastAsia="Arial Narrow" w:hAnsi="Arial Narrow" w:cs="Arial Narrow"/>
                <w:b/>
                <w:bCs/>
                <w:sz w:val="20"/>
                <w:szCs w:val="20"/>
                <w:lang w:eastAsia="en-AU"/>
              </w:rPr>
              <w:t>Component</w:t>
            </w:r>
            <w:r w:rsidRPr="2AA1CA0C">
              <w:rPr>
                <w:rFonts w:ascii="Arial Narrow" w:eastAsia="Arial Narrow" w:hAnsi="Arial Narrow" w:cs="Arial Narrow"/>
                <w:sz w:val="20"/>
                <w:szCs w:val="20"/>
                <w:lang w:eastAsia="en-AU"/>
              </w:rPr>
              <w:t> </w:t>
            </w:r>
          </w:p>
        </w:tc>
        <w:tc>
          <w:tcPr>
            <w:tcW w:w="78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78A5A3" w14:textId="77777777" w:rsidR="00A9683A" w:rsidRPr="00A9683A" w:rsidRDefault="00A9683A" w:rsidP="004A59A6">
            <w:pPr>
              <w:spacing w:before="20" w:after="20" w:line="240" w:lineRule="auto"/>
              <w:jc w:val="both"/>
              <w:textAlignment w:val="baseline"/>
              <w:rPr>
                <w:rFonts w:ascii="Arial Narrow" w:eastAsia="Arial Narrow" w:hAnsi="Arial Narrow" w:cs="Arial Narrow"/>
                <w:sz w:val="20"/>
                <w:szCs w:val="20"/>
                <w:lang w:eastAsia="en-AU"/>
              </w:rPr>
            </w:pPr>
            <w:r w:rsidRPr="7F841FA6">
              <w:rPr>
                <w:rFonts w:ascii="Arial Narrow" w:eastAsia="Arial Narrow" w:hAnsi="Arial Narrow" w:cs="Arial Narrow"/>
                <w:b/>
                <w:sz w:val="20"/>
                <w:szCs w:val="20"/>
                <w:lang w:eastAsia="en-AU"/>
              </w:rPr>
              <w:t>Description</w:t>
            </w:r>
            <w:r w:rsidRPr="7F841FA6">
              <w:rPr>
                <w:rFonts w:ascii="Arial Narrow" w:eastAsia="Arial Narrow" w:hAnsi="Arial Narrow" w:cs="Arial Narrow"/>
                <w:sz w:val="20"/>
                <w:szCs w:val="20"/>
                <w:lang w:eastAsia="en-AU"/>
              </w:rPr>
              <w:t> </w:t>
            </w:r>
          </w:p>
        </w:tc>
      </w:tr>
      <w:tr w:rsidR="00A9683A" w:rsidRPr="00A9683A" w14:paraId="0B5E50A0" w14:textId="77777777" w:rsidTr="004A59A6">
        <w:trPr>
          <w:trHeight w:val="300"/>
        </w:trPr>
        <w:tc>
          <w:tcPr>
            <w:tcW w:w="11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7210FD" w14:textId="77777777" w:rsidR="00A9683A" w:rsidRPr="00A9683A" w:rsidRDefault="00A9683A" w:rsidP="004A59A6">
            <w:pPr>
              <w:spacing w:before="20" w:after="20" w:line="240" w:lineRule="auto"/>
              <w:jc w:val="both"/>
              <w:textAlignment w:val="baseline"/>
              <w:rPr>
                <w:rFonts w:ascii="Arial Narrow" w:eastAsia="Arial Narrow" w:hAnsi="Arial Narrow" w:cs="Arial Narrow"/>
                <w:sz w:val="20"/>
                <w:szCs w:val="20"/>
                <w:lang w:eastAsia="en-AU"/>
              </w:rPr>
            </w:pPr>
            <w:r w:rsidRPr="7F841FA6">
              <w:rPr>
                <w:rFonts w:ascii="Arial Narrow" w:eastAsia="Arial Narrow" w:hAnsi="Arial Narrow" w:cs="Arial Narrow"/>
                <w:sz w:val="20"/>
                <w:szCs w:val="20"/>
                <w:lang w:eastAsia="en-AU"/>
              </w:rPr>
              <w:t>Population </w:t>
            </w:r>
          </w:p>
        </w:tc>
        <w:tc>
          <w:tcPr>
            <w:tcW w:w="78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786242" w14:textId="14245C9C" w:rsidR="00A9683A" w:rsidRPr="00852E44" w:rsidRDefault="4B3045D3" w:rsidP="004A59A6">
            <w:pPr>
              <w:spacing w:before="20" w:after="20" w:line="240" w:lineRule="auto"/>
              <w:jc w:val="both"/>
              <w:textAlignment w:val="baseline"/>
              <w:rPr>
                <w:rFonts w:ascii="Arial Narrow" w:eastAsia="Arial Narrow" w:hAnsi="Arial Narrow" w:cs="Arial Narrow"/>
                <w:sz w:val="20"/>
                <w:szCs w:val="20"/>
                <w:lang w:eastAsia="en-AU"/>
              </w:rPr>
            </w:pPr>
            <w:r w:rsidRPr="7F841FA6">
              <w:rPr>
                <w:rFonts w:ascii="Arial Narrow" w:eastAsia="Arial Narrow" w:hAnsi="Arial Narrow" w:cs="Arial Narrow"/>
                <w:sz w:val="20"/>
                <w:szCs w:val="20"/>
                <w:lang w:eastAsia="en-AU"/>
              </w:rPr>
              <w:t xml:space="preserve">Patients with </w:t>
            </w:r>
            <w:r w:rsidR="008F5EBB">
              <w:rPr>
                <w:rFonts w:ascii="Arial Narrow" w:eastAsia="Arial Narrow" w:hAnsi="Arial Narrow" w:cs="Arial Narrow"/>
                <w:sz w:val="20"/>
                <w:szCs w:val="20"/>
                <w:lang w:eastAsia="en-AU"/>
              </w:rPr>
              <w:t>class</w:t>
            </w:r>
            <w:r w:rsidRPr="7F841FA6">
              <w:rPr>
                <w:rFonts w:ascii="Arial Narrow" w:eastAsia="Arial Narrow" w:hAnsi="Arial Narrow" w:cs="Arial Narrow"/>
                <w:sz w:val="20"/>
                <w:szCs w:val="20"/>
                <w:lang w:eastAsia="en-AU"/>
              </w:rPr>
              <w:t xml:space="preserve"> I and II obesity with or without comorbidities</w:t>
            </w:r>
            <w:r w:rsidR="16E83C37" w:rsidRPr="7F841FA6">
              <w:rPr>
                <w:rFonts w:ascii="Arial Narrow" w:eastAsia="Arial Narrow" w:hAnsi="Arial Narrow" w:cs="Arial Narrow"/>
                <w:sz w:val="20"/>
                <w:szCs w:val="20"/>
                <w:lang w:eastAsia="en-AU"/>
              </w:rPr>
              <w:t xml:space="preserve"> who have failed first</w:t>
            </w:r>
            <w:r w:rsidR="63A691F0" w:rsidRPr="7F841FA6">
              <w:rPr>
                <w:rFonts w:ascii="Arial Narrow" w:eastAsia="Arial Narrow" w:hAnsi="Arial Narrow" w:cs="Arial Narrow"/>
                <w:sz w:val="20"/>
                <w:szCs w:val="20"/>
                <w:lang w:eastAsia="en-AU"/>
              </w:rPr>
              <w:t>-</w:t>
            </w:r>
            <w:r w:rsidR="16E83C37" w:rsidRPr="7F841FA6">
              <w:rPr>
                <w:rFonts w:ascii="Arial Narrow" w:eastAsia="Arial Narrow" w:hAnsi="Arial Narrow" w:cs="Arial Narrow"/>
                <w:sz w:val="20"/>
                <w:szCs w:val="20"/>
                <w:lang w:eastAsia="en-AU"/>
              </w:rPr>
              <w:t xml:space="preserve"> and second</w:t>
            </w:r>
            <w:r w:rsidR="63A691F0" w:rsidRPr="7F841FA6">
              <w:rPr>
                <w:rFonts w:ascii="Arial Narrow" w:eastAsia="Arial Narrow" w:hAnsi="Arial Narrow" w:cs="Arial Narrow"/>
                <w:sz w:val="20"/>
                <w:szCs w:val="20"/>
                <w:lang w:eastAsia="en-AU"/>
              </w:rPr>
              <w:t>-</w:t>
            </w:r>
            <w:r w:rsidR="16E83C37" w:rsidRPr="7F841FA6">
              <w:rPr>
                <w:rFonts w:ascii="Arial Narrow" w:eastAsia="Arial Narrow" w:hAnsi="Arial Narrow" w:cs="Arial Narrow"/>
                <w:sz w:val="20"/>
                <w:szCs w:val="20"/>
                <w:lang w:eastAsia="en-AU"/>
              </w:rPr>
              <w:t>line weight loss interventions (</w:t>
            </w:r>
            <w:r w:rsidR="6636C696" w:rsidRPr="7F841FA6">
              <w:rPr>
                <w:rFonts w:ascii="Arial Narrow" w:eastAsia="Arial Narrow" w:hAnsi="Arial Narrow" w:cs="Arial Narrow"/>
                <w:sz w:val="20"/>
                <w:szCs w:val="20"/>
                <w:lang w:eastAsia="en-AU"/>
              </w:rPr>
              <w:t>diet, lifestyle modifications</w:t>
            </w:r>
            <w:r w:rsidR="63A691F0" w:rsidRPr="7F841FA6">
              <w:rPr>
                <w:rFonts w:ascii="Arial Narrow" w:eastAsia="Arial Narrow" w:hAnsi="Arial Narrow" w:cs="Arial Narrow"/>
                <w:sz w:val="20"/>
                <w:szCs w:val="20"/>
                <w:lang w:eastAsia="en-AU"/>
              </w:rPr>
              <w:t xml:space="preserve">, </w:t>
            </w:r>
            <w:r w:rsidR="6636C696" w:rsidRPr="7F841FA6">
              <w:rPr>
                <w:rFonts w:ascii="Arial Narrow" w:eastAsia="Arial Narrow" w:hAnsi="Arial Narrow" w:cs="Arial Narrow"/>
                <w:sz w:val="20"/>
                <w:szCs w:val="20"/>
                <w:lang w:eastAsia="en-AU"/>
              </w:rPr>
              <w:t>pharmacotherapy)</w:t>
            </w:r>
          </w:p>
        </w:tc>
      </w:tr>
      <w:tr w:rsidR="00A9683A" w:rsidRPr="00A9683A" w14:paraId="4160792D" w14:textId="77777777" w:rsidTr="004A59A6">
        <w:trPr>
          <w:trHeight w:val="300"/>
        </w:trPr>
        <w:tc>
          <w:tcPr>
            <w:tcW w:w="11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4B2A46" w14:textId="77777777" w:rsidR="00A9683A" w:rsidRPr="00A9683A" w:rsidRDefault="00A9683A" w:rsidP="004A59A6">
            <w:pPr>
              <w:spacing w:before="20" w:after="20" w:line="240" w:lineRule="auto"/>
              <w:jc w:val="both"/>
              <w:textAlignment w:val="baseline"/>
              <w:rPr>
                <w:rFonts w:ascii="Arial Narrow" w:eastAsia="Arial Narrow" w:hAnsi="Arial Narrow" w:cs="Arial Narrow"/>
                <w:sz w:val="20"/>
                <w:szCs w:val="20"/>
                <w:lang w:eastAsia="en-AU"/>
              </w:rPr>
            </w:pPr>
            <w:r w:rsidRPr="7F841FA6">
              <w:rPr>
                <w:rFonts w:ascii="Arial Narrow" w:eastAsia="Arial Narrow" w:hAnsi="Arial Narrow" w:cs="Arial Narrow"/>
                <w:sz w:val="20"/>
                <w:szCs w:val="20"/>
                <w:lang w:eastAsia="en-AU"/>
              </w:rPr>
              <w:t>Intervention </w:t>
            </w:r>
          </w:p>
        </w:tc>
        <w:tc>
          <w:tcPr>
            <w:tcW w:w="78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8751F8" w14:textId="7B607FEC" w:rsidR="00A9683A" w:rsidRPr="00A9683A" w:rsidRDefault="007207B4" w:rsidP="004A59A6">
            <w:pPr>
              <w:spacing w:before="20" w:after="20" w:line="240" w:lineRule="auto"/>
              <w:jc w:val="both"/>
              <w:textAlignment w:val="baseline"/>
              <w:rPr>
                <w:rFonts w:ascii="Arial Narrow" w:eastAsia="Arial Narrow" w:hAnsi="Arial Narrow" w:cs="Arial Narrow"/>
                <w:sz w:val="20"/>
                <w:szCs w:val="20"/>
                <w:lang w:eastAsia="en-AU"/>
              </w:rPr>
            </w:pPr>
            <w:r w:rsidRPr="7F841FA6">
              <w:rPr>
                <w:rFonts w:ascii="Arial Narrow" w:eastAsia="Arial Narrow" w:hAnsi="Arial Narrow" w:cs="Arial Narrow"/>
                <w:sz w:val="20"/>
                <w:szCs w:val="20"/>
                <w:lang w:eastAsia="en-AU"/>
              </w:rPr>
              <w:t>ESG</w:t>
            </w:r>
            <w:r w:rsidR="00186921" w:rsidRPr="7F841FA6">
              <w:rPr>
                <w:rFonts w:ascii="Arial Narrow" w:eastAsia="Arial Narrow" w:hAnsi="Arial Narrow" w:cs="Arial Narrow"/>
                <w:sz w:val="20"/>
                <w:szCs w:val="20"/>
                <w:lang w:eastAsia="en-AU"/>
              </w:rPr>
              <w:t xml:space="preserve"> and lifestyle modifications</w:t>
            </w:r>
          </w:p>
        </w:tc>
      </w:tr>
      <w:tr w:rsidR="00A9683A" w:rsidRPr="00A9683A" w14:paraId="2749859D" w14:textId="77777777" w:rsidTr="004A59A6">
        <w:trPr>
          <w:trHeight w:val="300"/>
        </w:trPr>
        <w:tc>
          <w:tcPr>
            <w:tcW w:w="11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158459" w14:textId="77777777" w:rsidR="00A9683A" w:rsidRPr="00A9683A" w:rsidRDefault="00A9683A" w:rsidP="004A59A6">
            <w:pPr>
              <w:spacing w:before="20" w:after="20" w:line="240" w:lineRule="auto"/>
              <w:jc w:val="both"/>
              <w:textAlignment w:val="baseline"/>
              <w:rPr>
                <w:rFonts w:ascii="Arial Narrow" w:eastAsia="Arial Narrow" w:hAnsi="Arial Narrow" w:cs="Arial Narrow"/>
                <w:sz w:val="20"/>
                <w:szCs w:val="20"/>
                <w:lang w:eastAsia="en-AU"/>
              </w:rPr>
            </w:pPr>
            <w:r w:rsidRPr="7F841FA6">
              <w:rPr>
                <w:rFonts w:ascii="Arial Narrow" w:eastAsia="Arial Narrow" w:hAnsi="Arial Narrow" w:cs="Arial Narrow"/>
                <w:sz w:val="20"/>
                <w:szCs w:val="20"/>
                <w:lang w:eastAsia="en-AU"/>
              </w:rPr>
              <w:t>Comparator </w:t>
            </w:r>
          </w:p>
        </w:tc>
        <w:tc>
          <w:tcPr>
            <w:tcW w:w="78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84251F" w14:textId="77777777" w:rsidR="00A9683A" w:rsidRDefault="00186921" w:rsidP="004A59A6">
            <w:pPr>
              <w:spacing w:before="20" w:after="20" w:line="240" w:lineRule="auto"/>
              <w:jc w:val="both"/>
              <w:textAlignment w:val="baseline"/>
              <w:rPr>
                <w:rFonts w:ascii="Arial Narrow" w:eastAsia="Arial Narrow" w:hAnsi="Arial Narrow" w:cs="Arial Narrow"/>
                <w:sz w:val="20"/>
                <w:szCs w:val="20"/>
                <w:lang w:eastAsia="en-AU"/>
              </w:rPr>
            </w:pPr>
            <w:r w:rsidRPr="7F841FA6">
              <w:rPr>
                <w:rFonts w:ascii="Arial Narrow" w:eastAsia="Arial Narrow" w:hAnsi="Arial Narrow" w:cs="Arial Narrow"/>
                <w:sz w:val="20"/>
                <w:szCs w:val="20"/>
                <w:lang w:eastAsia="en-AU"/>
              </w:rPr>
              <w:t>Lifestyle modifications only</w:t>
            </w:r>
          </w:p>
          <w:p w14:paraId="17580877" w14:textId="552F30EB" w:rsidR="00A9683A" w:rsidRPr="00A9683A" w:rsidRDefault="2826D4EE" w:rsidP="004A59A6">
            <w:pPr>
              <w:spacing w:before="20" w:after="20" w:line="240" w:lineRule="auto"/>
              <w:jc w:val="both"/>
              <w:textAlignment w:val="baseline"/>
              <w:rPr>
                <w:rFonts w:ascii="Arial Narrow" w:eastAsia="Arial Narrow" w:hAnsi="Arial Narrow" w:cs="Arial Narrow"/>
                <w:sz w:val="20"/>
                <w:szCs w:val="20"/>
                <w:lang w:eastAsia="en-AU"/>
              </w:rPr>
            </w:pPr>
            <w:r w:rsidRPr="7F841FA6">
              <w:rPr>
                <w:rFonts w:ascii="Arial Narrow" w:eastAsia="Arial Narrow" w:hAnsi="Arial Narrow" w:cs="Arial Narrow"/>
                <w:sz w:val="20"/>
                <w:szCs w:val="20"/>
                <w:lang w:eastAsia="en-AU"/>
              </w:rPr>
              <w:t xml:space="preserve">(Bariatric surgery not currently subsidised for this population </w:t>
            </w:r>
            <w:r w:rsidR="66604F9D" w:rsidRPr="7F841FA6">
              <w:rPr>
                <w:rFonts w:ascii="Arial Narrow" w:eastAsia="Arial Narrow" w:hAnsi="Arial Narrow" w:cs="Arial Narrow"/>
                <w:sz w:val="20"/>
                <w:szCs w:val="20"/>
                <w:lang w:eastAsia="en-AU"/>
              </w:rPr>
              <w:t xml:space="preserve">and is not considered </w:t>
            </w:r>
            <w:r w:rsidR="61342C05" w:rsidRPr="7F841FA6">
              <w:rPr>
                <w:rFonts w:ascii="Arial Narrow" w:eastAsia="Arial Narrow" w:hAnsi="Arial Narrow" w:cs="Arial Narrow"/>
                <w:sz w:val="20"/>
                <w:szCs w:val="20"/>
                <w:lang w:eastAsia="en-AU"/>
              </w:rPr>
              <w:t>a relevant comparator</w:t>
            </w:r>
            <w:r w:rsidR="63A691F0" w:rsidRPr="7F841FA6">
              <w:rPr>
                <w:rFonts w:ascii="Arial Narrow" w:eastAsia="Arial Narrow" w:hAnsi="Arial Narrow" w:cs="Arial Narrow"/>
                <w:sz w:val="20"/>
                <w:szCs w:val="20"/>
                <w:lang w:eastAsia="en-AU"/>
              </w:rPr>
              <w:t>.</w:t>
            </w:r>
            <w:r w:rsidR="61342C05" w:rsidRPr="7F841FA6">
              <w:rPr>
                <w:rFonts w:ascii="Arial Narrow" w:eastAsia="Arial Narrow" w:hAnsi="Arial Narrow" w:cs="Arial Narrow"/>
                <w:sz w:val="20"/>
                <w:szCs w:val="20"/>
                <w:lang w:eastAsia="en-AU"/>
              </w:rPr>
              <w:t>)</w:t>
            </w:r>
          </w:p>
        </w:tc>
      </w:tr>
      <w:tr w:rsidR="00A9683A" w:rsidRPr="00A9683A" w14:paraId="4F541E8C" w14:textId="77777777" w:rsidTr="004A59A6">
        <w:trPr>
          <w:trHeight w:val="300"/>
        </w:trPr>
        <w:tc>
          <w:tcPr>
            <w:tcW w:w="11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979D58" w14:textId="77777777" w:rsidR="00A9683A" w:rsidRPr="00A9683A" w:rsidRDefault="00A9683A" w:rsidP="004A59A6">
            <w:pPr>
              <w:spacing w:before="20" w:after="20" w:line="240" w:lineRule="auto"/>
              <w:jc w:val="both"/>
              <w:textAlignment w:val="baseline"/>
              <w:rPr>
                <w:rFonts w:ascii="Arial Narrow" w:eastAsia="Arial Narrow" w:hAnsi="Arial Narrow" w:cs="Arial Narrow"/>
                <w:sz w:val="20"/>
                <w:szCs w:val="20"/>
                <w:lang w:eastAsia="en-AU"/>
              </w:rPr>
            </w:pPr>
            <w:r w:rsidRPr="7F841FA6">
              <w:rPr>
                <w:rFonts w:ascii="Arial Narrow" w:eastAsia="Arial Narrow" w:hAnsi="Arial Narrow" w:cs="Arial Narrow"/>
                <w:sz w:val="20"/>
                <w:szCs w:val="20"/>
                <w:lang w:eastAsia="en-AU"/>
              </w:rPr>
              <w:t>Outcomes </w:t>
            </w:r>
          </w:p>
        </w:tc>
        <w:tc>
          <w:tcPr>
            <w:tcW w:w="78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02E742" w14:textId="1C3A5A6C" w:rsidR="00A43AD3" w:rsidRPr="00852E44" w:rsidRDefault="00A43AD3" w:rsidP="004A59A6">
            <w:pPr>
              <w:spacing w:before="20" w:after="20" w:line="240" w:lineRule="auto"/>
              <w:jc w:val="both"/>
              <w:textAlignment w:val="baseline"/>
              <w:rPr>
                <w:rFonts w:ascii="Arial Narrow" w:eastAsia="Arial Narrow" w:hAnsi="Arial Narrow" w:cs="Arial Narrow"/>
                <w:b/>
                <w:sz w:val="20"/>
                <w:szCs w:val="20"/>
                <w:lang w:eastAsia="en-AU"/>
              </w:rPr>
            </w:pPr>
            <w:r w:rsidRPr="7F841FA6">
              <w:rPr>
                <w:rFonts w:ascii="Arial Narrow" w:eastAsia="Arial Narrow" w:hAnsi="Arial Narrow" w:cs="Arial Narrow"/>
                <w:b/>
                <w:sz w:val="20"/>
                <w:szCs w:val="20"/>
                <w:lang w:eastAsia="en-AU"/>
              </w:rPr>
              <w:t xml:space="preserve">Efficacy: </w:t>
            </w:r>
          </w:p>
          <w:p w14:paraId="620CDD6A" w14:textId="12ABF5F3" w:rsidR="00A9683A" w:rsidRPr="00A9683A" w:rsidRDefault="2E128CA6" w:rsidP="004A59A6">
            <w:pPr>
              <w:spacing w:before="20" w:after="20" w:line="240" w:lineRule="auto"/>
              <w:jc w:val="both"/>
              <w:textAlignment w:val="baseline"/>
              <w:rPr>
                <w:rFonts w:ascii="Arial Narrow" w:eastAsia="Arial Narrow" w:hAnsi="Arial Narrow" w:cs="Arial Narrow"/>
                <w:sz w:val="20"/>
                <w:szCs w:val="20"/>
                <w:lang w:eastAsia="en-AU"/>
              </w:rPr>
            </w:pPr>
            <w:r w:rsidRPr="7F841FA6">
              <w:rPr>
                <w:rFonts w:ascii="Arial Narrow" w:eastAsia="Arial Narrow" w:hAnsi="Arial Narrow" w:cs="Arial Narrow"/>
                <w:sz w:val="20"/>
                <w:szCs w:val="20"/>
                <w:lang w:eastAsia="en-AU"/>
              </w:rPr>
              <w:t>Primary</w:t>
            </w:r>
            <w:r w:rsidR="708093A6" w:rsidRPr="7F841FA6">
              <w:rPr>
                <w:rFonts w:ascii="Arial Narrow" w:eastAsia="Arial Narrow" w:hAnsi="Arial Narrow" w:cs="Arial Narrow"/>
                <w:sz w:val="20"/>
                <w:szCs w:val="20"/>
                <w:lang w:eastAsia="en-AU"/>
              </w:rPr>
              <w:t xml:space="preserve">: </w:t>
            </w:r>
            <w:r w:rsidR="6534D29E" w:rsidRPr="7F841FA6">
              <w:rPr>
                <w:rFonts w:ascii="Arial Narrow" w:eastAsia="Arial Narrow" w:hAnsi="Arial Narrow" w:cs="Arial Narrow"/>
                <w:sz w:val="20"/>
                <w:szCs w:val="20"/>
                <w:lang w:eastAsia="en-AU"/>
              </w:rPr>
              <w:t>%TBWL</w:t>
            </w:r>
          </w:p>
          <w:p w14:paraId="463A5C6F" w14:textId="54424958" w:rsidR="00A9683A" w:rsidRPr="00A9683A" w:rsidRDefault="467E5730" w:rsidP="004A59A6">
            <w:pPr>
              <w:spacing w:before="20" w:after="20" w:line="240" w:lineRule="auto"/>
              <w:jc w:val="both"/>
              <w:textAlignment w:val="baseline"/>
              <w:rPr>
                <w:rFonts w:ascii="Arial Narrow" w:eastAsia="Arial Narrow" w:hAnsi="Arial Narrow" w:cs="Arial Narrow"/>
                <w:sz w:val="20"/>
                <w:szCs w:val="20"/>
                <w:lang w:eastAsia="en-AU"/>
              </w:rPr>
            </w:pPr>
            <w:r w:rsidRPr="7F841FA6">
              <w:rPr>
                <w:rFonts w:ascii="Arial Narrow" w:eastAsia="Arial Narrow" w:hAnsi="Arial Narrow" w:cs="Arial Narrow"/>
                <w:sz w:val="20"/>
                <w:szCs w:val="20"/>
                <w:lang w:eastAsia="en-AU"/>
              </w:rPr>
              <w:t>Secondary</w:t>
            </w:r>
            <w:r w:rsidR="708093A6" w:rsidRPr="7F841FA6">
              <w:rPr>
                <w:rFonts w:ascii="Arial Narrow" w:eastAsia="Arial Narrow" w:hAnsi="Arial Narrow" w:cs="Arial Narrow"/>
                <w:sz w:val="20"/>
                <w:szCs w:val="20"/>
                <w:lang w:eastAsia="en-AU"/>
              </w:rPr>
              <w:t xml:space="preserve">: </w:t>
            </w:r>
            <w:r w:rsidR="6534D29E" w:rsidRPr="7F841FA6">
              <w:rPr>
                <w:rFonts w:ascii="Arial Narrow" w:eastAsia="Arial Narrow" w:hAnsi="Arial Narrow" w:cs="Arial Narrow"/>
                <w:sz w:val="20"/>
                <w:szCs w:val="20"/>
                <w:lang w:eastAsia="en-AU"/>
              </w:rPr>
              <w:t>%EWL</w:t>
            </w:r>
            <w:r w:rsidR="708093A6" w:rsidRPr="7F841FA6">
              <w:rPr>
                <w:rFonts w:ascii="Arial Narrow" w:eastAsia="Arial Narrow" w:hAnsi="Arial Narrow" w:cs="Arial Narrow"/>
                <w:sz w:val="20"/>
                <w:szCs w:val="20"/>
                <w:lang w:eastAsia="en-AU"/>
              </w:rPr>
              <w:t xml:space="preserve">, </w:t>
            </w:r>
            <w:r w:rsidR="45FF6514" w:rsidRPr="7F841FA6">
              <w:rPr>
                <w:rFonts w:ascii="Arial Narrow" w:eastAsia="Arial Narrow" w:hAnsi="Arial Narrow" w:cs="Arial Narrow"/>
                <w:sz w:val="20"/>
                <w:szCs w:val="20"/>
                <w:lang w:eastAsia="en-AU"/>
              </w:rPr>
              <w:t>durability of weight loss (3</w:t>
            </w:r>
            <w:r w:rsidR="0059365D" w:rsidRPr="7F841FA6">
              <w:rPr>
                <w:rFonts w:ascii="Arial Narrow" w:eastAsia="Arial Narrow" w:hAnsi="Arial Narrow" w:cs="Arial Narrow"/>
                <w:sz w:val="20"/>
                <w:szCs w:val="20"/>
                <w:lang w:eastAsia="en-AU"/>
              </w:rPr>
              <w:t>–</w:t>
            </w:r>
            <w:r w:rsidR="45FF6514" w:rsidRPr="7F841FA6">
              <w:rPr>
                <w:rFonts w:ascii="Arial Narrow" w:eastAsia="Arial Narrow" w:hAnsi="Arial Narrow" w:cs="Arial Narrow"/>
                <w:sz w:val="20"/>
                <w:szCs w:val="20"/>
                <w:lang w:eastAsia="en-AU"/>
              </w:rPr>
              <w:t xml:space="preserve">5 years), </w:t>
            </w:r>
            <w:r w:rsidR="52E4D821" w:rsidRPr="7F841FA6">
              <w:rPr>
                <w:rFonts w:ascii="Arial Narrow" w:eastAsia="Arial Narrow" w:hAnsi="Arial Narrow" w:cs="Arial Narrow"/>
                <w:sz w:val="20"/>
                <w:szCs w:val="20"/>
                <w:lang w:eastAsia="en-AU"/>
              </w:rPr>
              <w:t>weight</w:t>
            </w:r>
            <w:r w:rsidR="0059365D" w:rsidRPr="7F841FA6">
              <w:rPr>
                <w:rFonts w:ascii="Arial Narrow" w:eastAsia="Arial Narrow" w:hAnsi="Arial Narrow" w:cs="Arial Narrow"/>
                <w:sz w:val="20"/>
                <w:szCs w:val="20"/>
                <w:lang w:eastAsia="en-AU"/>
              </w:rPr>
              <w:t>-</w:t>
            </w:r>
            <w:r w:rsidR="52E4D821" w:rsidRPr="7F841FA6">
              <w:rPr>
                <w:rFonts w:ascii="Arial Narrow" w:eastAsia="Arial Narrow" w:hAnsi="Arial Narrow" w:cs="Arial Narrow"/>
                <w:sz w:val="20"/>
                <w:szCs w:val="20"/>
                <w:lang w:eastAsia="en-AU"/>
              </w:rPr>
              <w:t xml:space="preserve">related comorbidities, </w:t>
            </w:r>
            <w:r w:rsidR="26DFDFCF" w:rsidRPr="7F841FA6">
              <w:rPr>
                <w:rFonts w:ascii="Arial Narrow" w:eastAsia="Arial Narrow" w:hAnsi="Arial Narrow" w:cs="Arial Narrow"/>
                <w:sz w:val="20"/>
                <w:szCs w:val="20"/>
                <w:lang w:eastAsia="en-AU"/>
              </w:rPr>
              <w:t>revision</w:t>
            </w:r>
            <w:r w:rsidR="0059365D" w:rsidRPr="7F841FA6">
              <w:rPr>
                <w:rFonts w:ascii="Arial Narrow" w:eastAsia="Arial Narrow" w:hAnsi="Arial Narrow" w:cs="Arial Narrow"/>
                <w:sz w:val="20"/>
                <w:szCs w:val="20"/>
                <w:lang w:eastAsia="en-AU"/>
              </w:rPr>
              <w:t xml:space="preserve">, </w:t>
            </w:r>
            <w:r w:rsidR="26DFDFCF" w:rsidRPr="7F841FA6">
              <w:rPr>
                <w:rFonts w:ascii="Arial Narrow" w:eastAsia="Arial Narrow" w:hAnsi="Arial Narrow" w:cs="Arial Narrow"/>
                <w:sz w:val="20"/>
                <w:szCs w:val="20"/>
                <w:lang w:eastAsia="en-AU"/>
              </w:rPr>
              <w:t>conversion to bariatric surgery</w:t>
            </w:r>
          </w:p>
          <w:p w14:paraId="47F8DA9A" w14:textId="34CFEF41" w:rsidR="00A9683A" w:rsidRPr="00A9683A" w:rsidRDefault="00A43AD3" w:rsidP="004A59A6">
            <w:pPr>
              <w:spacing w:before="20" w:after="20" w:line="240" w:lineRule="auto"/>
              <w:jc w:val="both"/>
              <w:textAlignment w:val="baseline"/>
              <w:rPr>
                <w:rFonts w:ascii="Arial Narrow" w:eastAsia="Arial Narrow" w:hAnsi="Arial Narrow" w:cs="Arial Narrow"/>
                <w:b/>
                <w:sz w:val="20"/>
                <w:szCs w:val="20"/>
                <w:lang w:eastAsia="en-AU"/>
              </w:rPr>
            </w:pPr>
            <w:r w:rsidRPr="7F841FA6">
              <w:rPr>
                <w:rFonts w:ascii="Arial Narrow" w:eastAsia="Arial Narrow" w:hAnsi="Arial Narrow" w:cs="Arial Narrow"/>
                <w:b/>
                <w:sz w:val="20"/>
                <w:szCs w:val="20"/>
                <w:lang w:eastAsia="en-AU"/>
              </w:rPr>
              <w:t>Safety:</w:t>
            </w:r>
            <w:r w:rsidR="00A9683A" w:rsidRPr="7F841FA6">
              <w:rPr>
                <w:rFonts w:ascii="Arial Narrow" w:eastAsia="Arial Narrow" w:hAnsi="Arial Narrow" w:cs="Arial Narrow"/>
                <w:b/>
                <w:sz w:val="20"/>
                <w:szCs w:val="20"/>
                <w:lang w:eastAsia="en-AU"/>
              </w:rPr>
              <w:t> </w:t>
            </w:r>
          </w:p>
          <w:p w14:paraId="30E71C57" w14:textId="32F1E535" w:rsidR="00A9683A" w:rsidRPr="00852E44" w:rsidRDefault="6BAF7F87" w:rsidP="004A59A6">
            <w:pPr>
              <w:spacing w:before="20" w:after="20" w:line="240" w:lineRule="auto"/>
              <w:jc w:val="both"/>
              <w:textAlignment w:val="baseline"/>
              <w:rPr>
                <w:rFonts w:ascii="Arial Narrow" w:eastAsia="Arial Narrow" w:hAnsi="Arial Narrow" w:cs="Arial Narrow"/>
                <w:sz w:val="20"/>
                <w:szCs w:val="20"/>
                <w:lang w:eastAsia="en-AU"/>
              </w:rPr>
            </w:pPr>
            <w:r w:rsidRPr="7F841FA6">
              <w:rPr>
                <w:rFonts w:ascii="Arial Narrow" w:eastAsia="Arial Narrow" w:hAnsi="Arial Narrow" w:cs="Arial Narrow"/>
                <w:sz w:val="20"/>
                <w:szCs w:val="20"/>
                <w:lang w:eastAsia="en-AU"/>
              </w:rPr>
              <w:t xml:space="preserve">Primary: </w:t>
            </w:r>
            <w:r w:rsidR="2F2E52CD" w:rsidRPr="7F841FA6">
              <w:rPr>
                <w:rFonts w:ascii="Arial Narrow" w:eastAsia="Arial Narrow" w:hAnsi="Arial Narrow" w:cs="Arial Narrow"/>
                <w:sz w:val="20"/>
                <w:szCs w:val="20"/>
                <w:lang w:eastAsia="en-AU"/>
              </w:rPr>
              <w:t>ESG-related severe</w:t>
            </w:r>
            <w:r w:rsidRPr="7F841FA6">
              <w:rPr>
                <w:rFonts w:ascii="Arial Narrow" w:eastAsia="Arial Narrow" w:hAnsi="Arial Narrow" w:cs="Arial Narrow"/>
                <w:sz w:val="20"/>
                <w:szCs w:val="20"/>
                <w:lang w:eastAsia="en-AU"/>
              </w:rPr>
              <w:t xml:space="preserve"> </w:t>
            </w:r>
            <w:r w:rsidR="0059365D" w:rsidRPr="7F841FA6">
              <w:rPr>
                <w:rFonts w:ascii="Arial Narrow" w:eastAsia="Arial Narrow" w:hAnsi="Arial Narrow" w:cs="Arial Narrow"/>
                <w:sz w:val="20"/>
                <w:szCs w:val="20"/>
                <w:lang w:eastAsia="en-AU"/>
              </w:rPr>
              <w:t>AEs</w:t>
            </w:r>
            <w:r w:rsidRPr="7F841FA6">
              <w:rPr>
                <w:rFonts w:ascii="Arial Narrow" w:eastAsia="Arial Narrow" w:hAnsi="Arial Narrow" w:cs="Arial Narrow"/>
                <w:sz w:val="20"/>
                <w:szCs w:val="20"/>
                <w:lang w:eastAsia="en-AU"/>
              </w:rPr>
              <w:t xml:space="preserve"> </w:t>
            </w:r>
          </w:p>
          <w:p w14:paraId="0F6C7869" w14:textId="40929067" w:rsidR="00A9683A" w:rsidRPr="00A9683A" w:rsidRDefault="2F2E52CD" w:rsidP="004A59A6">
            <w:pPr>
              <w:spacing w:before="20" w:after="20" w:line="240" w:lineRule="auto"/>
              <w:jc w:val="both"/>
              <w:textAlignment w:val="baseline"/>
              <w:rPr>
                <w:rFonts w:ascii="Arial Narrow" w:eastAsia="Arial Narrow" w:hAnsi="Arial Narrow" w:cs="Arial Narrow"/>
                <w:sz w:val="20"/>
                <w:szCs w:val="20"/>
                <w:lang w:eastAsia="en-AU"/>
              </w:rPr>
            </w:pPr>
            <w:r w:rsidRPr="7F841FA6">
              <w:rPr>
                <w:rFonts w:ascii="Arial Narrow" w:eastAsia="Arial Narrow" w:hAnsi="Arial Narrow" w:cs="Arial Narrow"/>
                <w:sz w:val="20"/>
                <w:szCs w:val="20"/>
                <w:lang w:eastAsia="en-AU"/>
              </w:rPr>
              <w:t xml:space="preserve">Secondary: </w:t>
            </w:r>
            <w:r w:rsidR="00AC43F7" w:rsidRPr="7F841FA6">
              <w:rPr>
                <w:rFonts w:ascii="Arial Narrow" w:eastAsia="Arial Narrow" w:hAnsi="Arial Narrow" w:cs="Arial Narrow"/>
                <w:sz w:val="20"/>
                <w:szCs w:val="20"/>
                <w:lang w:eastAsia="en-AU"/>
              </w:rPr>
              <w:t>Long</w:t>
            </w:r>
            <w:r w:rsidR="0059365D" w:rsidRPr="7F841FA6">
              <w:rPr>
                <w:rFonts w:ascii="Arial Narrow" w:eastAsia="Arial Narrow" w:hAnsi="Arial Narrow" w:cs="Arial Narrow"/>
                <w:sz w:val="20"/>
                <w:szCs w:val="20"/>
                <w:lang w:eastAsia="en-AU"/>
              </w:rPr>
              <w:t>-</w:t>
            </w:r>
            <w:r w:rsidR="00AC43F7" w:rsidRPr="7F841FA6">
              <w:rPr>
                <w:rFonts w:ascii="Arial Narrow" w:eastAsia="Arial Narrow" w:hAnsi="Arial Narrow" w:cs="Arial Narrow"/>
                <w:sz w:val="20"/>
                <w:szCs w:val="20"/>
                <w:lang w:eastAsia="en-AU"/>
              </w:rPr>
              <w:t xml:space="preserve">term </w:t>
            </w:r>
            <w:r w:rsidR="0059365D" w:rsidRPr="7F841FA6">
              <w:rPr>
                <w:rFonts w:ascii="Arial Narrow" w:eastAsia="Arial Narrow" w:hAnsi="Arial Narrow" w:cs="Arial Narrow"/>
                <w:sz w:val="20"/>
                <w:szCs w:val="20"/>
                <w:lang w:eastAsia="en-AU"/>
              </w:rPr>
              <w:t>AEs</w:t>
            </w:r>
            <w:r w:rsidR="00AC43F7" w:rsidRPr="7F841FA6">
              <w:rPr>
                <w:rFonts w:ascii="Arial Narrow" w:eastAsia="Arial Narrow" w:hAnsi="Arial Narrow" w:cs="Arial Narrow"/>
                <w:sz w:val="20"/>
                <w:szCs w:val="20"/>
                <w:lang w:eastAsia="en-AU"/>
              </w:rPr>
              <w:t xml:space="preserve">, </w:t>
            </w:r>
            <w:r w:rsidR="6A739E08" w:rsidRPr="7F841FA6">
              <w:rPr>
                <w:rFonts w:ascii="Arial Narrow" w:eastAsia="Arial Narrow" w:hAnsi="Arial Narrow" w:cs="Arial Narrow"/>
                <w:sz w:val="20"/>
                <w:szCs w:val="20"/>
                <w:lang w:eastAsia="en-AU"/>
              </w:rPr>
              <w:t>worsening and new onset GORD</w:t>
            </w:r>
          </w:p>
        </w:tc>
      </w:tr>
      <w:tr w:rsidR="00A9683A" w:rsidRPr="00A9683A" w14:paraId="360A77C1" w14:textId="77777777" w:rsidTr="2AA1CA0C">
        <w:trPr>
          <w:trHeight w:val="300"/>
        </w:trPr>
        <w:tc>
          <w:tcPr>
            <w:tcW w:w="902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3A7E42" w14:textId="66984EB2" w:rsidR="00A9683A" w:rsidRPr="00A9683A" w:rsidRDefault="00A9683A" w:rsidP="004A59A6">
            <w:pPr>
              <w:spacing w:before="20" w:after="20" w:line="240" w:lineRule="auto"/>
              <w:jc w:val="both"/>
              <w:textAlignment w:val="baseline"/>
              <w:rPr>
                <w:rFonts w:ascii="Arial Narrow" w:eastAsia="Arial Narrow" w:hAnsi="Arial Narrow" w:cs="Arial Narrow"/>
                <w:sz w:val="20"/>
                <w:szCs w:val="20"/>
                <w:lang w:eastAsia="en-AU"/>
              </w:rPr>
            </w:pPr>
            <w:r w:rsidRPr="2AA1CA0C">
              <w:rPr>
                <w:rFonts w:ascii="Arial Narrow" w:eastAsia="Arial Narrow" w:hAnsi="Arial Narrow" w:cs="Arial Narrow"/>
                <w:b/>
                <w:bCs/>
                <w:sz w:val="20"/>
                <w:szCs w:val="20"/>
                <w:lang w:eastAsia="en-AU"/>
              </w:rPr>
              <w:t>Systematic review questions</w:t>
            </w:r>
            <w:r w:rsidR="625A9AA6" w:rsidRPr="2AA1CA0C">
              <w:rPr>
                <w:rFonts w:ascii="Arial Narrow" w:eastAsia="Arial Narrow" w:hAnsi="Arial Narrow" w:cs="Arial Narrow"/>
                <w:b/>
                <w:bCs/>
                <w:sz w:val="20"/>
                <w:szCs w:val="20"/>
                <w:lang w:eastAsia="en-AU"/>
              </w:rPr>
              <w:t>:</w:t>
            </w:r>
            <w:r w:rsidR="625A9AA6" w:rsidRPr="2AA1CA0C">
              <w:rPr>
                <w:rFonts w:ascii="Arial Narrow" w:eastAsia="Arial Narrow" w:hAnsi="Arial Narrow" w:cs="Arial Narrow"/>
                <w:sz w:val="20"/>
                <w:szCs w:val="20"/>
                <w:lang w:eastAsia="en-AU"/>
              </w:rPr>
              <w:t xml:space="preserve"> What is the safety, effectiveness and cost-effectiveness of ESG vs moderate intensity lifestyle interventions in the treatment of </w:t>
            </w:r>
            <w:r w:rsidR="008F5EBB" w:rsidRPr="2AA1CA0C">
              <w:rPr>
                <w:rFonts w:ascii="Arial Narrow" w:eastAsia="Arial Narrow" w:hAnsi="Arial Narrow" w:cs="Arial Narrow"/>
                <w:sz w:val="20"/>
                <w:szCs w:val="20"/>
                <w:lang w:eastAsia="en-AU"/>
              </w:rPr>
              <w:t>class</w:t>
            </w:r>
            <w:r w:rsidR="625A9AA6" w:rsidRPr="2AA1CA0C">
              <w:rPr>
                <w:rFonts w:ascii="Arial Narrow" w:eastAsia="Arial Narrow" w:hAnsi="Arial Narrow" w:cs="Arial Narrow"/>
                <w:sz w:val="20"/>
                <w:szCs w:val="20"/>
                <w:lang w:eastAsia="en-AU"/>
              </w:rPr>
              <w:t xml:space="preserve"> I and II obesity (with or without comorbidities)?</w:t>
            </w:r>
            <w:r w:rsidRPr="2AA1CA0C">
              <w:rPr>
                <w:rFonts w:ascii="Arial Narrow" w:eastAsia="Arial Narrow" w:hAnsi="Arial Narrow" w:cs="Arial Narrow"/>
                <w:sz w:val="20"/>
                <w:szCs w:val="20"/>
                <w:lang w:eastAsia="en-AU"/>
              </w:rPr>
              <w:t> </w:t>
            </w:r>
          </w:p>
        </w:tc>
      </w:tr>
    </w:tbl>
    <w:p w14:paraId="4C0F8AC7" w14:textId="54C03F11" w:rsidR="4B288B03" w:rsidRDefault="001C58D8" w:rsidP="00CB0FFF">
      <w:pPr>
        <w:pStyle w:val="TableFigureFooter"/>
        <w:spacing w:before="0"/>
      </w:pPr>
      <w:r w:rsidRPr="00D76EFB">
        <w:rPr>
          <w:rFonts w:cs="Segoe UI"/>
          <w:szCs w:val="18"/>
        </w:rPr>
        <w:t>Abbreviations:</w:t>
      </w:r>
      <w:r w:rsidRPr="3F9AD25B">
        <w:rPr>
          <w:rFonts w:cs="Segoe UI"/>
          <w:szCs w:val="18"/>
        </w:rPr>
        <w:t xml:space="preserve">  </w:t>
      </w:r>
      <w:r w:rsidR="0059365D" w:rsidRPr="00D76EFB">
        <w:rPr>
          <w:rFonts w:cs="Segoe UI"/>
          <w:szCs w:val="18"/>
        </w:rPr>
        <w:t>AE</w:t>
      </w:r>
      <w:r w:rsidR="0059365D" w:rsidRPr="3F9AD25B">
        <w:rPr>
          <w:rFonts w:cs="Segoe UI"/>
          <w:szCs w:val="18"/>
        </w:rPr>
        <w:t xml:space="preserve">: adverse event; </w:t>
      </w:r>
      <w:r w:rsidR="00144997" w:rsidRPr="00D76EFB">
        <w:rPr>
          <w:rFonts w:cs="Segoe UI"/>
          <w:szCs w:val="18"/>
        </w:rPr>
        <w:t>ESG</w:t>
      </w:r>
      <w:r w:rsidR="00144997" w:rsidRPr="3F9AD25B">
        <w:rPr>
          <w:rFonts w:cs="Segoe UI"/>
          <w:szCs w:val="18"/>
        </w:rPr>
        <w:t xml:space="preserve">: </w:t>
      </w:r>
      <w:r w:rsidR="000B5416" w:rsidRPr="3F9AD25B">
        <w:rPr>
          <w:rFonts w:cs="Segoe UI"/>
          <w:szCs w:val="18"/>
        </w:rPr>
        <w:t>e</w:t>
      </w:r>
      <w:r w:rsidR="00144997" w:rsidRPr="3F9AD25B">
        <w:rPr>
          <w:rFonts w:cs="Segoe UI"/>
          <w:szCs w:val="18"/>
        </w:rPr>
        <w:t xml:space="preserve">ndoscopic </w:t>
      </w:r>
      <w:r w:rsidR="000B5416" w:rsidRPr="3F9AD25B">
        <w:rPr>
          <w:rFonts w:cs="Segoe UI"/>
          <w:szCs w:val="18"/>
        </w:rPr>
        <w:t>s</w:t>
      </w:r>
      <w:r w:rsidR="00144997" w:rsidRPr="3F9AD25B">
        <w:rPr>
          <w:rFonts w:cs="Segoe UI"/>
          <w:szCs w:val="18"/>
        </w:rPr>
        <w:t xml:space="preserve">leeve </w:t>
      </w:r>
      <w:r w:rsidR="000B5416" w:rsidRPr="3F9AD25B">
        <w:rPr>
          <w:rFonts w:cs="Segoe UI"/>
          <w:szCs w:val="18"/>
        </w:rPr>
        <w:t>g</w:t>
      </w:r>
      <w:r w:rsidR="00144997" w:rsidRPr="3F9AD25B">
        <w:rPr>
          <w:rFonts w:cs="Segoe UI"/>
          <w:szCs w:val="18"/>
        </w:rPr>
        <w:t xml:space="preserve">astroplasty; </w:t>
      </w:r>
      <w:r w:rsidR="00144997" w:rsidRPr="00D76EFB">
        <w:rPr>
          <w:rFonts w:cs="Segoe UI"/>
          <w:szCs w:val="18"/>
        </w:rPr>
        <w:t>GORD</w:t>
      </w:r>
      <w:r w:rsidR="00144997" w:rsidRPr="3F9AD25B">
        <w:rPr>
          <w:rFonts w:cs="Segoe UI"/>
          <w:szCs w:val="18"/>
        </w:rPr>
        <w:t xml:space="preserve">: </w:t>
      </w:r>
      <w:r w:rsidR="000B5416" w:rsidRPr="3F9AD25B">
        <w:rPr>
          <w:rFonts w:cs="Segoe UI"/>
          <w:szCs w:val="18"/>
        </w:rPr>
        <w:t>g</w:t>
      </w:r>
      <w:r w:rsidR="00144997" w:rsidRPr="3F9AD25B">
        <w:rPr>
          <w:rFonts w:cs="Segoe UI"/>
          <w:szCs w:val="18"/>
        </w:rPr>
        <w:t>astro-</w:t>
      </w:r>
      <w:r w:rsidR="000B5416" w:rsidRPr="3F9AD25B">
        <w:rPr>
          <w:rFonts w:cs="Segoe UI"/>
          <w:szCs w:val="18"/>
        </w:rPr>
        <w:t>o</w:t>
      </w:r>
      <w:r w:rsidR="00144997" w:rsidRPr="3F9AD25B">
        <w:rPr>
          <w:rFonts w:cs="Segoe UI"/>
          <w:szCs w:val="18"/>
        </w:rPr>
        <w:t xml:space="preserve">esophageal </w:t>
      </w:r>
      <w:r w:rsidR="000B5416" w:rsidRPr="3F9AD25B">
        <w:rPr>
          <w:rFonts w:cs="Segoe UI"/>
          <w:szCs w:val="18"/>
        </w:rPr>
        <w:t>r</w:t>
      </w:r>
      <w:r w:rsidR="00144997" w:rsidRPr="3F9AD25B">
        <w:rPr>
          <w:rFonts w:cs="Segoe UI"/>
          <w:szCs w:val="18"/>
        </w:rPr>
        <w:t xml:space="preserve">eflux </w:t>
      </w:r>
      <w:r w:rsidR="000B5416" w:rsidRPr="3F9AD25B">
        <w:rPr>
          <w:rFonts w:cs="Segoe UI"/>
          <w:szCs w:val="18"/>
        </w:rPr>
        <w:t>d</w:t>
      </w:r>
      <w:r w:rsidR="00144997" w:rsidRPr="3F9AD25B">
        <w:rPr>
          <w:rFonts w:cs="Segoe UI"/>
          <w:szCs w:val="18"/>
        </w:rPr>
        <w:t xml:space="preserve">isease; </w:t>
      </w:r>
      <w:r w:rsidR="00144997" w:rsidRPr="00D76EFB">
        <w:rPr>
          <w:rFonts w:cs="Segoe UI"/>
          <w:szCs w:val="18"/>
        </w:rPr>
        <w:t>LSG</w:t>
      </w:r>
      <w:r w:rsidR="00144997" w:rsidRPr="3F9AD25B">
        <w:rPr>
          <w:rFonts w:cs="Segoe UI"/>
          <w:szCs w:val="18"/>
        </w:rPr>
        <w:t xml:space="preserve">: </w:t>
      </w:r>
      <w:r w:rsidR="000B5416" w:rsidRPr="3F9AD25B">
        <w:rPr>
          <w:rFonts w:cs="Segoe UI"/>
          <w:szCs w:val="18"/>
        </w:rPr>
        <w:t>l</w:t>
      </w:r>
      <w:r w:rsidR="00144997" w:rsidRPr="3F9AD25B">
        <w:rPr>
          <w:rFonts w:cs="Segoe UI"/>
          <w:szCs w:val="18"/>
        </w:rPr>
        <w:t xml:space="preserve">aparoscopic </w:t>
      </w:r>
      <w:r w:rsidR="000B5416" w:rsidRPr="3F9AD25B">
        <w:rPr>
          <w:rFonts w:cs="Segoe UI"/>
          <w:szCs w:val="18"/>
        </w:rPr>
        <w:t>s</w:t>
      </w:r>
      <w:r w:rsidR="00144997" w:rsidRPr="3F9AD25B">
        <w:rPr>
          <w:rFonts w:cs="Segoe UI"/>
          <w:szCs w:val="18"/>
        </w:rPr>
        <w:t xml:space="preserve">leeve </w:t>
      </w:r>
      <w:r w:rsidR="000B5416" w:rsidRPr="3F9AD25B">
        <w:rPr>
          <w:rFonts w:cs="Segoe UI"/>
          <w:szCs w:val="18"/>
        </w:rPr>
        <w:t>g</w:t>
      </w:r>
      <w:r w:rsidR="00144997" w:rsidRPr="3F9AD25B">
        <w:rPr>
          <w:rFonts w:cs="Segoe UI"/>
          <w:szCs w:val="18"/>
        </w:rPr>
        <w:t xml:space="preserve">astrectomy; </w:t>
      </w:r>
      <w:r w:rsidR="00144997" w:rsidRPr="00D76EFB">
        <w:rPr>
          <w:rFonts w:cs="Segoe UI"/>
          <w:szCs w:val="18"/>
        </w:rPr>
        <w:t>MBS</w:t>
      </w:r>
      <w:r w:rsidR="00144997" w:rsidRPr="3F9AD25B">
        <w:rPr>
          <w:rFonts w:cs="Segoe UI"/>
          <w:szCs w:val="18"/>
        </w:rPr>
        <w:t xml:space="preserve">: Medicare Benefits Schedule; </w:t>
      </w:r>
      <w:r w:rsidR="00144997" w:rsidRPr="00D76EFB">
        <w:rPr>
          <w:rFonts w:cs="Segoe UI"/>
          <w:szCs w:val="18"/>
        </w:rPr>
        <w:t>PICO</w:t>
      </w:r>
      <w:r w:rsidR="00144997" w:rsidRPr="3F9AD25B">
        <w:rPr>
          <w:rFonts w:cs="Segoe UI"/>
          <w:szCs w:val="18"/>
        </w:rPr>
        <w:t xml:space="preserve">: </w:t>
      </w:r>
      <w:r w:rsidR="000B5416" w:rsidRPr="3F9AD25B">
        <w:rPr>
          <w:rFonts w:cs="Segoe UI"/>
          <w:szCs w:val="18"/>
        </w:rPr>
        <w:t>p</w:t>
      </w:r>
      <w:r w:rsidR="00144997" w:rsidRPr="3F9AD25B">
        <w:rPr>
          <w:rFonts w:cs="Segoe UI"/>
          <w:szCs w:val="18"/>
        </w:rPr>
        <w:t xml:space="preserve">opulation, </w:t>
      </w:r>
      <w:r w:rsidR="000B5416" w:rsidRPr="3F9AD25B">
        <w:rPr>
          <w:rFonts w:cs="Segoe UI"/>
          <w:szCs w:val="18"/>
        </w:rPr>
        <w:t>i</w:t>
      </w:r>
      <w:r w:rsidR="00144997" w:rsidRPr="3F9AD25B">
        <w:rPr>
          <w:rFonts w:cs="Segoe UI"/>
          <w:szCs w:val="18"/>
        </w:rPr>
        <w:t xml:space="preserve">ntervention, </w:t>
      </w:r>
      <w:r w:rsidR="000B5416" w:rsidRPr="3F9AD25B">
        <w:rPr>
          <w:rFonts w:cs="Segoe UI"/>
          <w:szCs w:val="18"/>
        </w:rPr>
        <w:t>c</w:t>
      </w:r>
      <w:r w:rsidR="00144997" w:rsidRPr="3F9AD25B">
        <w:rPr>
          <w:rFonts w:cs="Segoe UI"/>
          <w:szCs w:val="18"/>
        </w:rPr>
        <w:t xml:space="preserve">omparator, </w:t>
      </w:r>
      <w:r w:rsidR="000B5416" w:rsidRPr="3F9AD25B">
        <w:rPr>
          <w:rFonts w:cs="Segoe UI"/>
          <w:szCs w:val="18"/>
        </w:rPr>
        <w:t>o</w:t>
      </w:r>
      <w:r w:rsidR="00144997" w:rsidRPr="3F9AD25B">
        <w:rPr>
          <w:rFonts w:cs="Segoe UI"/>
          <w:szCs w:val="18"/>
        </w:rPr>
        <w:t xml:space="preserve">utcomes; </w:t>
      </w:r>
      <w:r w:rsidR="00144997" w:rsidRPr="00D76EFB">
        <w:rPr>
          <w:rFonts w:cs="Segoe UI"/>
          <w:szCs w:val="18"/>
        </w:rPr>
        <w:t>%</w:t>
      </w:r>
      <w:r w:rsidR="001043E7" w:rsidRPr="00D76EFB">
        <w:rPr>
          <w:rFonts w:cs="Segoe UI"/>
          <w:szCs w:val="18"/>
        </w:rPr>
        <w:t>EWL</w:t>
      </w:r>
      <w:r w:rsidR="001043E7" w:rsidRPr="3F9AD25B">
        <w:rPr>
          <w:rFonts w:cs="Segoe UI"/>
          <w:szCs w:val="18"/>
        </w:rPr>
        <w:t xml:space="preserve">: per cent excess weight loss; </w:t>
      </w:r>
      <w:r w:rsidR="00144997" w:rsidRPr="00D76EFB">
        <w:rPr>
          <w:rFonts w:cs="Segoe UI"/>
          <w:szCs w:val="18"/>
        </w:rPr>
        <w:t>%TBWL</w:t>
      </w:r>
      <w:r w:rsidR="00144997" w:rsidRPr="3F9AD25B">
        <w:rPr>
          <w:rFonts w:cs="Segoe UI"/>
          <w:szCs w:val="18"/>
        </w:rPr>
        <w:t xml:space="preserve">: </w:t>
      </w:r>
      <w:r w:rsidR="00C63D25" w:rsidRPr="3F9AD25B">
        <w:rPr>
          <w:rFonts w:cs="Segoe UI"/>
          <w:szCs w:val="18"/>
        </w:rPr>
        <w:t>p</w:t>
      </w:r>
      <w:r w:rsidR="00144997" w:rsidRPr="3F9AD25B">
        <w:rPr>
          <w:rFonts w:cs="Segoe UI"/>
          <w:szCs w:val="18"/>
        </w:rPr>
        <w:t>er</w:t>
      </w:r>
      <w:r w:rsidR="00C63D25" w:rsidRPr="3F9AD25B">
        <w:rPr>
          <w:rFonts w:cs="Segoe UI"/>
          <w:szCs w:val="18"/>
        </w:rPr>
        <w:t xml:space="preserve"> </w:t>
      </w:r>
      <w:r w:rsidR="00144997" w:rsidRPr="3F9AD25B">
        <w:rPr>
          <w:rFonts w:cs="Segoe UI"/>
          <w:szCs w:val="18"/>
        </w:rPr>
        <w:t xml:space="preserve">cent </w:t>
      </w:r>
      <w:r w:rsidR="00C63D25" w:rsidRPr="3F9AD25B">
        <w:rPr>
          <w:rFonts w:cs="Segoe UI"/>
          <w:szCs w:val="18"/>
        </w:rPr>
        <w:t>t</w:t>
      </w:r>
      <w:r w:rsidR="00144997" w:rsidRPr="3F9AD25B">
        <w:rPr>
          <w:rFonts w:cs="Segoe UI"/>
          <w:szCs w:val="18"/>
        </w:rPr>
        <w:t xml:space="preserve">otal </w:t>
      </w:r>
      <w:r w:rsidR="00C63D25" w:rsidRPr="3F9AD25B">
        <w:rPr>
          <w:rFonts w:cs="Segoe UI"/>
          <w:szCs w:val="18"/>
        </w:rPr>
        <w:t>b</w:t>
      </w:r>
      <w:r w:rsidR="00144997" w:rsidRPr="3F9AD25B">
        <w:rPr>
          <w:rFonts w:cs="Segoe UI"/>
          <w:szCs w:val="18"/>
        </w:rPr>
        <w:t>ody</w:t>
      </w:r>
      <w:r w:rsidR="00C63D25" w:rsidRPr="3F9AD25B">
        <w:rPr>
          <w:rFonts w:cs="Segoe UI"/>
          <w:szCs w:val="18"/>
        </w:rPr>
        <w:t xml:space="preserve"> w</w:t>
      </w:r>
      <w:r w:rsidR="00144997" w:rsidRPr="3F9AD25B">
        <w:rPr>
          <w:rFonts w:cs="Segoe UI"/>
          <w:szCs w:val="18"/>
        </w:rPr>
        <w:t xml:space="preserve">eight </w:t>
      </w:r>
      <w:r w:rsidR="00C63D25" w:rsidRPr="3F9AD25B">
        <w:rPr>
          <w:rFonts w:cs="Segoe UI"/>
          <w:szCs w:val="18"/>
        </w:rPr>
        <w:t>l</w:t>
      </w:r>
      <w:r w:rsidR="00144997" w:rsidRPr="3F9AD25B">
        <w:rPr>
          <w:rFonts w:cs="Segoe UI"/>
          <w:szCs w:val="18"/>
        </w:rPr>
        <w:t>oss.</w:t>
      </w:r>
      <w:r w:rsidR="116BFC9E">
        <w:t xml:space="preserve"> </w:t>
      </w:r>
      <w:r w:rsidR="4B288B03">
        <w:br/>
      </w:r>
      <w:r w:rsidR="116BFC9E">
        <w:t xml:space="preserve">Source: </w:t>
      </w:r>
      <w:r w:rsidR="76EFFD9C">
        <w:t>Table ES 2 pg. 2</w:t>
      </w:r>
      <w:r w:rsidR="00DB2688">
        <w:t>3</w:t>
      </w:r>
      <w:r w:rsidR="76EFFD9C">
        <w:t xml:space="preserve"> from ADAR</w:t>
      </w:r>
    </w:p>
    <w:p w14:paraId="43094D5B" w14:textId="6387E3E1" w:rsidR="00C23507" w:rsidRPr="005C4CC1" w:rsidRDefault="00C23507" w:rsidP="00C23507">
      <w:pPr>
        <w:pStyle w:val="Caption"/>
        <w:rPr>
          <w:rFonts w:cs="Arial"/>
        </w:rPr>
      </w:pPr>
      <w:bookmarkStart w:id="25" w:name="_Ref183592051"/>
      <w:r>
        <w:t>Table </w:t>
      </w:r>
      <w:r w:rsidR="009C59B0">
        <w:fldChar w:fldCharType="begin"/>
      </w:r>
      <w:r w:rsidR="009C59B0">
        <w:instrText xml:space="preserve"> SEQ Table \* ARABIC </w:instrText>
      </w:r>
      <w:r w:rsidR="009C59B0">
        <w:fldChar w:fldCharType="separate"/>
      </w:r>
      <w:r w:rsidR="008F37D1">
        <w:rPr>
          <w:noProof/>
        </w:rPr>
        <w:t>6</w:t>
      </w:r>
      <w:r w:rsidR="009C59B0">
        <w:rPr>
          <w:noProof/>
        </w:rPr>
        <w:fldChar w:fldCharType="end"/>
      </w:r>
      <w:bookmarkEnd w:id="25"/>
      <w:r w:rsidR="00E002F8">
        <w:rPr>
          <w:rFonts w:cs="Arial"/>
        </w:rPr>
        <w:t xml:space="preserve">: </w:t>
      </w:r>
      <w:r>
        <w:rPr>
          <w:rFonts w:cs="Arial"/>
        </w:rPr>
        <w:t>PICO set 2</w:t>
      </w:r>
      <w:r w:rsidRPr="00CE28E3">
        <w:rPr>
          <w:rFonts w:cs="Arial"/>
        </w:rPr>
        <w:t xml:space="preserve"> </w:t>
      </w:r>
    </w:p>
    <w:tbl>
      <w:tblPr>
        <w:tblW w:w="90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1"/>
        <w:gridCol w:w="7869"/>
        <w:gridCol w:w="15"/>
      </w:tblGrid>
      <w:tr w:rsidR="00F467E4" w:rsidRPr="00F467E4" w14:paraId="6FD672A8" w14:textId="77777777" w:rsidTr="004A59A6">
        <w:trPr>
          <w:trHeight w:val="300"/>
          <w:tblHeader/>
        </w:trPr>
        <w:tc>
          <w:tcPr>
            <w:tcW w:w="11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40BD26" w14:textId="5F0D79F9" w:rsidR="00F467E4" w:rsidRPr="00F467E4" w:rsidRDefault="00F467E4" w:rsidP="2AA1CA0C">
            <w:pPr>
              <w:spacing w:before="0" w:after="0" w:line="240" w:lineRule="auto"/>
              <w:jc w:val="both"/>
              <w:textAlignment w:val="baseline"/>
              <w:rPr>
                <w:rFonts w:ascii="Arial Narrow" w:eastAsia="Arial Narrow" w:hAnsi="Arial Narrow" w:cs="Arial Narrow"/>
                <w:sz w:val="20"/>
                <w:szCs w:val="20"/>
                <w:lang w:eastAsia="en-AU"/>
              </w:rPr>
            </w:pPr>
            <w:r w:rsidRPr="2AA1CA0C">
              <w:rPr>
                <w:rFonts w:ascii="Arial Narrow" w:eastAsia="Arial Narrow" w:hAnsi="Arial Narrow" w:cs="Arial Narrow"/>
                <w:b/>
                <w:bCs/>
                <w:sz w:val="20"/>
                <w:szCs w:val="20"/>
                <w:lang w:eastAsia="en-AU"/>
              </w:rPr>
              <w:t>Component</w:t>
            </w:r>
            <w:r w:rsidRPr="2AA1CA0C">
              <w:rPr>
                <w:rFonts w:ascii="Arial Narrow" w:eastAsia="Arial Narrow" w:hAnsi="Arial Narrow" w:cs="Arial Narrow"/>
                <w:sz w:val="20"/>
                <w:szCs w:val="20"/>
                <w:lang w:eastAsia="en-AU"/>
              </w:rPr>
              <w:t> </w:t>
            </w:r>
          </w:p>
        </w:tc>
        <w:tc>
          <w:tcPr>
            <w:tcW w:w="78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A52057" w14:textId="77777777" w:rsidR="00F467E4" w:rsidRPr="00F467E4" w:rsidRDefault="00F467E4" w:rsidP="00F467E4">
            <w:pPr>
              <w:spacing w:before="0" w:after="0" w:line="240" w:lineRule="auto"/>
              <w:jc w:val="both"/>
              <w:textAlignment w:val="baseline"/>
              <w:rPr>
                <w:rFonts w:ascii="Arial Narrow" w:eastAsia="Arial Narrow" w:hAnsi="Arial Narrow" w:cs="Arial Narrow"/>
                <w:sz w:val="20"/>
                <w:szCs w:val="20"/>
                <w:lang w:eastAsia="en-AU"/>
              </w:rPr>
            </w:pPr>
            <w:r w:rsidRPr="7F841FA6">
              <w:rPr>
                <w:rFonts w:ascii="Arial Narrow" w:eastAsia="Arial Narrow" w:hAnsi="Arial Narrow" w:cs="Arial Narrow"/>
                <w:b/>
                <w:sz w:val="20"/>
                <w:szCs w:val="20"/>
                <w:lang w:eastAsia="en-AU"/>
              </w:rPr>
              <w:t>Description</w:t>
            </w:r>
            <w:r w:rsidRPr="7F841FA6">
              <w:rPr>
                <w:rFonts w:ascii="Arial Narrow" w:eastAsia="Arial Narrow" w:hAnsi="Arial Narrow" w:cs="Arial Narrow"/>
                <w:sz w:val="20"/>
                <w:szCs w:val="20"/>
                <w:lang w:eastAsia="en-AU"/>
              </w:rPr>
              <w:t> </w:t>
            </w:r>
          </w:p>
        </w:tc>
      </w:tr>
      <w:tr w:rsidR="00F467E4" w:rsidRPr="00F467E4" w14:paraId="5FE60A84" w14:textId="77777777" w:rsidTr="004A59A6">
        <w:trPr>
          <w:gridAfter w:val="1"/>
          <w:wAfter w:w="15" w:type="dxa"/>
          <w:trHeight w:val="300"/>
        </w:trPr>
        <w:tc>
          <w:tcPr>
            <w:tcW w:w="11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F99B0F" w14:textId="77777777" w:rsidR="00F467E4" w:rsidRPr="00F467E4" w:rsidRDefault="00F467E4" w:rsidP="00F467E4">
            <w:pPr>
              <w:spacing w:before="0" w:after="0" w:line="240" w:lineRule="auto"/>
              <w:jc w:val="both"/>
              <w:textAlignment w:val="baseline"/>
              <w:rPr>
                <w:rFonts w:ascii="Arial Narrow" w:eastAsia="Arial Narrow" w:hAnsi="Arial Narrow" w:cs="Arial Narrow"/>
                <w:sz w:val="20"/>
                <w:szCs w:val="20"/>
                <w:lang w:eastAsia="en-AU"/>
              </w:rPr>
            </w:pPr>
            <w:r w:rsidRPr="7F841FA6">
              <w:rPr>
                <w:rFonts w:ascii="Arial Narrow" w:eastAsia="Arial Narrow" w:hAnsi="Arial Narrow" w:cs="Arial Narrow"/>
                <w:sz w:val="20"/>
                <w:szCs w:val="20"/>
                <w:lang w:eastAsia="en-AU"/>
              </w:rPr>
              <w:t>Population </w:t>
            </w:r>
          </w:p>
        </w:tc>
        <w:tc>
          <w:tcPr>
            <w:tcW w:w="78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0F4FF8" w14:textId="08379FA6" w:rsidR="00F467E4" w:rsidRDefault="2525F06A" w:rsidP="00CB0FFF">
            <w:pPr>
              <w:spacing w:before="0" w:after="120" w:line="240" w:lineRule="auto"/>
              <w:jc w:val="both"/>
              <w:textAlignment w:val="baseline"/>
              <w:rPr>
                <w:rFonts w:ascii="Arial Narrow" w:eastAsia="Arial Narrow" w:hAnsi="Arial Narrow" w:cs="Arial Narrow"/>
                <w:sz w:val="20"/>
                <w:szCs w:val="20"/>
                <w:lang w:eastAsia="en-AU"/>
              </w:rPr>
            </w:pPr>
            <w:r w:rsidRPr="7F841FA6">
              <w:rPr>
                <w:rFonts w:ascii="Arial Narrow" w:eastAsia="Arial Narrow" w:hAnsi="Arial Narrow" w:cs="Arial Narrow"/>
                <w:sz w:val="20"/>
                <w:szCs w:val="20"/>
                <w:lang w:eastAsia="en-AU"/>
              </w:rPr>
              <w:t xml:space="preserve">Patients with </w:t>
            </w:r>
            <w:r w:rsidR="008F5EBB">
              <w:rPr>
                <w:rFonts w:ascii="Arial Narrow" w:eastAsia="Arial Narrow" w:hAnsi="Arial Narrow" w:cs="Arial Narrow"/>
                <w:sz w:val="20"/>
                <w:szCs w:val="20"/>
                <w:lang w:eastAsia="en-AU"/>
              </w:rPr>
              <w:t>class</w:t>
            </w:r>
            <w:r w:rsidRPr="7F841FA6">
              <w:rPr>
                <w:rFonts w:ascii="Arial Narrow" w:eastAsia="Arial Narrow" w:hAnsi="Arial Narrow" w:cs="Arial Narrow"/>
                <w:sz w:val="20"/>
                <w:szCs w:val="20"/>
                <w:lang w:eastAsia="en-AU"/>
              </w:rPr>
              <w:t xml:space="preserve"> II </w:t>
            </w:r>
            <w:r w:rsidR="00F0E6D1" w:rsidRPr="7F841FA6">
              <w:rPr>
                <w:rFonts w:ascii="Arial Narrow" w:eastAsia="Arial Narrow" w:hAnsi="Arial Narrow" w:cs="Arial Narrow"/>
                <w:sz w:val="20"/>
                <w:szCs w:val="20"/>
                <w:lang w:eastAsia="en-AU"/>
              </w:rPr>
              <w:t xml:space="preserve">obesity with comorbidities </w:t>
            </w:r>
            <w:r w:rsidRPr="7F841FA6">
              <w:rPr>
                <w:rFonts w:ascii="Arial Narrow" w:eastAsia="Arial Narrow" w:hAnsi="Arial Narrow" w:cs="Arial Narrow"/>
                <w:sz w:val="20"/>
                <w:szCs w:val="20"/>
                <w:lang w:eastAsia="en-AU"/>
              </w:rPr>
              <w:t xml:space="preserve">and </w:t>
            </w:r>
            <w:r w:rsidR="008F5EBB">
              <w:rPr>
                <w:rFonts w:ascii="Arial Narrow" w:eastAsia="Arial Narrow" w:hAnsi="Arial Narrow" w:cs="Arial Narrow"/>
                <w:sz w:val="20"/>
                <w:szCs w:val="20"/>
                <w:lang w:eastAsia="en-AU"/>
              </w:rPr>
              <w:t>class</w:t>
            </w:r>
            <w:r w:rsidR="00F0E6D1" w:rsidRPr="7F841FA6">
              <w:rPr>
                <w:rFonts w:ascii="Arial Narrow" w:eastAsia="Arial Narrow" w:hAnsi="Arial Narrow" w:cs="Arial Narrow"/>
                <w:sz w:val="20"/>
                <w:szCs w:val="20"/>
                <w:lang w:eastAsia="en-AU"/>
              </w:rPr>
              <w:t xml:space="preserve"> </w:t>
            </w:r>
            <w:r w:rsidRPr="7F841FA6">
              <w:rPr>
                <w:rFonts w:ascii="Arial Narrow" w:eastAsia="Arial Narrow" w:hAnsi="Arial Narrow" w:cs="Arial Narrow"/>
                <w:sz w:val="20"/>
                <w:szCs w:val="20"/>
                <w:lang w:eastAsia="en-AU"/>
              </w:rPr>
              <w:t>III obesity</w:t>
            </w:r>
            <w:r w:rsidR="763A20E7" w:rsidRPr="7F841FA6">
              <w:rPr>
                <w:rFonts w:ascii="Arial Narrow" w:eastAsia="Arial Narrow" w:hAnsi="Arial Narrow" w:cs="Arial Narrow"/>
                <w:sz w:val="20"/>
                <w:szCs w:val="20"/>
                <w:lang w:eastAsia="en-AU"/>
              </w:rPr>
              <w:t xml:space="preserve"> with or without comorbidities </w:t>
            </w:r>
            <w:r w:rsidR="6D8AD926" w:rsidRPr="7F841FA6">
              <w:rPr>
                <w:rFonts w:ascii="Arial Narrow" w:eastAsia="Arial Narrow" w:hAnsi="Arial Narrow" w:cs="Arial Narrow"/>
                <w:sz w:val="20"/>
                <w:szCs w:val="20"/>
                <w:lang w:eastAsia="en-AU"/>
              </w:rPr>
              <w:t>who would be eligible</w:t>
            </w:r>
            <w:r w:rsidR="2D890948" w:rsidRPr="7F841FA6">
              <w:rPr>
                <w:rFonts w:ascii="Arial Narrow" w:eastAsia="Arial Narrow" w:hAnsi="Arial Narrow" w:cs="Arial Narrow"/>
                <w:sz w:val="20"/>
                <w:szCs w:val="20"/>
                <w:lang w:eastAsia="en-AU"/>
              </w:rPr>
              <w:t xml:space="preserve"> to </w:t>
            </w:r>
            <w:r w:rsidR="386C0BD0" w:rsidRPr="7F841FA6">
              <w:rPr>
                <w:rFonts w:ascii="Arial Narrow" w:eastAsia="Arial Narrow" w:hAnsi="Arial Narrow" w:cs="Arial Narrow"/>
                <w:sz w:val="20"/>
                <w:szCs w:val="20"/>
                <w:lang w:eastAsia="en-AU"/>
              </w:rPr>
              <w:t xml:space="preserve">receive a bariatric procedure </w:t>
            </w:r>
            <w:r w:rsidR="3DE50717" w:rsidRPr="7F841FA6">
              <w:rPr>
                <w:rFonts w:ascii="Arial Narrow" w:eastAsia="Arial Narrow" w:hAnsi="Arial Narrow" w:cs="Arial Narrow"/>
                <w:sz w:val="20"/>
                <w:szCs w:val="20"/>
                <w:lang w:eastAsia="en-AU"/>
              </w:rPr>
              <w:t xml:space="preserve">such as </w:t>
            </w:r>
            <w:r w:rsidR="5185C79E" w:rsidRPr="7F841FA6">
              <w:rPr>
                <w:rFonts w:ascii="Arial Narrow" w:eastAsia="Arial Narrow" w:hAnsi="Arial Narrow" w:cs="Arial Narrow"/>
                <w:sz w:val="20"/>
                <w:szCs w:val="20"/>
                <w:lang w:eastAsia="en-AU"/>
              </w:rPr>
              <w:t xml:space="preserve">LSG </w:t>
            </w:r>
            <w:r w:rsidR="017C0B50" w:rsidRPr="7F841FA6">
              <w:rPr>
                <w:rFonts w:ascii="Arial Narrow" w:eastAsia="Arial Narrow" w:hAnsi="Arial Narrow" w:cs="Arial Narrow"/>
                <w:sz w:val="20"/>
                <w:szCs w:val="20"/>
                <w:lang w:eastAsia="en-AU"/>
              </w:rPr>
              <w:t>(subsidised on the MBS)</w:t>
            </w:r>
          </w:p>
          <w:p w14:paraId="4A95C910" w14:textId="3AB6F339" w:rsidR="003D0F8C" w:rsidRDefault="003D0F8C" w:rsidP="004A59A6">
            <w:pPr>
              <w:spacing w:before="20" w:after="20" w:line="240" w:lineRule="auto"/>
              <w:jc w:val="both"/>
              <w:textAlignment w:val="baseline"/>
              <w:rPr>
                <w:rFonts w:ascii="Arial Narrow" w:eastAsia="Arial Narrow" w:hAnsi="Arial Narrow" w:cs="Arial Narrow"/>
                <w:sz w:val="20"/>
                <w:szCs w:val="20"/>
                <w:lang w:eastAsia="en-AU"/>
              </w:rPr>
            </w:pPr>
            <w:r w:rsidRPr="2AA1CA0C">
              <w:rPr>
                <w:rFonts w:ascii="Arial Narrow" w:eastAsia="Arial Narrow" w:hAnsi="Arial Narrow" w:cs="Arial Narrow"/>
                <w:sz w:val="20"/>
                <w:szCs w:val="20"/>
                <w:lang w:eastAsia="en-AU"/>
              </w:rPr>
              <w:t>Note</w:t>
            </w:r>
            <w:r w:rsidR="00447543" w:rsidRPr="2AA1CA0C">
              <w:rPr>
                <w:rFonts w:ascii="Arial Narrow" w:eastAsia="Arial Narrow" w:hAnsi="Arial Narrow" w:cs="Arial Narrow"/>
                <w:sz w:val="20"/>
                <w:szCs w:val="20"/>
                <w:lang w:eastAsia="en-AU"/>
              </w:rPr>
              <w:t>:</w:t>
            </w:r>
            <w:r w:rsidR="00F665DA">
              <w:t xml:space="preserve"> </w:t>
            </w:r>
            <w:r w:rsidR="00F665DA" w:rsidRPr="2AA1CA0C">
              <w:rPr>
                <w:rFonts w:ascii="Arial Narrow" w:eastAsia="Arial Narrow" w:hAnsi="Arial Narrow" w:cs="Arial Narrow"/>
                <w:sz w:val="20"/>
                <w:szCs w:val="20"/>
                <w:lang w:eastAsia="en-AU"/>
              </w:rPr>
              <w:t>It should be noted that while a significant proportion of patients with obesity are eligible for bariatric surgery, uptake remains minimal, with nearly 98% opting for non-surgical interventions (as per ADAR). This low uptake may be influenced by multiple factors, including patient preference, clinical recommendations, access to care, and the broader availability of non-surgical options</w:t>
            </w:r>
            <w:r w:rsidR="00A00CED" w:rsidRPr="2AA1CA0C">
              <w:rPr>
                <w:rFonts w:ascii="Arial Narrow" w:eastAsia="Arial Narrow" w:hAnsi="Arial Narrow" w:cs="Arial Narrow"/>
                <w:sz w:val="20"/>
                <w:szCs w:val="20"/>
                <w:lang w:eastAsia="en-AU"/>
              </w:rPr>
              <w:t>.</w:t>
            </w:r>
          </w:p>
          <w:p w14:paraId="661572E8" w14:textId="64023EE6" w:rsidR="00F467E4" w:rsidRPr="00F467E4" w:rsidRDefault="00767A43" w:rsidP="2AA1CA0C">
            <w:pPr>
              <w:spacing w:before="0" w:after="0" w:line="240" w:lineRule="auto"/>
              <w:jc w:val="both"/>
              <w:textAlignment w:val="baseline"/>
              <w:rPr>
                <w:rFonts w:ascii="Arial Narrow" w:eastAsia="Arial Narrow" w:hAnsi="Arial Narrow" w:cs="Arial Narrow"/>
                <w:sz w:val="20"/>
                <w:szCs w:val="20"/>
                <w:lang w:eastAsia="en-AU"/>
              </w:rPr>
            </w:pPr>
            <w:r w:rsidRPr="2AA1CA0C">
              <w:rPr>
                <w:rFonts w:ascii="Arial Narrow" w:eastAsia="Arial Narrow" w:hAnsi="Arial Narrow" w:cs="Arial Narrow"/>
                <w:sz w:val="20"/>
                <w:szCs w:val="20"/>
                <w:lang w:eastAsia="en-AU"/>
              </w:rPr>
              <w:t>Note</w:t>
            </w:r>
            <w:r w:rsidR="006114C6" w:rsidRPr="2AA1CA0C">
              <w:rPr>
                <w:rFonts w:ascii="Arial Narrow" w:eastAsia="Arial Narrow" w:hAnsi="Arial Narrow" w:cs="Arial Narrow"/>
                <w:sz w:val="20"/>
                <w:szCs w:val="20"/>
                <w:lang w:eastAsia="en-AU"/>
              </w:rPr>
              <w:t xml:space="preserve">: </w:t>
            </w:r>
            <w:r w:rsidR="00A5699D" w:rsidRPr="2AA1CA0C">
              <w:rPr>
                <w:rFonts w:ascii="Arial Narrow" w:eastAsia="Arial Narrow" w:hAnsi="Arial Narrow" w:cs="Arial Narrow"/>
                <w:sz w:val="20"/>
                <w:szCs w:val="20"/>
                <w:lang w:eastAsia="en-AU"/>
              </w:rPr>
              <w:t>“</w:t>
            </w:r>
            <w:r w:rsidR="004F7C0C" w:rsidRPr="2AA1CA0C">
              <w:rPr>
                <w:rFonts w:ascii="Arial Narrow" w:eastAsia="Arial Narrow" w:hAnsi="Arial Narrow" w:cs="Arial Narrow"/>
                <w:sz w:val="20"/>
                <w:szCs w:val="20"/>
                <w:lang w:eastAsia="en-AU"/>
              </w:rPr>
              <w:t>who would be eligible</w:t>
            </w:r>
            <w:r w:rsidR="00CB7560" w:rsidRPr="2AA1CA0C">
              <w:rPr>
                <w:rFonts w:ascii="Arial Narrow" w:eastAsia="Arial Narrow" w:hAnsi="Arial Narrow" w:cs="Arial Narrow"/>
                <w:sz w:val="20"/>
                <w:szCs w:val="20"/>
                <w:lang w:eastAsia="en-AU"/>
              </w:rPr>
              <w:t xml:space="preserve"> and </w:t>
            </w:r>
            <w:r w:rsidR="00193493" w:rsidRPr="2AA1CA0C">
              <w:rPr>
                <w:rFonts w:ascii="Arial Narrow" w:eastAsia="Arial Narrow" w:hAnsi="Arial Narrow" w:cs="Arial Narrow"/>
                <w:i/>
                <w:iCs/>
                <w:sz w:val="20"/>
                <w:szCs w:val="20"/>
                <w:lang w:eastAsia="en-AU"/>
              </w:rPr>
              <w:t>elect</w:t>
            </w:r>
            <w:r w:rsidR="004F7C0C" w:rsidRPr="2AA1CA0C">
              <w:rPr>
                <w:rFonts w:ascii="Arial Narrow" w:eastAsia="Arial Narrow" w:hAnsi="Arial Narrow" w:cs="Arial Narrow"/>
                <w:sz w:val="20"/>
                <w:szCs w:val="20"/>
                <w:lang w:eastAsia="en-AU"/>
              </w:rPr>
              <w:t xml:space="preserve"> to receive a bariatric procedure</w:t>
            </w:r>
            <w:r w:rsidR="00536EEE" w:rsidRPr="2AA1CA0C">
              <w:rPr>
                <w:rFonts w:ascii="Arial Narrow" w:eastAsia="Arial Narrow" w:hAnsi="Arial Narrow" w:cs="Arial Narrow"/>
                <w:sz w:val="20"/>
                <w:szCs w:val="20"/>
                <w:lang w:eastAsia="en-AU"/>
              </w:rPr>
              <w:t>”</w:t>
            </w:r>
            <w:r w:rsidR="00B7113C" w:rsidRPr="2AA1CA0C">
              <w:rPr>
                <w:rFonts w:ascii="Arial Narrow" w:eastAsia="Arial Narrow" w:hAnsi="Arial Narrow" w:cs="Arial Narrow"/>
                <w:sz w:val="20"/>
                <w:szCs w:val="20"/>
                <w:lang w:eastAsia="en-AU"/>
              </w:rPr>
              <w:t xml:space="preserve">. The </w:t>
            </w:r>
            <w:r w:rsidR="002947A7" w:rsidRPr="2AA1CA0C">
              <w:rPr>
                <w:rFonts w:ascii="Arial Narrow" w:eastAsia="Arial Narrow" w:hAnsi="Arial Narrow" w:cs="Arial Narrow"/>
                <w:sz w:val="20"/>
                <w:szCs w:val="20"/>
                <w:lang w:eastAsia="en-AU"/>
              </w:rPr>
              <w:t>word</w:t>
            </w:r>
            <w:r w:rsidR="00F84B96" w:rsidRPr="2AA1CA0C">
              <w:rPr>
                <w:rFonts w:ascii="Arial Narrow" w:eastAsia="Arial Narrow" w:hAnsi="Arial Narrow" w:cs="Arial Narrow"/>
                <w:sz w:val="20"/>
                <w:szCs w:val="20"/>
                <w:lang w:eastAsia="en-AU"/>
              </w:rPr>
              <w:t xml:space="preserve"> </w:t>
            </w:r>
            <w:r w:rsidR="00536EEE" w:rsidRPr="2AA1CA0C">
              <w:rPr>
                <w:rFonts w:ascii="Arial Narrow" w:eastAsia="Arial Narrow" w:hAnsi="Arial Narrow" w:cs="Arial Narrow"/>
                <w:sz w:val="20"/>
                <w:szCs w:val="20"/>
                <w:lang w:eastAsia="en-AU"/>
              </w:rPr>
              <w:t>“</w:t>
            </w:r>
            <w:r w:rsidR="00EF2ABE" w:rsidRPr="2AA1CA0C">
              <w:rPr>
                <w:rFonts w:ascii="Arial Narrow" w:eastAsia="Arial Narrow" w:hAnsi="Arial Narrow" w:cs="Arial Narrow"/>
                <w:sz w:val="20"/>
                <w:szCs w:val="20"/>
                <w:lang w:eastAsia="en-AU"/>
              </w:rPr>
              <w:t>e</w:t>
            </w:r>
            <w:r w:rsidR="00536EEE" w:rsidRPr="2AA1CA0C">
              <w:rPr>
                <w:rFonts w:ascii="Arial Narrow" w:eastAsia="Arial Narrow" w:hAnsi="Arial Narrow" w:cs="Arial Narrow"/>
                <w:sz w:val="20"/>
                <w:szCs w:val="20"/>
                <w:lang w:eastAsia="en-AU"/>
              </w:rPr>
              <w:t>lect”</w:t>
            </w:r>
            <w:r w:rsidR="004F7C0C" w:rsidRPr="2AA1CA0C">
              <w:rPr>
                <w:rFonts w:ascii="Arial Narrow" w:eastAsia="Arial Narrow" w:hAnsi="Arial Narrow" w:cs="Arial Narrow"/>
                <w:sz w:val="20"/>
                <w:szCs w:val="20"/>
                <w:lang w:eastAsia="en-AU"/>
              </w:rPr>
              <w:t xml:space="preserve"> </w:t>
            </w:r>
            <w:r w:rsidR="00656A2A" w:rsidRPr="2AA1CA0C">
              <w:rPr>
                <w:rFonts w:ascii="Arial Narrow" w:eastAsia="Arial Narrow" w:hAnsi="Arial Narrow" w:cs="Arial Narrow"/>
                <w:sz w:val="20"/>
                <w:szCs w:val="20"/>
                <w:lang w:eastAsia="en-AU"/>
              </w:rPr>
              <w:t>was del</w:t>
            </w:r>
            <w:r w:rsidR="00814AD2" w:rsidRPr="2AA1CA0C">
              <w:rPr>
                <w:rFonts w:ascii="Arial Narrow" w:eastAsia="Arial Narrow" w:hAnsi="Arial Narrow" w:cs="Arial Narrow"/>
                <w:sz w:val="20"/>
                <w:szCs w:val="20"/>
                <w:lang w:eastAsia="en-AU"/>
              </w:rPr>
              <w:t xml:space="preserve">eted </w:t>
            </w:r>
            <w:r w:rsidR="00331581" w:rsidRPr="2AA1CA0C">
              <w:rPr>
                <w:rFonts w:ascii="Arial Narrow" w:eastAsia="Arial Narrow" w:hAnsi="Arial Narrow" w:cs="Arial Narrow"/>
                <w:sz w:val="20"/>
                <w:szCs w:val="20"/>
                <w:lang w:eastAsia="en-AU"/>
              </w:rPr>
              <w:t>from the patient population</w:t>
            </w:r>
            <w:r w:rsidR="004F7C0C" w:rsidRPr="2AA1CA0C">
              <w:rPr>
                <w:rFonts w:ascii="Arial Narrow" w:eastAsia="Arial Narrow" w:hAnsi="Arial Narrow" w:cs="Arial Narrow"/>
                <w:sz w:val="20"/>
                <w:szCs w:val="20"/>
                <w:lang w:eastAsia="en-AU"/>
              </w:rPr>
              <w:t xml:space="preserve"> </w:t>
            </w:r>
            <w:r w:rsidR="00BB4253" w:rsidRPr="2AA1CA0C">
              <w:rPr>
                <w:rFonts w:ascii="Arial Narrow" w:eastAsia="Arial Narrow" w:hAnsi="Arial Narrow" w:cs="Arial Narrow"/>
                <w:sz w:val="20"/>
                <w:szCs w:val="20"/>
                <w:lang w:eastAsia="en-AU"/>
              </w:rPr>
              <w:t>by the AG</w:t>
            </w:r>
            <w:r w:rsidR="00525A3B" w:rsidRPr="2AA1CA0C">
              <w:rPr>
                <w:rFonts w:ascii="Arial Narrow" w:eastAsia="Arial Narrow" w:hAnsi="Arial Narrow" w:cs="Arial Narrow"/>
                <w:sz w:val="20"/>
                <w:szCs w:val="20"/>
                <w:lang w:eastAsia="en-AU"/>
              </w:rPr>
              <w:t>.</w:t>
            </w:r>
            <w:r w:rsidR="0013542B">
              <w:t xml:space="preserve"> </w:t>
            </w:r>
            <w:r w:rsidR="0013542B" w:rsidRPr="2AA1CA0C">
              <w:rPr>
                <w:rFonts w:ascii="Arial Narrow" w:eastAsia="Arial Narrow" w:hAnsi="Arial Narrow" w:cs="Arial Narrow"/>
                <w:sz w:val="20"/>
                <w:szCs w:val="20"/>
                <w:lang w:eastAsia="en-AU"/>
              </w:rPr>
              <w:t>Removing "and elect" ensures the PICO remains focused on the eligible population as a whole, rather than a subset.</w:t>
            </w:r>
          </w:p>
        </w:tc>
      </w:tr>
      <w:tr w:rsidR="00F467E4" w:rsidRPr="00F467E4" w14:paraId="242A2716" w14:textId="77777777" w:rsidTr="004A59A6">
        <w:trPr>
          <w:gridAfter w:val="1"/>
          <w:wAfter w:w="15" w:type="dxa"/>
          <w:trHeight w:val="300"/>
        </w:trPr>
        <w:tc>
          <w:tcPr>
            <w:tcW w:w="11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4011A7" w14:textId="77777777" w:rsidR="00F467E4" w:rsidRPr="00F467E4" w:rsidRDefault="00F467E4" w:rsidP="00F467E4">
            <w:pPr>
              <w:spacing w:before="0" w:after="0" w:line="240" w:lineRule="auto"/>
              <w:jc w:val="both"/>
              <w:textAlignment w:val="baseline"/>
              <w:rPr>
                <w:rFonts w:ascii="Arial Narrow" w:eastAsia="Arial Narrow" w:hAnsi="Arial Narrow" w:cs="Arial Narrow"/>
                <w:sz w:val="20"/>
                <w:szCs w:val="20"/>
                <w:lang w:eastAsia="en-AU"/>
              </w:rPr>
            </w:pPr>
            <w:r w:rsidRPr="7F841FA6">
              <w:rPr>
                <w:rFonts w:ascii="Arial Narrow" w:eastAsia="Arial Narrow" w:hAnsi="Arial Narrow" w:cs="Arial Narrow"/>
                <w:sz w:val="20"/>
                <w:szCs w:val="20"/>
                <w:lang w:eastAsia="en-AU"/>
              </w:rPr>
              <w:t>Intervention </w:t>
            </w:r>
          </w:p>
        </w:tc>
        <w:tc>
          <w:tcPr>
            <w:tcW w:w="78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EB6FBB" w14:textId="0C0C8672" w:rsidR="00F467E4" w:rsidRPr="00F467E4" w:rsidRDefault="00BC7B8F" w:rsidP="00F467E4">
            <w:pPr>
              <w:spacing w:before="0" w:after="0" w:line="240" w:lineRule="auto"/>
              <w:jc w:val="both"/>
              <w:textAlignment w:val="baseline"/>
              <w:rPr>
                <w:rFonts w:ascii="Arial Narrow" w:eastAsia="Arial Narrow" w:hAnsi="Arial Narrow" w:cs="Arial Narrow"/>
                <w:sz w:val="20"/>
                <w:szCs w:val="20"/>
                <w:lang w:eastAsia="en-AU"/>
              </w:rPr>
            </w:pPr>
            <w:r w:rsidRPr="7F841FA6">
              <w:rPr>
                <w:rFonts w:ascii="Arial Narrow" w:eastAsia="Arial Narrow" w:hAnsi="Arial Narrow" w:cs="Arial Narrow"/>
                <w:sz w:val="20"/>
                <w:szCs w:val="20"/>
                <w:lang w:eastAsia="en-AU"/>
              </w:rPr>
              <w:t>ESG and lifestyle modifications</w:t>
            </w:r>
          </w:p>
        </w:tc>
      </w:tr>
      <w:tr w:rsidR="00F467E4" w:rsidRPr="00F467E4" w14:paraId="62F23D2B" w14:textId="77777777" w:rsidTr="004A59A6">
        <w:trPr>
          <w:gridAfter w:val="1"/>
          <w:wAfter w:w="15" w:type="dxa"/>
          <w:trHeight w:val="300"/>
        </w:trPr>
        <w:tc>
          <w:tcPr>
            <w:tcW w:w="11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2A3BC8" w14:textId="77777777" w:rsidR="00F467E4" w:rsidRPr="00F467E4" w:rsidRDefault="00F467E4" w:rsidP="00F467E4">
            <w:pPr>
              <w:spacing w:before="0" w:after="0" w:line="240" w:lineRule="auto"/>
              <w:jc w:val="both"/>
              <w:textAlignment w:val="baseline"/>
              <w:rPr>
                <w:rFonts w:ascii="Arial Narrow" w:eastAsia="Arial Narrow" w:hAnsi="Arial Narrow" w:cs="Arial Narrow"/>
                <w:sz w:val="20"/>
                <w:szCs w:val="20"/>
                <w:lang w:eastAsia="en-AU"/>
              </w:rPr>
            </w:pPr>
            <w:r w:rsidRPr="7F841FA6">
              <w:rPr>
                <w:rFonts w:ascii="Arial Narrow" w:eastAsia="Arial Narrow" w:hAnsi="Arial Narrow" w:cs="Arial Narrow"/>
                <w:sz w:val="20"/>
                <w:szCs w:val="20"/>
                <w:lang w:eastAsia="en-AU"/>
              </w:rPr>
              <w:t>Comparator </w:t>
            </w:r>
          </w:p>
        </w:tc>
        <w:tc>
          <w:tcPr>
            <w:tcW w:w="78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09D32C" w14:textId="5A0EFB7A" w:rsidR="00F467E4" w:rsidRDefault="00BC7B8F" w:rsidP="00F467E4">
            <w:pPr>
              <w:spacing w:before="0" w:after="0" w:line="240" w:lineRule="auto"/>
              <w:jc w:val="both"/>
              <w:textAlignment w:val="baseline"/>
              <w:rPr>
                <w:rFonts w:ascii="Arial Narrow" w:eastAsia="Arial Narrow" w:hAnsi="Arial Narrow" w:cs="Arial Narrow"/>
                <w:sz w:val="20"/>
                <w:szCs w:val="20"/>
                <w:lang w:eastAsia="en-AU"/>
              </w:rPr>
            </w:pPr>
            <w:r w:rsidRPr="7F841FA6">
              <w:rPr>
                <w:rFonts w:ascii="Arial Narrow" w:eastAsia="Arial Narrow" w:hAnsi="Arial Narrow" w:cs="Arial Narrow"/>
                <w:sz w:val="20"/>
                <w:szCs w:val="20"/>
                <w:lang w:eastAsia="en-AU"/>
              </w:rPr>
              <w:t>LSG</w:t>
            </w:r>
          </w:p>
          <w:p w14:paraId="3A156743" w14:textId="77777777" w:rsidR="00F467E4" w:rsidRDefault="61342C05" w:rsidP="00CB0FFF">
            <w:pPr>
              <w:spacing w:before="0" w:after="120" w:line="240" w:lineRule="auto"/>
              <w:jc w:val="both"/>
              <w:textAlignment w:val="baseline"/>
              <w:rPr>
                <w:rFonts w:ascii="Arial Narrow" w:eastAsia="Arial Narrow" w:hAnsi="Arial Narrow" w:cs="Arial Narrow"/>
                <w:sz w:val="20"/>
                <w:szCs w:val="20"/>
                <w:lang w:eastAsia="en-AU"/>
              </w:rPr>
            </w:pPr>
            <w:r w:rsidRPr="7F841FA6">
              <w:rPr>
                <w:rFonts w:ascii="Arial Narrow" w:eastAsia="Arial Narrow" w:hAnsi="Arial Narrow" w:cs="Arial Narrow"/>
                <w:sz w:val="20"/>
                <w:szCs w:val="20"/>
                <w:lang w:eastAsia="en-AU"/>
              </w:rPr>
              <w:t>(</w:t>
            </w:r>
            <w:r w:rsidR="18180520" w:rsidRPr="7F841FA6">
              <w:rPr>
                <w:rFonts w:ascii="Arial Narrow" w:eastAsia="Arial Narrow" w:hAnsi="Arial Narrow" w:cs="Arial Narrow"/>
                <w:sz w:val="20"/>
                <w:szCs w:val="20"/>
                <w:lang w:eastAsia="en-AU"/>
              </w:rPr>
              <w:t xml:space="preserve">Bariatric surgery </w:t>
            </w:r>
            <w:r w:rsidR="6061D62A" w:rsidRPr="7F841FA6">
              <w:rPr>
                <w:rFonts w:ascii="Arial Narrow" w:eastAsia="Arial Narrow" w:hAnsi="Arial Narrow" w:cs="Arial Narrow"/>
                <w:sz w:val="20"/>
                <w:szCs w:val="20"/>
                <w:lang w:eastAsia="en-AU"/>
              </w:rPr>
              <w:t xml:space="preserve">is the current clinical </w:t>
            </w:r>
            <w:r w:rsidR="2CBAD4AE" w:rsidRPr="7F841FA6">
              <w:rPr>
                <w:rFonts w:ascii="Arial Narrow" w:eastAsia="Arial Narrow" w:hAnsi="Arial Narrow" w:cs="Arial Narrow"/>
                <w:sz w:val="20"/>
                <w:szCs w:val="20"/>
                <w:lang w:eastAsia="en-AU"/>
              </w:rPr>
              <w:t xml:space="preserve">alternative for this population </w:t>
            </w:r>
            <w:r w:rsidR="100EABDC" w:rsidRPr="7F841FA6">
              <w:rPr>
                <w:rFonts w:ascii="Arial Narrow" w:eastAsia="Arial Narrow" w:hAnsi="Arial Narrow" w:cs="Arial Narrow"/>
                <w:sz w:val="20"/>
                <w:szCs w:val="20"/>
                <w:lang w:eastAsia="en-AU"/>
              </w:rPr>
              <w:t>and is subsidised on the MBS for those with severe obesity</w:t>
            </w:r>
            <w:r w:rsidR="00D42597" w:rsidRPr="7F841FA6">
              <w:rPr>
                <w:rFonts w:ascii="Arial Narrow" w:eastAsia="Arial Narrow" w:hAnsi="Arial Narrow" w:cs="Arial Narrow"/>
                <w:sz w:val="20"/>
                <w:szCs w:val="20"/>
                <w:lang w:eastAsia="en-AU"/>
              </w:rPr>
              <w:t>.</w:t>
            </w:r>
            <w:r w:rsidR="5BA9D310" w:rsidRPr="7F841FA6">
              <w:rPr>
                <w:rFonts w:ascii="Arial Narrow" w:eastAsia="Arial Narrow" w:hAnsi="Arial Narrow" w:cs="Arial Narrow"/>
                <w:sz w:val="20"/>
                <w:szCs w:val="20"/>
                <w:lang w:eastAsia="en-AU"/>
              </w:rPr>
              <w:t>)</w:t>
            </w:r>
          </w:p>
          <w:p w14:paraId="215C09D7" w14:textId="7EAB250A" w:rsidR="00F24477" w:rsidRPr="00F467E4" w:rsidRDefault="009A5EA9" w:rsidP="00F467E4">
            <w:pPr>
              <w:spacing w:before="0" w:after="0" w:line="240" w:lineRule="auto"/>
              <w:jc w:val="both"/>
              <w:textAlignment w:val="baseline"/>
              <w:rPr>
                <w:rFonts w:ascii="Arial Narrow" w:eastAsia="Arial Narrow" w:hAnsi="Arial Narrow" w:cs="Arial Narrow"/>
                <w:sz w:val="20"/>
                <w:szCs w:val="20"/>
                <w:lang w:eastAsia="en-AU"/>
              </w:rPr>
            </w:pPr>
            <w:r>
              <w:rPr>
                <w:rFonts w:ascii="Arial Narrow" w:eastAsia="Arial Narrow" w:hAnsi="Arial Narrow" w:cs="Arial Narrow"/>
                <w:sz w:val="20"/>
                <w:szCs w:val="20"/>
                <w:lang w:eastAsia="en-AU"/>
              </w:rPr>
              <w:t>Note</w:t>
            </w:r>
            <w:r w:rsidR="005C11BB">
              <w:rPr>
                <w:rFonts w:ascii="Arial Narrow" w:eastAsia="Arial Narrow" w:hAnsi="Arial Narrow" w:cs="Arial Narrow"/>
                <w:sz w:val="20"/>
                <w:szCs w:val="20"/>
                <w:lang w:eastAsia="en-AU"/>
              </w:rPr>
              <w:t xml:space="preserve">: </w:t>
            </w:r>
            <w:r w:rsidR="00074A69">
              <w:rPr>
                <w:rFonts w:ascii="Arial Narrow" w:eastAsia="Arial Narrow" w:hAnsi="Arial Narrow" w:cs="Arial Narrow"/>
                <w:sz w:val="20"/>
                <w:szCs w:val="20"/>
                <w:lang w:eastAsia="en-AU"/>
              </w:rPr>
              <w:t>a</w:t>
            </w:r>
            <w:r w:rsidR="005C117B" w:rsidRPr="005C117B">
              <w:rPr>
                <w:rFonts w:ascii="Arial Narrow" w:eastAsia="Arial Narrow" w:hAnsi="Arial Narrow" w:cs="Arial Narrow"/>
                <w:sz w:val="20"/>
                <w:szCs w:val="20"/>
                <w:lang w:eastAsia="en-AU"/>
              </w:rPr>
              <w:t xml:space="preserve">djustable </w:t>
            </w:r>
            <w:r w:rsidR="00B30D50">
              <w:rPr>
                <w:rFonts w:ascii="Arial Narrow" w:eastAsia="Arial Narrow" w:hAnsi="Arial Narrow" w:cs="Arial Narrow"/>
                <w:sz w:val="20"/>
                <w:szCs w:val="20"/>
                <w:lang w:eastAsia="en-AU"/>
              </w:rPr>
              <w:t>g</w:t>
            </w:r>
            <w:r w:rsidR="005C117B" w:rsidRPr="005C117B">
              <w:rPr>
                <w:rFonts w:ascii="Arial Narrow" w:eastAsia="Arial Narrow" w:hAnsi="Arial Narrow" w:cs="Arial Narrow"/>
                <w:sz w:val="20"/>
                <w:szCs w:val="20"/>
                <w:lang w:eastAsia="en-AU"/>
              </w:rPr>
              <w:t xml:space="preserve">astric </w:t>
            </w:r>
            <w:r w:rsidR="00B30D50">
              <w:rPr>
                <w:rFonts w:ascii="Arial Narrow" w:eastAsia="Arial Narrow" w:hAnsi="Arial Narrow" w:cs="Arial Narrow"/>
                <w:sz w:val="20"/>
                <w:szCs w:val="20"/>
                <w:lang w:eastAsia="en-AU"/>
              </w:rPr>
              <w:t>b</w:t>
            </w:r>
            <w:r w:rsidR="005C117B" w:rsidRPr="005C117B">
              <w:rPr>
                <w:rFonts w:ascii="Arial Narrow" w:eastAsia="Arial Narrow" w:hAnsi="Arial Narrow" w:cs="Arial Narrow"/>
                <w:sz w:val="20"/>
                <w:szCs w:val="20"/>
                <w:lang w:eastAsia="en-AU"/>
              </w:rPr>
              <w:t>anding</w:t>
            </w:r>
            <w:r w:rsidR="005C117B">
              <w:rPr>
                <w:rFonts w:ascii="Arial Narrow" w:eastAsia="Arial Narrow" w:hAnsi="Arial Narrow" w:cs="Arial Narrow"/>
                <w:sz w:val="20"/>
                <w:szCs w:val="20"/>
                <w:lang w:eastAsia="en-AU"/>
              </w:rPr>
              <w:t xml:space="preserve">, </w:t>
            </w:r>
            <w:r w:rsidR="00B30D50">
              <w:rPr>
                <w:rFonts w:ascii="Arial Narrow" w:eastAsia="Arial Narrow" w:hAnsi="Arial Narrow" w:cs="Arial Narrow"/>
                <w:sz w:val="20"/>
                <w:szCs w:val="20"/>
                <w:lang w:eastAsia="en-AU"/>
              </w:rPr>
              <w:t>g</w:t>
            </w:r>
            <w:r w:rsidR="005C117B" w:rsidRPr="005C117B">
              <w:rPr>
                <w:rFonts w:ascii="Arial Narrow" w:eastAsia="Arial Narrow" w:hAnsi="Arial Narrow" w:cs="Arial Narrow"/>
                <w:sz w:val="20"/>
                <w:szCs w:val="20"/>
                <w:lang w:eastAsia="en-AU"/>
              </w:rPr>
              <w:t xml:space="preserve">astric </w:t>
            </w:r>
            <w:r w:rsidR="00B30D50">
              <w:rPr>
                <w:rFonts w:ascii="Arial Narrow" w:eastAsia="Arial Narrow" w:hAnsi="Arial Narrow" w:cs="Arial Narrow"/>
                <w:sz w:val="20"/>
                <w:szCs w:val="20"/>
                <w:lang w:eastAsia="en-AU"/>
              </w:rPr>
              <w:t>b</w:t>
            </w:r>
            <w:r w:rsidR="005C117B" w:rsidRPr="005C117B">
              <w:rPr>
                <w:rFonts w:ascii="Arial Narrow" w:eastAsia="Arial Narrow" w:hAnsi="Arial Narrow" w:cs="Arial Narrow"/>
                <w:sz w:val="20"/>
                <w:szCs w:val="20"/>
                <w:lang w:eastAsia="en-AU"/>
              </w:rPr>
              <w:t>ypass by Roux-en-Y</w:t>
            </w:r>
            <w:r w:rsidR="006E04B5">
              <w:rPr>
                <w:rFonts w:ascii="Arial Narrow" w:eastAsia="Arial Narrow" w:hAnsi="Arial Narrow" w:cs="Arial Narrow"/>
                <w:sz w:val="20"/>
                <w:szCs w:val="20"/>
                <w:lang w:eastAsia="en-AU"/>
              </w:rPr>
              <w:t xml:space="preserve"> and </w:t>
            </w:r>
            <w:r w:rsidR="00B30D50">
              <w:rPr>
                <w:rFonts w:ascii="Arial Narrow" w:eastAsia="Arial Narrow" w:hAnsi="Arial Narrow" w:cs="Arial Narrow"/>
                <w:sz w:val="20"/>
                <w:szCs w:val="20"/>
                <w:lang w:eastAsia="en-AU"/>
              </w:rPr>
              <w:t>s</w:t>
            </w:r>
            <w:r w:rsidR="006E04B5" w:rsidRPr="006E04B5">
              <w:rPr>
                <w:rFonts w:ascii="Arial Narrow" w:eastAsia="Arial Narrow" w:hAnsi="Arial Narrow" w:cs="Arial Narrow"/>
                <w:sz w:val="20"/>
                <w:szCs w:val="20"/>
                <w:lang w:eastAsia="en-AU"/>
              </w:rPr>
              <w:t>leeve gastrectomy</w:t>
            </w:r>
            <w:r w:rsidR="00B65A82">
              <w:rPr>
                <w:rFonts w:ascii="Arial Narrow" w:eastAsia="Arial Narrow" w:hAnsi="Arial Narrow" w:cs="Arial Narrow"/>
                <w:sz w:val="20"/>
                <w:szCs w:val="20"/>
                <w:lang w:eastAsia="en-AU"/>
              </w:rPr>
              <w:t xml:space="preserve"> are </w:t>
            </w:r>
            <w:r w:rsidR="00FC779A">
              <w:rPr>
                <w:rFonts w:ascii="Arial Narrow" w:eastAsia="Arial Narrow" w:hAnsi="Arial Narrow" w:cs="Arial Narrow"/>
                <w:sz w:val="20"/>
                <w:szCs w:val="20"/>
                <w:lang w:eastAsia="en-AU"/>
              </w:rPr>
              <w:t>alternatives to LSG</w:t>
            </w:r>
            <w:r w:rsidR="005C11BB">
              <w:rPr>
                <w:rFonts w:ascii="Arial Narrow" w:eastAsia="Arial Narrow" w:hAnsi="Arial Narrow" w:cs="Arial Narrow"/>
                <w:sz w:val="20"/>
                <w:szCs w:val="20"/>
                <w:lang w:eastAsia="en-AU"/>
              </w:rPr>
              <w:t xml:space="preserve"> that are available on the MBS</w:t>
            </w:r>
            <w:r w:rsidR="008F40B9">
              <w:rPr>
                <w:rFonts w:ascii="Arial Narrow" w:eastAsia="Arial Narrow" w:hAnsi="Arial Narrow" w:cs="Arial Narrow"/>
                <w:sz w:val="20"/>
                <w:szCs w:val="20"/>
                <w:lang w:eastAsia="en-AU"/>
              </w:rPr>
              <w:t xml:space="preserve">; however, the ADAR </w:t>
            </w:r>
            <w:r w:rsidR="00623245">
              <w:rPr>
                <w:rFonts w:ascii="Arial Narrow" w:eastAsia="Arial Narrow" w:hAnsi="Arial Narrow" w:cs="Arial Narrow"/>
                <w:sz w:val="20"/>
                <w:szCs w:val="20"/>
                <w:lang w:eastAsia="en-AU"/>
              </w:rPr>
              <w:t xml:space="preserve">considered LSG as the only nominated comparator given </w:t>
            </w:r>
            <w:r w:rsidR="00CE1A98">
              <w:rPr>
                <w:rFonts w:ascii="Arial Narrow" w:eastAsia="Arial Narrow" w:hAnsi="Arial Narrow" w:cs="Arial Narrow"/>
                <w:sz w:val="20"/>
                <w:szCs w:val="20"/>
                <w:lang w:eastAsia="en-AU"/>
              </w:rPr>
              <w:t xml:space="preserve">it </w:t>
            </w:r>
            <w:r w:rsidR="008945FB">
              <w:rPr>
                <w:rFonts w:ascii="Arial Narrow" w:eastAsia="Arial Narrow" w:hAnsi="Arial Narrow" w:cs="Arial Narrow"/>
                <w:sz w:val="20"/>
                <w:szCs w:val="20"/>
                <w:lang w:eastAsia="en-AU"/>
              </w:rPr>
              <w:t xml:space="preserve">is the most performed </w:t>
            </w:r>
            <w:r w:rsidR="004561C4">
              <w:rPr>
                <w:rFonts w:ascii="Arial Narrow" w:eastAsia="Arial Narrow" w:hAnsi="Arial Narrow" w:cs="Arial Narrow"/>
                <w:sz w:val="20"/>
                <w:szCs w:val="20"/>
                <w:lang w:eastAsia="en-AU"/>
              </w:rPr>
              <w:t>bariatric</w:t>
            </w:r>
            <w:r w:rsidR="008945FB">
              <w:rPr>
                <w:rFonts w:ascii="Arial Narrow" w:eastAsia="Arial Narrow" w:hAnsi="Arial Narrow" w:cs="Arial Narrow"/>
                <w:sz w:val="20"/>
                <w:szCs w:val="20"/>
                <w:lang w:eastAsia="en-AU"/>
              </w:rPr>
              <w:t xml:space="preserve"> surgery</w:t>
            </w:r>
            <w:r w:rsidR="00CE1A98">
              <w:rPr>
                <w:rFonts w:ascii="Arial Narrow" w:eastAsia="Arial Narrow" w:hAnsi="Arial Narrow" w:cs="Arial Narrow"/>
                <w:sz w:val="20"/>
                <w:szCs w:val="20"/>
                <w:lang w:eastAsia="en-AU"/>
              </w:rPr>
              <w:t xml:space="preserve"> in </w:t>
            </w:r>
            <w:r w:rsidR="008945FB">
              <w:rPr>
                <w:rFonts w:ascii="Arial Narrow" w:eastAsia="Arial Narrow" w:hAnsi="Arial Narrow" w:cs="Arial Narrow"/>
                <w:sz w:val="20"/>
                <w:szCs w:val="20"/>
                <w:lang w:eastAsia="en-AU"/>
              </w:rPr>
              <w:t>Australia</w:t>
            </w:r>
            <w:r w:rsidR="00A80355">
              <w:rPr>
                <w:rFonts w:ascii="Arial Narrow" w:eastAsia="Arial Narrow" w:hAnsi="Arial Narrow" w:cs="Arial Narrow"/>
                <w:sz w:val="20"/>
                <w:szCs w:val="20"/>
                <w:lang w:eastAsia="en-AU"/>
              </w:rPr>
              <w:t>, supported by expert recommendations</w:t>
            </w:r>
            <w:r w:rsidR="00CE1A98">
              <w:rPr>
                <w:rFonts w:ascii="Arial Narrow" w:eastAsia="Arial Narrow" w:hAnsi="Arial Narrow" w:cs="Arial Narrow"/>
                <w:sz w:val="20"/>
                <w:szCs w:val="20"/>
                <w:lang w:eastAsia="en-AU"/>
              </w:rPr>
              <w:t>.</w:t>
            </w:r>
          </w:p>
        </w:tc>
      </w:tr>
      <w:tr w:rsidR="00F467E4" w:rsidRPr="00F467E4" w14:paraId="4E96ADCB" w14:textId="77777777" w:rsidTr="004A59A6">
        <w:trPr>
          <w:gridAfter w:val="1"/>
          <w:wAfter w:w="15" w:type="dxa"/>
          <w:trHeight w:val="300"/>
        </w:trPr>
        <w:tc>
          <w:tcPr>
            <w:tcW w:w="11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218014" w14:textId="77777777" w:rsidR="00F467E4" w:rsidRPr="00F467E4" w:rsidRDefault="00F467E4" w:rsidP="00F467E4">
            <w:pPr>
              <w:spacing w:before="0" w:after="0" w:line="240" w:lineRule="auto"/>
              <w:jc w:val="both"/>
              <w:textAlignment w:val="baseline"/>
              <w:rPr>
                <w:rFonts w:ascii="Arial Narrow" w:eastAsia="Arial Narrow" w:hAnsi="Arial Narrow" w:cs="Arial Narrow"/>
                <w:sz w:val="20"/>
                <w:szCs w:val="20"/>
                <w:lang w:eastAsia="en-AU"/>
              </w:rPr>
            </w:pPr>
            <w:r w:rsidRPr="7F841FA6">
              <w:rPr>
                <w:rFonts w:ascii="Arial Narrow" w:eastAsia="Arial Narrow" w:hAnsi="Arial Narrow" w:cs="Arial Narrow"/>
                <w:sz w:val="20"/>
                <w:szCs w:val="20"/>
                <w:lang w:eastAsia="en-AU"/>
              </w:rPr>
              <w:t>Outcomes </w:t>
            </w:r>
          </w:p>
        </w:tc>
        <w:tc>
          <w:tcPr>
            <w:tcW w:w="78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D0410A" w14:textId="77777777" w:rsidR="00EF078F" w:rsidRPr="008054CA" w:rsidRDefault="00EF078F" w:rsidP="00EF078F">
            <w:pPr>
              <w:spacing w:before="0" w:after="0" w:line="240" w:lineRule="auto"/>
              <w:jc w:val="both"/>
              <w:textAlignment w:val="baseline"/>
              <w:rPr>
                <w:rFonts w:ascii="Arial Narrow" w:eastAsia="Arial Narrow" w:hAnsi="Arial Narrow" w:cs="Arial Narrow"/>
                <w:b/>
                <w:sz w:val="20"/>
                <w:szCs w:val="20"/>
                <w:lang w:eastAsia="en-AU"/>
              </w:rPr>
            </w:pPr>
            <w:r w:rsidRPr="7F841FA6">
              <w:rPr>
                <w:rFonts w:ascii="Arial Narrow" w:eastAsia="Arial Narrow" w:hAnsi="Arial Narrow" w:cs="Arial Narrow"/>
                <w:b/>
                <w:sz w:val="20"/>
                <w:szCs w:val="20"/>
                <w:lang w:eastAsia="en-AU"/>
              </w:rPr>
              <w:t xml:space="preserve">Efficacy: </w:t>
            </w:r>
          </w:p>
          <w:p w14:paraId="7B5BDAE5" w14:textId="6E96D77D" w:rsidR="00EF078F" w:rsidRPr="00A9683A" w:rsidRDefault="5FF03772" w:rsidP="00EF078F">
            <w:pPr>
              <w:spacing w:before="0" w:after="0" w:line="240" w:lineRule="auto"/>
              <w:jc w:val="both"/>
              <w:textAlignment w:val="baseline"/>
              <w:rPr>
                <w:rFonts w:ascii="Arial Narrow" w:eastAsia="Arial Narrow" w:hAnsi="Arial Narrow" w:cs="Arial Narrow"/>
                <w:sz w:val="20"/>
                <w:szCs w:val="20"/>
                <w:lang w:eastAsia="en-AU"/>
              </w:rPr>
            </w:pPr>
            <w:r w:rsidRPr="7F841FA6">
              <w:rPr>
                <w:rFonts w:ascii="Arial Narrow" w:eastAsia="Arial Narrow" w:hAnsi="Arial Narrow" w:cs="Arial Narrow"/>
                <w:sz w:val="20"/>
                <w:szCs w:val="20"/>
                <w:lang w:eastAsia="en-AU"/>
              </w:rPr>
              <w:t xml:space="preserve">Primary: </w:t>
            </w:r>
            <w:r w:rsidR="6534D29E" w:rsidRPr="7F841FA6">
              <w:rPr>
                <w:rFonts w:ascii="Arial Narrow" w:eastAsia="Arial Narrow" w:hAnsi="Arial Narrow" w:cs="Arial Narrow"/>
                <w:sz w:val="20"/>
                <w:szCs w:val="20"/>
                <w:lang w:eastAsia="en-AU"/>
              </w:rPr>
              <w:t>%TBWL</w:t>
            </w:r>
          </w:p>
          <w:p w14:paraId="0DE98139" w14:textId="1AAB1957" w:rsidR="00EF078F" w:rsidRPr="00A9683A" w:rsidRDefault="5FF03772" w:rsidP="00EF078F">
            <w:pPr>
              <w:spacing w:before="0" w:after="0" w:line="240" w:lineRule="auto"/>
              <w:jc w:val="both"/>
              <w:textAlignment w:val="baseline"/>
              <w:rPr>
                <w:rFonts w:ascii="Arial Narrow" w:eastAsia="Arial Narrow" w:hAnsi="Arial Narrow" w:cs="Arial Narrow"/>
                <w:sz w:val="20"/>
                <w:szCs w:val="20"/>
                <w:lang w:eastAsia="en-AU"/>
              </w:rPr>
            </w:pPr>
            <w:r w:rsidRPr="7F841FA6">
              <w:rPr>
                <w:rFonts w:ascii="Arial Narrow" w:eastAsia="Arial Narrow" w:hAnsi="Arial Narrow" w:cs="Arial Narrow"/>
                <w:sz w:val="20"/>
                <w:szCs w:val="20"/>
                <w:lang w:eastAsia="en-AU"/>
              </w:rPr>
              <w:t>Secondary:</w:t>
            </w:r>
            <w:r w:rsidR="006B18C7">
              <w:rPr>
                <w:rFonts w:ascii="Arial Narrow" w:eastAsia="Arial Narrow" w:hAnsi="Arial Narrow" w:cs="Arial Narrow"/>
                <w:sz w:val="20"/>
                <w:szCs w:val="20"/>
                <w:lang w:eastAsia="en-AU"/>
              </w:rPr>
              <w:t xml:space="preserve"> </w:t>
            </w:r>
            <w:r w:rsidR="6534D29E" w:rsidRPr="7F841FA6">
              <w:rPr>
                <w:rFonts w:ascii="Arial Narrow" w:eastAsia="Arial Narrow" w:hAnsi="Arial Narrow" w:cs="Arial Narrow"/>
                <w:sz w:val="20"/>
                <w:szCs w:val="20"/>
                <w:lang w:eastAsia="en-AU"/>
              </w:rPr>
              <w:t>%EWL</w:t>
            </w:r>
            <w:r w:rsidRPr="7F841FA6">
              <w:rPr>
                <w:rFonts w:ascii="Arial Narrow" w:eastAsia="Arial Narrow" w:hAnsi="Arial Narrow" w:cs="Arial Narrow"/>
                <w:sz w:val="20"/>
                <w:szCs w:val="20"/>
                <w:lang w:eastAsia="en-AU"/>
              </w:rPr>
              <w:t>, durability of weight loss (3</w:t>
            </w:r>
            <w:r w:rsidR="00D42597" w:rsidRPr="7F841FA6">
              <w:rPr>
                <w:rFonts w:ascii="Arial Narrow" w:eastAsia="Arial Narrow" w:hAnsi="Arial Narrow" w:cs="Arial Narrow"/>
                <w:sz w:val="20"/>
                <w:szCs w:val="20"/>
                <w:lang w:eastAsia="en-AU"/>
              </w:rPr>
              <w:t>–</w:t>
            </w:r>
            <w:r w:rsidRPr="7F841FA6">
              <w:rPr>
                <w:rFonts w:ascii="Arial Narrow" w:eastAsia="Arial Narrow" w:hAnsi="Arial Narrow" w:cs="Arial Narrow"/>
                <w:sz w:val="20"/>
                <w:szCs w:val="20"/>
                <w:lang w:eastAsia="en-AU"/>
              </w:rPr>
              <w:t>5 years), weight related comorbidities, revision</w:t>
            </w:r>
            <w:r w:rsidR="00D42597" w:rsidRPr="7F841FA6">
              <w:rPr>
                <w:rFonts w:ascii="Arial Narrow" w:eastAsia="Arial Narrow" w:hAnsi="Arial Narrow" w:cs="Arial Narrow"/>
                <w:sz w:val="20"/>
                <w:szCs w:val="20"/>
                <w:lang w:eastAsia="en-AU"/>
              </w:rPr>
              <w:t xml:space="preserve">, </w:t>
            </w:r>
            <w:r w:rsidRPr="7F841FA6">
              <w:rPr>
                <w:rFonts w:ascii="Arial Narrow" w:eastAsia="Arial Narrow" w:hAnsi="Arial Narrow" w:cs="Arial Narrow"/>
                <w:sz w:val="20"/>
                <w:szCs w:val="20"/>
                <w:lang w:eastAsia="en-AU"/>
              </w:rPr>
              <w:t>conversion to bariatric surgery</w:t>
            </w:r>
          </w:p>
          <w:p w14:paraId="2B950917" w14:textId="77777777" w:rsidR="00EF078F" w:rsidRPr="00A9683A" w:rsidRDefault="00EF078F" w:rsidP="00EF078F">
            <w:pPr>
              <w:spacing w:before="0" w:after="0" w:line="240" w:lineRule="auto"/>
              <w:jc w:val="both"/>
              <w:textAlignment w:val="baseline"/>
              <w:rPr>
                <w:rFonts w:ascii="Arial Narrow" w:eastAsia="Arial Narrow" w:hAnsi="Arial Narrow" w:cs="Arial Narrow"/>
                <w:b/>
                <w:sz w:val="20"/>
                <w:szCs w:val="20"/>
                <w:lang w:eastAsia="en-AU"/>
              </w:rPr>
            </w:pPr>
            <w:r w:rsidRPr="7F841FA6">
              <w:rPr>
                <w:rFonts w:ascii="Arial Narrow" w:eastAsia="Arial Narrow" w:hAnsi="Arial Narrow" w:cs="Arial Narrow"/>
                <w:b/>
                <w:sz w:val="20"/>
                <w:szCs w:val="20"/>
                <w:lang w:eastAsia="en-AU"/>
              </w:rPr>
              <w:t>Safety: </w:t>
            </w:r>
          </w:p>
          <w:p w14:paraId="58891099" w14:textId="2EA7300F" w:rsidR="00EF078F" w:rsidRPr="008054CA" w:rsidRDefault="5FF03772" w:rsidP="00EF078F">
            <w:pPr>
              <w:spacing w:before="0" w:after="0" w:line="240" w:lineRule="auto"/>
              <w:jc w:val="both"/>
              <w:textAlignment w:val="baseline"/>
              <w:rPr>
                <w:rFonts w:ascii="Arial Narrow" w:eastAsia="Arial Narrow" w:hAnsi="Arial Narrow" w:cs="Arial Narrow"/>
                <w:sz w:val="20"/>
                <w:szCs w:val="20"/>
                <w:lang w:eastAsia="en-AU"/>
              </w:rPr>
            </w:pPr>
            <w:r w:rsidRPr="7F841FA6">
              <w:rPr>
                <w:rFonts w:ascii="Arial Narrow" w:eastAsia="Arial Narrow" w:hAnsi="Arial Narrow" w:cs="Arial Narrow"/>
                <w:sz w:val="20"/>
                <w:szCs w:val="20"/>
                <w:lang w:eastAsia="en-AU"/>
              </w:rPr>
              <w:t xml:space="preserve">Primary: ESG-related severe </w:t>
            </w:r>
            <w:r w:rsidR="00D42597" w:rsidRPr="7F841FA6">
              <w:rPr>
                <w:rFonts w:ascii="Arial Narrow" w:eastAsia="Arial Narrow" w:hAnsi="Arial Narrow" w:cs="Arial Narrow"/>
                <w:sz w:val="20"/>
                <w:szCs w:val="20"/>
                <w:lang w:eastAsia="en-AU"/>
              </w:rPr>
              <w:t>AEs</w:t>
            </w:r>
            <w:r w:rsidRPr="7F841FA6">
              <w:rPr>
                <w:rFonts w:ascii="Arial Narrow" w:eastAsia="Arial Narrow" w:hAnsi="Arial Narrow" w:cs="Arial Narrow"/>
                <w:sz w:val="20"/>
                <w:szCs w:val="20"/>
                <w:lang w:eastAsia="en-AU"/>
              </w:rPr>
              <w:t xml:space="preserve"> </w:t>
            </w:r>
          </w:p>
          <w:p w14:paraId="519EA7C2" w14:textId="28E08022" w:rsidR="00F467E4" w:rsidRPr="00F467E4" w:rsidRDefault="5FF03772" w:rsidP="00EF078F">
            <w:pPr>
              <w:spacing w:before="0" w:after="0" w:line="240" w:lineRule="auto"/>
              <w:jc w:val="both"/>
              <w:textAlignment w:val="baseline"/>
              <w:rPr>
                <w:rFonts w:ascii="Arial Narrow" w:eastAsia="Arial Narrow" w:hAnsi="Arial Narrow" w:cs="Arial Narrow"/>
                <w:sz w:val="20"/>
                <w:szCs w:val="20"/>
                <w:lang w:eastAsia="en-AU"/>
              </w:rPr>
            </w:pPr>
            <w:r w:rsidRPr="7F841FA6">
              <w:rPr>
                <w:rFonts w:ascii="Arial Narrow" w:eastAsia="Arial Narrow" w:hAnsi="Arial Narrow" w:cs="Arial Narrow"/>
                <w:sz w:val="20"/>
                <w:szCs w:val="20"/>
                <w:lang w:eastAsia="en-AU"/>
              </w:rPr>
              <w:t>Secondary: Long</w:t>
            </w:r>
            <w:r w:rsidR="00D42597" w:rsidRPr="7F841FA6">
              <w:rPr>
                <w:rFonts w:ascii="Arial Narrow" w:eastAsia="Arial Narrow" w:hAnsi="Arial Narrow" w:cs="Arial Narrow"/>
                <w:sz w:val="20"/>
                <w:szCs w:val="20"/>
                <w:lang w:eastAsia="en-AU"/>
              </w:rPr>
              <w:t>-</w:t>
            </w:r>
            <w:r w:rsidRPr="7F841FA6">
              <w:rPr>
                <w:rFonts w:ascii="Arial Narrow" w:eastAsia="Arial Narrow" w:hAnsi="Arial Narrow" w:cs="Arial Narrow"/>
                <w:sz w:val="20"/>
                <w:szCs w:val="20"/>
                <w:lang w:eastAsia="en-AU"/>
              </w:rPr>
              <w:t xml:space="preserve">term </w:t>
            </w:r>
            <w:r w:rsidR="00D42597" w:rsidRPr="7F841FA6">
              <w:rPr>
                <w:rFonts w:ascii="Arial Narrow" w:eastAsia="Arial Narrow" w:hAnsi="Arial Narrow" w:cs="Arial Narrow"/>
                <w:sz w:val="20"/>
                <w:szCs w:val="20"/>
                <w:lang w:eastAsia="en-AU"/>
              </w:rPr>
              <w:t>AEs</w:t>
            </w:r>
            <w:r w:rsidRPr="7F841FA6">
              <w:rPr>
                <w:rFonts w:ascii="Arial Narrow" w:eastAsia="Arial Narrow" w:hAnsi="Arial Narrow" w:cs="Arial Narrow"/>
                <w:sz w:val="20"/>
                <w:szCs w:val="20"/>
                <w:lang w:eastAsia="en-AU"/>
              </w:rPr>
              <w:t>, worsening and new onset GORD</w:t>
            </w:r>
          </w:p>
        </w:tc>
      </w:tr>
      <w:tr w:rsidR="00F467E4" w:rsidRPr="00F467E4" w14:paraId="66867503" w14:textId="77777777" w:rsidTr="004A59A6">
        <w:trPr>
          <w:gridAfter w:val="1"/>
          <w:wAfter w:w="15" w:type="dxa"/>
          <w:trHeight w:val="300"/>
        </w:trPr>
        <w:tc>
          <w:tcPr>
            <w:tcW w:w="90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BB3FAB" w14:textId="0E789EC3" w:rsidR="00F467E4" w:rsidRPr="00F467E4" w:rsidRDefault="43114FA5" w:rsidP="000D0871">
            <w:pPr>
              <w:spacing w:before="0" w:after="0" w:line="240" w:lineRule="auto"/>
              <w:textAlignment w:val="baseline"/>
              <w:rPr>
                <w:rFonts w:ascii="Arial Narrow" w:eastAsia="Arial Narrow" w:hAnsi="Arial Narrow" w:cs="Arial Narrow"/>
                <w:sz w:val="20"/>
                <w:szCs w:val="20"/>
                <w:lang w:eastAsia="en-AU"/>
              </w:rPr>
            </w:pPr>
            <w:r w:rsidRPr="7F841FA6">
              <w:rPr>
                <w:rFonts w:ascii="Arial Narrow" w:eastAsia="Arial Narrow" w:hAnsi="Arial Narrow" w:cs="Arial Narrow"/>
                <w:b/>
                <w:sz w:val="20"/>
                <w:szCs w:val="20"/>
                <w:lang w:val="en-US" w:eastAsia="en-AU"/>
              </w:rPr>
              <w:t>Systematic review questions</w:t>
            </w:r>
            <w:r w:rsidR="17A4DD06" w:rsidRPr="7F841FA6">
              <w:rPr>
                <w:rFonts w:ascii="Arial Narrow" w:eastAsia="Arial Narrow" w:hAnsi="Arial Narrow" w:cs="Arial Narrow"/>
                <w:b/>
                <w:sz w:val="20"/>
                <w:szCs w:val="20"/>
                <w:lang w:val="en-US" w:eastAsia="en-AU"/>
              </w:rPr>
              <w:t xml:space="preserve">: </w:t>
            </w:r>
            <w:r w:rsidR="17A4DD06" w:rsidRPr="7F841FA6">
              <w:rPr>
                <w:rFonts w:ascii="Arial Narrow" w:eastAsia="Arial Narrow" w:hAnsi="Arial Narrow" w:cs="Arial Narrow"/>
                <w:sz w:val="20"/>
                <w:szCs w:val="20"/>
                <w:lang w:eastAsia="en-AU"/>
              </w:rPr>
              <w:t xml:space="preserve">What is the safety, effectiveness and cost-effectiveness of ESG vs bariatric interventions in the treatment of </w:t>
            </w:r>
            <w:r w:rsidR="008F5EBB">
              <w:rPr>
                <w:rFonts w:ascii="Arial Narrow" w:eastAsia="Arial Narrow" w:hAnsi="Arial Narrow" w:cs="Arial Narrow"/>
                <w:sz w:val="20"/>
                <w:szCs w:val="20"/>
                <w:lang w:eastAsia="en-AU"/>
              </w:rPr>
              <w:t>class</w:t>
            </w:r>
            <w:r w:rsidR="17A4DD06" w:rsidRPr="7F841FA6">
              <w:rPr>
                <w:rFonts w:ascii="Arial Narrow" w:eastAsia="Arial Narrow" w:hAnsi="Arial Narrow" w:cs="Arial Narrow"/>
                <w:sz w:val="20"/>
                <w:szCs w:val="20"/>
                <w:lang w:eastAsia="en-AU"/>
              </w:rPr>
              <w:t xml:space="preserve"> II (with comorbidities) or </w:t>
            </w:r>
            <w:r w:rsidR="008F5EBB">
              <w:rPr>
                <w:rFonts w:ascii="Arial Narrow" w:eastAsia="Arial Narrow" w:hAnsi="Arial Narrow" w:cs="Arial Narrow"/>
                <w:sz w:val="20"/>
                <w:szCs w:val="20"/>
                <w:lang w:eastAsia="en-AU"/>
              </w:rPr>
              <w:t>class</w:t>
            </w:r>
            <w:r w:rsidR="17A4DD06" w:rsidRPr="7F841FA6">
              <w:rPr>
                <w:rFonts w:ascii="Arial Narrow" w:eastAsia="Arial Narrow" w:hAnsi="Arial Narrow" w:cs="Arial Narrow"/>
                <w:sz w:val="20"/>
                <w:szCs w:val="20"/>
                <w:lang w:eastAsia="en-AU"/>
              </w:rPr>
              <w:t xml:space="preserve"> III obesity?</w:t>
            </w:r>
            <w:r w:rsidRPr="7F841FA6">
              <w:rPr>
                <w:rFonts w:ascii="Arial Narrow" w:eastAsia="Arial Narrow" w:hAnsi="Arial Narrow" w:cs="Arial Narrow"/>
                <w:sz w:val="20"/>
                <w:szCs w:val="20"/>
                <w:lang w:eastAsia="en-AU"/>
              </w:rPr>
              <w:t> </w:t>
            </w:r>
          </w:p>
        </w:tc>
      </w:tr>
    </w:tbl>
    <w:p w14:paraId="2BF3CCEC" w14:textId="4A40B5CC" w:rsidR="00C23507" w:rsidRPr="00C8307F" w:rsidRDefault="007579DB" w:rsidP="004A59A6">
      <w:pPr>
        <w:pStyle w:val="TableFigureFooter"/>
      </w:pPr>
      <w:r w:rsidRPr="00D76EFB">
        <w:t>Abbreviations:</w:t>
      </w:r>
      <w:r w:rsidRPr="0D77DCC5">
        <w:t xml:space="preserve"> </w:t>
      </w:r>
      <w:r w:rsidR="00D42597" w:rsidRPr="00D76EFB">
        <w:t>AE</w:t>
      </w:r>
      <w:r w:rsidR="00D42597" w:rsidRPr="0D77DCC5">
        <w:t xml:space="preserve">: adverse event; </w:t>
      </w:r>
      <w:r w:rsidR="00D478D8" w:rsidRPr="00D76EFB">
        <w:t>ESG</w:t>
      </w:r>
      <w:r w:rsidR="00D478D8" w:rsidRPr="0D77DCC5">
        <w:t xml:space="preserve">: </w:t>
      </w:r>
      <w:r w:rsidR="00E519F7">
        <w:t>e</w:t>
      </w:r>
      <w:r w:rsidR="00D478D8" w:rsidRPr="0D77DCC5">
        <w:t xml:space="preserve">ndoscopic </w:t>
      </w:r>
      <w:r w:rsidR="00E519F7">
        <w:t>s</w:t>
      </w:r>
      <w:r w:rsidR="00D478D8" w:rsidRPr="0D77DCC5">
        <w:t xml:space="preserve">leeve </w:t>
      </w:r>
      <w:r w:rsidR="00E519F7">
        <w:t>g</w:t>
      </w:r>
      <w:r w:rsidR="00D478D8" w:rsidRPr="0D77DCC5">
        <w:t xml:space="preserve">astroplasty; </w:t>
      </w:r>
      <w:r w:rsidR="00D478D8" w:rsidRPr="00D76EFB">
        <w:t>GORD</w:t>
      </w:r>
      <w:r w:rsidR="00D478D8" w:rsidRPr="0D77DCC5">
        <w:t xml:space="preserve">: </w:t>
      </w:r>
      <w:r w:rsidR="00E519F7">
        <w:t>g</w:t>
      </w:r>
      <w:r w:rsidR="00D478D8" w:rsidRPr="0D77DCC5">
        <w:t>astro-</w:t>
      </w:r>
      <w:r w:rsidR="000B5416">
        <w:t>o</w:t>
      </w:r>
      <w:r w:rsidR="00D478D8" w:rsidRPr="0D77DCC5">
        <w:t xml:space="preserve">esophageal </w:t>
      </w:r>
      <w:r w:rsidR="000B5416">
        <w:t>r</w:t>
      </w:r>
      <w:r w:rsidR="00D478D8" w:rsidRPr="0D77DCC5">
        <w:t xml:space="preserve">eflux </w:t>
      </w:r>
      <w:r w:rsidR="000B5416">
        <w:t>d</w:t>
      </w:r>
      <w:r w:rsidR="00D478D8" w:rsidRPr="0D77DCC5">
        <w:t xml:space="preserve">isease; </w:t>
      </w:r>
      <w:r w:rsidR="00D478D8" w:rsidRPr="00D76EFB">
        <w:t>LSG</w:t>
      </w:r>
      <w:r w:rsidR="00D478D8" w:rsidRPr="0D77DCC5">
        <w:t xml:space="preserve">: </w:t>
      </w:r>
      <w:r w:rsidR="000B5416">
        <w:t>l</w:t>
      </w:r>
      <w:r w:rsidR="00D478D8" w:rsidRPr="0D77DCC5">
        <w:t xml:space="preserve">aparoscopic </w:t>
      </w:r>
      <w:r w:rsidR="000B5416">
        <w:t>s</w:t>
      </w:r>
      <w:r w:rsidR="00D478D8" w:rsidRPr="0D77DCC5">
        <w:t xml:space="preserve">leeve </w:t>
      </w:r>
      <w:r w:rsidR="000B5416">
        <w:t>g</w:t>
      </w:r>
      <w:r w:rsidR="00D478D8" w:rsidRPr="0D77DCC5">
        <w:t xml:space="preserve">astrectomy; </w:t>
      </w:r>
      <w:r w:rsidR="00D478D8" w:rsidRPr="00D76EFB">
        <w:t>MBS</w:t>
      </w:r>
      <w:r w:rsidR="00D478D8" w:rsidRPr="0D77DCC5">
        <w:t xml:space="preserve">: Medicare Benefits Schedule; </w:t>
      </w:r>
      <w:r w:rsidR="006B18C7" w:rsidRPr="00D76EFB">
        <w:t>PICO</w:t>
      </w:r>
      <w:r w:rsidR="006B18C7" w:rsidRPr="0D77DCC5">
        <w:t xml:space="preserve">: </w:t>
      </w:r>
      <w:r w:rsidR="006B18C7">
        <w:t>p</w:t>
      </w:r>
      <w:r w:rsidR="006B18C7" w:rsidRPr="0D77DCC5">
        <w:t xml:space="preserve">opulation, </w:t>
      </w:r>
      <w:r w:rsidR="006B18C7">
        <w:t>i</w:t>
      </w:r>
      <w:r w:rsidR="006B18C7" w:rsidRPr="0D77DCC5">
        <w:t xml:space="preserve">ntervention, </w:t>
      </w:r>
      <w:r w:rsidR="006B18C7">
        <w:t>c</w:t>
      </w:r>
      <w:r w:rsidR="006B18C7" w:rsidRPr="0D77DCC5">
        <w:t xml:space="preserve">omparator, </w:t>
      </w:r>
      <w:r w:rsidR="006B18C7">
        <w:t>o</w:t>
      </w:r>
      <w:r w:rsidR="006B18C7" w:rsidRPr="0D77DCC5">
        <w:t>utcomes</w:t>
      </w:r>
      <w:r w:rsidR="003B4685">
        <w:t>;</w:t>
      </w:r>
      <w:r w:rsidR="003B4685" w:rsidRPr="00D76EFB">
        <w:t xml:space="preserve"> %</w:t>
      </w:r>
      <w:r w:rsidR="00B77EDD" w:rsidRPr="00D76EFB">
        <w:t>EWL</w:t>
      </w:r>
      <w:r w:rsidR="00B77EDD" w:rsidRPr="0D77DCC5">
        <w:t>: per</w:t>
      </w:r>
      <w:r w:rsidR="00B77EDD">
        <w:t xml:space="preserve"> </w:t>
      </w:r>
      <w:r w:rsidR="00B77EDD" w:rsidRPr="0D77DCC5">
        <w:t>cent excess weight loss</w:t>
      </w:r>
      <w:r w:rsidR="00B77EDD" w:rsidRPr="003B4685">
        <w:t>;</w:t>
      </w:r>
      <w:r w:rsidR="00B77EDD" w:rsidRPr="00D76EFB">
        <w:t xml:space="preserve"> </w:t>
      </w:r>
      <w:r w:rsidR="003B4685" w:rsidRPr="00D76EFB">
        <w:t>%TBWL</w:t>
      </w:r>
      <w:r w:rsidR="003B4685" w:rsidRPr="0D77DCC5">
        <w:t>: per</w:t>
      </w:r>
      <w:r w:rsidR="003B4685">
        <w:t xml:space="preserve"> </w:t>
      </w:r>
      <w:r w:rsidR="003B4685" w:rsidRPr="0D77DCC5">
        <w:t xml:space="preserve">cent </w:t>
      </w:r>
      <w:r w:rsidR="003B4685" w:rsidRPr="001825C7">
        <w:t>total body weight loss.</w:t>
      </w:r>
      <w:r w:rsidR="2C50591D" w:rsidRPr="001825C7">
        <w:t xml:space="preserve"> </w:t>
      </w:r>
      <w:r w:rsidRPr="00C8307F">
        <w:br/>
      </w:r>
      <w:r w:rsidR="2C50591D" w:rsidRPr="001825C7">
        <w:t>Source: Table ES 2 pg. 2</w:t>
      </w:r>
      <w:r w:rsidR="00DB2688" w:rsidRPr="001825C7">
        <w:t>3</w:t>
      </w:r>
      <w:r w:rsidR="2C50591D" w:rsidRPr="001825C7">
        <w:t xml:space="preserve"> from ADAR </w:t>
      </w:r>
    </w:p>
    <w:p w14:paraId="6682AFC9" w14:textId="1D9F5F67" w:rsidR="00413E75" w:rsidRPr="00413E75" w:rsidRDefault="00413E75" w:rsidP="0026762C">
      <w:pPr>
        <w:keepNext/>
        <w:keepLines/>
      </w:pPr>
      <w:r>
        <w:t>Patients with clinical obesity</w:t>
      </w:r>
      <w:r w:rsidR="00186050">
        <w:t>—</w:t>
      </w:r>
      <w:r>
        <w:t>with or without comorbidities</w:t>
      </w:r>
      <w:r w:rsidR="00186050">
        <w:t>—</w:t>
      </w:r>
      <w:r>
        <w:t xml:space="preserve">are offered </w:t>
      </w:r>
      <w:r w:rsidR="00186050">
        <w:t xml:space="preserve">2 </w:t>
      </w:r>
      <w:r>
        <w:t>treatment lines based on their prior weight loss history and response:</w:t>
      </w:r>
    </w:p>
    <w:p w14:paraId="3F784CA9" w14:textId="22F93896" w:rsidR="002227F6" w:rsidRPr="00413E75" w:rsidRDefault="00413E75" w:rsidP="0026762C">
      <w:pPr>
        <w:pStyle w:val="ListParagraph"/>
        <w:keepNext/>
        <w:keepLines/>
        <w:numPr>
          <w:ilvl w:val="0"/>
          <w:numId w:val="13"/>
        </w:numPr>
        <w:ind w:left="714" w:hanging="357"/>
        <w:contextualSpacing w:val="0"/>
      </w:pPr>
      <w:r>
        <w:t>First-line intervention:</w:t>
      </w:r>
      <w:r w:rsidR="00EA1656">
        <w:t xml:space="preserve"> </w:t>
      </w:r>
      <w:r>
        <w:t>VLED is recommended for those who have not previously tried it and are open to meal replacements.</w:t>
      </w:r>
      <w:r w:rsidR="00EA1656">
        <w:t xml:space="preserve"> </w:t>
      </w:r>
      <w:r>
        <w:t>If successful, the diet transitions to weight maintenance. If unsuccessful, VLED may be reintroduced or escalated to second-line treatment.</w:t>
      </w:r>
    </w:p>
    <w:p w14:paraId="31678488" w14:textId="5431B6BC" w:rsidR="00413E75" w:rsidRPr="00413E75" w:rsidRDefault="00413E75" w:rsidP="00C05DB4">
      <w:pPr>
        <w:pStyle w:val="ListParagraph"/>
        <w:numPr>
          <w:ilvl w:val="0"/>
          <w:numId w:val="13"/>
        </w:numPr>
      </w:pPr>
      <w:r w:rsidRPr="2AA1CA0C">
        <w:t>Second-line intervention:</w:t>
      </w:r>
      <w:r w:rsidR="00EA1656" w:rsidRPr="2AA1CA0C">
        <w:t xml:space="preserve"> </w:t>
      </w:r>
      <w:r w:rsidRPr="2AA1CA0C">
        <w:t xml:space="preserve">Pharmacotherapy is considered for patients who regain weight after relaxing VLED or </w:t>
      </w:r>
      <w:r w:rsidR="00EA1656" w:rsidRPr="2AA1CA0C">
        <w:t xml:space="preserve">those who </w:t>
      </w:r>
      <w:r w:rsidRPr="2AA1CA0C">
        <w:t>fail to respond adequately.</w:t>
      </w:r>
      <w:r w:rsidR="00EA1656" w:rsidRPr="2AA1CA0C">
        <w:t xml:space="preserve"> </w:t>
      </w:r>
      <w:r w:rsidRPr="2AA1CA0C">
        <w:t>VLED and pharmacotherapy are prescribed together</w:t>
      </w:r>
      <w:r w:rsidR="007944E2" w:rsidRPr="2AA1CA0C">
        <w:t>. T</w:t>
      </w:r>
      <w:r w:rsidRPr="2AA1CA0C">
        <w:t>reatment is self-funded and depends on patient willingness to proceed.</w:t>
      </w:r>
    </w:p>
    <w:p w14:paraId="6B542F8B" w14:textId="40E50AFC" w:rsidR="00413E75" w:rsidRPr="00413E75" w:rsidRDefault="00413E75" w:rsidP="000D0871">
      <w:r w:rsidRPr="00413E75">
        <w:t xml:space="preserve">If target weight loss is not achieved after both interventions, patients can choose to continue </w:t>
      </w:r>
      <w:r w:rsidR="00041603">
        <w:t xml:space="preserve">with </w:t>
      </w:r>
      <w:r w:rsidRPr="00413E75">
        <w:t>non-surgical options (diet, lifestyle modification, pharmacotherapy) or consider surgical interventions.</w:t>
      </w:r>
    </w:p>
    <w:p w14:paraId="7583C97B" w14:textId="76F83860" w:rsidR="00CA33D2" w:rsidRPr="00ED7455" w:rsidRDefault="004B7B48" w:rsidP="00946138">
      <w:r w:rsidRPr="2AA1CA0C">
        <w:t xml:space="preserve">The current clinical management algorithm limits bariatric surgery </w:t>
      </w:r>
      <w:r w:rsidR="24EBDC65" w:rsidRPr="2AA1CA0C">
        <w:t>for</w:t>
      </w:r>
      <w:r w:rsidRPr="2AA1CA0C">
        <w:t xml:space="preserve"> patients with a BMI of 35–40 kg/m² </w:t>
      </w:r>
      <w:r w:rsidR="7D3B7791" w:rsidRPr="2AA1CA0C">
        <w:t>(</w:t>
      </w:r>
      <w:r w:rsidR="000A4638" w:rsidRPr="2AA1CA0C">
        <w:t>c</w:t>
      </w:r>
      <w:r w:rsidR="008F5EBB" w:rsidRPr="2AA1CA0C">
        <w:t>lass</w:t>
      </w:r>
      <w:r w:rsidR="4A3B251D" w:rsidRPr="2AA1CA0C">
        <w:t xml:space="preserve"> II obesity) </w:t>
      </w:r>
      <w:r w:rsidR="5AC5E5C8" w:rsidRPr="2AA1CA0C">
        <w:t>to those with</w:t>
      </w:r>
      <w:r w:rsidR="00C50C2F" w:rsidRPr="2AA1CA0C">
        <w:t xml:space="preserve"> </w:t>
      </w:r>
      <w:r w:rsidRPr="2AA1CA0C">
        <w:t xml:space="preserve">comorbidities. Patients </w:t>
      </w:r>
      <w:r w:rsidR="6C314E8B" w:rsidRPr="2AA1CA0C">
        <w:t xml:space="preserve">with </w:t>
      </w:r>
      <w:r w:rsidR="000A4638" w:rsidRPr="2AA1CA0C">
        <w:t>c</w:t>
      </w:r>
      <w:r w:rsidR="008F5EBB" w:rsidRPr="2AA1CA0C">
        <w:t>lass</w:t>
      </w:r>
      <w:r w:rsidR="6C314E8B" w:rsidRPr="2AA1CA0C">
        <w:t xml:space="preserve"> II obesity </w:t>
      </w:r>
      <w:r w:rsidRPr="2AA1CA0C">
        <w:t>without comorbidities must continue first- or second-line treatments. Post-surgery, patients who fail to maintain or achieve target weight loss can revisit VLED with pharmacotherapy or opt for revision surgery.</w:t>
      </w:r>
      <w:r w:rsidR="00B300C2" w:rsidRPr="2AA1CA0C">
        <w:t xml:space="preserve"> </w:t>
      </w:r>
    </w:p>
    <w:p w14:paraId="004F8CA2" w14:textId="0B6999F6" w:rsidR="00C96E89" w:rsidRDefault="00C96E89" w:rsidP="00C96E89">
      <w:r w:rsidRPr="2AA1CA0C">
        <w:t>The proposed algorithm introduces ESG as an additional option for patients who fail first- and second-line interventions</w:t>
      </w:r>
      <w:r w:rsidR="00DD6AFC" w:rsidRPr="2AA1CA0C">
        <w:t xml:space="preserve">, </w:t>
      </w:r>
      <w:r w:rsidR="00CE2404" w:rsidRPr="2AA1CA0C">
        <w:t xml:space="preserve">including for patients </w:t>
      </w:r>
      <w:r w:rsidR="00D87FBA" w:rsidRPr="2AA1CA0C">
        <w:t>with class I and class II obesity</w:t>
      </w:r>
      <w:r w:rsidR="00F85E32" w:rsidRPr="2AA1CA0C">
        <w:t xml:space="preserve">, who are not </w:t>
      </w:r>
      <w:r w:rsidR="00E72149" w:rsidRPr="2AA1CA0C">
        <w:t xml:space="preserve">currently indicated for </w:t>
      </w:r>
      <w:r w:rsidR="00F85E32" w:rsidRPr="2AA1CA0C">
        <w:t>bariatric surgery</w:t>
      </w:r>
      <w:r w:rsidRPr="2AA1CA0C">
        <w:t>. ESG serves as an alternative to non-surgical options or bariatric surgery</w:t>
      </w:r>
      <w:r w:rsidR="00717957" w:rsidRPr="2AA1CA0C">
        <w:t xml:space="preserve"> </w:t>
      </w:r>
      <w:r w:rsidR="00EC3F74" w:rsidRPr="2AA1CA0C">
        <w:t>(for those who are currently eligible)</w:t>
      </w:r>
      <w:r w:rsidRPr="2AA1CA0C">
        <w:t>. If ESG fails to achieve or maintain weight loss, patients can pursue VLED with pharmacotherapy, bariatric surgery (if BMI is 35–40 kg/ m² and they have comorbidities) or revision ESG.</w:t>
      </w:r>
    </w:p>
    <w:p w14:paraId="0E10ACE8" w14:textId="7E9D1025" w:rsidR="00835A1E" w:rsidRPr="00835A1E" w:rsidRDefault="00AE503B" w:rsidP="00835A1E">
      <w:r w:rsidRPr="2AA1CA0C">
        <w:t>The commentary noted that b</w:t>
      </w:r>
      <w:r w:rsidR="00C96E89" w:rsidRPr="2AA1CA0C">
        <w:t>oth PICO sets differ from the PASC advice in terms of population, comparator and outcomes.</w:t>
      </w:r>
      <w:r w:rsidR="00835A1E" w:rsidRPr="2AA1CA0C">
        <w:t xml:space="preserve"> </w:t>
      </w:r>
    </w:p>
    <w:p w14:paraId="06AA0275" w14:textId="23A64225" w:rsidR="00CB6EBD" w:rsidRDefault="00CB6EBD" w:rsidP="00115CA8">
      <w:pPr>
        <w:pStyle w:val="Caption"/>
      </w:pPr>
      <w:r>
        <w:t xml:space="preserve">Table </w:t>
      </w:r>
      <w:r w:rsidR="009C59B0">
        <w:fldChar w:fldCharType="begin"/>
      </w:r>
      <w:r w:rsidR="009C59B0">
        <w:instrText xml:space="preserve"> SEQ Table \* ARABIC </w:instrText>
      </w:r>
      <w:r w:rsidR="009C59B0">
        <w:fldChar w:fldCharType="separate"/>
      </w:r>
      <w:r w:rsidR="008F37D1">
        <w:rPr>
          <w:noProof/>
        </w:rPr>
        <w:t>7</w:t>
      </w:r>
      <w:r w:rsidR="009C59B0">
        <w:rPr>
          <w:noProof/>
        </w:rPr>
        <w:fldChar w:fldCharType="end"/>
      </w:r>
      <w:r>
        <w:t xml:space="preserve">: Alignment </w:t>
      </w:r>
      <w:r w:rsidR="005E627B">
        <w:t xml:space="preserve">of </w:t>
      </w:r>
      <w:r w:rsidR="0061671C">
        <w:t xml:space="preserve">the ADAR </w:t>
      </w:r>
      <w:r>
        <w:t xml:space="preserve">with the </w:t>
      </w:r>
      <w:r w:rsidR="00F47CC3">
        <w:t xml:space="preserve">PASC-ratified </w:t>
      </w:r>
      <w:r>
        <w:t>PICO Confirmation</w:t>
      </w:r>
      <w:r w:rsidR="005075A4">
        <w:t xml:space="preserve"> </w:t>
      </w:r>
    </w:p>
    <w:tbl>
      <w:tblPr>
        <w:tblStyle w:val="MSAC"/>
        <w:tblW w:w="9209" w:type="dxa"/>
        <w:tblLayout w:type="fixed"/>
        <w:tblLook w:val="04A0" w:firstRow="1" w:lastRow="0" w:firstColumn="1" w:lastColumn="0" w:noHBand="0" w:noVBand="1"/>
      </w:tblPr>
      <w:tblGrid>
        <w:gridCol w:w="1129"/>
        <w:gridCol w:w="2552"/>
        <w:gridCol w:w="2126"/>
        <w:gridCol w:w="3402"/>
      </w:tblGrid>
      <w:tr w:rsidR="00D57847" w:rsidRPr="00F4070C" w14:paraId="235BB6E5" w14:textId="3C161217" w:rsidTr="004A59A6">
        <w:trPr>
          <w:cnfStyle w:val="100000000000" w:firstRow="1" w:lastRow="0" w:firstColumn="0" w:lastColumn="0" w:oddVBand="0" w:evenVBand="0" w:oddHBand="0" w:evenHBand="0" w:firstRowFirstColumn="0" w:firstRowLastColumn="0" w:lastRowFirstColumn="0" w:lastRowLastColumn="0"/>
          <w:trHeight w:val="300"/>
        </w:trPr>
        <w:tc>
          <w:tcPr>
            <w:tcW w:w="1129" w:type="dxa"/>
            <w:vAlign w:val="top"/>
          </w:tcPr>
          <w:p w14:paraId="2079B8ED" w14:textId="54B48972" w:rsidR="00D57847" w:rsidRPr="00F4070C" w:rsidRDefault="00D57847" w:rsidP="009F4502">
            <w:pPr>
              <w:pStyle w:val="TableH28pt"/>
              <w:keepNext w:val="0"/>
              <w:keepLines w:val="0"/>
              <w:rPr>
                <w:rFonts w:ascii="Arial Narrow" w:hAnsi="Arial Narrow"/>
                <w:b/>
                <w:bCs/>
                <w:sz w:val="20"/>
              </w:rPr>
            </w:pPr>
            <w:r w:rsidRPr="2AA1CA0C">
              <w:rPr>
                <w:rFonts w:ascii="Arial Narrow" w:hAnsi="Arial Narrow"/>
                <w:b/>
                <w:bCs/>
                <w:sz w:val="20"/>
              </w:rPr>
              <w:t>Component</w:t>
            </w:r>
          </w:p>
        </w:tc>
        <w:tc>
          <w:tcPr>
            <w:tcW w:w="2552" w:type="dxa"/>
            <w:vAlign w:val="top"/>
          </w:tcPr>
          <w:p w14:paraId="78B82945" w14:textId="77777777" w:rsidR="00D57847" w:rsidRPr="00F4070C" w:rsidRDefault="00D57847" w:rsidP="009F4502">
            <w:pPr>
              <w:pStyle w:val="TableH28pt"/>
              <w:keepNext w:val="0"/>
              <w:keepLines w:val="0"/>
              <w:rPr>
                <w:rFonts w:ascii="Arial Narrow" w:hAnsi="Arial Narrow"/>
                <w:b/>
                <w:sz w:val="20"/>
              </w:rPr>
            </w:pPr>
            <w:r w:rsidRPr="00F4070C">
              <w:rPr>
                <w:rFonts w:ascii="Arial Narrow" w:hAnsi="Arial Narrow"/>
                <w:b/>
                <w:sz w:val="20"/>
              </w:rPr>
              <w:t>Description</w:t>
            </w:r>
          </w:p>
        </w:tc>
        <w:tc>
          <w:tcPr>
            <w:tcW w:w="2126" w:type="dxa"/>
            <w:vAlign w:val="top"/>
          </w:tcPr>
          <w:p w14:paraId="4C143FB7" w14:textId="583B50EF" w:rsidR="00D57847" w:rsidRPr="00F4070C" w:rsidRDefault="00D57847" w:rsidP="009F4502">
            <w:pPr>
              <w:pStyle w:val="TableH28pt"/>
              <w:keepNext w:val="0"/>
              <w:keepLines w:val="0"/>
              <w:rPr>
                <w:rFonts w:ascii="Arial Narrow" w:hAnsi="Arial Narrow"/>
                <w:b/>
                <w:sz w:val="20"/>
              </w:rPr>
            </w:pPr>
            <w:r w:rsidRPr="00F4070C">
              <w:rPr>
                <w:rFonts w:ascii="Arial Narrow" w:hAnsi="Arial Narrow"/>
                <w:b/>
                <w:sz w:val="20"/>
              </w:rPr>
              <w:t xml:space="preserve">Alignment to </w:t>
            </w:r>
            <w:r w:rsidR="00B55A01">
              <w:rPr>
                <w:rFonts w:ascii="Arial Narrow" w:hAnsi="Arial Narrow"/>
                <w:b/>
                <w:sz w:val="20"/>
              </w:rPr>
              <w:t>R</w:t>
            </w:r>
            <w:r w:rsidRPr="00F4070C">
              <w:rPr>
                <w:rFonts w:ascii="Arial Narrow" w:hAnsi="Arial Narrow"/>
                <w:b/>
                <w:sz w:val="20"/>
              </w:rPr>
              <w:t xml:space="preserve">atified PICO </w:t>
            </w:r>
            <w:r w:rsidR="00B55A01">
              <w:rPr>
                <w:rFonts w:ascii="Arial Narrow" w:hAnsi="Arial Narrow"/>
                <w:b/>
                <w:sz w:val="20"/>
              </w:rPr>
              <w:t xml:space="preserve">Confirmation </w:t>
            </w:r>
            <w:r w:rsidR="00DB31CE">
              <w:rPr>
                <w:rFonts w:ascii="Arial Narrow" w:hAnsi="Arial Narrow"/>
                <w:b/>
                <w:sz w:val="20"/>
              </w:rPr>
              <w:t xml:space="preserve">for MSAC </w:t>
            </w:r>
            <w:r w:rsidRPr="00F4070C">
              <w:rPr>
                <w:rFonts w:ascii="Arial Narrow" w:hAnsi="Arial Narrow"/>
                <w:b/>
                <w:sz w:val="20"/>
              </w:rPr>
              <w:t>1555.1</w:t>
            </w:r>
            <w:r w:rsidR="00DB31CE">
              <w:rPr>
                <w:rFonts w:ascii="Arial Narrow" w:hAnsi="Arial Narrow"/>
                <w:b/>
                <w:sz w:val="20"/>
              </w:rPr>
              <w:t xml:space="preserve"> (</w:t>
            </w:r>
            <w:r w:rsidR="00667D78">
              <w:rPr>
                <w:rFonts w:ascii="Arial Narrow" w:hAnsi="Arial Narrow"/>
                <w:b/>
                <w:sz w:val="20"/>
              </w:rPr>
              <w:t>Decem</w:t>
            </w:r>
            <w:r w:rsidR="00DB31CE">
              <w:rPr>
                <w:rFonts w:ascii="Arial Narrow" w:hAnsi="Arial Narrow"/>
                <w:b/>
                <w:sz w:val="20"/>
              </w:rPr>
              <w:t>ber 2021 PASC</w:t>
            </w:r>
            <w:r w:rsidR="00667D78">
              <w:rPr>
                <w:rFonts w:ascii="Arial Narrow" w:hAnsi="Arial Narrow"/>
                <w:b/>
                <w:sz w:val="20"/>
              </w:rPr>
              <w:t xml:space="preserve"> meeting</w:t>
            </w:r>
            <w:r w:rsidR="008A765E">
              <w:rPr>
                <w:rFonts w:ascii="Arial Narrow" w:hAnsi="Arial Narrow"/>
                <w:b/>
                <w:sz w:val="20"/>
              </w:rPr>
              <w:t>)</w:t>
            </w:r>
          </w:p>
        </w:tc>
        <w:tc>
          <w:tcPr>
            <w:tcW w:w="3402" w:type="dxa"/>
            <w:vAlign w:val="top"/>
          </w:tcPr>
          <w:p w14:paraId="3FDD2EDD" w14:textId="769CB4AA" w:rsidR="00D57847" w:rsidRPr="00F4070C" w:rsidRDefault="00667D78" w:rsidP="009F4502">
            <w:pPr>
              <w:pStyle w:val="TableH28pt"/>
              <w:keepNext w:val="0"/>
              <w:keepLines w:val="0"/>
              <w:rPr>
                <w:rFonts w:ascii="Arial Narrow" w:hAnsi="Arial Narrow"/>
                <w:b/>
                <w:sz w:val="20"/>
              </w:rPr>
            </w:pPr>
            <w:r>
              <w:rPr>
                <w:rFonts w:ascii="Arial Narrow" w:hAnsi="Arial Narrow"/>
                <w:b/>
                <w:sz w:val="20"/>
              </w:rPr>
              <w:t>ADAR’s j</w:t>
            </w:r>
            <w:r w:rsidR="00D57847" w:rsidRPr="00F4070C">
              <w:rPr>
                <w:rFonts w:ascii="Arial Narrow" w:hAnsi="Arial Narrow"/>
                <w:b/>
                <w:sz w:val="20"/>
              </w:rPr>
              <w:t xml:space="preserve">ustification </w:t>
            </w:r>
            <w:r w:rsidR="000E294A" w:rsidRPr="00F4070C">
              <w:rPr>
                <w:rFonts w:ascii="Arial Narrow" w:hAnsi="Arial Narrow"/>
                <w:b/>
                <w:sz w:val="20"/>
              </w:rPr>
              <w:t>f</w:t>
            </w:r>
            <w:r w:rsidR="006318DD" w:rsidRPr="00F4070C">
              <w:rPr>
                <w:rFonts w:ascii="Arial Narrow" w:hAnsi="Arial Narrow"/>
                <w:b/>
                <w:sz w:val="20"/>
              </w:rPr>
              <w:t xml:space="preserve">or </w:t>
            </w:r>
            <w:r w:rsidR="000E294A" w:rsidRPr="00F4070C">
              <w:rPr>
                <w:rFonts w:ascii="Arial Narrow" w:hAnsi="Arial Narrow"/>
                <w:b/>
                <w:sz w:val="20"/>
              </w:rPr>
              <w:t>c</w:t>
            </w:r>
            <w:r w:rsidR="00D57847" w:rsidRPr="00F4070C">
              <w:rPr>
                <w:rFonts w:ascii="Arial Narrow" w:hAnsi="Arial Narrow"/>
                <w:b/>
                <w:sz w:val="20"/>
              </w:rPr>
              <w:t>hange</w:t>
            </w:r>
          </w:p>
        </w:tc>
      </w:tr>
      <w:tr w:rsidR="00D57847" w:rsidRPr="004047C1" w14:paraId="7D983CAE" w14:textId="436D024E" w:rsidTr="004A59A6">
        <w:trPr>
          <w:trHeight w:val="300"/>
        </w:trPr>
        <w:tc>
          <w:tcPr>
            <w:tcW w:w="1129" w:type="dxa"/>
            <w:vMerge w:val="restart"/>
            <w:vAlign w:val="top"/>
          </w:tcPr>
          <w:p w14:paraId="1084242B" w14:textId="77777777" w:rsidR="00D57847" w:rsidRPr="00D76EFB" w:rsidRDefault="00D57847" w:rsidP="009F4502">
            <w:pPr>
              <w:pStyle w:val="Tabletext8pt"/>
              <w:keepNext w:val="0"/>
              <w:keepLines w:val="0"/>
              <w:rPr>
                <w:rFonts w:ascii="Arial Narrow" w:hAnsi="Arial Narrow"/>
                <w:sz w:val="20"/>
                <w:szCs w:val="20"/>
              </w:rPr>
            </w:pPr>
            <w:r w:rsidRPr="00D76EFB">
              <w:rPr>
                <w:rFonts w:ascii="Arial Narrow" w:hAnsi="Arial Narrow"/>
                <w:sz w:val="20"/>
                <w:szCs w:val="20"/>
              </w:rPr>
              <w:t>Population</w:t>
            </w:r>
          </w:p>
        </w:tc>
        <w:tc>
          <w:tcPr>
            <w:tcW w:w="2552" w:type="dxa"/>
            <w:vAlign w:val="top"/>
          </w:tcPr>
          <w:p w14:paraId="386C4935" w14:textId="0269DF1F" w:rsidR="00D57847" w:rsidRPr="00D76EFB" w:rsidRDefault="00D57847" w:rsidP="009F4502">
            <w:pPr>
              <w:pStyle w:val="Tabletext8pt"/>
              <w:keepNext w:val="0"/>
              <w:keepLines w:val="0"/>
              <w:rPr>
                <w:rFonts w:ascii="Arial Narrow" w:hAnsi="Arial Narrow"/>
                <w:sz w:val="20"/>
                <w:szCs w:val="20"/>
              </w:rPr>
            </w:pPr>
            <w:r w:rsidRPr="00D76EFB">
              <w:rPr>
                <w:rFonts w:ascii="Arial Narrow" w:hAnsi="Arial Narrow"/>
                <w:sz w:val="20"/>
                <w:szCs w:val="20"/>
              </w:rPr>
              <w:t xml:space="preserve">PICO Set 1: Patients </w:t>
            </w:r>
            <w:r w:rsidR="0074739A">
              <w:rPr>
                <w:rFonts w:ascii="Arial Narrow" w:hAnsi="Arial Narrow"/>
                <w:sz w:val="20"/>
                <w:szCs w:val="20"/>
              </w:rPr>
              <w:t>≥</w:t>
            </w:r>
            <w:r w:rsidRPr="00D76EFB">
              <w:rPr>
                <w:rFonts w:ascii="Arial Narrow" w:hAnsi="Arial Narrow"/>
                <w:sz w:val="20"/>
                <w:szCs w:val="20"/>
              </w:rPr>
              <w:t xml:space="preserve">18 years of age who have </w:t>
            </w:r>
            <w:r w:rsidR="000A4638" w:rsidRPr="00D76EFB">
              <w:rPr>
                <w:rFonts w:ascii="Arial Narrow" w:hAnsi="Arial Narrow"/>
                <w:sz w:val="20"/>
                <w:szCs w:val="20"/>
              </w:rPr>
              <w:t>c</w:t>
            </w:r>
            <w:r w:rsidRPr="00D76EFB">
              <w:rPr>
                <w:rFonts w:ascii="Arial Narrow" w:hAnsi="Arial Narrow"/>
                <w:sz w:val="20"/>
                <w:szCs w:val="20"/>
              </w:rPr>
              <w:t>lass I or II obesity (BMI 30–40 kg/m</w:t>
            </w:r>
            <w:r w:rsidRPr="00D76EFB">
              <w:rPr>
                <w:rFonts w:ascii="Arial Narrow" w:hAnsi="Arial Narrow"/>
                <w:sz w:val="20"/>
                <w:szCs w:val="20"/>
                <w:vertAlign w:val="superscript"/>
              </w:rPr>
              <w:t>2</w:t>
            </w:r>
            <w:r w:rsidRPr="00D76EFB">
              <w:rPr>
                <w:rFonts w:ascii="Arial Narrow" w:hAnsi="Arial Narrow"/>
                <w:sz w:val="20"/>
                <w:szCs w:val="20"/>
              </w:rPr>
              <w:t>) and failed first- and second-line weight loss therapies.</w:t>
            </w:r>
          </w:p>
        </w:tc>
        <w:tc>
          <w:tcPr>
            <w:tcW w:w="2126" w:type="dxa"/>
            <w:vAlign w:val="top"/>
          </w:tcPr>
          <w:p w14:paraId="2D4149F3" w14:textId="74CBE7C6" w:rsidR="00D57847" w:rsidRPr="00D76EFB" w:rsidRDefault="58E1920E" w:rsidP="009F4502">
            <w:pPr>
              <w:pStyle w:val="Tabletext8pt"/>
              <w:keepNext w:val="0"/>
              <w:keepLines w:val="0"/>
              <w:rPr>
                <w:rFonts w:ascii="Arial Narrow" w:hAnsi="Arial Narrow"/>
                <w:sz w:val="20"/>
                <w:szCs w:val="20"/>
              </w:rPr>
            </w:pPr>
            <w:r w:rsidRPr="7DDA3365">
              <w:rPr>
                <w:rFonts w:ascii="Arial Narrow" w:hAnsi="Arial Narrow"/>
                <w:sz w:val="20"/>
                <w:szCs w:val="20"/>
              </w:rPr>
              <w:t>Yes</w:t>
            </w:r>
          </w:p>
        </w:tc>
        <w:tc>
          <w:tcPr>
            <w:tcW w:w="3402" w:type="dxa"/>
            <w:vAlign w:val="top"/>
          </w:tcPr>
          <w:p w14:paraId="3CBEC4FF" w14:textId="4D87873F" w:rsidR="00D57847" w:rsidRPr="00D76EFB" w:rsidRDefault="00D57847" w:rsidP="009F4502">
            <w:pPr>
              <w:pStyle w:val="Tabletext8pt"/>
              <w:keepNext w:val="0"/>
              <w:keepLines w:val="0"/>
              <w:rPr>
                <w:rFonts w:ascii="Arial Narrow" w:hAnsi="Arial Narrow"/>
                <w:sz w:val="20"/>
                <w:szCs w:val="20"/>
              </w:rPr>
            </w:pPr>
            <w:r w:rsidRPr="00D76EFB">
              <w:rPr>
                <w:rFonts w:ascii="Arial Narrow" w:hAnsi="Arial Narrow"/>
                <w:sz w:val="20"/>
                <w:szCs w:val="20"/>
              </w:rPr>
              <w:t>N/</w:t>
            </w:r>
            <w:r w:rsidR="58E1920E" w:rsidRPr="7DDA3365">
              <w:rPr>
                <w:rFonts w:ascii="Arial Narrow" w:hAnsi="Arial Narrow"/>
                <w:sz w:val="20"/>
                <w:szCs w:val="20"/>
              </w:rPr>
              <w:t>A</w:t>
            </w:r>
          </w:p>
        </w:tc>
      </w:tr>
      <w:tr w:rsidR="007E60A8" w:rsidRPr="004047C1" w14:paraId="7F8A76D5" w14:textId="7D467612" w:rsidTr="004A59A6">
        <w:tc>
          <w:tcPr>
            <w:tcW w:w="1129" w:type="dxa"/>
            <w:vMerge/>
            <w:vAlign w:val="top"/>
          </w:tcPr>
          <w:p w14:paraId="545CDB71" w14:textId="77777777" w:rsidR="00D57847" w:rsidRPr="00D76EFB" w:rsidRDefault="00D57847" w:rsidP="009F4502">
            <w:pPr>
              <w:pStyle w:val="Tabletext8pt"/>
              <w:keepNext w:val="0"/>
              <w:keepLines w:val="0"/>
              <w:rPr>
                <w:rFonts w:ascii="Arial Narrow" w:hAnsi="Arial Narrow"/>
                <w:sz w:val="20"/>
                <w:szCs w:val="20"/>
              </w:rPr>
            </w:pPr>
          </w:p>
        </w:tc>
        <w:tc>
          <w:tcPr>
            <w:tcW w:w="2552" w:type="dxa"/>
            <w:vAlign w:val="top"/>
          </w:tcPr>
          <w:p w14:paraId="095B5E30" w14:textId="1FA7DEC9" w:rsidR="00D57847" w:rsidRPr="00D76EFB" w:rsidRDefault="00D57847" w:rsidP="009F4502">
            <w:pPr>
              <w:pStyle w:val="Tabletext8pt"/>
              <w:keepNext w:val="0"/>
              <w:keepLines w:val="0"/>
              <w:rPr>
                <w:rFonts w:ascii="Arial Narrow" w:hAnsi="Arial Narrow"/>
                <w:sz w:val="20"/>
                <w:szCs w:val="20"/>
                <w:highlight w:val="yellow"/>
              </w:rPr>
            </w:pPr>
            <w:r w:rsidRPr="00D76EFB">
              <w:rPr>
                <w:rFonts w:ascii="Arial Narrow" w:hAnsi="Arial Narrow"/>
                <w:sz w:val="20"/>
                <w:szCs w:val="20"/>
              </w:rPr>
              <w:t xml:space="preserve">PICO Set 2: Patients </w:t>
            </w:r>
            <w:r w:rsidR="000E294A">
              <w:rPr>
                <w:rFonts w:ascii="Arial Narrow" w:hAnsi="Arial Narrow"/>
                <w:sz w:val="20"/>
                <w:szCs w:val="20"/>
              </w:rPr>
              <w:t>≥</w:t>
            </w:r>
            <w:r w:rsidRPr="00D76EFB">
              <w:rPr>
                <w:rFonts w:ascii="Arial Narrow" w:hAnsi="Arial Narrow"/>
                <w:sz w:val="20"/>
                <w:szCs w:val="20"/>
              </w:rPr>
              <w:t xml:space="preserve">18 years of age who have </w:t>
            </w:r>
            <w:r w:rsidR="000A4638" w:rsidRPr="00D76EFB">
              <w:rPr>
                <w:rFonts w:ascii="Arial Narrow" w:hAnsi="Arial Narrow"/>
                <w:sz w:val="20"/>
                <w:szCs w:val="20"/>
              </w:rPr>
              <w:t>c</w:t>
            </w:r>
            <w:r w:rsidRPr="00D76EFB">
              <w:rPr>
                <w:rFonts w:ascii="Arial Narrow" w:hAnsi="Arial Narrow"/>
                <w:sz w:val="20"/>
                <w:szCs w:val="20"/>
              </w:rPr>
              <w:t xml:space="preserve">lass II obesity (with comorbidities) </w:t>
            </w:r>
            <w:r w:rsidR="000E416E">
              <w:rPr>
                <w:rFonts w:ascii="Arial Narrow" w:hAnsi="Arial Narrow"/>
                <w:sz w:val="20"/>
                <w:szCs w:val="20"/>
              </w:rPr>
              <w:t>or</w:t>
            </w:r>
            <w:r w:rsidR="000E416E" w:rsidRPr="00D76EFB">
              <w:rPr>
                <w:rFonts w:ascii="Arial Narrow" w:hAnsi="Arial Narrow"/>
                <w:sz w:val="20"/>
                <w:szCs w:val="20"/>
              </w:rPr>
              <w:t xml:space="preserve"> </w:t>
            </w:r>
            <w:r w:rsidR="000A4638" w:rsidRPr="00D76EFB">
              <w:rPr>
                <w:rFonts w:ascii="Arial Narrow" w:hAnsi="Arial Narrow"/>
                <w:sz w:val="20"/>
                <w:szCs w:val="20"/>
              </w:rPr>
              <w:t>c</w:t>
            </w:r>
            <w:r w:rsidRPr="00D76EFB">
              <w:rPr>
                <w:rFonts w:ascii="Arial Narrow" w:hAnsi="Arial Narrow"/>
                <w:sz w:val="20"/>
                <w:szCs w:val="20"/>
              </w:rPr>
              <w:t>lass III obesity (BMI ≥40 kg/m</w:t>
            </w:r>
            <w:r w:rsidRPr="00D76EFB">
              <w:rPr>
                <w:rFonts w:ascii="Arial Narrow" w:hAnsi="Arial Narrow"/>
                <w:sz w:val="20"/>
                <w:szCs w:val="20"/>
                <w:vertAlign w:val="superscript"/>
              </w:rPr>
              <w:t>2</w:t>
            </w:r>
            <w:r w:rsidRPr="00D76EFB">
              <w:rPr>
                <w:rFonts w:ascii="Arial Narrow" w:hAnsi="Arial Narrow"/>
                <w:sz w:val="20"/>
                <w:szCs w:val="20"/>
              </w:rPr>
              <w:t xml:space="preserve">) without comorbidities who have failed first- and second-line weight loss therapies or </w:t>
            </w:r>
            <w:r w:rsidR="00766959">
              <w:rPr>
                <w:rFonts w:ascii="Arial Narrow" w:hAnsi="Arial Narrow"/>
                <w:sz w:val="20"/>
                <w:szCs w:val="20"/>
              </w:rPr>
              <w:t xml:space="preserve">those </w:t>
            </w:r>
            <w:r w:rsidRPr="00D76EFB">
              <w:rPr>
                <w:rFonts w:ascii="Arial Narrow" w:hAnsi="Arial Narrow"/>
                <w:sz w:val="20"/>
                <w:szCs w:val="20"/>
              </w:rPr>
              <w:t>with comorbidities who have failed first-line weight loss therapies.</w:t>
            </w:r>
          </w:p>
        </w:tc>
        <w:tc>
          <w:tcPr>
            <w:tcW w:w="2126" w:type="dxa"/>
            <w:vAlign w:val="top"/>
          </w:tcPr>
          <w:p w14:paraId="11390CA4" w14:textId="061A7640" w:rsidR="00D57847" w:rsidRPr="00D76EFB" w:rsidRDefault="00D57847" w:rsidP="009F4502">
            <w:pPr>
              <w:pStyle w:val="Tabletext8pt"/>
              <w:keepNext w:val="0"/>
              <w:keepLines w:val="0"/>
              <w:rPr>
                <w:rFonts w:ascii="Arial Narrow" w:hAnsi="Arial Narrow"/>
                <w:sz w:val="20"/>
                <w:szCs w:val="20"/>
              </w:rPr>
            </w:pPr>
            <w:r w:rsidRPr="00D76EFB">
              <w:rPr>
                <w:rFonts w:ascii="Arial Narrow" w:hAnsi="Arial Narrow"/>
                <w:sz w:val="20"/>
                <w:szCs w:val="20"/>
              </w:rPr>
              <w:t>No</w:t>
            </w:r>
          </w:p>
          <w:p w14:paraId="54A6A1B4" w14:textId="77777777" w:rsidR="00D57847" w:rsidRPr="00D76EFB" w:rsidRDefault="00D57847" w:rsidP="009F4502">
            <w:pPr>
              <w:pStyle w:val="Tabletext8pt"/>
              <w:keepNext w:val="0"/>
              <w:keepLines w:val="0"/>
              <w:rPr>
                <w:rFonts w:ascii="Arial Narrow" w:hAnsi="Arial Narrow"/>
                <w:sz w:val="20"/>
                <w:szCs w:val="20"/>
              </w:rPr>
            </w:pPr>
            <w:r w:rsidRPr="00D76EFB">
              <w:rPr>
                <w:rFonts w:ascii="Arial Narrow" w:hAnsi="Arial Narrow"/>
                <w:sz w:val="20"/>
                <w:szCs w:val="20"/>
              </w:rPr>
              <w:t>This patient population was not previously included.</w:t>
            </w:r>
          </w:p>
        </w:tc>
        <w:tc>
          <w:tcPr>
            <w:tcW w:w="3402" w:type="dxa"/>
            <w:vAlign w:val="top"/>
          </w:tcPr>
          <w:p w14:paraId="17966417" w14:textId="2419B513" w:rsidR="00D57847" w:rsidRPr="00D76EFB" w:rsidRDefault="00D57847" w:rsidP="0026762C">
            <w:pPr>
              <w:pStyle w:val="Tabletext8pt"/>
              <w:keepNext w:val="0"/>
              <w:keepLines w:val="0"/>
              <w:spacing w:after="240"/>
              <w:rPr>
                <w:rFonts w:ascii="Arial Narrow" w:hAnsi="Arial Narrow"/>
                <w:sz w:val="20"/>
                <w:szCs w:val="20"/>
              </w:rPr>
            </w:pPr>
            <w:r w:rsidRPr="00D76EFB">
              <w:rPr>
                <w:rFonts w:ascii="Arial Narrow" w:hAnsi="Arial Narrow"/>
                <w:sz w:val="20"/>
                <w:szCs w:val="20"/>
              </w:rPr>
              <w:t>Based on clinician feedback, restriction of ESG to patients with BMI &lt;40kg/m</w:t>
            </w:r>
            <w:r w:rsidRPr="00D76EFB">
              <w:rPr>
                <w:rFonts w:ascii="Arial Narrow" w:hAnsi="Arial Narrow"/>
                <w:sz w:val="20"/>
                <w:szCs w:val="20"/>
                <w:vertAlign w:val="superscript"/>
              </w:rPr>
              <w:t>2</w:t>
            </w:r>
            <w:r w:rsidRPr="00D76EFB">
              <w:rPr>
                <w:rFonts w:ascii="Arial Narrow" w:hAnsi="Arial Narrow"/>
                <w:sz w:val="20"/>
                <w:szCs w:val="20"/>
              </w:rPr>
              <w:t xml:space="preserve"> would be inappropriate as this restriction forces those with a higher BMI to undergo a riskier procedure (e.g. LSG or gastric bypass), which was seen as clinically unjustified and inequitable. Evidence presented in single</w:t>
            </w:r>
            <w:r w:rsidR="00B27F1C">
              <w:rPr>
                <w:rFonts w:ascii="Arial Narrow" w:hAnsi="Arial Narrow"/>
                <w:sz w:val="20"/>
                <w:szCs w:val="20"/>
              </w:rPr>
              <w:t>-</w:t>
            </w:r>
            <w:r w:rsidRPr="00D76EFB">
              <w:rPr>
                <w:rFonts w:ascii="Arial Narrow" w:hAnsi="Arial Narrow"/>
                <w:sz w:val="20"/>
                <w:szCs w:val="20"/>
              </w:rPr>
              <w:t xml:space="preserve">arm studies and non-randomised studies also demonstrates the benefit and safety of ESG for patients with </w:t>
            </w:r>
            <w:r w:rsidR="000A4638" w:rsidRPr="00D76EFB">
              <w:rPr>
                <w:rFonts w:ascii="Arial Narrow" w:hAnsi="Arial Narrow"/>
                <w:sz w:val="20"/>
                <w:szCs w:val="20"/>
              </w:rPr>
              <w:t>c</w:t>
            </w:r>
            <w:r w:rsidRPr="00D76EFB">
              <w:rPr>
                <w:rFonts w:ascii="Arial Narrow" w:hAnsi="Arial Narrow"/>
                <w:sz w:val="20"/>
                <w:szCs w:val="20"/>
              </w:rPr>
              <w:t>lass III obesity. Additionally, this population is consistent with the population defined for bariatric procedures in the Australian guidelines</w:t>
            </w:r>
            <w:r w:rsidR="006318DD" w:rsidRPr="00D76EFB">
              <w:rPr>
                <w:rFonts w:ascii="Arial Narrow" w:hAnsi="Arial Narrow"/>
                <w:sz w:val="20"/>
                <w:szCs w:val="20"/>
              </w:rPr>
              <w:t>.</w:t>
            </w:r>
            <w:r w:rsidR="00E36A53" w:rsidRPr="00115CA8">
              <w:rPr>
                <w:rFonts w:ascii="Arial Narrow" w:hAnsi="Arial Narrow"/>
                <w:sz w:val="20"/>
                <w:szCs w:val="20"/>
                <w:vertAlign w:val="superscript"/>
              </w:rPr>
              <w:fldChar w:fldCharType="begin"/>
            </w:r>
            <w:r w:rsidR="00E36A53" w:rsidRPr="00115CA8">
              <w:rPr>
                <w:rFonts w:ascii="Arial Narrow" w:hAnsi="Arial Narrow"/>
                <w:sz w:val="20"/>
                <w:szCs w:val="20"/>
                <w:vertAlign w:val="superscript"/>
              </w:rPr>
              <w:instrText xml:space="preserve"> NOTEREF _Ref187240790 \h </w:instrText>
            </w:r>
            <w:r w:rsidR="000A6317">
              <w:rPr>
                <w:rFonts w:ascii="Arial Narrow" w:hAnsi="Arial Narrow"/>
                <w:sz w:val="20"/>
                <w:szCs w:val="20"/>
                <w:vertAlign w:val="superscript"/>
              </w:rPr>
              <w:instrText xml:space="preserve"> \* MERGEFORMAT </w:instrText>
            </w:r>
            <w:r w:rsidR="00E36A53" w:rsidRPr="00115CA8">
              <w:rPr>
                <w:rFonts w:ascii="Arial Narrow" w:hAnsi="Arial Narrow"/>
                <w:sz w:val="20"/>
                <w:szCs w:val="20"/>
                <w:vertAlign w:val="superscript"/>
              </w:rPr>
            </w:r>
            <w:r w:rsidR="00E36A53" w:rsidRPr="00115CA8">
              <w:rPr>
                <w:rFonts w:ascii="Arial Narrow" w:hAnsi="Arial Narrow"/>
                <w:sz w:val="20"/>
                <w:szCs w:val="20"/>
                <w:vertAlign w:val="superscript"/>
              </w:rPr>
              <w:fldChar w:fldCharType="separate"/>
            </w:r>
            <w:r w:rsidR="008F37D1">
              <w:rPr>
                <w:rFonts w:ascii="Arial Narrow" w:hAnsi="Arial Narrow"/>
                <w:sz w:val="20"/>
                <w:szCs w:val="20"/>
                <w:vertAlign w:val="superscript"/>
              </w:rPr>
              <w:t>18</w:t>
            </w:r>
            <w:r w:rsidR="00E36A53" w:rsidRPr="00115CA8">
              <w:rPr>
                <w:rFonts w:ascii="Arial Narrow" w:hAnsi="Arial Narrow"/>
                <w:sz w:val="20"/>
                <w:szCs w:val="20"/>
                <w:vertAlign w:val="superscript"/>
              </w:rPr>
              <w:fldChar w:fldCharType="end"/>
            </w:r>
          </w:p>
        </w:tc>
      </w:tr>
      <w:tr w:rsidR="007E60A8" w:rsidRPr="004047C1" w14:paraId="2AB1C13C" w14:textId="4EA7BDA4" w:rsidTr="004A59A6">
        <w:tc>
          <w:tcPr>
            <w:tcW w:w="1129" w:type="dxa"/>
            <w:vAlign w:val="top"/>
          </w:tcPr>
          <w:p w14:paraId="7DFDB738" w14:textId="77777777" w:rsidR="00D57847" w:rsidRPr="00D76EFB" w:rsidRDefault="00D57847" w:rsidP="009F4502">
            <w:pPr>
              <w:pStyle w:val="Tabletext8pt"/>
              <w:keepNext w:val="0"/>
              <w:keepLines w:val="0"/>
              <w:rPr>
                <w:rFonts w:ascii="Arial Narrow" w:hAnsi="Arial Narrow"/>
                <w:sz w:val="20"/>
                <w:szCs w:val="20"/>
              </w:rPr>
            </w:pPr>
            <w:r w:rsidRPr="00D76EFB">
              <w:rPr>
                <w:rFonts w:ascii="Arial Narrow" w:hAnsi="Arial Narrow"/>
                <w:sz w:val="20"/>
                <w:szCs w:val="20"/>
              </w:rPr>
              <w:t>Intervention</w:t>
            </w:r>
          </w:p>
        </w:tc>
        <w:tc>
          <w:tcPr>
            <w:tcW w:w="2552" w:type="dxa"/>
            <w:vAlign w:val="top"/>
          </w:tcPr>
          <w:p w14:paraId="096AEAA4" w14:textId="77777777" w:rsidR="00D57847" w:rsidRPr="00D76EFB" w:rsidRDefault="00D57847" w:rsidP="009F4502">
            <w:pPr>
              <w:pStyle w:val="Tabletext8pt"/>
              <w:keepNext w:val="0"/>
              <w:keepLines w:val="0"/>
              <w:rPr>
                <w:rFonts w:ascii="Arial Narrow" w:hAnsi="Arial Narrow"/>
                <w:sz w:val="20"/>
                <w:szCs w:val="20"/>
              </w:rPr>
            </w:pPr>
            <w:r w:rsidRPr="00D76EFB">
              <w:rPr>
                <w:rFonts w:ascii="Arial Narrow" w:hAnsi="Arial Narrow"/>
                <w:sz w:val="20"/>
                <w:szCs w:val="20"/>
              </w:rPr>
              <w:t>Endoscopic sleeve gastroplasty with lifestyle modifications.</w:t>
            </w:r>
          </w:p>
        </w:tc>
        <w:tc>
          <w:tcPr>
            <w:tcW w:w="2126" w:type="dxa"/>
            <w:vAlign w:val="top"/>
          </w:tcPr>
          <w:p w14:paraId="65B83C77" w14:textId="1DB0EF63" w:rsidR="00D57847" w:rsidRPr="00D76EFB" w:rsidRDefault="00D57847" w:rsidP="009F4502">
            <w:pPr>
              <w:pStyle w:val="Tabletext8pt"/>
              <w:keepNext w:val="0"/>
              <w:keepLines w:val="0"/>
              <w:rPr>
                <w:rFonts w:ascii="Arial Narrow" w:hAnsi="Arial Narrow"/>
                <w:sz w:val="20"/>
                <w:szCs w:val="20"/>
              </w:rPr>
            </w:pPr>
            <w:r w:rsidRPr="00D76EFB">
              <w:rPr>
                <w:rFonts w:ascii="Arial Narrow" w:hAnsi="Arial Narrow"/>
                <w:sz w:val="20"/>
                <w:szCs w:val="20"/>
              </w:rPr>
              <w:t>Yes</w:t>
            </w:r>
          </w:p>
        </w:tc>
        <w:tc>
          <w:tcPr>
            <w:tcW w:w="3402" w:type="dxa"/>
            <w:vAlign w:val="top"/>
          </w:tcPr>
          <w:p w14:paraId="67F4857B" w14:textId="27DC7804" w:rsidR="00D57847" w:rsidRPr="00D76EFB" w:rsidRDefault="00D57847" w:rsidP="009F4502">
            <w:pPr>
              <w:pStyle w:val="Tabletext8pt"/>
              <w:keepNext w:val="0"/>
              <w:keepLines w:val="0"/>
              <w:rPr>
                <w:rFonts w:ascii="Arial Narrow" w:hAnsi="Arial Narrow"/>
                <w:sz w:val="20"/>
                <w:szCs w:val="20"/>
              </w:rPr>
            </w:pPr>
            <w:r w:rsidRPr="00D76EFB">
              <w:rPr>
                <w:rFonts w:ascii="Arial Narrow" w:hAnsi="Arial Narrow"/>
                <w:sz w:val="20"/>
                <w:szCs w:val="20"/>
              </w:rPr>
              <w:t>N/A</w:t>
            </w:r>
          </w:p>
        </w:tc>
      </w:tr>
      <w:tr w:rsidR="001D1988" w:rsidRPr="004047C1" w14:paraId="1577E9A5" w14:textId="1C8DA5CF" w:rsidTr="004A59A6">
        <w:tc>
          <w:tcPr>
            <w:tcW w:w="1129" w:type="dxa"/>
            <w:vMerge w:val="restart"/>
            <w:vAlign w:val="top"/>
          </w:tcPr>
          <w:p w14:paraId="004EF6D0" w14:textId="77777777" w:rsidR="00D57847" w:rsidRPr="00D76EFB" w:rsidRDefault="00D57847" w:rsidP="009F4502">
            <w:pPr>
              <w:pStyle w:val="Tabletext8pt"/>
              <w:keepNext w:val="0"/>
              <w:keepLines w:val="0"/>
              <w:rPr>
                <w:rFonts w:ascii="Arial Narrow" w:hAnsi="Arial Narrow"/>
                <w:sz w:val="20"/>
                <w:szCs w:val="20"/>
              </w:rPr>
            </w:pPr>
            <w:r w:rsidRPr="00D76EFB">
              <w:rPr>
                <w:rFonts w:ascii="Arial Narrow" w:hAnsi="Arial Narrow"/>
                <w:sz w:val="20"/>
                <w:szCs w:val="20"/>
              </w:rPr>
              <w:t>Comparator</w:t>
            </w:r>
          </w:p>
        </w:tc>
        <w:tc>
          <w:tcPr>
            <w:tcW w:w="2552" w:type="dxa"/>
            <w:vAlign w:val="top"/>
          </w:tcPr>
          <w:p w14:paraId="705F3F22" w14:textId="3A42D5BE" w:rsidR="00D57847" w:rsidRPr="00D76EFB" w:rsidRDefault="00D57847" w:rsidP="009F4502">
            <w:pPr>
              <w:pStyle w:val="Tabletext8pt"/>
              <w:keepNext w:val="0"/>
              <w:keepLines w:val="0"/>
              <w:rPr>
                <w:rFonts w:ascii="Arial Narrow" w:hAnsi="Arial Narrow"/>
                <w:sz w:val="20"/>
                <w:szCs w:val="20"/>
              </w:rPr>
            </w:pPr>
            <w:r w:rsidRPr="00D76EFB">
              <w:rPr>
                <w:rFonts w:ascii="Arial Narrow" w:hAnsi="Arial Narrow"/>
                <w:sz w:val="20"/>
                <w:szCs w:val="20"/>
              </w:rPr>
              <w:t>For patients with BMI 30.00</w:t>
            </w:r>
            <w:r w:rsidR="00F01CDC">
              <w:rPr>
                <w:rFonts w:ascii="Arial Narrow" w:hAnsi="Arial Narrow"/>
                <w:sz w:val="20"/>
                <w:szCs w:val="20"/>
              </w:rPr>
              <w:t>–</w:t>
            </w:r>
            <w:r w:rsidRPr="00D76EFB">
              <w:rPr>
                <w:rFonts w:ascii="Arial Narrow" w:hAnsi="Arial Narrow"/>
                <w:sz w:val="20"/>
                <w:szCs w:val="20"/>
              </w:rPr>
              <w:t>34.</w:t>
            </w:r>
            <w:r w:rsidR="006318DD" w:rsidRPr="00D76EFB">
              <w:rPr>
                <w:rFonts w:ascii="Arial Narrow" w:hAnsi="Arial Narrow"/>
                <w:sz w:val="20"/>
                <w:szCs w:val="20"/>
              </w:rPr>
              <w:t>99</w:t>
            </w:r>
            <w:r w:rsidR="00F01CDC">
              <w:rPr>
                <w:rFonts w:ascii="Arial Narrow" w:hAnsi="Arial Narrow"/>
                <w:sz w:val="20"/>
                <w:szCs w:val="20"/>
              </w:rPr>
              <w:t xml:space="preserve"> </w:t>
            </w:r>
            <w:r w:rsidR="006318DD" w:rsidRPr="00D76EFB">
              <w:rPr>
                <w:rFonts w:ascii="Arial Narrow" w:hAnsi="Arial Narrow"/>
                <w:sz w:val="20"/>
                <w:szCs w:val="20"/>
              </w:rPr>
              <w:t>kg</w:t>
            </w:r>
            <w:r w:rsidRPr="00D76EFB">
              <w:rPr>
                <w:rFonts w:ascii="Arial Narrow" w:hAnsi="Arial Narrow"/>
                <w:sz w:val="20"/>
                <w:szCs w:val="20"/>
              </w:rPr>
              <w:t>/m</w:t>
            </w:r>
            <w:r w:rsidRPr="00D76EFB">
              <w:rPr>
                <w:rFonts w:ascii="Arial Narrow" w:hAnsi="Arial Narrow"/>
                <w:sz w:val="20"/>
                <w:szCs w:val="20"/>
                <w:vertAlign w:val="superscript"/>
              </w:rPr>
              <w:t>2</w:t>
            </w:r>
            <w:r w:rsidRPr="00D76EFB">
              <w:rPr>
                <w:rFonts w:ascii="Arial Narrow" w:hAnsi="Arial Narrow"/>
                <w:sz w:val="20"/>
                <w:szCs w:val="20"/>
              </w:rPr>
              <w:t xml:space="preserve"> with or without comorbidities and BMI 35</w:t>
            </w:r>
            <w:r w:rsidR="00F01CDC">
              <w:rPr>
                <w:rFonts w:ascii="Arial Narrow" w:hAnsi="Arial Narrow"/>
                <w:sz w:val="20"/>
                <w:szCs w:val="20"/>
              </w:rPr>
              <w:t>.00–</w:t>
            </w:r>
            <w:r w:rsidRPr="00D76EFB">
              <w:rPr>
                <w:rFonts w:ascii="Arial Narrow" w:hAnsi="Arial Narrow"/>
                <w:sz w:val="20"/>
                <w:szCs w:val="20"/>
              </w:rPr>
              <w:t>39.</w:t>
            </w:r>
            <w:r w:rsidR="006318DD" w:rsidRPr="00D76EFB">
              <w:rPr>
                <w:rFonts w:ascii="Arial Narrow" w:hAnsi="Arial Narrow"/>
                <w:sz w:val="20"/>
                <w:szCs w:val="20"/>
              </w:rPr>
              <w:t>99</w:t>
            </w:r>
            <w:r w:rsidR="00F01CDC">
              <w:rPr>
                <w:rFonts w:ascii="Arial Narrow" w:hAnsi="Arial Narrow"/>
                <w:sz w:val="20"/>
                <w:szCs w:val="20"/>
              </w:rPr>
              <w:t xml:space="preserve"> </w:t>
            </w:r>
            <w:r w:rsidR="006318DD" w:rsidRPr="00D76EFB">
              <w:rPr>
                <w:rFonts w:ascii="Arial Narrow" w:hAnsi="Arial Narrow"/>
                <w:sz w:val="20"/>
                <w:szCs w:val="20"/>
              </w:rPr>
              <w:t>kg</w:t>
            </w:r>
            <w:r w:rsidRPr="00D76EFB">
              <w:rPr>
                <w:rFonts w:ascii="Arial Narrow" w:hAnsi="Arial Narrow"/>
                <w:sz w:val="20"/>
                <w:szCs w:val="20"/>
              </w:rPr>
              <w:t>/m</w:t>
            </w:r>
            <w:r w:rsidRPr="00D76EFB">
              <w:rPr>
                <w:rFonts w:ascii="Arial Narrow" w:hAnsi="Arial Narrow"/>
                <w:sz w:val="20"/>
                <w:szCs w:val="20"/>
                <w:vertAlign w:val="superscript"/>
              </w:rPr>
              <w:t>2</w:t>
            </w:r>
            <w:r w:rsidRPr="00D76EFB">
              <w:rPr>
                <w:rFonts w:ascii="Arial Narrow" w:hAnsi="Arial Narrow"/>
                <w:sz w:val="20"/>
                <w:szCs w:val="20"/>
              </w:rPr>
              <w:t xml:space="preserve"> without comorbidities</w:t>
            </w:r>
            <w:r w:rsidR="00F01CDC">
              <w:rPr>
                <w:rFonts w:ascii="Arial Narrow" w:hAnsi="Arial Narrow"/>
                <w:sz w:val="20"/>
                <w:szCs w:val="20"/>
              </w:rPr>
              <w:t>:</w:t>
            </w:r>
            <w:r w:rsidR="006318DD" w:rsidRPr="00D76EFB">
              <w:rPr>
                <w:rFonts w:ascii="Arial Narrow" w:hAnsi="Arial Narrow"/>
                <w:sz w:val="20"/>
                <w:szCs w:val="20"/>
              </w:rPr>
              <w:t xml:space="preserve"> </w:t>
            </w:r>
            <w:r w:rsidR="00F01CDC">
              <w:rPr>
                <w:rFonts w:ascii="Arial Narrow" w:hAnsi="Arial Narrow"/>
                <w:sz w:val="20"/>
                <w:szCs w:val="20"/>
              </w:rPr>
              <w:t>m</w:t>
            </w:r>
            <w:r w:rsidRPr="00D76EFB">
              <w:rPr>
                <w:rFonts w:ascii="Arial Narrow" w:hAnsi="Arial Narrow"/>
                <w:sz w:val="20"/>
                <w:szCs w:val="20"/>
              </w:rPr>
              <w:t>oderate intensity lifestyle interventions (VLED, behavioural interventions and/or pharmacotherapy).</w:t>
            </w:r>
          </w:p>
        </w:tc>
        <w:tc>
          <w:tcPr>
            <w:tcW w:w="2126" w:type="dxa"/>
            <w:vAlign w:val="top"/>
          </w:tcPr>
          <w:p w14:paraId="1105F6B0" w14:textId="310EB331" w:rsidR="00D57847" w:rsidRPr="00D76EFB" w:rsidRDefault="00D57847" w:rsidP="009F4502">
            <w:pPr>
              <w:pStyle w:val="Tabletext8pt"/>
              <w:keepNext w:val="0"/>
              <w:keepLines w:val="0"/>
              <w:rPr>
                <w:rFonts w:ascii="Arial Narrow" w:hAnsi="Arial Narrow"/>
                <w:sz w:val="20"/>
                <w:szCs w:val="20"/>
              </w:rPr>
            </w:pPr>
            <w:r w:rsidRPr="00D76EFB">
              <w:rPr>
                <w:rFonts w:ascii="Arial Narrow" w:hAnsi="Arial Narrow"/>
                <w:sz w:val="20"/>
                <w:szCs w:val="20"/>
              </w:rPr>
              <w:t>Yes</w:t>
            </w:r>
          </w:p>
        </w:tc>
        <w:tc>
          <w:tcPr>
            <w:tcW w:w="3402" w:type="dxa"/>
            <w:vAlign w:val="top"/>
          </w:tcPr>
          <w:p w14:paraId="2CD57F0D" w14:textId="1BFD2396" w:rsidR="00D57847" w:rsidRPr="00D76EFB" w:rsidRDefault="00D57847" w:rsidP="009F4502">
            <w:pPr>
              <w:pStyle w:val="Tabletext8pt"/>
              <w:keepNext w:val="0"/>
              <w:keepLines w:val="0"/>
              <w:rPr>
                <w:rFonts w:ascii="Arial Narrow" w:hAnsi="Arial Narrow"/>
                <w:sz w:val="20"/>
                <w:szCs w:val="20"/>
              </w:rPr>
            </w:pPr>
            <w:r w:rsidRPr="00D76EFB">
              <w:rPr>
                <w:rFonts w:ascii="Arial Narrow" w:hAnsi="Arial Narrow"/>
                <w:sz w:val="20"/>
                <w:szCs w:val="20"/>
              </w:rPr>
              <w:t>N/A</w:t>
            </w:r>
          </w:p>
        </w:tc>
      </w:tr>
      <w:tr w:rsidR="001D1988" w:rsidRPr="004047C1" w14:paraId="7197211A" w14:textId="16B82DF5" w:rsidTr="004A59A6">
        <w:tc>
          <w:tcPr>
            <w:tcW w:w="1129" w:type="dxa"/>
            <w:vMerge/>
            <w:vAlign w:val="top"/>
          </w:tcPr>
          <w:p w14:paraId="344B2334" w14:textId="77777777" w:rsidR="00D57847" w:rsidRPr="00D76EFB" w:rsidRDefault="00D57847" w:rsidP="009F4502">
            <w:pPr>
              <w:pStyle w:val="Tabletext8pt"/>
              <w:keepNext w:val="0"/>
              <w:keepLines w:val="0"/>
              <w:rPr>
                <w:rFonts w:ascii="Arial Narrow" w:hAnsi="Arial Narrow"/>
                <w:sz w:val="20"/>
                <w:szCs w:val="20"/>
              </w:rPr>
            </w:pPr>
          </w:p>
        </w:tc>
        <w:tc>
          <w:tcPr>
            <w:tcW w:w="2552" w:type="dxa"/>
            <w:vAlign w:val="top"/>
          </w:tcPr>
          <w:p w14:paraId="41924793" w14:textId="2D88DE5D" w:rsidR="00D57847" w:rsidRPr="00D76EFB" w:rsidRDefault="00D57847" w:rsidP="009F4502">
            <w:pPr>
              <w:pStyle w:val="Tabletext8pt"/>
              <w:keepNext w:val="0"/>
              <w:keepLines w:val="0"/>
              <w:rPr>
                <w:rFonts w:ascii="Arial Narrow" w:hAnsi="Arial Narrow"/>
                <w:sz w:val="20"/>
                <w:szCs w:val="20"/>
              </w:rPr>
            </w:pPr>
            <w:r w:rsidRPr="00D76EFB">
              <w:rPr>
                <w:rFonts w:ascii="Arial Narrow" w:hAnsi="Arial Narrow"/>
                <w:sz w:val="20"/>
                <w:szCs w:val="20"/>
              </w:rPr>
              <w:t>For patients with BMI 35</w:t>
            </w:r>
            <w:r w:rsidR="00F01CDC">
              <w:rPr>
                <w:rFonts w:ascii="Arial Narrow" w:hAnsi="Arial Narrow"/>
                <w:sz w:val="20"/>
                <w:szCs w:val="20"/>
              </w:rPr>
              <w:t>.00–</w:t>
            </w:r>
            <w:r w:rsidRPr="00D76EFB">
              <w:rPr>
                <w:rFonts w:ascii="Arial Narrow" w:hAnsi="Arial Narrow"/>
                <w:sz w:val="20"/>
                <w:szCs w:val="20"/>
              </w:rPr>
              <w:t>39.</w:t>
            </w:r>
            <w:r w:rsidR="006318DD" w:rsidRPr="00D76EFB">
              <w:rPr>
                <w:rFonts w:ascii="Arial Narrow" w:hAnsi="Arial Narrow"/>
                <w:sz w:val="20"/>
                <w:szCs w:val="20"/>
              </w:rPr>
              <w:t>99</w:t>
            </w:r>
            <w:r w:rsidR="00F01CDC">
              <w:rPr>
                <w:rFonts w:ascii="Arial Narrow" w:hAnsi="Arial Narrow"/>
                <w:sz w:val="20"/>
                <w:szCs w:val="20"/>
              </w:rPr>
              <w:t xml:space="preserve"> </w:t>
            </w:r>
            <w:r w:rsidR="006318DD" w:rsidRPr="00D76EFB">
              <w:rPr>
                <w:rFonts w:ascii="Arial Narrow" w:hAnsi="Arial Narrow"/>
                <w:sz w:val="20"/>
                <w:szCs w:val="20"/>
              </w:rPr>
              <w:t>kg</w:t>
            </w:r>
            <w:r w:rsidRPr="00D76EFB">
              <w:rPr>
                <w:rFonts w:ascii="Arial Narrow" w:hAnsi="Arial Narrow"/>
                <w:sz w:val="20"/>
                <w:szCs w:val="20"/>
              </w:rPr>
              <w:t>/m</w:t>
            </w:r>
            <w:r w:rsidRPr="00D76EFB">
              <w:rPr>
                <w:rFonts w:ascii="Arial Narrow" w:hAnsi="Arial Narrow"/>
                <w:sz w:val="20"/>
                <w:szCs w:val="20"/>
                <w:vertAlign w:val="superscript"/>
              </w:rPr>
              <w:t>2</w:t>
            </w:r>
            <w:r w:rsidRPr="00D76EFB">
              <w:rPr>
                <w:rFonts w:ascii="Arial Narrow" w:hAnsi="Arial Narrow"/>
                <w:sz w:val="20"/>
                <w:szCs w:val="20"/>
              </w:rPr>
              <w:t xml:space="preserve"> with comorbidities and patients with BMI ≥40 kg/m</w:t>
            </w:r>
            <w:r w:rsidRPr="00D76EFB">
              <w:rPr>
                <w:rFonts w:ascii="Arial Narrow" w:hAnsi="Arial Narrow"/>
                <w:sz w:val="20"/>
                <w:szCs w:val="20"/>
                <w:vertAlign w:val="superscript"/>
              </w:rPr>
              <w:t>2</w:t>
            </w:r>
            <w:r w:rsidRPr="00D76EFB">
              <w:rPr>
                <w:rFonts w:ascii="Arial Narrow" w:hAnsi="Arial Narrow"/>
                <w:sz w:val="20"/>
                <w:szCs w:val="20"/>
              </w:rPr>
              <w:t xml:space="preserve"> with or without comorbidities: </w:t>
            </w:r>
            <w:r w:rsidR="00F01CDC">
              <w:rPr>
                <w:rFonts w:ascii="Arial Narrow" w:hAnsi="Arial Narrow"/>
                <w:sz w:val="20"/>
                <w:szCs w:val="20"/>
              </w:rPr>
              <w:t>b</w:t>
            </w:r>
            <w:r w:rsidRPr="00D76EFB">
              <w:rPr>
                <w:rFonts w:ascii="Arial Narrow" w:hAnsi="Arial Narrow"/>
                <w:sz w:val="20"/>
                <w:szCs w:val="20"/>
              </w:rPr>
              <w:t>ariatric surgery.</w:t>
            </w:r>
          </w:p>
        </w:tc>
        <w:tc>
          <w:tcPr>
            <w:tcW w:w="2126" w:type="dxa"/>
            <w:vAlign w:val="top"/>
          </w:tcPr>
          <w:p w14:paraId="23D0A965" w14:textId="76C76DD3" w:rsidR="00D57847" w:rsidRPr="00D76EFB" w:rsidRDefault="00D57847" w:rsidP="009F4502">
            <w:pPr>
              <w:pStyle w:val="Tabletext8pt"/>
              <w:keepNext w:val="0"/>
              <w:keepLines w:val="0"/>
              <w:rPr>
                <w:rFonts w:ascii="Arial Narrow" w:hAnsi="Arial Narrow"/>
                <w:sz w:val="20"/>
                <w:szCs w:val="20"/>
              </w:rPr>
            </w:pPr>
            <w:r w:rsidRPr="00D76EFB">
              <w:rPr>
                <w:rFonts w:ascii="Arial Narrow" w:hAnsi="Arial Narrow"/>
                <w:sz w:val="20"/>
                <w:szCs w:val="20"/>
              </w:rPr>
              <w:t>Yes</w:t>
            </w:r>
          </w:p>
          <w:p w14:paraId="16FF5D1D" w14:textId="5BCD21E6" w:rsidR="00D57847" w:rsidRPr="00D76EFB" w:rsidRDefault="00D57847" w:rsidP="009F4502">
            <w:pPr>
              <w:pStyle w:val="Tabletext8pt"/>
              <w:keepNext w:val="0"/>
              <w:keepLines w:val="0"/>
              <w:rPr>
                <w:rFonts w:ascii="Arial Narrow" w:hAnsi="Arial Narrow"/>
                <w:sz w:val="20"/>
                <w:szCs w:val="20"/>
              </w:rPr>
            </w:pPr>
            <w:r w:rsidRPr="00D76EFB">
              <w:rPr>
                <w:rFonts w:ascii="Arial Narrow" w:hAnsi="Arial Narrow"/>
                <w:sz w:val="20"/>
                <w:szCs w:val="20"/>
              </w:rPr>
              <w:t xml:space="preserve">Bariatric surgery was previously excluded as a comparator for </w:t>
            </w:r>
            <w:r w:rsidR="000A4638" w:rsidRPr="00D76EFB">
              <w:rPr>
                <w:rFonts w:ascii="Arial Narrow" w:hAnsi="Arial Narrow"/>
                <w:sz w:val="20"/>
                <w:szCs w:val="20"/>
              </w:rPr>
              <w:t>c</w:t>
            </w:r>
            <w:r w:rsidRPr="00D76EFB">
              <w:rPr>
                <w:rFonts w:ascii="Arial Narrow" w:hAnsi="Arial Narrow"/>
                <w:sz w:val="20"/>
                <w:szCs w:val="20"/>
              </w:rPr>
              <w:t>lass II obesity patients with comorbidities due to contraindications and by virtue of patient choice. PASC noted that bariatric surgery could be a relevant comparator in some patients.</w:t>
            </w:r>
          </w:p>
        </w:tc>
        <w:tc>
          <w:tcPr>
            <w:tcW w:w="3402" w:type="dxa"/>
            <w:vAlign w:val="top"/>
          </w:tcPr>
          <w:p w14:paraId="5DA3D7B5" w14:textId="1F057522" w:rsidR="00D57847" w:rsidRPr="00D76EFB" w:rsidRDefault="00D57847" w:rsidP="009F4502">
            <w:pPr>
              <w:pStyle w:val="Tabletext8pt"/>
              <w:keepNext w:val="0"/>
              <w:keepLines w:val="0"/>
              <w:rPr>
                <w:rFonts w:ascii="Arial Narrow" w:hAnsi="Arial Narrow"/>
                <w:sz w:val="20"/>
                <w:szCs w:val="20"/>
              </w:rPr>
            </w:pPr>
            <w:r w:rsidRPr="00D76EFB">
              <w:rPr>
                <w:rFonts w:ascii="Arial Narrow" w:hAnsi="Arial Narrow"/>
                <w:sz w:val="20"/>
                <w:szCs w:val="20"/>
              </w:rPr>
              <w:t>Based on PASC advice for MSAC Application 1555.1, the current application includes bariatric surgery as an additional comparator for patients with BMI 35</w:t>
            </w:r>
            <w:r w:rsidR="00680B5D">
              <w:rPr>
                <w:rFonts w:ascii="Arial Narrow" w:hAnsi="Arial Narrow"/>
                <w:sz w:val="20"/>
                <w:szCs w:val="20"/>
              </w:rPr>
              <w:t>.00–</w:t>
            </w:r>
            <w:r w:rsidRPr="00D76EFB">
              <w:rPr>
                <w:rFonts w:ascii="Arial Narrow" w:hAnsi="Arial Narrow"/>
                <w:sz w:val="20"/>
                <w:szCs w:val="20"/>
              </w:rPr>
              <w:t>39.</w:t>
            </w:r>
            <w:r w:rsidR="006318DD" w:rsidRPr="00D76EFB">
              <w:rPr>
                <w:rFonts w:ascii="Arial Narrow" w:hAnsi="Arial Narrow"/>
                <w:sz w:val="20"/>
                <w:szCs w:val="20"/>
              </w:rPr>
              <w:t>99</w:t>
            </w:r>
            <w:r w:rsidR="00680B5D">
              <w:rPr>
                <w:rFonts w:ascii="Arial Narrow" w:hAnsi="Arial Narrow"/>
                <w:sz w:val="20"/>
                <w:szCs w:val="20"/>
              </w:rPr>
              <w:t xml:space="preserve"> </w:t>
            </w:r>
            <w:r w:rsidR="006318DD" w:rsidRPr="00D76EFB">
              <w:rPr>
                <w:rFonts w:ascii="Arial Narrow" w:hAnsi="Arial Narrow"/>
                <w:sz w:val="20"/>
                <w:szCs w:val="20"/>
              </w:rPr>
              <w:t>kg</w:t>
            </w:r>
            <w:r w:rsidRPr="00D76EFB">
              <w:rPr>
                <w:rFonts w:ascii="Arial Narrow" w:hAnsi="Arial Narrow"/>
                <w:sz w:val="20"/>
                <w:szCs w:val="20"/>
              </w:rPr>
              <w:t>/m</w:t>
            </w:r>
            <w:r w:rsidRPr="00D76EFB">
              <w:rPr>
                <w:rFonts w:ascii="Arial Narrow" w:hAnsi="Arial Narrow"/>
                <w:sz w:val="20"/>
                <w:szCs w:val="20"/>
                <w:vertAlign w:val="superscript"/>
              </w:rPr>
              <w:t xml:space="preserve">2 </w:t>
            </w:r>
            <w:r w:rsidRPr="00D76EFB">
              <w:rPr>
                <w:rFonts w:ascii="Arial Narrow" w:hAnsi="Arial Narrow"/>
                <w:sz w:val="20"/>
                <w:szCs w:val="20"/>
              </w:rPr>
              <w:t>with comorbidities</w:t>
            </w:r>
            <w:r w:rsidR="00680B5D">
              <w:rPr>
                <w:rFonts w:ascii="Arial Narrow" w:hAnsi="Arial Narrow"/>
                <w:sz w:val="20"/>
                <w:szCs w:val="20"/>
              </w:rPr>
              <w:t>,</w:t>
            </w:r>
            <w:r w:rsidRPr="00D76EFB">
              <w:rPr>
                <w:rFonts w:ascii="Arial Narrow" w:hAnsi="Arial Narrow"/>
                <w:sz w:val="20"/>
                <w:szCs w:val="20"/>
              </w:rPr>
              <w:t xml:space="preserve"> which is aligned with the Australian clinical guidelines for bariatric procedures</w:t>
            </w:r>
            <w:r w:rsidR="006318DD" w:rsidRPr="00D76EFB">
              <w:rPr>
                <w:rFonts w:ascii="Arial Narrow" w:hAnsi="Arial Narrow"/>
                <w:sz w:val="20"/>
                <w:szCs w:val="20"/>
              </w:rPr>
              <w:t>.</w:t>
            </w:r>
            <w:r w:rsidR="000F04AB" w:rsidRPr="00115CA8">
              <w:rPr>
                <w:rFonts w:ascii="Arial Narrow" w:hAnsi="Arial Narrow"/>
                <w:sz w:val="20"/>
                <w:szCs w:val="20"/>
                <w:vertAlign w:val="superscript"/>
              </w:rPr>
              <w:fldChar w:fldCharType="begin"/>
            </w:r>
            <w:r w:rsidR="000F04AB" w:rsidRPr="00115CA8">
              <w:rPr>
                <w:rFonts w:ascii="Arial Narrow" w:hAnsi="Arial Narrow"/>
                <w:sz w:val="20"/>
                <w:szCs w:val="20"/>
                <w:vertAlign w:val="superscript"/>
              </w:rPr>
              <w:instrText xml:space="preserve"> NOTEREF _Ref187240790 \h </w:instrText>
            </w:r>
            <w:r w:rsidR="000F04AB">
              <w:rPr>
                <w:rFonts w:ascii="Arial Narrow" w:hAnsi="Arial Narrow"/>
                <w:sz w:val="20"/>
                <w:szCs w:val="20"/>
                <w:vertAlign w:val="superscript"/>
              </w:rPr>
              <w:instrText xml:space="preserve"> \* MERGEFORMAT </w:instrText>
            </w:r>
            <w:r w:rsidR="000F04AB" w:rsidRPr="00115CA8">
              <w:rPr>
                <w:rFonts w:ascii="Arial Narrow" w:hAnsi="Arial Narrow"/>
                <w:sz w:val="20"/>
                <w:szCs w:val="20"/>
                <w:vertAlign w:val="superscript"/>
              </w:rPr>
            </w:r>
            <w:r w:rsidR="000F04AB" w:rsidRPr="00115CA8">
              <w:rPr>
                <w:rFonts w:ascii="Arial Narrow" w:hAnsi="Arial Narrow"/>
                <w:sz w:val="20"/>
                <w:szCs w:val="20"/>
                <w:vertAlign w:val="superscript"/>
              </w:rPr>
              <w:fldChar w:fldCharType="separate"/>
            </w:r>
            <w:r w:rsidR="008F37D1">
              <w:rPr>
                <w:rFonts w:ascii="Arial Narrow" w:hAnsi="Arial Narrow"/>
                <w:sz w:val="20"/>
                <w:szCs w:val="20"/>
                <w:vertAlign w:val="superscript"/>
              </w:rPr>
              <w:t>18</w:t>
            </w:r>
            <w:r w:rsidR="000F04AB" w:rsidRPr="00115CA8">
              <w:rPr>
                <w:rFonts w:ascii="Arial Narrow" w:hAnsi="Arial Narrow"/>
                <w:sz w:val="20"/>
                <w:szCs w:val="20"/>
                <w:vertAlign w:val="superscript"/>
              </w:rPr>
              <w:fldChar w:fldCharType="end"/>
            </w:r>
          </w:p>
        </w:tc>
      </w:tr>
      <w:tr w:rsidR="001D1988" w:rsidRPr="004047C1" w14:paraId="2871BC41" w14:textId="0B71F2AF" w:rsidTr="004A59A6">
        <w:tc>
          <w:tcPr>
            <w:tcW w:w="1129" w:type="dxa"/>
            <w:vMerge w:val="restart"/>
            <w:vAlign w:val="top"/>
          </w:tcPr>
          <w:p w14:paraId="4DDDE74B" w14:textId="77777777" w:rsidR="00D57847" w:rsidRPr="00D76EFB" w:rsidRDefault="00D57847" w:rsidP="009F4502">
            <w:pPr>
              <w:pStyle w:val="Tabletext8pt"/>
              <w:keepNext w:val="0"/>
              <w:keepLines w:val="0"/>
              <w:rPr>
                <w:rFonts w:ascii="Arial Narrow" w:hAnsi="Arial Narrow"/>
                <w:sz w:val="20"/>
                <w:szCs w:val="20"/>
              </w:rPr>
            </w:pPr>
            <w:r w:rsidRPr="00D76EFB">
              <w:rPr>
                <w:rFonts w:ascii="Arial Narrow" w:hAnsi="Arial Narrow"/>
                <w:sz w:val="20"/>
                <w:szCs w:val="20"/>
              </w:rPr>
              <w:t>Outcomes</w:t>
            </w:r>
          </w:p>
        </w:tc>
        <w:tc>
          <w:tcPr>
            <w:tcW w:w="2552" w:type="dxa"/>
            <w:vAlign w:val="top"/>
          </w:tcPr>
          <w:p w14:paraId="54FF0408" w14:textId="77777777" w:rsidR="00D57847" w:rsidRPr="00D76EFB" w:rsidRDefault="00D57847" w:rsidP="009F4502">
            <w:pPr>
              <w:pStyle w:val="Tabletext8pt"/>
              <w:keepNext w:val="0"/>
              <w:keepLines w:val="0"/>
              <w:rPr>
                <w:rFonts w:ascii="Arial Narrow" w:hAnsi="Arial Narrow"/>
                <w:sz w:val="20"/>
                <w:szCs w:val="20"/>
              </w:rPr>
            </w:pPr>
            <w:r w:rsidRPr="00D76EFB">
              <w:rPr>
                <w:rFonts w:ascii="Arial Narrow" w:hAnsi="Arial Narrow"/>
                <w:b/>
                <w:sz w:val="20"/>
                <w:szCs w:val="20"/>
              </w:rPr>
              <w:t xml:space="preserve">Safety: </w:t>
            </w:r>
            <w:r w:rsidRPr="00D76EFB">
              <w:rPr>
                <w:rFonts w:ascii="Arial Narrow" w:hAnsi="Arial Narrow"/>
                <w:sz w:val="20"/>
                <w:szCs w:val="20"/>
              </w:rPr>
              <w:t>Mortality, perioperative AEs, long-term AEs (e.g. sutures reopening).</w:t>
            </w:r>
          </w:p>
        </w:tc>
        <w:tc>
          <w:tcPr>
            <w:tcW w:w="2126" w:type="dxa"/>
            <w:vAlign w:val="top"/>
          </w:tcPr>
          <w:p w14:paraId="564A944D" w14:textId="2905A49A" w:rsidR="00D57847" w:rsidRPr="00D76EFB" w:rsidRDefault="00D57847" w:rsidP="009F4502">
            <w:pPr>
              <w:pStyle w:val="Tabletext8pt"/>
              <w:keepNext w:val="0"/>
              <w:keepLines w:val="0"/>
              <w:rPr>
                <w:rFonts w:ascii="Arial Narrow" w:hAnsi="Arial Narrow"/>
                <w:sz w:val="20"/>
                <w:szCs w:val="20"/>
              </w:rPr>
            </w:pPr>
            <w:r w:rsidRPr="00D76EFB">
              <w:rPr>
                <w:rFonts w:ascii="Arial Narrow" w:hAnsi="Arial Narrow"/>
                <w:sz w:val="20"/>
                <w:szCs w:val="20"/>
              </w:rPr>
              <w:t>Partial</w:t>
            </w:r>
          </w:p>
          <w:p w14:paraId="06282F4F" w14:textId="4F1FD49A" w:rsidR="00D57847" w:rsidRPr="00D76EFB" w:rsidRDefault="00D57847" w:rsidP="009F4502">
            <w:pPr>
              <w:pStyle w:val="Tabletext8pt"/>
              <w:keepNext w:val="0"/>
              <w:keepLines w:val="0"/>
              <w:rPr>
                <w:rFonts w:ascii="Arial Narrow" w:hAnsi="Arial Narrow"/>
                <w:sz w:val="20"/>
                <w:szCs w:val="20"/>
              </w:rPr>
            </w:pPr>
            <w:r w:rsidRPr="2AA1CA0C">
              <w:rPr>
                <w:rFonts w:ascii="Arial Narrow" w:hAnsi="Arial Narrow"/>
                <w:sz w:val="20"/>
                <w:szCs w:val="20"/>
              </w:rPr>
              <w:t>PICO 1555.1 stated revision procedures or conversion to gastric sleeve or gastric bypass as safety endpoints.</w:t>
            </w:r>
          </w:p>
        </w:tc>
        <w:tc>
          <w:tcPr>
            <w:tcW w:w="3402" w:type="dxa"/>
            <w:vAlign w:val="top"/>
          </w:tcPr>
          <w:p w14:paraId="4EAB9B4D" w14:textId="77777777" w:rsidR="00D57847" w:rsidRPr="00D76EFB" w:rsidRDefault="00D57847" w:rsidP="009F4502">
            <w:pPr>
              <w:pStyle w:val="Tabletext8pt"/>
              <w:keepNext w:val="0"/>
              <w:keepLines w:val="0"/>
              <w:rPr>
                <w:rFonts w:ascii="Arial Narrow" w:hAnsi="Arial Narrow"/>
                <w:sz w:val="20"/>
                <w:szCs w:val="20"/>
              </w:rPr>
            </w:pPr>
            <w:r w:rsidRPr="00D76EFB">
              <w:rPr>
                <w:rFonts w:ascii="Arial Narrow" w:hAnsi="Arial Narrow"/>
                <w:sz w:val="20"/>
                <w:szCs w:val="20"/>
              </w:rPr>
              <w:t>Revision procedures and conversions to gastric sleeve or gastric bypass are considered as an efficacy outcome instead of a safety endpoint.</w:t>
            </w:r>
          </w:p>
        </w:tc>
      </w:tr>
      <w:tr w:rsidR="001D1988" w:rsidRPr="004047C1" w14:paraId="3A7D1205" w14:textId="06C4A6AD" w:rsidTr="004A59A6">
        <w:tc>
          <w:tcPr>
            <w:tcW w:w="1129" w:type="dxa"/>
            <w:vMerge/>
            <w:vAlign w:val="top"/>
          </w:tcPr>
          <w:p w14:paraId="2E4FD6F1" w14:textId="77777777" w:rsidR="00D57847" w:rsidRPr="00D76EFB" w:rsidRDefault="00D57847" w:rsidP="009F4502">
            <w:pPr>
              <w:pStyle w:val="Tabletext8pt"/>
              <w:keepNext w:val="0"/>
              <w:keepLines w:val="0"/>
              <w:rPr>
                <w:rFonts w:ascii="Arial Narrow" w:hAnsi="Arial Narrow"/>
                <w:sz w:val="20"/>
                <w:szCs w:val="20"/>
              </w:rPr>
            </w:pPr>
          </w:p>
        </w:tc>
        <w:tc>
          <w:tcPr>
            <w:tcW w:w="2552" w:type="dxa"/>
            <w:vAlign w:val="top"/>
          </w:tcPr>
          <w:p w14:paraId="47F5A069" w14:textId="5D4EA5C4" w:rsidR="00D57847" w:rsidRPr="00D76EFB" w:rsidRDefault="00D57847" w:rsidP="009F4502">
            <w:pPr>
              <w:pStyle w:val="Tabletext8pt"/>
              <w:keepNext w:val="0"/>
              <w:keepLines w:val="0"/>
              <w:rPr>
                <w:rFonts w:ascii="Arial Narrow" w:hAnsi="Arial Narrow"/>
                <w:sz w:val="20"/>
                <w:szCs w:val="20"/>
              </w:rPr>
            </w:pPr>
            <w:r w:rsidRPr="2AA1CA0C">
              <w:rPr>
                <w:rFonts w:ascii="Arial Narrow" w:hAnsi="Arial Narrow"/>
                <w:b/>
                <w:bCs/>
                <w:sz w:val="20"/>
                <w:szCs w:val="20"/>
              </w:rPr>
              <w:t xml:space="preserve">Effectiveness: </w:t>
            </w:r>
            <w:r w:rsidRPr="2AA1CA0C">
              <w:rPr>
                <w:rFonts w:ascii="Arial Narrow" w:hAnsi="Arial Narrow"/>
                <w:sz w:val="20"/>
                <w:szCs w:val="20"/>
              </w:rPr>
              <w:t xml:space="preserve">Total body weight loss, maintenance of weight loss, revision procedures required, conversion to bariatric surgery, changes in comorbidity markers, quality of life. </w:t>
            </w:r>
          </w:p>
        </w:tc>
        <w:tc>
          <w:tcPr>
            <w:tcW w:w="2126" w:type="dxa"/>
            <w:vAlign w:val="top"/>
          </w:tcPr>
          <w:p w14:paraId="3517B336" w14:textId="5888733F" w:rsidR="00D57847" w:rsidRPr="00D76EFB" w:rsidRDefault="00D57847" w:rsidP="009F4502">
            <w:pPr>
              <w:pStyle w:val="Tabletext8pt"/>
              <w:keepNext w:val="0"/>
              <w:keepLines w:val="0"/>
              <w:rPr>
                <w:rFonts w:ascii="Arial Narrow" w:hAnsi="Arial Narrow"/>
                <w:sz w:val="20"/>
                <w:szCs w:val="20"/>
              </w:rPr>
            </w:pPr>
            <w:r w:rsidRPr="00D76EFB">
              <w:rPr>
                <w:rFonts w:ascii="Arial Narrow" w:hAnsi="Arial Narrow"/>
                <w:sz w:val="20"/>
                <w:szCs w:val="20"/>
              </w:rPr>
              <w:t>Partial</w:t>
            </w:r>
          </w:p>
          <w:p w14:paraId="6942FB00" w14:textId="1AF51999" w:rsidR="00D57847" w:rsidRPr="00D76EFB" w:rsidRDefault="00D57847" w:rsidP="009F4502">
            <w:pPr>
              <w:pStyle w:val="Tabletext8pt"/>
              <w:keepNext w:val="0"/>
              <w:keepLines w:val="0"/>
              <w:rPr>
                <w:rFonts w:ascii="Arial Narrow" w:hAnsi="Arial Narrow"/>
                <w:sz w:val="20"/>
                <w:szCs w:val="20"/>
              </w:rPr>
            </w:pPr>
            <w:r w:rsidRPr="2AA1CA0C">
              <w:rPr>
                <w:rFonts w:ascii="Arial Narrow" w:hAnsi="Arial Narrow"/>
                <w:sz w:val="20"/>
                <w:szCs w:val="20"/>
              </w:rPr>
              <w:t>PICO 1555.1 stated the effectiveness outcome of excess body weight loss to be a primary outcome.</w:t>
            </w:r>
          </w:p>
        </w:tc>
        <w:tc>
          <w:tcPr>
            <w:tcW w:w="3402" w:type="dxa"/>
            <w:vAlign w:val="top"/>
          </w:tcPr>
          <w:p w14:paraId="49A42DC7" w14:textId="24C4464C" w:rsidR="00D57847" w:rsidRPr="00D76EFB" w:rsidRDefault="00D57847" w:rsidP="009F4502">
            <w:pPr>
              <w:pStyle w:val="Tabletext8pt"/>
              <w:keepNext w:val="0"/>
              <w:keepLines w:val="0"/>
              <w:rPr>
                <w:rFonts w:ascii="Arial Narrow" w:hAnsi="Arial Narrow"/>
                <w:sz w:val="20"/>
                <w:szCs w:val="20"/>
              </w:rPr>
            </w:pPr>
            <w:r w:rsidRPr="2AA1CA0C">
              <w:rPr>
                <w:rFonts w:ascii="Arial Narrow" w:hAnsi="Arial Narrow"/>
                <w:sz w:val="20"/>
                <w:szCs w:val="20"/>
              </w:rPr>
              <w:t xml:space="preserve">Based on </w:t>
            </w:r>
            <w:r w:rsidR="006318DD" w:rsidRPr="2AA1CA0C">
              <w:rPr>
                <w:rFonts w:ascii="Arial Narrow" w:hAnsi="Arial Narrow"/>
                <w:sz w:val="20"/>
                <w:szCs w:val="20"/>
              </w:rPr>
              <w:t>Australia</w:t>
            </w:r>
            <w:r w:rsidR="00C50AAA" w:rsidRPr="2AA1CA0C">
              <w:rPr>
                <w:rFonts w:ascii="Arial Narrow" w:hAnsi="Arial Narrow"/>
                <w:sz w:val="20"/>
                <w:szCs w:val="20"/>
              </w:rPr>
              <w:t>n</w:t>
            </w:r>
            <w:r w:rsidRPr="2AA1CA0C">
              <w:rPr>
                <w:rFonts w:ascii="Arial Narrow" w:hAnsi="Arial Narrow"/>
                <w:sz w:val="20"/>
                <w:szCs w:val="20"/>
              </w:rPr>
              <w:t xml:space="preserve"> clinicians feedback, it was noted that this outcome is no longer commonly used in this disease area, as it is not consistently defined or easily understood. The recommended outcome of total body weight lost was considered a more appropriate primary for this application. Excess weight loss is presented as a secondary effectiveness endpoint.</w:t>
            </w:r>
          </w:p>
        </w:tc>
      </w:tr>
      <w:tr w:rsidR="001D1988" w:rsidRPr="004047C1" w14:paraId="04F60B49" w14:textId="5B038A03" w:rsidTr="004A59A6">
        <w:tc>
          <w:tcPr>
            <w:tcW w:w="1129" w:type="dxa"/>
            <w:vMerge/>
            <w:vAlign w:val="top"/>
          </w:tcPr>
          <w:p w14:paraId="6B2924C7" w14:textId="77777777" w:rsidR="00D57847" w:rsidRPr="00D76EFB" w:rsidRDefault="00D57847" w:rsidP="009F4502">
            <w:pPr>
              <w:pStyle w:val="Tabletext8pt"/>
              <w:keepNext w:val="0"/>
              <w:keepLines w:val="0"/>
              <w:rPr>
                <w:rFonts w:ascii="Arial Narrow" w:hAnsi="Arial Narrow"/>
                <w:sz w:val="20"/>
                <w:szCs w:val="20"/>
              </w:rPr>
            </w:pPr>
          </w:p>
        </w:tc>
        <w:tc>
          <w:tcPr>
            <w:tcW w:w="2552" w:type="dxa"/>
            <w:vAlign w:val="top"/>
          </w:tcPr>
          <w:p w14:paraId="2474D3C4" w14:textId="05BA26C9" w:rsidR="00D57847" w:rsidRPr="00D76EFB" w:rsidRDefault="00D57847" w:rsidP="009F4502">
            <w:pPr>
              <w:pStyle w:val="Tabletext8pt"/>
              <w:keepNext w:val="0"/>
              <w:keepLines w:val="0"/>
              <w:rPr>
                <w:rFonts w:ascii="Arial Narrow" w:hAnsi="Arial Narrow"/>
                <w:b/>
                <w:sz w:val="20"/>
                <w:szCs w:val="20"/>
              </w:rPr>
            </w:pPr>
            <w:r w:rsidRPr="00D76EFB">
              <w:rPr>
                <w:rFonts w:ascii="Arial Narrow" w:hAnsi="Arial Narrow"/>
                <w:b/>
                <w:sz w:val="20"/>
                <w:szCs w:val="20"/>
              </w:rPr>
              <w:t xml:space="preserve">Healthcare system outcomes: </w:t>
            </w:r>
            <w:r w:rsidRPr="00D76EFB">
              <w:rPr>
                <w:rFonts w:ascii="Arial Narrow" w:hAnsi="Arial Narrow"/>
                <w:sz w:val="20"/>
                <w:szCs w:val="20"/>
              </w:rPr>
              <w:t>Cost associated with the intervention and comparator, including those of any AEs.</w:t>
            </w:r>
          </w:p>
        </w:tc>
        <w:tc>
          <w:tcPr>
            <w:tcW w:w="2126" w:type="dxa"/>
            <w:vAlign w:val="top"/>
          </w:tcPr>
          <w:p w14:paraId="30ECC837" w14:textId="516E99E7" w:rsidR="00D57847" w:rsidRPr="00D76EFB" w:rsidRDefault="00D57847" w:rsidP="009F4502">
            <w:pPr>
              <w:pStyle w:val="Tabletext8pt"/>
              <w:keepNext w:val="0"/>
              <w:keepLines w:val="0"/>
              <w:rPr>
                <w:rFonts w:ascii="Arial Narrow" w:hAnsi="Arial Narrow"/>
                <w:sz w:val="20"/>
                <w:szCs w:val="20"/>
              </w:rPr>
            </w:pPr>
            <w:r w:rsidRPr="00D76EFB">
              <w:rPr>
                <w:rFonts w:ascii="Arial Narrow" w:hAnsi="Arial Narrow"/>
                <w:sz w:val="20"/>
                <w:szCs w:val="20"/>
              </w:rPr>
              <w:t>Yes</w:t>
            </w:r>
          </w:p>
        </w:tc>
        <w:tc>
          <w:tcPr>
            <w:tcW w:w="3402" w:type="dxa"/>
            <w:vAlign w:val="top"/>
          </w:tcPr>
          <w:p w14:paraId="06C9C0CC" w14:textId="1B130531" w:rsidR="00D57847" w:rsidRPr="00D76EFB" w:rsidRDefault="00D57847" w:rsidP="009F4502">
            <w:pPr>
              <w:pStyle w:val="Tabletext8pt"/>
              <w:keepNext w:val="0"/>
              <w:keepLines w:val="0"/>
              <w:rPr>
                <w:rFonts w:ascii="Arial Narrow" w:hAnsi="Arial Narrow"/>
                <w:sz w:val="20"/>
                <w:szCs w:val="20"/>
              </w:rPr>
            </w:pPr>
            <w:r w:rsidRPr="00D76EFB">
              <w:rPr>
                <w:rFonts w:ascii="Arial Narrow" w:hAnsi="Arial Narrow"/>
                <w:sz w:val="20"/>
                <w:szCs w:val="20"/>
              </w:rPr>
              <w:t>N/A</w:t>
            </w:r>
          </w:p>
        </w:tc>
      </w:tr>
    </w:tbl>
    <w:p w14:paraId="2B0A16B3" w14:textId="41510A0B" w:rsidR="00730701" w:rsidRPr="00D76EFB" w:rsidRDefault="00D57847" w:rsidP="004A59A6">
      <w:pPr>
        <w:pStyle w:val="TableFigureFooter"/>
      </w:pPr>
      <w:r w:rsidRPr="2AA1CA0C">
        <w:t>Abbreviations: AE: adverse event; BMI: body mass index; ESG: endoscopic sleeve gastroplasty; LSG: laparoscopic sleeve gastrectomy; PASC: PICO Advisory Sub-Committee; VLED: very low energy diet</w:t>
      </w:r>
      <w:r>
        <w:br/>
      </w:r>
      <w:r w:rsidR="007E4399" w:rsidRPr="2AA1CA0C">
        <w:t>Source: Ratified PICO Application 1555.1</w:t>
      </w:r>
    </w:p>
    <w:p w14:paraId="50796FFE" w14:textId="44DC16C1" w:rsidR="00EB2101" w:rsidRPr="00730701" w:rsidRDefault="007F28BC" w:rsidP="00EB2101">
      <w:pPr>
        <w:rPr>
          <w:vertAlign w:val="superscript"/>
        </w:rPr>
      </w:pPr>
      <w:r>
        <w:t xml:space="preserve">In 2021 </w:t>
      </w:r>
      <w:r w:rsidR="792C17DA">
        <w:t xml:space="preserve">PASC recommended that the applicant revise the proposed population to align with current Australian guidelines for reimbursement of bariatric procedures (NHMRC 2013). </w:t>
      </w:r>
      <w:r w:rsidR="00B67141">
        <w:t>MBS explana</w:t>
      </w:r>
      <w:r w:rsidR="00163441">
        <w:t xml:space="preserve">tory note </w:t>
      </w:r>
      <w:r w:rsidR="00EF1FCF" w:rsidRPr="00EF1FCF">
        <w:t>TN8.29 details</w:t>
      </w:r>
      <w:r w:rsidR="00811BBC">
        <w:t xml:space="preserve"> that </w:t>
      </w:r>
      <w:r w:rsidR="008A7801">
        <w:t>currently available</w:t>
      </w:r>
      <w:r w:rsidR="007A1BC1">
        <w:t xml:space="preserve"> </w:t>
      </w:r>
      <w:r w:rsidR="00236DE8">
        <w:t xml:space="preserve">bariatric surgery </w:t>
      </w:r>
      <w:r w:rsidR="007A1BC1">
        <w:t>items</w:t>
      </w:r>
      <w:r w:rsidR="00661E4A">
        <w:t>,</w:t>
      </w:r>
      <w:r w:rsidR="007A1BC1">
        <w:t xml:space="preserve"> </w:t>
      </w:r>
      <w:r w:rsidR="00236DE8">
        <w:t xml:space="preserve">including </w:t>
      </w:r>
      <w:r w:rsidR="00236DE8" w:rsidRPr="003B7C64">
        <w:t>sleeve gastrectomy (MBS 31575)</w:t>
      </w:r>
      <w:r w:rsidR="00236DE8">
        <w:t>,</w:t>
      </w:r>
      <w:r w:rsidR="007A1BC1">
        <w:t xml:space="preserve"> </w:t>
      </w:r>
      <w:r w:rsidR="003B7C64" w:rsidRPr="003B7C64">
        <w:t>gastric band (MBS 31569)</w:t>
      </w:r>
      <w:r w:rsidR="004B296F">
        <w:t>, gastroplasty (31578)</w:t>
      </w:r>
      <w:r w:rsidR="00A6741F">
        <w:t>,</w:t>
      </w:r>
      <w:r w:rsidR="00236DE8">
        <w:t xml:space="preserve"> and</w:t>
      </w:r>
      <w:r w:rsidR="003B7C64" w:rsidRPr="003B7C64">
        <w:t xml:space="preserve"> ‘Roux-en-Y (MBS 31572</w:t>
      </w:r>
      <w:r w:rsidR="00F2681C">
        <w:t>)</w:t>
      </w:r>
      <w:r w:rsidR="00FB71C3">
        <w:t>,</w:t>
      </w:r>
      <w:r w:rsidR="00F2681C">
        <w:t xml:space="preserve"> provide treatment for clinically severe</w:t>
      </w:r>
      <w:r w:rsidR="00FA43F0">
        <w:t xml:space="preserve"> obesity</w:t>
      </w:r>
      <w:r w:rsidR="00E80903">
        <w:t xml:space="preserve"> referring to a patient with a BMI </w:t>
      </w:r>
      <w:r w:rsidR="00E0351A" w:rsidRPr="00E0351A">
        <w:t>40kg/m</w:t>
      </w:r>
      <w:r w:rsidR="00E0351A" w:rsidRPr="00115CA8">
        <w:rPr>
          <w:vertAlign w:val="superscript"/>
        </w:rPr>
        <w:t>2</w:t>
      </w:r>
      <w:r w:rsidR="003217C9">
        <w:t xml:space="preserve">, or those with a </w:t>
      </w:r>
      <w:r w:rsidR="00292DF1">
        <w:t xml:space="preserve">BMI of </w:t>
      </w:r>
      <w:r w:rsidR="00057562" w:rsidRPr="00057562">
        <w:t>35-40 kg/m</w:t>
      </w:r>
      <w:r w:rsidR="00057562" w:rsidRPr="00115CA8">
        <w:rPr>
          <w:vertAlign w:val="superscript"/>
        </w:rPr>
        <w:t>2</w:t>
      </w:r>
      <w:r w:rsidR="00DD2FBE">
        <w:rPr>
          <w:vertAlign w:val="superscript"/>
        </w:rPr>
        <w:t xml:space="preserve"> </w:t>
      </w:r>
      <w:r w:rsidR="00DD2FBE">
        <w:t xml:space="preserve">with </w:t>
      </w:r>
      <w:r w:rsidR="00E11BF8">
        <w:t>major comorbidities.</w:t>
      </w:r>
      <w:r w:rsidR="00A8254D">
        <w:t xml:space="preserve"> </w:t>
      </w:r>
      <w:r w:rsidR="00EB2101">
        <w:t xml:space="preserve">Such recommendations are consistent with the </w:t>
      </w:r>
      <w:r>
        <w:t xml:space="preserve">2013 </w:t>
      </w:r>
      <w:r w:rsidR="00EB2101" w:rsidRPr="006C1491">
        <w:t xml:space="preserve">NHMRC </w:t>
      </w:r>
      <w:r w:rsidR="00EB2101">
        <w:t>c</w:t>
      </w:r>
      <w:r w:rsidR="00EB2101" w:rsidRPr="006C1491">
        <w:t>linical practice guidelines</w:t>
      </w:r>
      <w:r w:rsidR="00EB2101">
        <w:t xml:space="preserve"> (</w:t>
      </w:r>
      <w:r w:rsidR="00EB2101" w:rsidRPr="003F2615">
        <w:t>BMI &gt; 40 kg/m</w:t>
      </w:r>
      <w:r w:rsidR="00EB2101" w:rsidRPr="00115CA8">
        <w:rPr>
          <w:vertAlign w:val="superscript"/>
        </w:rPr>
        <w:t>2</w:t>
      </w:r>
      <w:r w:rsidR="00EB2101" w:rsidRPr="003F2615">
        <w:t xml:space="preserve"> or adults with BMI &gt; 35 kg/m</w:t>
      </w:r>
      <w:r w:rsidR="00EB2101" w:rsidRPr="00115CA8">
        <w:rPr>
          <w:vertAlign w:val="superscript"/>
        </w:rPr>
        <w:t>2</w:t>
      </w:r>
      <w:r w:rsidR="00EB2101" w:rsidRPr="003F2615">
        <w:t xml:space="preserve"> and comorbidities</w:t>
      </w:r>
      <w:r w:rsidR="00EB2101">
        <w:t>).</w:t>
      </w:r>
      <w:r w:rsidR="00EB2101" w:rsidRPr="2894E716">
        <w:rPr>
          <w:rFonts w:ascii="Franklin Gothic Medium" w:eastAsiaTheme="majorEastAsia" w:hAnsi="Franklin Gothic Medium" w:cstheme="majorBidi"/>
          <w:color w:val="000000" w:themeColor="text1"/>
          <w:sz w:val="32"/>
          <w:szCs w:val="32"/>
          <w:vertAlign w:val="superscript"/>
        </w:rPr>
        <w:fldChar w:fldCharType="begin"/>
      </w:r>
      <w:r w:rsidR="00EB2101" w:rsidRPr="00115CA8">
        <w:rPr>
          <w:vertAlign w:val="superscript"/>
        </w:rPr>
        <w:instrText xml:space="preserve"> NOTEREF _Ref187240790 \h </w:instrText>
      </w:r>
      <w:r w:rsidR="00EB2101">
        <w:rPr>
          <w:vertAlign w:val="superscript"/>
        </w:rPr>
        <w:instrText xml:space="preserve"> \* MERGEFORMAT </w:instrText>
      </w:r>
      <w:r w:rsidR="00EB2101" w:rsidRPr="2894E716">
        <w:rPr>
          <w:rFonts w:ascii="Franklin Gothic Medium" w:eastAsiaTheme="majorEastAsia" w:hAnsi="Franklin Gothic Medium" w:cstheme="majorBidi"/>
          <w:color w:val="000000" w:themeColor="text1"/>
          <w:sz w:val="32"/>
          <w:szCs w:val="32"/>
          <w:vertAlign w:val="superscript"/>
        </w:rPr>
      </w:r>
      <w:r w:rsidR="00EB2101" w:rsidRPr="2894E716">
        <w:rPr>
          <w:rFonts w:ascii="Franklin Gothic Medium" w:eastAsiaTheme="majorEastAsia" w:hAnsi="Franklin Gothic Medium" w:cstheme="majorBidi"/>
          <w:color w:val="000000" w:themeColor="text1"/>
          <w:sz w:val="32"/>
          <w:szCs w:val="32"/>
          <w:vertAlign w:val="superscript"/>
        </w:rPr>
        <w:fldChar w:fldCharType="separate"/>
      </w:r>
      <w:r w:rsidR="008F37D1">
        <w:rPr>
          <w:vertAlign w:val="superscript"/>
        </w:rPr>
        <w:t>18</w:t>
      </w:r>
      <w:r w:rsidR="00EB2101" w:rsidRPr="2894E716">
        <w:rPr>
          <w:rFonts w:ascii="Franklin Gothic Medium" w:eastAsiaTheme="majorEastAsia" w:hAnsi="Franklin Gothic Medium" w:cstheme="majorBidi"/>
          <w:color w:val="000000" w:themeColor="text1"/>
          <w:sz w:val="32"/>
          <w:szCs w:val="32"/>
          <w:vertAlign w:val="superscript"/>
        </w:rPr>
        <w:fldChar w:fldCharType="end"/>
      </w:r>
      <w:r w:rsidR="00EB2101">
        <w:rPr>
          <w:vertAlign w:val="superscript"/>
        </w:rPr>
        <w:t xml:space="preserve"> </w:t>
      </w:r>
    </w:p>
    <w:p w14:paraId="5DCA4042" w14:textId="68FD8C79" w:rsidR="00EB2101" w:rsidRPr="00730701" w:rsidRDefault="00EB2101" w:rsidP="00EB2101">
      <w:r w:rsidRPr="2AA1CA0C">
        <w:t xml:space="preserve">The population in PICO 1 does not align with the </w:t>
      </w:r>
      <w:r>
        <w:t xml:space="preserve">current </w:t>
      </w:r>
      <w:r w:rsidRPr="2AA1CA0C">
        <w:t xml:space="preserve">NHMRC clinical practice guidelines </w:t>
      </w:r>
      <w:r>
        <w:t>regarding</w:t>
      </w:r>
      <w:r w:rsidRPr="2AA1CA0C">
        <w:t xml:space="preserve"> the BMI recommendations for patients referred for bariatric surgery. The population of PICO 1 represents a new group of patients</w:t>
      </w:r>
      <w:r>
        <w:t xml:space="preserve">, with lower BMI who have failed some non-surgical interventions, </w:t>
      </w:r>
      <w:r w:rsidRPr="2AA1CA0C">
        <w:t xml:space="preserve">being considered for bariatric procedures. </w:t>
      </w:r>
    </w:p>
    <w:p w14:paraId="72236D84" w14:textId="555A1804" w:rsidR="002513B7" w:rsidRPr="002513B7" w:rsidRDefault="00EB2101" w:rsidP="00EB2101">
      <w:r w:rsidRPr="2AA1CA0C">
        <w:t xml:space="preserve">The population of PICO 2 </w:t>
      </w:r>
      <w:r w:rsidR="007F28BC">
        <w:t xml:space="preserve">partially </w:t>
      </w:r>
      <w:r w:rsidRPr="2AA1CA0C">
        <w:t xml:space="preserve">aligns </w:t>
      </w:r>
      <w:r w:rsidRPr="2AA1CA0C" w:rsidDel="00B20DEF">
        <w:t xml:space="preserve">with </w:t>
      </w:r>
      <w:r w:rsidRPr="2AA1CA0C">
        <w:t xml:space="preserve">the </w:t>
      </w:r>
      <w:r w:rsidR="00B20DEF">
        <w:t xml:space="preserve">2013 </w:t>
      </w:r>
      <w:r>
        <w:t xml:space="preserve">NHMRC </w:t>
      </w:r>
      <w:r w:rsidRPr="2AA1CA0C">
        <w:t xml:space="preserve">clinical practice guidelines. </w:t>
      </w:r>
      <w:r w:rsidR="50B28D08" w:rsidRPr="2AA1CA0C">
        <w:t>The</w:t>
      </w:r>
      <w:r w:rsidR="254F8F83" w:rsidRPr="2AA1CA0C">
        <w:t xml:space="preserve"> key difference between PICO 2 and </w:t>
      </w:r>
      <w:r w:rsidR="00B20DEF">
        <w:t>the 2013</w:t>
      </w:r>
      <w:r w:rsidR="00B20DEF" w:rsidRPr="2AA1CA0C">
        <w:t xml:space="preserve"> </w:t>
      </w:r>
      <w:r w:rsidR="2ED5C234" w:rsidRPr="2AA1CA0C">
        <w:t>guidelines</w:t>
      </w:r>
      <w:r w:rsidR="509C6867" w:rsidRPr="2AA1CA0C">
        <w:t xml:space="preserve"> is the inclusion </w:t>
      </w:r>
      <w:r w:rsidR="005A7950">
        <w:t xml:space="preserve">in the proposed MBS item </w:t>
      </w:r>
      <w:r w:rsidR="509C6867" w:rsidRPr="2AA1CA0C">
        <w:t xml:space="preserve">of </w:t>
      </w:r>
      <w:r w:rsidR="55BBA682" w:rsidRPr="2AA1CA0C">
        <w:t xml:space="preserve">patients who </w:t>
      </w:r>
      <w:r w:rsidR="509C6867" w:rsidRPr="2AA1CA0C">
        <w:t>are</w:t>
      </w:r>
      <w:r w:rsidR="2E450476" w:rsidRPr="2AA1CA0C">
        <w:t xml:space="preserve"> unsuitable </w:t>
      </w:r>
      <w:r w:rsidR="005A7950">
        <w:t xml:space="preserve">for </w:t>
      </w:r>
      <w:r w:rsidR="2E450476" w:rsidRPr="2AA1CA0C">
        <w:t xml:space="preserve">or </w:t>
      </w:r>
      <w:r w:rsidR="005A7950">
        <w:t xml:space="preserve">have </w:t>
      </w:r>
      <w:r w:rsidR="2E450476" w:rsidRPr="2AA1CA0C">
        <w:t xml:space="preserve">elected not to undergo bariatric surgery. </w:t>
      </w:r>
      <w:r w:rsidR="6B4AA8B3" w:rsidRPr="2AA1CA0C">
        <w:t>The lack of</w:t>
      </w:r>
      <w:r w:rsidR="1061D3BC" w:rsidRPr="2AA1CA0C">
        <w:t xml:space="preserve"> an agreed and accepted clinical </w:t>
      </w:r>
      <w:r w:rsidR="6B4AA8B3" w:rsidRPr="2AA1CA0C">
        <w:t xml:space="preserve">definition </w:t>
      </w:r>
      <w:r w:rsidR="00C689BB" w:rsidRPr="2AA1CA0C">
        <w:t>for</w:t>
      </w:r>
      <w:r w:rsidR="6B4AA8B3" w:rsidRPr="2AA1CA0C">
        <w:t xml:space="preserve"> this cohort means that potentially more patients w</w:t>
      </w:r>
      <w:r w:rsidR="005A7950">
        <w:t>ould</w:t>
      </w:r>
      <w:r w:rsidR="6B4AA8B3" w:rsidRPr="2AA1CA0C">
        <w:t xml:space="preserve"> have access to ESG than other variations of </w:t>
      </w:r>
      <w:r w:rsidR="39B55B49" w:rsidRPr="2AA1CA0C">
        <w:t xml:space="preserve">MBS funded </w:t>
      </w:r>
      <w:r w:rsidR="00265F42">
        <w:t xml:space="preserve">bariatric </w:t>
      </w:r>
      <w:r w:rsidR="6B4AA8B3" w:rsidRPr="2AA1CA0C">
        <w:t xml:space="preserve">surgery. </w:t>
      </w:r>
      <w:r w:rsidR="00B600E8" w:rsidRPr="2AA1CA0C">
        <w:t>The ADAR</w:t>
      </w:r>
      <w:r w:rsidR="00B600E8" w:rsidRPr="2AA1CA0C" w:rsidDel="009753BA">
        <w:t xml:space="preserve"> </w:t>
      </w:r>
      <w:r w:rsidR="009753BA">
        <w:t>did</w:t>
      </w:r>
      <w:r w:rsidR="009753BA" w:rsidRPr="2AA1CA0C">
        <w:t xml:space="preserve"> </w:t>
      </w:r>
      <w:r w:rsidR="00B600E8" w:rsidRPr="2AA1CA0C">
        <w:t xml:space="preserve">not compare ESG to alternative bariatric surgery comparators except for </w:t>
      </w:r>
      <w:r w:rsidR="00BC621D" w:rsidRPr="2AA1CA0C">
        <w:t>LSG.</w:t>
      </w:r>
      <w:r w:rsidR="00C155AB" w:rsidRPr="2AA1CA0C">
        <w:t xml:space="preserve"> </w:t>
      </w:r>
    </w:p>
    <w:p w14:paraId="66BDFCC1" w14:textId="6A9F5DF2" w:rsidR="00772829" w:rsidRPr="00CE28E3" w:rsidRDefault="00772829" w:rsidP="00361335">
      <w:pPr>
        <w:pStyle w:val="Heading2"/>
        <w:numPr>
          <w:ilvl w:val="0"/>
          <w:numId w:val="26"/>
        </w:numPr>
        <w:ind w:hanging="720"/>
      </w:pPr>
      <w:bookmarkStart w:id="26" w:name="_Toc69491420"/>
      <w:r w:rsidRPr="00CE28E3">
        <w:t>Comparator</w:t>
      </w:r>
      <w:bookmarkEnd w:id="26"/>
    </w:p>
    <w:p w14:paraId="5EC6A21B" w14:textId="49B55823" w:rsidR="000C4E07" w:rsidRPr="00A205C6" w:rsidRDefault="00B51B0A" w:rsidP="00D76EFB">
      <w:pPr>
        <w:pStyle w:val="Heading3"/>
      </w:pPr>
      <w:r>
        <w:t>PICO set</w:t>
      </w:r>
      <w:r w:rsidRPr="00A205C6">
        <w:t xml:space="preserve"> </w:t>
      </w:r>
      <w:r w:rsidR="00CE46D2" w:rsidRPr="00A205C6">
        <w:t>1</w:t>
      </w:r>
    </w:p>
    <w:p w14:paraId="783358BA" w14:textId="79C43465" w:rsidR="0076002D" w:rsidRDefault="00372EBA" w:rsidP="00A205C6">
      <w:pPr>
        <w:pStyle w:val="BodyText"/>
      </w:pPr>
      <w:r>
        <w:t>As previously approved by PASC t</w:t>
      </w:r>
      <w:r w:rsidRPr="2AA1CA0C">
        <w:t>he proposed comparator for patients with class I and II obesity is moderate-intensity lifestyle modification, including VLED, behavioural interventions and pharmacotherapy.</w:t>
      </w:r>
      <w:r w:rsidRPr="2AA1CA0C">
        <w:rPr>
          <w:vertAlign w:val="superscript"/>
        </w:rPr>
        <w:fldChar w:fldCharType="begin"/>
      </w:r>
      <w:r w:rsidRPr="2AA1CA0C">
        <w:rPr>
          <w:vertAlign w:val="superscript"/>
        </w:rPr>
        <w:instrText xml:space="preserve"> NOTEREF _Ref187141885 \h  \* MERGEFORMAT </w:instrText>
      </w:r>
      <w:r w:rsidRPr="2AA1CA0C">
        <w:rPr>
          <w:vertAlign w:val="superscript"/>
        </w:rPr>
      </w:r>
      <w:r w:rsidRPr="2AA1CA0C">
        <w:rPr>
          <w:vertAlign w:val="superscript"/>
        </w:rPr>
        <w:fldChar w:fldCharType="separate"/>
      </w:r>
      <w:r w:rsidR="008F37D1">
        <w:rPr>
          <w:vertAlign w:val="superscript"/>
        </w:rPr>
        <w:t>17</w:t>
      </w:r>
      <w:r w:rsidRPr="2AA1CA0C">
        <w:rPr>
          <w:vertAlign w:val="superscript"/>
        </w:rPr>
        <w:fldChar w:fldCharType="end"/>
      </w:r>
      <w:r w:rsidRPr="2AA1CA0C">
        <w:t xml:space="preserve"> Behavioural interventions involve guidance from general practitioners (GPs) or allied health professionals, while pharmacotherapies include TGA-registered drugs such as orlistat (listed under the RPBS), as well as phentermine, liraglutide, naltrexone/bupropion,</w:t>
      </w:r>
      <w:r w:rsidR="001E2FBF">
        <w:t xml:space="preserve"> metformin,</w:t>
      </w:r>
      <w:r w:rsidRPr="2AA1CA0C">
        <w:t xml:space="preserve"> semaglutide and off-label topiramate for patients </w:t>
      </w:r>
      <w:r w:rsidR="006B6B6F" w:rsidRPr="2AA1CA0C">
        <w:t>with a BMI of 30 kg/m² or higher</w:t>
      </w:r>
      <w:r w:rsidR="00113E1D" w:rsidRPr="2AA1CA0C">
        <w:t xml:space="preserve"> </w:t>
      </w:r>
      <w:r w:rsidR="000157D2" w:rsidRPr="2AA1CA0C">
        <w:t>(</w:t>
      </w:r>
      <w:r w:rsidR="006B6B6F">
        <w:fldChar w:fldCharType="begin"/>
      </w:r>
      <w:r w:rsidR="006B6B6F">
        <w:instrText xml:space="preserve"> REF _Ref187059102 \h </w:instrText>
      </w:r>
      <w:r w:rsidR="006B6B6F">
        <w:fldChar w:fldCharType="separate"/>
      </w:r>
      <w:r w:rsidR="008F37D1">
        <w:t xml:space="preserve">Table </w:t>
      </w:r>
      <w:r w:rsidR="008F37D1">
        <w:rPr>
          <w:noProof/>
        </w:rPr>
        <w:t>8</w:t>
      </w:r>
      <w:r w:rsidR="006B6B6F">
        <w:fldChar w:fldCharType="end"/>
      </w:r>
      <w:r w:rsidR="40B8A353" w:rsidRPr="2AA1CA0C">
        <w:t>)</w:t>
      </w:r>
      <w:r w:rsidR="006B6B6F" w:rsidRPr="2AA1CA0C">
        <w:t>.</w:t>
      </w:r>
      <w:r w:rsidR="005408DF" w:rsidRPr="2AA1CA0C">
        <w:t xml:space="preserve"> The majority of </w:t>
      </w:r>
      <w:r w:rsidR="00BB173D" w:rsidRPr="2AA1CA0C">
        <w:t xml:space="preserve">these </w:t>
      </w:r>
      <w:r w:rsidR="005408DF" w:rsidRPr="2AA1CA0C">
        <w:t xml:space="preserve">comparator interventions are not </w:t>
      </w:r>
      <w:r w:rsidR="00265F42">
        <w:t>PBS-</w:t>
      </w:r>
      <w:r w:rsidR="005408DF" w:rsidRPr="2AA1CA0C">
        <w:t xml:space="preserve">reimbursed in Australia and </w:t>
      </w:r>
      <w:r w:rsidR="00C26390" w:rsidRPr="2AA1CA0C">
        <w:t>are</w:t>
      </w:r>
      <w:r w:rsidR="005408DF" w:rsidRPr="2AA1CA0C">
        <w:t xml:space="preserve"> accessed privately.</w:t>
      </w:r>
      <w:r w:rsidR="008F1534">
        <w:t xml:space="preserve"> </w:t>
      </w:r>
    </w:p>
    <w:p w14:paraId="24487C8C" w14:textId="60D3804A" w:rsidR="006B6B6F" w:rsidRPr="00330A0A" w:rsidRDefault="00433197" w:rsidP="00A205C6">
      <w:pPr>
        <w:pStyle w:val="BodyText"/>
      </w:pPr>
      <w:r w:rsidRPr="2AA1CA0C">
        <w:t>A</w:t>
      </w:r>
      <w:r w:rsidR="006E5146" w:rsidRPr="2AA1CA0C">
        <w:t>t the time</w:t>
      </w:r>
      <w:r w:rsidRPr="2AA1CA0C">
        <w:t xml:space="preserve"> of writing, only one pharmacotherapy specifically intended for weight loss is listed on the RPBS</w:t>
      </w:r>
      <w:r w:rsidR="00265F42">
        <w:t>:</w:t>
      </w:r>
      <w:r w:rsidR="008865F7">
        <w:t xml:space="preserve"> </w:t>
      </w:r>
      <w:r w:rsidRPr="2AA1CA0C">
        <w:t>orlistat as an initial course in patients with BMI ≥35 kg/m</w:t>
      </w:r>
      <w:r w:rsidRPr="2AA1CA0C">
        <w:rPr>
          <w:vertAlign w:val="superscript"/>
        </w:rPr>
        <w:t>2</w:t>
      </w:r>
      <w:r w:rsidRPr="2AA1CA0C">
        <w:t xml:space="preserve"> with no known comorbidities, or ≥30 kg/m</w:t>
      </w:r>
      <w:r w:rsidRPr="2AA1CA0C">
        <w:rPr>
          <w:vertAlign w:val="superscript"/>
        </w:rPr>
        <w:t xml:space="preserve">2 </w:t>
      </w:r>
      <w:r w:rsidRPr="2AA1CA0C">
        <w:t>with either diabetes, ischaemic heart disease, psychiatric conditions or hypertension</w:t>
      </w:r>
      <w:r w:rsidR="0076002D" w:rsidRPr="2AA1CA0C">
        <w:t xml:space="preserve">. </w:t>
      </w:r>
      <w:r w:rsidR="008F1534" w:rsidRPr="2AA1CA0C">
        <w:t>Semaglutide is currently listed on the PBS for the treatment of patients with type 2 diabetes</w:t>
      </w:r>
      <w:r w:rsidR="00B27682" w:rsidRPr="2AA1CA0C">
        <w:t xml:space="preserve">. The population presented in this </w:t>
      </w:r>
      <w:r w:rsidR="00EB02ED" w:rsidRPr="2AA1CA0C">
        <w:t xml:space="preserve">application </w:t>
      </w:r>
      <w:r w:rsidR="00EB02ED">
        <w:t xml:space="preserve">could </w:t>
      </w:r>
      <w:r w:rsidR="00EB02ED" w:rsidRPr="2AA1CA0C">
        <w:t xml:space="preserve">include those </w:t>
      </w:r>
      <w:r w:rsidR="00B27682" w:rsidRPr="2AA1CA0C">
        <w:t xml:space="preserve">with type 2 diabetes, </w:t>
      </w:r>
      <w:r w:rsidR="00547D7D">
        <w:t>some of whom</w:t>
      </w:r>
      <w:r w:rsidR="00B27682" w:rsidRPr="2AA1CA0C">
        <w:t xml:space="preserve"> may be eligible for treatment with semaglutide on the PBS</w:t>
      </w:r>
      <w:r w:rsidR="003E5867" w:rsidRPr="2AA1CA0C">
        <w:t>.</w:t>
      </w:r>
    </w:p>
    <w:p w14:paraId="75FB5924" w14:textId="0DB28DEE" w:rsidR="00631BC5" w:rsidRDefault="00631BC5" w:rsidP="00D76EFB">
      <w:pPr>
        <w:pStyle w:val="Caption"/>
      </w:pPr>
      <w:bookmarkStart w:id="27" w:name="_Ref187059102"/>
      <w:r>
        <w:t xml:space="preserve">Table </w:t>
      </w:r>
      <w:r w:rsidR="009C59B0">
        <w:fldChar w:fldCharType="begin"/>
      </w:r>
      <w:r w:rsidR="009C59B0">
        <w:instrText xml:space="preserve"> SEQ Table \* ARABIC </w:instrText>
      </w:r>
      <w:r w:rsidR="009C59B0">
        <w:fldChar w:fldCharType="separate"/>
      </w:r>
      <w:r w:rsidR="008F37D1">
        <w:rPr>
          <w:noProof/>
        </w:rPr>
        <w:t>8</w:t>
      </w:r>
      <w:r w:rsidR="009C59B0">
        <w:rPr>
          <w:noProof/>
        </w:rPr>
        <w:fldChar w:fldCharType="end"/>
      </w:r>
      <w:bookmarkEnd w:id="27"/>
      <w:r>
        <w:t>: Weight-</w:t>
      </w:r>
      <w:r w:rsidR="006257E3">
        <w:t>l</w:t>
      </w:r>
      <w:r>
        <w:t xml:space="preserve">oss </w:t>
      </w:r>
      <w:r w:rsidR="006257E3">
        <w:t>d</w:t>
      </w:r>
      <w:r>
        <w:t xml:space="preserve">rug ARTG and </w:t>
      </w:r>
      <w:r w:rsidR="00995E1B">
        <w:t>r</w:t>
      </w:r>
      <w:r>
        <w:t xml:space="preserve">eimbursement </w:t>
      </w:r>
      <w:r w:rsidR="00995E1B">
        <w:t>s</w:t>
      </w:r>
      <w:r>
        <w:t>tatus</w:t>
      </w:r>
      <w:r w:rsidR="009C29CF">
        <w:t xml:space="preserve"> for </w:t>
      </w:r>
      <w:r w:rsidR="00995E1B">
        <w:t>o</w:t>
      </w:r>
      <w:r w:rsidR="009C29CF">
        <w:t>besity</w:t>
      </w:r>
    </w:p>
    <w:tbl>
      <w:tblPr>
        <w:tblStyle w:val="TableGrid"/>
        <w:tblW w:w="0" w:type="auto"/>
        <w:tblLook w:val="04A0" w:firstRow="1" w:lastRow="0" w:firstColumn="1" w:lastColumn="0" w:noHBand="0" w:noVBand="1"/>
      </w:tblPr>
      <w:tblGrid>
        <w:gridCol w:w="2267"/>
        <w:gridCol w:w="1556"/>
        <w:gridCol w:w="3402"/>
        <w:gridCol w:w="1791"/>
      </w:tblGrid>
      <w:tr w:rsidR="00D3369B" w:rsidRPr="00762C85" w14:paraId="3F2F7189" w14:textId="77777777" w:rsidTr="00845A84">
        <w:trPr>
          <w:tblHeader/>
        </w:trPr>
        <w:tc>
          <w:tcPr>
            <w:tcW w:w="2267" w:type="dxa"/>
            <w:vAlign w:val="center"/>
          </w:tcPr>
          <w:p w14:paraId="0AB82EA1" w14:textId="78F29444" w:rsidR="00D3369B" w:rsidRPr="00D76EFB" w:rsidRDefault="00FC46ED" w:rsidP="00845A84">
            <w:pPr>
              <w:pStyle w:val="BodyText"/>
              <w:spacing w:before="0" w:after="0"/>
              <w:rPr>
                <w:rFonts w:ascii="Arial Narrow" w:hAnsi="Arial Narrow"/>
                <w:b/>
                <w:sz w:val="20"/>
                <w:szCs w:val="20"/>
              </w:rPr>
            </w:pPr>
            <w:r w:rsidRPr="00D76EFB">
              <w:rPr>
                <w:rFonts w:ascii="Arial Narrow" w:hAnsi="Arial Narrow"/>
                <w:b/>
                <w:sz w:val="20"/>
                <w:szCs w:val="20"/>
              </w:rPr>
              <w:t>Drug</w:t>
            </w:r>
          </w:p>
        </w:tc>
        <w:tc>
          <w:tcPr>
            <w:tcW w:w="1556" w:type="dxa"/>
            <w:vAlign w:val="center"/>
          </w:tcPr>
          <w:p w14:paraId="56E17CB3" w14:textId="47BDD690" w:rsidR="00D3369B" w:rsidRPr="00D76EFB" w:rsidRDefault="00D91BBC" w:rsidP="00845A84">
            <w:pPr>
              <w:pStyle w:val="BodyText"/>
              <w:spacing w:before="0" w:after="0"/>
              <w:rPr>
                <w:rFonts w:ascii="Arial Narrow" w:hAnsi="Arial Narrow"/>
                <w:b/>
                <w:sz w:val="20"/>
                <w:szCs w:val="20"/>
              </w:rPr>
            </w:pPr>
            <w:r w:rsidRPr="00D76EFB">
              <w:rPr>
                <w:rFonts w:ascii="Arial Narrow" w:hAnsi="Arial Narrow"/>
                <w:b/>
                <w:sz w:val="20"/>
                <w:szCs w:val="20"/>
              </w:rPr>
              <w:t>ARTG listed?</w:t>
            </w:r>
          </w:p>
        </w:tc>
        <w:tc>
          <w:tcPr>
            <w:tcW w:w="3402" w:type="dxa"/>
            <w:vAlign w:val="center"/>
          </w:tcPr>
          <w:p w14:paraId="2379D14C" w14:textId="150C3071" w:rsidR="00D3369B" w:rsidRPr="00D76EFB" w:rsidRDefault="00D91BBC" w:rsidP="00845A84">
            <w:pPr>
              <w:pStyle w:val="BodyText"/>
              <w:spacing w:before="0" w:after="0"/>
              <w:rPr>
                <w:rFonts w:ascii="Arial Narrow" w:hAnsi="Arial Narrow"/>
                <w:b/>
                <w:sz w:val="20"/>
                <w:szCs w:val="20"/>
              </w:rPr>
            </w:pPr>
            <w:r w:rsidRPr="00D76EFB">
              <w:rPr>
                <w:rFonts w:ascii="Arial Narrow" w:hAnsi="Arial Narrow"/>
                <w:b/>
                <w:sz w:val="20"/>
                <w:szCs w:val="20"/>
              </w:rPr>
              <w:t>PBS listed?</w:t>
            </w:r>
          </w:p>
        </w:tc>
        <w:tc>
          <w:tcPr>
            <w:tcW w:w="1791" w:type="dxa"/>
            <w:vAlign w:val="center"/>
          </w:tcPr>
          <w:p w14:paraId="135F042A" w14:textId="3114EAF6" w:rsidR="00D3369B" w:rsidRPr="00D76EFB" w:rsidRDefault="00D91BBC" w:rsidP="00845A84">
            <w:pPr>
              <w:pStyle w:val="BodyText"/>
              <w:spacing w:before="0" w:after="0"/>
              <w:rPr>
                <w:rFonts w:ascii="Arial Narrow" w:hAnsi="Arial Narrow"/>
                <w:b/>
                <w:sz w:val="20"/>
                <w:szCs w:val="20"/>
              </w:rPr>
            </w:pPr>
            <w:r w:rsidRPr="00D76EFB">
              <w:rPr>
                <w:rFonts w:ascii="Arial Narrow" w:hAnsi="Arial Narrow"/>
                <w:b/>
                <w:sz w:val="20"/>
                <w:szCs w:val="20"/>
              </w:rPr>
              <w:t>RPBS listed?</w:t>
            </w:r>
          </w:p>
        </w:tc>
      </w:tr>
      <w:tr w:rsidR="00D3369B" w:rsidRPr="00762C85" w14:paraId="65EF0E8C" w14:textId="77777777" w:rsidTr="00845A84">
        <w:tc>
          <w:tcPr>
            <w:tcW w:w="2267" w:type="dxa"/>
            <w:vAlign w:val="center"/>
          </w:tcPr>
          <w:p w14:paraId="1A236A0A" w14:textId="1082209D" w:rsidR="00D3369B" w:rsidRPr="00C8307F" w:rsidRDefault="0010454D" w:rsidP="00845A84">
            <w:pPr>
              <w:pStyle w:val="BodyText"/>
              <w:spacing w:before="0" w:after="0"/>
              <w:rPr>
                <w:rFonts w:ascii="Arial Narrow" w:eastAsia="PMingLiU" w:hAnsi="Arial Narrow" w:cs="Calibri"/>
                <w:sz w:val="20"/>
                <w:szCs w:val="20"/>
                <w:lang w:eastAsia="en-AU"/>
              </w:rPr>
            </w:pPr>
            <w:r w:rsidRPr="2AA1CA0C">
              <w:rPr>
                <w:rFonts w:ascii="Arial Narrow" w:eastAsia="PMingLiU" w:hAnsi="Arial Narrow" w:cs="Calibri"/>
                <w:sz w:val="20"/>
                <w:szCs w:val="20"/>
                <w:lang w:eastAsia="en-AU"/>
              </w:rPr>
              <w:t>Semaglutide (</w:t>
            </w:r>
            <w:r w:rsidR="00896BB0" w:rsidRPr="2AA1CA0C">
              <w:rPr>
                <w:rFonts w:ascii="Arial Narrow" w:eastAsia="PMingLiU" w:hAnsi="Arial Narrow" w:cs="Calibri"/>
                <w:sz w:val="20"/>
                <w:szCs w:val="20"/>
                <w:lang w:eastAsia="en-AU"/>
              </w:rPr>
              <w:t>Ozempic®)</w:t>
            </w:r>
          </w:p>
        </w:tc>
        <w:tc>
          <w:tcPr>
            <w:tcW w:w="1556" w:type="dxa"/>
            <w:vAlign w:val="center"/>
          </w:tcPr>
          <w:p w14:paraId="5BA7D03B" w14:textId="704355E0" w:rsidR="00D3369B" w:rsidRPr="00C8307F" w:rsidRDefault="005B3279" w:rsidP="00845A84">
            <w:pPr>
              <w:pStyle w:val="BodyText"/>
              <w:spacing w:before="0" w:after="0"/>
              <w:rPr>
                <w:rFonts w:ascii="Arial Narrow" w:eastAsia="PMingLiU" w:hAnsi="Arial Narrow" w:cs="Calibri"/>
                <w:sz w:val="20"/>
                <w:szCs w:val="20"/>
                <w:lang w:eastAsia="en-AU"/>
              </w:rPr>
            </w:pPr>
            <w:r w:rsidRPr="00C8307F">
              <w:rPr>
                <w:rFonts w:ascii="Arial Narrow" w:eastAsia="PMingLiU" w:hAnsi="Arial Narrow" w:cs="Calibri"/>
                <w:sz w:val="20"/>
                <w:szCs w:val="20"/>
                <w:lang w:eastAsia="en-AU"/>
              </w:rPr>
              <w:t>Yes</w:t>
            </w:r>
          </w:p>
        </w:tc>
        <w:tc>
          <w:tcPr>
            <w:tcW w:w="3402" w:type="dxa"/>
            <w:vAlign w:val="center"/>
          </w:tcPr>
          <w:p w14:paraId="4FEC5607" w14:textId="792D3D33" w:rsidR="00D3369B" w:rsidRPr="00C8307F" w:rsidRDefault="00AC4918" w:rsidP="00845A84">
            <w:pPr>
              <w:pStyle w:val="BodyText"/>
              <w:spacing w:before="0" w:after="0"/>
              <w:rPr>
                <w:rFonts w:ascii="Arial Narrow" w:eastAsia="PMingLiU" w:hAnsi="Arial Narrow" w:cs="Calibri"/>
                <w:sz w:val="20"/>
                <w:szCs w:val="20"/>
                <w:lang w:eastAsia="en-AU"/>
              </w:rPr>
            </w:pPr>
            <w:r w:rsidRPr="00C8307F">
              <w:rPr>
                <w:rFonts w:ascii="Arial Narrow" w:eastAsia="PMingLiU" w:hAnsi="Arial Narrow" w:cs="Calibri"/>
                <w:sz w:val="20"/>
                <w:szCs w:val="20"/>
                <w:lang w:eastAsia="en-AU"/>
              </w:rPr>
              <w:t>No (</w:t>
            </w:r>
            <w:r w:rsidR="00DE0161" w:rsidRPr="00C8307F">
              <w:rPr>
                <w:rFonts w:ascii="Arial Narrow" w:eastAsia="PMingLiU" w:hAnsi="Arial Narrow" w:cs="Calibri"/>
                <w:sz w:val="20"/>
                <w:szCs w:val="20"/>
                <w:lang w:eastAsia="en-AU"/>
              </w:rPr>
              <w:t>t</w:t>
            </w:r>
            <w:r w:rsidRPr="00C8307F">
              <w:rPr>
                <w:rFonts w:ascii="Arial Narrow" w:eastAsia="PMingLiU" w:hAnsi="Arial Narrow" w:cs="Calibri"/>
                <w:sz w:val="20"/>
                <w:szCs w:val="20"/>
                <w:lang w:eastAsia="en-AU"/>
              </w:rPr>
              <w:t>ype II diabetes only)</w:t>
            </w:r>
          </w:p>
        </w:tc>
        <w:tc>
          <w:tcPr>
            <w:tcW w:w="1791" w:type="dxa"/>
            <w:vAlign w:val="center"/>
          </w:tcPr>
          <w:p w14:paraId="38AD2847" w14:textId="38CFD9E2" w:rsidR="00D3369B" w:rsidRPr="00C8307F" w:rsidRDefault="00184D7D" w:rsidP="00845A84">
            <w:pPr>
              <w:pStyle w:val="BodyText"/>
              <w:spacing w:before="0" w:after="0"/>
              <w:rPr>
                <w:rFonts w:ascii="Arial Narrow" w:eastAsia="PMingLiU" w:hAnsi="Arial Narrow" w:cs="Calibri"/>
                <w:sz w:val="20"/>
                <w:szCs w:val="20"/>
                <w:lang w:eastAsia="en-AU"/>
              </w:rPr>
            </w:pPr>
            <w:r w:rsidRPr="00C8307F">
              <w:rPr>
                <w:rFonts w:ascii="Arial Narrow" w:eastAsia="PMingLiU" w:hAnsi="Arial Narrow" w:cs="Calibri"/>
                <w:sz w:val="20"/>
                <w:szCs w:val="20"/>
                <w:lang w:eastAsia="en-AU"/>
              </w:rPr>
              <w:t>No</w:t>
            </w:r>
          </w:p>
        </w:tc>
      </w:tr>
      <w:tr w:rsidR="5279EDD0" w14:paraId="1930739B" w14:textId="77777777" w:rsidTr="00845A84">
        <w:trPr>
          <w:trHeight w:val="300"/>
        </w:trPr>
        <w:tc>
          <w:tcPr>
            <w:tcW w:w="2267" w:type="dxa"/>
            <w:vAlign w:val="center"/>
          </w:tcPr>
          <w:p w14:paraId="0889C147" w14:textId="42A5BF6E" w:rsidR="3D95BF8E" w:rsidRDefault="3D95BF8E" w:rsidP="00845A84">
            <w:pPr>
              <w:pStyle w:val="BodyText"/>
              <w:spacing w:before="0" w:after="0"/>
              <w:rPr>
                <w:rFonts w:ascii="Arial Narrow" w:eastAsia="PMingLiU" w:hAnsi="Arial Narrow" w:cs="Calibri"/>
                <w:sz w:val="20"/>
                <w:szCs w:val="20"/>
                <w:lang w:eastAsia="en-AU"/>
              </w:rPr>
            </w:pPr>
            <w:r w:rsidRPr="2AA1CA0C">
              <w:rPr>
                <w:rFonts w:ascii="Arial Narrow" w:eastAsia="PMingLiU" w:hAnsi="Arial Narrow" w:cs="Calibri"/>
                <w:sz w:val="20"/>
                <w:szCs w:val="20"/>
                <w:lang w:eastAsia="en-AU"/>
              </w:rPr>
              <w:t>Semaglutide (Wegovy ®)</w:t>
            </w:r>
          </w:p>
        </w:tc>
        <w:tc>
          <w:tcPr>
            <w:tcW w:w="1556" w:type="dxa"/>
            <w:vAlign w:val="center"/>
          </w:tcPr>
          <w:p w14:paraId="3EBF6F36" w14:textId="3BC70718" w:rsidR="3D95BF8E" w:rsidRDefault="3D95BF8E" w:rsidP="00845A84">
            <w:pPr>
              <w:pStyle w:val="BodyText"/>
              <w:spacing w:before="0" w:after="0"/>
              <w:rPr>
                <w:rFonts w:ascii="Arial Narrow" w:eastAsia="PMingLiU" w:hAnsi="Arial Narrow" w:cs="Calibri"/>
                <w:sz w:val="20"/>
                <w:szCs w:val="20"/>
                <w:lang w:eastAsia="en-AU"/>
              </w:rPr>
            </w:pPr>
            <w:r w:rsidRPr="5279EDD0">
              <w:rPr>
                <w:rFonts w:ascii="Arial Narrow" w:eastAsia="PMingLiU" w:hAnsi="Arial Narrow" w:cs="Calibri"/>
                <w:sz w:val="20"/>
                <w:szCs w:val="20"/>
                <w:lang w:eastAsia="en-AU"/>
              </w:rPr>
              <w:t>Yes</w:t>
            </w:r>
          </w:p>
        </w:tc>
        <w:tc>
          <w:tcPr>
            <w:tcW w:w="3402" w:type="dxa"/>
            <w:vAlign w:val="center"/>
          </w:tcPr>
          <w:p w14:paraId="5548BE46" w14:textId="3B088C4D" w:rsidR="3D95BF8E" w:rsidRDefault="3D95BF8E" w:rsidP="00845A84">
            <w:pPr>
              <w:pStyle w:val="BodyText"/>
              <w:spacing w:before="0" w:after="0"/>
              <w:rPr>
                <w:rFonts w:ascii="Arial Narrow" w:eastAsia="PMingLiU" w:hAnsi="Arial Narrow" w:cs="Calibri"/>
                <w:sz w:val="20"/>
                <w:szCs w:val="20"/>
                <w:lang w:eastAsia="en-AU"/>
              </w:rPr>
            </w:pPr>
            <w:r w:rsidRPr="5279EDD0">
              <w:rPr>
                <w:rFonts w:ascii="Arial Narrow" w:eastAsia="PMingLiU" w:hAnsi="Arial Narrow" w:cs="Calibri"/>
                <w:sz w:val="20"/>
                <w:szCs w:val="20"/>
                <w:lang w:eastAsia="en-AU"/>
              </w:rPr>
              <w:t>No</w:t>
            </w:r>
          </w:p>
        </w:tc>
        <w:tc>
          <w:tcPr>
            <w:tcW w:w="1791" w:type="dxa"/>
            <w:vAlign w:val="center"/>
          </w:tcPr>
          <w:p w14:paraId="4DD3A423" w14:textId="66C5998B" w:rsidR="3D95BF8E" w:rsidRDefault="513E117F" w:rsidP="00845A84">
            <w:pPr>
              <w:pStyle w:val="BodyText"/>
              <w:spacing w:before="0" w:after="0"/>
              <w:rPr>
                <w:rFonts w:ascii="Arial Narrow" w:eastAsia="PMingLiU" w:hAnsi="Arial Narrow" w:cs="Calibri"/>
                <w:sz w:val="20"/>
                <w:szCs w:val="20"/>
                <w:lang w:eastAsia="en-AU"/>
              </w:rPr>
            </w:pPr>
            <w:r w:rsidRPr="607EBE20">
              <w:rPr>
                <w:rFonts w:ascii="Arial Narrow" w:eastAsia="PMingLiU" w:hAnsi="Arial Narrow" w:cs="Calibri"/>
                <w:sz w:val="20"/>
                <w:szCs w:val="20"/>
                <w:lang w:eastAsia="en-AU"/>
              </w:rPr>
              <w:t>No</w:t>
            </w:r>
          </w:p>
        </w:tc>
      </w:tr>
      <w:tr w:rsidR="607EBE20" w14:paraId="44667E5F" w14:textId="77777777" w:rsidTr="00845A84">
        <w:trPr>
          <w:trHeight w:val="300"/>
        </w:trPr>
        <w:tc>
          <w:tcPr>
            <w:tcW w:w="2267" w:type="dxa"/>
            <w:vAlign w:val="center"/>
          </w:tcPr>
          <w:p w14:paraId="1D1F6507" w14:textId="54BADD2B" w:rsidR="513E117F" w:rsidRDefault="513E117F" w:rsidP="00845A84">
            <w:pPr>
              <w:pStyle w:val="BodyText"/>
              <w:spacing w:before="0" w:after="0"/>
              <w:rPr>
                <w:rFonts w:ascii="Arial Narrow" w:eastAsia="PMingLiU" w:hAnsi="Arial Narrow" w:cs="Calibri"/>
                <w:sz w:val="20"/>
                <w:szCs w:val="20"/>
                <w:lang w:eastAsia="en-AU"/>
              </w:rPr>
            </w:pPr>
            <w:r w:rsidRPr="2AA1CA0C">
              <w:rPr>
                <w:rFonts w:ascii="Arial Narrow" w:eastAsia="PMingLiU" w:hAnsi="Arial Narrow" w:cs="Calibri"/>
                <w:sz w:val="20"/>
                <w:szCs w:val="20"/>
                <w:lang w:eastAsia="en-AU"/>
              </w:rPr>
              <w:t>Tirzepatide (Mounjaro ®)</w:t>
            </w:r>
          </w:p>
        </w:tc>
        <w:tc>
          <w:tcPr>
            <w:tcW w:w="1556" w:type="dxa"/>
            <w:vAlign w:val="center"/>
          </w:tcPr>
          <w:p w14:paraId="72219C2F" w14:textId="632AB0C0" w:rsidR="5CE9D805" w:rsidRDefault="5CE9D805" w:rsidP="00845A84">
            <w:pPr>
              <w:pStyle w:val="BodyText"/>
              <w:spacing w:before="0" w:after="0"/>
              <w:rPr>
                <w:rFonts w:ascii="Arial Narrow" w:eastAsia="PMingLiU" w:hAnsi="Arial Narrow" w:cs="Calibri"/>
                <w:sz w:val="20"/>
                <w:szCs w:val="20"/>
                <w:lang w:eastAsia="en-AU"/>
              </w:rPr>
            </w:pPr>
            <w:r w:rsidRPr="607EBE20">
              <w:rPr>
                <w:rFonts w:ascii="Arial Narrow" w:eastAsia="PMingLiU" w:hAnsi="Arial Narrow" w:cs="Calibri"/>
                <w:sz w:val="20"/>
                <w:szCs w:val="20"/>
                <w:lang w:eastAsia="en-AU"/>
              </w:rPr>
              <w:t>Yes</w:t>
            </w:r>
          </w:p>
        </w:tc>
        <w:tc>
          <w:tcPr>
            <w:tcW w:w="3402" w:type="dxa"/>
            <w:vAlign w:val="center"/>
          </w:tcPr>
          <w:p w14:paraId="22F32151" w14:textId="3F570054" w:rsidR="5CE9D805" w:rsidRDefault="5CE9D805" w:rsidP="00845A84">
            <w:pPr>
              <w:pStyle w:val="BodyText"/>
              <w:spacing w:before="0" w:after="0"/>
              <w:rPr>
                <w:rFonts w:ascii="Arial Narrow" w:eastAsia="PMingLiU" w:hAnsi="Arial Narrow" w:cs="Calibri"/>
                <w:sz w:val="20"/>
                <w:szCs w:val="20"/>
                <w:lang w:eastAsia="en-AU"/>
              </w:rPr>
            </w:pPr>
            <w:r w:rsidRPr="607EBE20">
              <w:rPr>
                <w:rFonts w:ascii="Arial Narrow" w:eastAsia="PMingLiU" w:hAnsi="Arial Narrow" w:cs="Calibri"/>
                <w:sz w:val="20"/>
                <w:szCs w:val="20"/>
                <w:lang w:eastAsia="en-AU"/>
              </w:rPr>
              <w:t>No</w:t>
            </w:r>
          </w:p>
        </w:tc>
        <w:tc>
          <w:tcPr>
            <w:tcW w:w="1791" w:type="dxa"/>
            <w:vAlign w:val="center"/>
          </w:tcPr>
          <w:p w14:paraId="21A9ED53" w14:textId="034D8545" w:rsidR="5CE9D805" w:rsidRDefault="5CE9D805" w:rsidP="00845A84">
            <w:pPr>
              <w:pStyle w:val="BodyText"/>
              <w:spacing w:before="0" w:after="0"/>
              <w:rPr>
                <w:rFonts w:ascii="Arial Narrow" w:eastAsia="PMingLiU" w:hAnsi="Arial Narrow" w:cs="Calibri"/>
                <w:sz w:val="20"/>
                <w:szCs w:val="20"/>
                <w:lang w:eastAsia="en-AU"/>
              </w:rPr>
            </w:pPr>
            <w:r w:rsidRPr="607EBE20">
              <w:rPr>
                <w:rFonts w:ascii="Arial Narrow" w:eastAsia="PMingLiU" w:hAnsi="Arial Narrow" w:cs="Calibri"/>
                <w:sz w:val="20"/>
                <w:szCs w:val="20"/>
                <w:lang w:eastAsia="en-AU"/>
              </w:rPr>
              <w:t>No</w:t>
            </w:r>
          </w:p>
        </w:tc>
      </w:tr>
      <w:tr w:rsidR="00D3369B" w:rsidRPr="00762C85" w14:paraId="616F1DB7" w14:textId="77777777" w:rsidTr="00845A84">
        <w:tc>
          <w:tcPr>
            <w:tcW w:w="2267" w:type="dxa"/>
            <w:vAlign w:val="center"/>
          </w:tcPr>
          <w:p w14:paraId="1F0DFA23" w14:textId="77F1332A" w:rsidR="00D3369B" w:rsidRPr="00C8307F" w:rsidRDefault="00896BB0" w:rsidP="00845A84">
            <w:pPr>
              <w:pStyle w:val="BodyText"/>
              <w:spacing w:before="0" w:after="0"/>
              <w:rPr>
                <w:rFonts w:ascii="Arial Narrow" w:eastAsia="PMingLiU" w:hAnsi="Arial Narrow" w:cs="Calibri"/>
                <w:sz w:val="20"/>
                <w:szCs w:val="20"/>
                <w:lang w:eastAsia="en-AU"/>
              </w:rPr>
            </w:pPr>
            <w:r w:rsidRPr="00C8307F">
              <w:rPr>
                <w:rFonts w:ascii="Arial Narrow" w:eastAsia="PMingLiU" w:hAnsi="Arial Narrow" w:cs="Calibri"/>
                <w:sz w:val="20"/>
                <w:szCs w:val="20"/>
                <w:lang w:eastAsia="en-AU"/>
              </w:rPr>
              <w:t>Orlistat</w:t>
            </w:r>
          </w:p>
        </w:tc>
        <w:tc>
          <w:tcPr>
            <w:tcW w:w="1556" w:type="dxa"/>
            <w:vAlign w:val="center"/>
          </w:tcPr>
          <w:p w14:paraId="7641CC0E" w14:textId="7AFFD7C2" w:rsidR="00D3369B" w:rsidRPr="00C8307F" w:rsidRDefault="00887394" w:rsidP="00845A84">
            <w:pPr>
              <w:pStyle w:val="BodyText"/>
              <w:spacing w:before="0" w:after="0"/>
              <w:rPr>
                <w:rFonts w:ascii="Arial Narrow" w:eastAsia="PMingLiU" w:hAnsi="Arial Narrow" w:cs="Calibri"/>
                <w:sz w:val="20"/>
                <w:szCs w:val="20"/>
                <w:lang w:eastAsia="en-AU"/>
              </w:rPr>
            </w:pPr>
            <w:r w:rsidRPr="00C8307F">
              <w:rPr>
                <w:rFonts w:ascii="Arial Narrow" w:eastAsia="PMingLiU" w:hAnsi="Arial Narrow" w:cs="Calibri"/>
                <w:sz w:val="20"/>
                <w:szCs w:val="20"/>
                <w:lang w:eastAsia="en-AU"/>
              </w:rPr>
              <w:t>Yes</w:t>
            </w:r>
          </w:p>
        </w:tc>
        <w:tc>
          <w:tcPr>
            <w:tcW w:w="3402" w:type="dxa"/>
            <w:vAlign w:val="center"/>
          </w:tcPr>
          <w:p w14:paraId="553E2FE4" w14:textId="7E90D213" w:rsidR="00D3369B" w:rsidRPr="00C8307F" w:rsidRDefault="1B3D8555" w:rsidP="00845A84">
            <w:pPr>
              <w:pStyle w:val="BodyText"/>
              <w:spacing w:before="0" w:after="0"/>
              <w:rPr>
                <w:rFonts w:ascii="Arial Narrow" w:eastAsia="PMingLiU" w:hAnsi="Arial Narrow" w:cs="Calibri"/>
                <w:sz w:val="20"/>
                <w:szCs w:val="20"/>
                <w:lang w:eastAsia="en-AU"/>
              </w:rPr>
            </w:pPr>
            <w:r w:rsidRPr="00C8307F">
              <w:rPr>
                <w:rFonts w:ascii="Arial Narrow" w:eastAsia="PMingLiU" w:hAnsi="Arial Narrow" w:cs="Calibri"/>
                <w:sz w:val="20"/>
                <w:szCs w:val="20"/>
                <w:lang w:eastAsia="en-AU"/>
              </w:rPr>
              <w:t>No</w:t>
            </w:r>
          </w:p>
        </w:tc>
        <w:tc>
          <w:tcPr>
            <w:tcW w:w="1791" w:type="dxa"/>
            <w:vAlign w:val="center"/>
          </w:tcPr>
          <w:p w14:paraId="4DC032F1" w14:textId="3EE2B97C" w:rsidR="00D3369B" w:rsidRPr="00C8307F" w:rsidRDefault="006A6553" w:rsidP="00845A84">
            <w:pPr>
              <w:pStyle w:val="BodyText"/>
              <w:spacing w:before="0" w:after="0"/>
              <w:rPr>
                <w:rFonts w:ascii="Arial Narrow" w:eastAsia="PMingLiU" w:hAnsi="Arial Narrow" w:cs="Calibri"/>
                <w:sz w:val="20"/>
                <w:szCs w:val="20"/>
                <w:lang w:eastAsia="en-AU"/>
              </w:rPr>
            </w:pPr>
            <w:r w:rsidRPr="00C8307F">
              <w:rPr>
                <w:rFonts w:ascii="Arial Narrow" w:eastAsia="PMingLiU" w:hAnsi="Arial Narrow" w:cs="Calibri"/>
                <w:sz w:val="20"/>
                <w:szCs w:val="20"/>
                <w:lang w:eastAsia="en-AU"/>
              </w:rPr>
              <w:t>Yes</w:t>
            </w:r>
          </w:p>
        </w:tc>
      </w:tr>
      <w:tr w:rsidR="00D3369B" w:rsidRPr="00762C85" w14:paraId="6828802A" w14:textId="77777777" w:rsidTr="00845A84">
        <w:tc>
          <w:tcPr>
            <w:tcW w:w="2267" w:type="dxa"/>
            <w:vAlign w:val="center"/>
          </w:tcPr>
          <w:p w14:paraId="7ED3F155" w14:textId="6053F934" w:rsidR="00D3369B" w:rsidRPr="00C8307F" w:rsidRDefault="00B31AF3" w:rsidP="00845A84">
            <w:pPr>
              <w:pStyle w:val="BodyText"/>
              <w:spacing w:before="0" w:after="0"/>
              <w:rPr>
                <w:rFonts w:ascii="Arial Narrow" w:eastAsia="PMingLiU" w:hAnsi="Arial Narrow" w:cs="Calibri"/>
                <w:sz w:val="20"/>
                <w:szCs w:val="20"/>
                <w:lang w:eastAsia="en-AU"/>
              </w:rPr>
            </w:pPr>
            <w:r w:rsidRPr="00C8307F">
              <w:rPr>
                <w:rFonts w:ascii="Arial Narrow" w:eastAsia="PMingLiU" w:hAnsi="Arial Narrow" w:cs="Calibri"/>
                <w:sz w:val="20"/>
                <w:szCs w:val="20"/>
                <w:lang w:eastAsia="en-AU"/>
              </w:rPr>
              <w:t>Phentermine</w:t>
            </w:r>
          </w:p>
        </w:tc>
        <w:tc>
          <w:tcPr>
            <w:tcW w:w="1556" w:type="dxa"/>
            <w:vAlign w:val="center"/>
          </w:tcPr>
          <w:p w14:paraId="23DE53C0" w14:textId="327D696E" w:rsidR="00D3369B" w:rsidRPr="00C8307F" w:rsidRDefault="00A070B2" w:rsidP="00845A84">
            <w:pPr>
              <w:pStyle w:val="BodyText"/>
              <w:spacing w:before="0" w:after="0"/>
              <w:rPr>
                <w:rFonts w:ascii="Arial Narrow" w:eastAsia="PMingLiU" w:hAnsi="Arial Narrow" w:cs="Calibri"/>
                <w:sz w:val="20"/>
                <w:szCs w:val="20"/>
                <w:lang w:eastAsia="en-AU"/>
              </w:rPr>
            </w:pPr>
            <w:r w:rsidRPr="00C8307F">
              <w:rPr>
                <w:rFonts w:ascii="Arial Narrow" w:eastAsia="PMingLiU" w:hAnsi="Arial Narrow" w:cs="Calibri"/>
                <w:sz w:val="20"/>
                <w:szCs w:val="20"/>
                <w:lang w:eastAsia="en-AU"/>
              </w:rPr>
              <w:t>Yes</w:t>
            </w:r>
          </w:p>
        </w:tc>
        <w:tc>
          <w:tcPr>
            <w:tcW w:w="3402" w:type="dxa"/>
            <w:vAlign w:val="center"/>
          </w:tcPr>
          <w:p w14:paraId="233FA89F" w14:textId="233AEA73" w:rsidR="00D3369B" w:rsidRPr="00C8307F" w:rsidRDefault="00401314" w:rsidP="00845A84">
            <w:pPr>
              <w:pStyle w:val="BodyText"/>
              <w:spacing w:before="0" w:after="0"/>
              <w:rPr>
                <w:rFonts w:ascii="Arial Narrow" w:eastAsia="PMingLiU" w:hAnsi="Arial Narrow" w:cs="Calibri"/>
                <w:sz w:val="20"/>
                <w:szCs w:val="20"/>
                <w:lang w:eastAsia="en-AU"/>
              </w:rPr>
            </w:pPr>
            <w:r w:rsidRPr="00C8307F">
              <w:rPr>
                <w:rFonts w:ascii="Arial Narrow" w:eastAsia="PMingLiU" w:hAnsi="Arial Narrow" w:cs="Calibri"/>
                <w:sz w:val="20"/>
                <w:szCs w:val="20"/>
                <w:lang w:eastAsia="en-AU"/>
              </w:rPr>
              <w:t>No</w:t>
            </w:r>
          </w:p>
        </w:tc>
        <w:tc>
          <w:tcPr>
            <w:tcW w:w="1791" w:type="dxa"/>
            <w:vAlign w:val="center"/>
          </w:tcPr>
          <w:p w14:paraId="5C349442" w14:textId="5C0F5AFD" w:rsidR="00D3369B" w:rsidRPr="00C8307F" w:rsidRDefault="00401314" w:rsidP="00845A84">
            <w:pPr>
              <w:pStyle w:val="BodyText"/>
              <w:spacing w:before="0" w:after="0"/>
              <w:rPr>
                <w:rFonts w:ascii="Arial Narrow" w:eastAsia="PMingLiU" w:hAnsi="Arial Narrow" w:cs="Calibri"/>
                <w:sz w:val="20"/>
                <w:szCs w:val="20"/>
                <w:lang w:eastAsia="en-AU"/>
              </w:rPr>
            </w:pPr>
            <w:r w:rsidRPr="00C8307F">
              <w:rPr>
                <w:rFonts w:ascii="Arial Narrow" w:eastAsia="PMingLiU" w:hAnsi="Arial Narrow" w:cs="Calibri"/>
                <w:sz w:val="20"/>
                <w:szCs w:val="20"/>
                <w:lang w:eastAsia="en-AU"/>
              </w:rPr>
              <w:t>No</w:t>
            </w:r>
          </w:p>
        </w:tc>
      </w:tr>
      <w:tr w:rsidR="00D3369B" w:rsidRPr="00762C85" w14:paraId="0CBF2951" w14:textId="77777777" w:rsidTr="00845A84">
        <w:tc>
          <w:tcPr>
            <w:tcW w:w="2267" w:type="dxa"/>
            <w:vAlign w:val="center"/>
          </w:tcPr>
          <w:p w14:paraId="74C9C371" w14:textId="63102406" w:rsidR="00D3369B" w:rsidRPr="00C8307F" w:rsidRDefault="00B31AF3" w:rsidP="00845A84">
            <w:pPr>
              <w:pStyle w:val="BodyText"/>
              <w:spacing w:before="0" w:after="0"/>
              <w:rPr>
                <w:rFonts w:ascii="Arial Narrow" w:eastAsia="PMingLiU" w:hAnsi="Arial Narrow" w:cs="Calibri"/>
                <w:sz w:val="20"/>
                <w:szCs w:val="20"/>
                <w:lang w:eastAsia="en-AU"/>
              </w:rPr>
            </w:pPr>
            <w:r w:rsidRPr="00C8307F">
              <w:rPr>
                <w:rFonts w:ascii="Arial Narrow" w:eastAsia="PMingLiU" w:hAnsi="Arial Narrow" w:cs="Calibri"/>
                <w:sz w:val="20"/>
                <w:szCs w:val="20"/>
                <w:lang w:eastAsia="en-AU"/>
              </w:rPr>
              <w:t>Liraglutide</w:t>
            </w:r>
          </w:p>
        </w:tc>
        <w:tc>
          <w:tcPr>
            <w:tcW w:w="1556" w:type="dxa"/>
            <w:vAlign w:val="center"/>
          </w:tcPr>
          <w:p w14:paraId="7B5BAD60" w14:textId="13DCE5D3" w:rsidR="00D3369B" w:rsidRPr="00C8307F" w:rsidRDefault="005F2FCD" w:rsidP="00845A84">
            <w:pPr>
              <w:pStyle w:val="BodyText"/>
              <w:spacing w:before="0" w:after="0"/>
              <w:rPr>
                <w:rFonts w:ascii="Arial Narrow" w:eastAsia="PMingLiU" w:hAnsi="Arial Narrow" w:cs="Calibri"/>
                <w:sz w:val="20"/>
                <w:szCs w:val="20"/>
                <w:lang w:eastAsia="en-AU"/>
              </w:rPr>
            </w:pPr>
            <w:r w:rsidRPr="00C8307F">
              <w:rPr>
                <w:rFonts w:ascii="Arial Narrow" w:eastAsia="PMingLiU" w:hAnsi="Arial Narrow" w:cs="Calibri"/>
                <w:sz w:val="20"/>
                <w:szCs w:val="20"/>
                <w:lang w:eastAsia="en-AU"/>
              </w:rPr>
              <w:t>Yes</w:t>
            </w:r>
          </w:p>
        </w:tc>
        <w:tc>
          <w:tcPr>
            <w:tcW w:w="3402" w:type="dxa"/>
            <w:vAlign w:val="center"/>
          </w:tcPr>
          <w:p w14:paraId="0717284D" w14:textId="65913E41" w:rsidR="00D3369B" w:rsidRPr="00C8307F" w:rsidRDefault="00D90B8A" w:rsidP="00845A84">
            <w:pPr>
              <w:pStyle w:val="BodyText"/>
              <w:spacing w:before="0" w:after="0"/>
              <w:rPr>
                <w:rFonts w:ascii="Arial Narrow" w:eastAsia="PMingLiU" w:hAnsi="Arial Narrow" w:cs="Calibri"/>
                <w:sz w:val="20"/>
                <w:szCs w:val="20"/>
                <w:lang w:eastAsia="en-AU"/>
              </w:rPr>
            </w:pPr>
            <w:r w:rsidRPr="00C8307F">
              <w:rPr>
                <w:rFonts w:ascii="Arial Narrow" w:eastAsia="PMingLiU" w:hAnsi="Arial Narrow" w:cs="Calibri"/>
                <w:sz w:val="20"/>
                <w:szCs w:val="20"/>
                <w:lang w:eastAsia="en-AU"/>
              </w:rPr>
              <w:t>No</w:t>
            </w:r>
          </w:p>
        </w:tc>
        <w:tc>
          <w:tcPr>
            <w:tcW w:w="1791" w:type="dxa"/>
            <w:vAlign w:val="center"/>
          </w:tcPr>
          <w:p w14:paraId="1E71BF28" w14:textId="5913F7FE" w:rsidR="00D3369B" w:rsidRPr="00C8307F" w:rsidRDefault="00D90B8A" w:rsidP="00845A84">
            <w:pPr>
              <w:pStyle w:val="BodyText"/>
              <w:spacing w:before="0" w:after="0"/>
              <w:rPr>
                <w:rFonts w:ascii="Arial Narrow" w:eastAsia="PMingLiU" w:hAnsi="Arial Narrow" w:cs="Calibri"/>
                <w:sz w:val="20"/>
                <w:szCs w:val="20"/>
                <w:lang w:eastAsia="en-AU"/>
              </w:rPr>
            </w:pPr>
            <w:r w:rsidRPr="00C8307F">
              <w:rPr>
                <w:rFonts w:ascii="Arial Narrow" w:eastAsia="PMingLiU" w:hAnsi="Arial Narrow" w:cs="Calibri"/>
                <w:sz w:val="20"/>
                <w:szCs w:val="20"/>
                <w:lang w:eastAsia="en-AU"/>
              </w:rPr>
              <w:t>No</w:t>
            </w:r>
          </w:p>
        </w:tc>
      </w:tr>
      <w:tr w:rsidR="00D3369B" w:rsidRPr="00762C85" w14:paraId="6B4CB380" w14:textId="77777777" w:rsidTr="00845A84">
        <w:tc>
          <w:tcPr>
            <w:tcW w:w="2267" w:type="dxa"/>
            <w:vAlign w:val="center"/>
          </w:tcPr>
          <w:p w14:paraId="1CA0BC5B" w14:textId="609F1788" w:rsidR="00D3369B" w:rsidRPr="00C8307F" w:rsidRDefault="00F348DA" w:rsidP="00845A84">
            <w:pPr>
              <w:pStyle w:val="BodyText"/>
              <w:spacing w:before="0" w:after="0"/>
              <w:rPr>
                <w:rFonts w:ascii="Arial Narrow" w:eastAsia="PMingLiU" w:hAnsi="Arial Narrow" w:cs="Calibri"/>
                <w:sz w:val="20"/>
                <w:szCs w:val="20"/>
                <w:lang w:eastAsia="en-AU"/>
              </w:rPr>
            </w:pPr>
            <w:r w:rsidRPr="00C8307F">
              <w:rPr>
                <w:rFonts w:ascii="Arial Narrow" w:eastAsia="PMingLiU" w:hAnsi="Arial Narrow" w:cs="Calibri"/>
                <w:sz w:val="20"/>
                <w:szCs w:val="20"/>
                <w:lang w:eastAsia="en-AU"/>
              </w:rPr>
              <w:t>N</w:t>
            </w:r>
            <w:r w:rsidR="00B31AF3" w:rsidRPr="00C8307F">
              <w:rPr>
                <w:rFonts w:ascii="Arial Narrow" w:eastAsia="PMingLiU" w:hAnsi="Arial Narrow" w:cs="Calibri"/>
                <w:sz w:val="20"/>
                <w:szCs w:val="20"/>
                <w:lang w:eastAsia="en-AU"/>
              </w:rPr>
              <w:t>altrexone/bupropion</w:t>
            </w:r>
          </w:p>
        </w:tc>
        <w:tc>
          <w:tcPr>
            <w:tcW w:w="1556" w:type="dxa"/>
            <w:vAlign w:val="center"/>
          </w:tcPr>
          <w:p w14:paraId="5D669DD0" w14:textId="2497E01E" w:rsidR="00D3369B" w:rsidRPr="00C8307F" w:rsidRDefault="00990614" w:rsidP="00845A84">
            <w:pPr>
              <w:pStyle w:val="BodyText"/>
              <w:spacing w:before="0" w:after="0"/>
              <w:rPr>
                <w:rFonts w:ascii="Arial Narrow" w:eastAsia="PMingLiU" w:hAnsi="Arial Narrow" w:cs="Calibri"/>
                <w:sz w:val="20"/>
                <w:szCs w:val="20"/>
                <w:lang w:eastAsia="en-AU"/>
              </w:rPr>
            </w:pPr>
            <w:r w:rsidRPr="00C8307F">
              <w:rPr>
                <w:rFonts w:ascii="Arial Narrow" w:eastAsia="PMingLiU" w:hAnsi="Arial Narrow" w:cs="Calibri"/>
                <w:sz w:val="20"/>
                <w:szCs w:val="20"/>
                <w:lang w:eastAsia="en-AU"/>
              </w:rPr>
              <w:t>Yes</w:t>
            </w:r>
          </w:p>
        </w:tc>
        <w:tc>
          <w:tcPr>
            <w:tcW w:w="3402" w:type="dxa"/>
            <w:vAlign w:val="center"/>
          </w:tcPr>
          <w:p w14:paraId="44C11B97" w14:textId="1D4099FC" w:rsidR="00D3369B" w:rsidRPr="00C8307F" w:rsidRDefault="00E22ACF" w:rsidP="00845A84">
            <w:pPr>
              <w:pStyle w:val="BodyText"/>
              <w:spacing w:before="0" w:after="0"/>
              <w:rPr>
                <w:rFonts w:ascii="Arial Narrow" w:eastAsia="PMingLiU" w:hAnsi="Arial Narrow" w:cs="Calibri"/>
                <w:sz w:val="20"/>
                <w:szCs w:val="20"/>
                <w:lang w:eastAsia="en-AU"/>
              </w:rPr>
            </w:pPr>
            <w:r w:rsidRPr="00C8307F">
              <w:rPr>
                <w:rFonts w:ascii="Arial Narrow" w:eastAsia="PMingLiU" w:hAnsi="Arial Narrow" w:cs="Calibri"/>
                <w:sz w:val="20"/>
                <w:szCs w:val="20"/>
                <w:lang w:eastAsia="en-AU"/>
              </w:rPr>
              <w:t xml:space="preserve">No </w:t>
            </w:r>
            <w:r w:rsidR="009F645E" w:rsidRPr="00C8307F">
              <w:rPr>
                <w:rFonts w:ascii="Arial Narrow" w:eastAsia="PMingLiU" w:hAnsi="Arial Narrow" w:cs="Calibri"/>
                <w:sz w:val="20"/>
                <w:szCs w:val="20"/>
                <w:lang w:eastAsia="en-AU"/>
              </w:rPr>
              <w:t>(alcohol/</w:t>
            </w:r>
            <w:r w:rsidR="00184D7D" w:rsidRPr="00C8307F">
              <w:rPr>
                <w:rFonts w:ascii="Arial Narrow" w:eastAsia="PMingLiU" w:hAnsi="Arial Narrow" w:cs="Calibri"/>
                <w:sz w:val="20"/>
                <w:szCs w:val="20"/>
                <w:lang w:eastAsia="en-AU"/>
              </w:rPr>
              <w:t>nicotine dependence only)</w:t>
            </w:r>
          </w:p>
        </w:tc>
        <w:tc>
          <w:tcPr>
            <w:tcW w:w="1791" w:type="dxa"/>
            <w:vAlign w:val="center"/>
          </w:tcPr>
          <w:p w14:paraId="3F4C4054" w14:textId="3E610C95" w:rsidR="00D3369B" w:rsidRPr="00C8307F" w:rsidRDefault="00184D7D" w:rsidP="00845A84">
            <w:pPr>
              <w:pStyle w:val="BodyText"/>
              <w:spacing w:before="0" w:after="0"/>
              <w:rPr>
                <w:rFonts w:ascii="Arial Narrow" w:eastAsia="PMingLiU" w:hAnsi="Arial Narrow" w:cs="Calibri"/>
                <w:sz w:val="20"/>
                <w:szCs w:val="20"/>
                <w:lang w:eastAsia="en-AU"/>
              </w:rPr>
            </w:pPr>
            <w:r w:rsidRPr="00C8307F">
              <w:rPr>
                <w:rFonts w:ascii="Arial Narrow" w:eastAsia="PMingLiU" w:hAnsi="Arial Narrow" w:cs="Calibri"/>
                <w:sz w:val="20"/>
                <w:szCs w:val="20"/>
                <w:lang w:eastAsia="en-AU"/>
              </w:rPr>
              <w:t>No</w:t>
            </w:r>
          </w:p>
        </w:tc>
      </w:tr>
      <w:tr w:rsidR="00D3369B" w:rsidRPr="00762C85" w14:paraId="4CC57137" w14:textId="77777777" w:rsidTr="00845A84">
        <w:tc>
          <w:tcPr>
            <w:tcW w:w="2267" w:type="dxa"/>
            <w:vAlign w:val="center"/>
          </w:tcPr>
          <w:p w14:paraId="788F1F4C" w14:textId="4D1544A8" w:rsidR="00D3369B" w:rsidRPr="00C8307F" w:rsidRDefault="00F348DA" w:rsidP="00845A84">
            <w:pPr>
              <w:pStyle w:val="BodyText"/>
              <w:spacing w:before="0" w:after="0"/>
              <w:rPr>
                <w:rFonts w:ascii="Arial Narrow" w:eastAsia="PMingLiU" w:hAnsi="Arial Narrow" w:cs="Calibri"/>
                <w:sz w:val="20"/>
                <w:szCs w:val="20"/>
                <w:lang w:eastAsia="en-AU"/>
              </w:rPr>
            </w:pPr>
            <w:r w:rsidRPr="00C8307F">
              <w:rPr>
                <w:rFonts w:ascii="Arial Narrow" w:eastAsia="PMingLiU" w:hAnsi="Arial Narrow" w:cs="Calibri"/>
                <w:sz w:val="20"/>
                <w:szCs w:val="20"/>
                <w:lang w:eastAsia="en-AU"/>
              </w:rPr>
              <w:t>Topiramate</w:t>
            </w:r>
          </w:p>
        </w:tc>
        <w:tc>
          <w:tcPr>
            <w:tcW w:w="1556" w:type="dxa"/>
            <w:vAlign w:val="center"/>
          </w:tcPr>
          <w:p w14:paraId="25B092BC" w14:textId="5791D5D2" w:rsidR="00D3369B" w:rsidRPr="00C8307F" w:rsidRDefault="00C81A9F" w:rsidP="00845A84">
            <w:pPr>
              <w:pStyle w:val="BodyText"/>
              <w:spacing w:before="0" w:after="0"/>
              <w:rPr>
                <w:rFonts w:ascii="Arial Narrow" w:eastAsia="PMingLiU" w:hAnsi="Arial Narrow" w:cs="Calibri"/>
                <w:sz w:val="20"/>
                <w:szCs w:val="20"/>
                <w:lang w:eastAsia="en-AU"/>
              </w:rPr>
            </w:pPr>
            <w:r w:rsidRPr="00C8307F">
              <w:rPr>
                <w:rFonts w:ascii="Arial Narrow" w:eastAsia="PMingLiU" w:hAnsi="Arial Narrow" w:cs="Calibri"/>
                <w:sz w:val="20"/>
                <w:szCs w:val="20"/>
                <w:lang w:eastAsia="en-AU"/>
              </w:rPr>
              <w:t>No</w:t>
            </w:r>
          </w:p>
        </w:tc>
        <w:tc>
          <w:tcPr>
            <w:tcW w:w="3402" w:type="dxa"/>
            <w:vAlign w:val="center"/>
          </w:tcPr>
          <w:p w14:paraId="01F9EDF9" w14:textId="2E8DD0C2" w:rsidR="00D3369B" w:rsidRPr="00C8307F" w:rsidRDefault="00FB79F6" w:rsidP="00845A84">
            <w:pPr>
              <w:pStyle w:val="BodyText"/>
              <w:spacing w:before="0" w:after="0"/>
              <w:rPr>
                <w:rFonts w:ascii="Arial Narrow" w:eastAsia="PMingLiU" w:hAnsi="Arial Narrow" w:cs="Calibri"/>
                <w:sz w:val="20"/>
                <w:szCs w:val="20"/>
                <w:lang w:eastAsia="en-AU"/>
              </w:rPr>
            </w:pPr>
            <w:r w:rsidRPr="00C8307F">
              <w:rPr>
                <w:rFonts w:ascii="Arial Narrow" w:eastAsia="PMingLiU" w:hAnsi="Arial Narrow" w:cs="Calibri"/>
                <w:sz w:val="20"/>
                <w:szCs w:val="20"/>
                <w:lang w:eastAsia="en-AU"/>
              </w:rPr>
              <w:t xml:space="preserve">No (for seizure management </w:t>
            </w:r>
            <w:r w:rsidR="004C1D61" w:rsidRPr="00C8307F">
              <w:rPr>
                <w:rFonts w:ascii="Arial Narrow" w:eastAsia="PMingLiU" w:hAnsi="Arial Narrow" w:cs="Calibri"/>
                <w:sz w:val="20"/>
                <w:szCs w:val="20"/>
                <w:lang w:eastAsia="en-AU"/>
              </w:rPr>
              <w:t>only</w:t>
            </w:r>
            <w:r w:rsidRPr="00C8307F">
              <w:rPr>
                <w:rFonts w:ascii="Arial Narrow" w:eastAsia="PMingLiU" w:hAnsi="Arial Narrow" w:cs="Calibri"/>
                <w:sz w:val="20"/>
                <w:szCs w:val="20"/>
                <w:lang w:eastAsia="en-AU"/>
              </w:rPr>
              <w:t>)</w:t>
            </w:r>
          </w:p>
        </w:tc>
        <w:tc>
          <w:tcPr>
            <w:tcW w:w="1791" w:type="dxa"/>
            <w:vAlign w:val="center"/>
          </w:tcPr>
          <w:p w14:paraId="6C2B1B5B" w14:textId="2B891C49" w:rsidR="00D3369B" w:rsidRPr="00C8307F" w:rsidRDefault="00FB79F6" w:rsidP="00845A84">
            <w:pPr>
              <w:pStyle w:val="BodyText"/>
              <w:spacing w:before="0" w:after="0"/>
              <w:rPr>
                <w:rFonts w:ascii="Arial Narrow" w:eastAsia="PMingLiU" w:hAnsi="Arial Narrow" w:cs="Calibri"/>
                <w:sz w:val="20"/>
                <w:szCs w:val="20"/>
                <w:lang w:eastAsia="en-AU"/>
              </w:rPr>
            </w:pPr>
            <w:r w:rsidRPr="00C8307F">
              <w:rPr>
                <w:rFonts w:ascii="Arial Narrow" w:eastAsia="PMingLiU" w:hAnsi="Arial Narrow" w:cs="Calibri"/>
                <w:sz w:val="20"/>
                <w:szCs w:val="20"/>
                <w:lang w:eastAsia="en-AU"/>
              </w:rPr>
              <w:t>No</w:t>
            </w:r>
          </w:p>
        </w:tc>
      </w:tr>
    </w:tbl>
    <w:p w14:paraId="7797CA7B" w14:textId="19E71BE9" w:rsidR="00F06C59" w:rsidRPr="00D76EFB" w:rsidRDefault="00047780" w:rsidP="00AD61DB">
      <w:pPr>
        <w:pStyle w:val="TableFigureFooter"/>
        <w:rPr>
          <w:sz w:val="20"/>
          <w:szCs w:val="20"/>
        </w:rPr>
      </w:pPr>
      <w:r w:rsidRPr="000C53EE">
        <w:t>Abbreviations:</w:t>
      </w:r>
      <w:r w:rsidRPr="0D77DCC5">
        <w:t xml:space="preserve"> </w:t>
      </w:r>
      <w:r w:rsidRPr="000C53EE">
        <w:t>A</w:t>
      </w:r>
      <w:r>
        <w:t>RTG</w:t>
      </w:r>
      <w:r w:rsidR="004A340F">
        <w:t>:</w:t>
      </w:r>
      <w:r>
        <w:t xml:space="preserve"> </w:t>
      </w:r>
      <w:r w:rsidR="00700664" w:rsidRPr="00700664">
        <w:t>Australian Register of Therapeutic Goods</w:t>
      </w:r>
      <w:r w:rsidR="004A340F">
        <w:t>;</w:t>
      </w:r>
      <w:r w:rsidR="00700664">
        <w:t xml:space="preserve"> </w:t>
      </w:r>
      <w:r w:rsidR="00A73EA6">
        <w:t>PBS</w:t>
      </w:r>
      <w:r w:rsidR="004A340F">
        <w:t>:</w:t>
      </w:r>
      <w:r w:rsidR="00A73EA6">
        <w:t xml:space="preserve"> </w:t>
      </w:r>
      <w:r w:rsidR="004C1D61">
        <w:t>P</w:t>
      </w:r>
      <w:r w:rsidR="00A73EA6">
        <w:t xml:space="preserve">harmaceutical </w:t>
      </w:r>
      <w:r w:rsidR="004C1D61">
        <w:t>B</w:t>
      </w:r>
      <w:r w:rsidR="00A73EA6">
        <w:t xml:space="preserve">enefits </w:t>
      </w:r>
      <w:r w:rsidR="004C1D61">
        <w:t>S</w:t>
      </w:r>
      <w:r w:rsidR="00A73EA6">
        <w:t>cheme</w:t>
      </w:r>
      <w:r w:rsidR="004A340F">
        <w:t>; RP</w:t>
      </w:r>
      <w:r w:rsidR="00326AE6">
        <w:t>B</w:t>
      </w:r>
      <w:r w:rsidR="004A340F">
        <w:t>S:</w:t>
      </w:r>
      <w:r w:rsidR="00A73EA6">
        <w:t xml:space="preserve"> </w:t>
      </w:r>
      <w:r w:rsidR="004C1D61">
        <w:t>R</w:t>
      </w:r>
      <w:r w:rsidR="00A73EA6">
        <w:t xml:space="preserve">epatriations </w:t>
      </w:r>
      <w:r w:rsidR="004C1D61">
        <w:t>P</w:t>
      </w:r>
      <w:r w:rsidR="00A73EA6">
        <w:t xml:space="preserve">harmaceutical </w:t>
      </w:r>
      <w:r w:rsidR="004C1D61">
        <w:t>B</w:t>
      </w:r>
      <w:r w:rsidR="00A73EA6">
        <w:t xml:space="preserve">enefits </w:t>
      </w:r>
      <w:r w:rsidR="004C1D61">
        <w:t>S</w:t>
      </w:r>
      <w:r w:rsidR="00A73EA6">
        <w:t>cheme.</w:t>
      </w:r>
      <w:r w:rsidR="007953C5">
        <w:br/>
      </w:r>
      <w:r w:rsidR="007953C5" w:rsidRPr="00D76EFB">
        <w:t xml:space="preserve">Source: </w:t>
      </w:r>
      <w:r w:rsidR="002208D8">
        <w:t>compiled during commentary</w:t>
      </w:r>
      <w:r w:rsidR="0041365C">
        <w:t xml:space="preserve"> </w:t>
      </w:r>
      <w:r w:rsidR="00CB5F5A">
        <w:t>development</w:t>
      </w:r>
    </w:p>
    <w:p w14:paraId="0D3BBE17" w14:textId="644BD063" w:rsidR="00F866A0" w:rsidRPr="00A205C6" w:rsidRDefault="00B51B0A" w:rsidP="00D76EFB">
      <w:pPr>
        <w:pStyle w:val="Heading3"/>
      </w:pPr>
      <w:r>
        <w:t>PICO set</w:t>
      </w:r>
      <w:r w:rsidRPr="00A205C6">
        <w:t xml:space="preserve"> </w:t>
      </w:r>
      <w:r w:rsidR="00F866A0" w:rsidRPr="00A205C6">
        <w:t>2</w:t>
      </w:r>
    </w:p>
    <w:p w14:paraId="4FB2B4DB" w14:textId="506AD3AE" w:rsidR="00F866A0" w:rsidRDefault="00034729" w:rsidP="00A205C6">
      <w:pPr>
        <w:pStyle w:val="BodyText"/>
      </w:pPr>
      <w:r w:rsidRPr="2AA1CA0C">
        <w:t xml:space="preserve">The second proposed comparator for patients with </w:t>
      </w:r>
      <w:r w:rsidR="008F5EBB" w:rsidRPr="2AA1CA0C">
        <w:t>class</w:t>
      </w:r>
      <w:r w:rsidRPr="2AA1CA0C">
        <w:t xml:space="preserve"> II obesity with comorbidities and </w:t>
      </w:r>
      <w:r w:rsidR="008F5EBB" w:rsidRPr="2AA1CA0C">
        <w:t>class</w:t>
      </w:r>
      <w:r w:rsidRPr="2AA1CA0C">
        <w:t xml:space="preserve"> III obesity is bariatric surgery</w:t>
      </w:r>
      <w:r w:rsidR="00934C91" w:rsidRPr="2AA1CA0C">
        <w:t>.</w:t>
      </w:r>
      <w:r w:rsidRPr="2AA1CA0C">
        <w:t xml:space="preserve"> </w:t>
      </w:r>
      <w:r w:rsidR="00934C91" w:rsidRPr="2AA1CA0C">
        <w:t xml:space="preserve">This </w:t>
      </w:r>
      <w:r w:rsidRPr="2AA1CA0C">
        <w:t xml:space="preserve">aligns </w:t>
      </w:r>
      <w:r w:rsidR="00F63D6A" w:rsidRPr="2AA1CA0C">
        <w:t xml:space="preserve">with </w:t>
      </w:r>
      <w:r w:rsidR="00F63D6A">
        <w:t xml:space="preserve">current </w:t>
      </w:r>
      <w:r w:rsidR="00F63D6A" w:rsidRPr="2AA1CA0C">
        <w:t xml:space="preserve">Australian </w:t>
      </w:r>
      <w:r w:rsidRPr="2AA1CA0C">
        <w:t xml:space="preserve">guidelines and was </w:t>
      </w:r>
      <w:r w:rsidR="00E9068B" w:rsidRPr="2AA1CA0C">
        <w:t>noted</w:t>
      </w:r>
      <w:r w:rsidRPr="2AA1CA0C">
        <w:t xml:space="preserve"> in the </w:t>
      </w:r>
      <w:r w:rsidR="00167AA0" w:rsidRPr="2AA1CA0C">
        <w:t>r</w:t>
      </w:r>
      <w:r w:rsidRPr="2AA1CA0C">
        <w:t>atified PICO for MSAC Application 1555.1</w:t>
      </w:r>
      <w:r w:rsidR="00047AB0" w:rsidRPr="2AA1CA0C">
        <w:t>. For</w:t>
      </w:r>
      <w:r w:rsidR="007F2B5E" w:rsidRPr="2AA1CA0C">
        <w:t xml:space="preserve"> patients with BMI 35</w:t>
      </w:r>
      <w:r w:rsidR="007E75A5" w:rsidRPr="2AA1CA0C">
        <w:t>–</w:t>
      </w:r>
      <w:r w:rsidR="007F2B5E" w:rsidRPr="2AA1CA0C">
        <w:t>40 kg/m</w:t>
      </w:r>
      <w:r w:rsidR="007F2B5E" w:rsidRPr="2AA1CA0C">
        <w:rPr>
          <w:vertAlign w:val="superscript"/>
        </w:rPr>
        <w:t>2</w:t>
      </w:r>
      <w:r w:rsidR="00AD450C" w:rsidRPr="2AA1CA0C">
        <w:t>,</w:t>
      </w:r>
      <w:r w:rsidRPr="2AA1CA0C">
        <w:t xml:space="preserve"> LSG</w:t>
      </w:r>
      <w:r w:rsidR="007E75A5" w:rsidRPr="2AA1CA0C">
        <w:t>—</w:t>
      </w:r>
      <w:r w:rsidR="00AD2F86" w:rsidRPr="2AA1CA0C">
        <w:t>item 31575 sleeve gastrectomy (SG)</w:t>
      </w:r>
      <w:r w:rsidR="007E75A5" w:rsidRPr="2AA1CA0C">
        <w:t>—</w:t>
      </w:r>
      <w:r w:rsidRPr="2AA1CA0C">
        <w:t>is the most performed bariatric surgery in Australia, accounting for 80% of procedures reported in the 2023 Bariatric Surgery Registr</w:t>
      </w:r>
      <w:r w:rsidR="00167AA0" w:rsidRPr="2AA1CA0C">
        <w:t>y</w:t>
      </w:r>
      <w:r w:rsidR="00D57902" w:rsidRPr="2AA1CA0C">
        <w:t xml:space="preserve"> </w:t>
      </w:r>
      <w:r w:rsidR="003F7A22" w:rsidRPr="2AA1CA0C">
        <w:t>a</w:t>
      </w:r>
      <w:r w:rsidR="00D57902" w:rsidRPr="2AA1CA0C">
        <w:t xml:space="preserve">nnual </w:t>
      </w:r>
      <w:r w:rsidR="003F7A22" w:rsidRPr="2AA1CA0C">
        <w:t>r</w:t>
      </w:r>
      <w:r w:rsidR="00D57902" w:rsidRPr="2AA1CA0C">
        <w:t>eport</w:t>
      </w:r>
      <w:r w:rsidR="00167AA0" w:rsidRPr="2AA1CA0C">
        <w:t>.</w:t>
      </w:r>
      <w:bookmarkStart w:id="28" w:name="_Ref187240790"/>
      <w:r w:rsidRPr="2AA1CA0C">
        <w:rPr>
          <w:rStyle w:val="FootnoteReference"/>
        </w:rPr>
        <w:footnoteReference w:id="19"/>
      </w:r>
      <w:bookmarkEnd w:id="28"/>
      <w:r w:rsidRPr="2AA1CA0C">
        <w:rPr>
          <w:rStyle w:val="FootnoteReference"/>
        </w:rPr>
        <w:footnoteReference w:id="20"/>
      </w:r>
      <w:r w:rsidR="00167AA0" w:rsidRPr="2AA1CA0C">
        <w:t xml:space="preserve"> </w:t>
      </w:r>
      <w:r w:rsidR="2CFD0313" w:rsidRPr="2AA1CA0C">
        <w:rPr>
          <w:rFonts w:eastAsia="Franklin Gothic Book" w:cs="Franklin Gothic Book"/>
          <w:color w:val="333333"/>
        </w:rPr>
        <w:t>Further, in 2023</w:t>
      </w:r>
      <w:r w:rsidR="00965497" w:rsidRPr="2AA1CA0C">
        <w:rPr>
          <w:rFonts w:eastAsia="Franklin Gothic Book" w:cs="Franklin Gothic Book"/>
          <w:color w:val="333333"/>
        </w:rPr>
        <w:t>,</w:t>
      </w:r>
      <w:r w:rsidR="2CFD0313" w:rsidRPr="2AA1CA0C">
        <w:rPr>
          <w:rFonts w:eastAsia="Franklin Gothic Book" w:cs="Franklin Gothic Book"/>
          <w:color w:val="333333"/>
        </w:rPr>
        <w:t xml:space="preserve"> according to the bariatric surgery registry</w:t>
      </w:r>
      <w:r w:rsidR="00965497" w:rsidRPr="2AA1CA0C">
        <w:rPr>
          <w:rFonts w:eastAsia="Franklin Gothic Book" w:cs="Franklin Gothic Book"/>
          <w:color w:val="333333"/>
        </w:rPr>
        <w:t>,</w:t>
      </w:r>
      <w:r w:rsidR="2CFD0313" w:rsidRPr="2AA1CA0C">
        <w:rPr>
          <w:rFonts w:eastAsia="Franklin Gothic Book" w:cs="Franklin Gothic Book"/>
          <w:color w:val="333333"/>
        </w:rPr>
        <w:t xml:space="preserve"> 95.4% of primary procedures and 93.2% of revision procedures were privately funded. Comparisons between datasets are a guide only</w:t>
      </w:r>
      <w:r w:rsidR="00EB039E" w:rsidRPr="2AA1CA0C">
        <w:rPr>
          <w:rFonts w:eastAsia="Franklin Gothic Book" w:cs="Franklin Gothic Book"/>
          <w:color w:val="333333"/>
        </w:rPr>
        <w:t>,</w:t>
      </w:r>
      <w:r w:rsidR="2CFD0313" w:rsidRPr="2AA1CA0C">
        <w:rPr>
          <w:rFonts w:eastAsia="Franklin Gothic Book" w:cs="Franklin Gothic Book"/>
          <w:color w:val="333333"/>
        </w:rPr>
        <w:t xml:space="preserve"> as MBS data </w:t>
      </w:r>
      <w:r w:rsidR="00EB039E" w:rsidRPr="2AA1CA0C">
        <w:rPr>
          <w:rFonts w:eastAsia="Franklin Gothic Book" w:cs="Franklin Gothic Book"/>
          <w:color w:val="333333"/>
        </w:rPr>
        <w:t>form</w:t>
      </w:r>
      <w:r w:rsidR="2CFD0313" w:rsidRPr="2AA1CA0C">
        <w:rPr>
          <w:rFonts w:eastAsia="Franklin Gothic Book" w:cs="Franklin Gothic Book"/>
          <w:color w:val="333333"/>
        </w:rPr>
        <w:t xml:space="preserve"> an administrative dataset and do not always match the Registry’s data due to differences in reporting.</w:t>
      </w:r>
      <w:r w:rsidR="00167AA0" w:rsidRPr="2AA1CA0C">
        <w:rPr>
          <w:rFonts w:asciiTheme="majorHAnsi" w:eastAsiaTheme="majorEastAsia" w:hAnsiTheme="majorHAnsi" w:cstheme="majorBidi"/>
        </w:rPr>
        <w:t xml:space="preserve"> </w:t>
      </w:r>
      <w:r w:rsidR="00167AA0" w:rsidRPr="2AA1CA0C">
        <w:rPr>
          <w:rFonts w:ascii="Franklin Gothic" w:eastAsia="Franklin Gothic" w:hAnsi="Franklin Gothic" w:cs="Franklin Gothic"/>
        </w:rPr>
        <w:t>O</w:t>
      </w:r>
      <w:r w:rsidRPr="2AA1CA0C">
        <w:rPr>
          <w:rFonts w:ascii="Franklin Gothic" w:eastAsia="Franklin Gothic" w:hAnsi="Franklin Gothic" w:cs="Franklin Gothic"/>
        </w:rPr>
        <w:t>t</w:t>
      </w:r>
      <w:r w:rsidRPr="2AA1CA0C">
        <w:t>her surgeries</w:t>
      </w:r>
      <w:r w:rsidR="00167AA0" w:rsidRPr="2AA1CA0C">
        <w:t>,</w:t>
      </w:r>
      <w:r w:rsidRPr="2AA1CA0C">
        <w:t xml:space="preserve"> </w:t>
      </w:r>
      <w:r w:rsidR="00167AA0" w:rsidRPr="2AA1CA0C">
        <w:t xml:space="preserve">such as </w:t>
      </w:r>
      <w:r w:rsidRPr="2AA1CA0C">
        <w:t>gastric bypass</w:t>
      </w:r>
      <w:r w:rsidR="00167AA0" w:rsidRPr="2AA1CA0C">
        <w:t>,</w:t>
      </w:r>
      <w:r w:rsidRPr="2AA1CA0C">
        <w:t xml:space="preserve"> compri</w:t>
      </w:r>
      <w:r w:rsidR="00167AA0" w:rsidRPr="2AA1CA0C">
        <w:t>se</w:t>
      </w:r>
      <w:r w:rsidRPr="2AA1CA0C">
        <w:t xml:space="preserve"> a smaller share. </w:t>
      </w:r>
      <w:r w:rsidR="00A76BAC" w:rsidRPr="2AA1CA0C">
        <w:t>Considering LSG is</w:t>
      </w:r>
      <w:r w:rsidR="00B36838" w:rsidRPr="2AA1CA0C">
        <w:t xml:space="preserve"> the </w:t>
      </w:r>
      <w:r w:rsidR="00A76BAC" w:rsidRPr="2AA1CA0C">
        <w:t>most performed bariatric surgery in Australia</w:t>
      </w:r>
      <w:r w:rsidRPr="2AA1CA0C">
        <w:t>,</w:t>
      </w:r>
      <w:r w:rsidR="00B36838" w:rsidRPr="2AA1CA0C">
        <w:t xml:space="preserve"> the </w:t>
      </w:r>
      <w:r w:rsidR="00A76BAC" w:rsidRPr="2AA1CA0C">
        <w:t xml:space="preserve">ADAR </w:t>
      </w:r>
      <w:r w:rsidR="006F2CA4" w:rsidRPr="2AA1CA0C">
        <w:t>considered</w:t>
      </w:r>
      <w:r w:rsidRPr="2AA1CA0C">
        <w:t xml:space="preserve"> LSG</w:t>
      </w:r>
      <w:r w:rsidR="2E60586C" w:rsidRPr="2AA1CA0C">
        <w:t xml:space="preserve"> </w:t>
      </w:r>
      <w:r w:rsidR="006F2CA4" w:rsidRPr="2AA1CA0C">
        <w:t>as</w:t>
      </w:r>
      <w:r w:rsidRPr="2AA1CA0C">
        <w:t xml:space="preserve"> the nominated comparator, supported by expert recommendations</w:t>
      </w:r>
      <w:r w:rsidR="00E45E1F" w:rsidRPr="2AA1CA0C">
        <w:t>,</w:t>
      </w:r>
      <w:r w:rsidRPr="2AA1CA0C">
        <w:t xml:space="preserve"> for this patient population.</w:t>
      </w:r>
    </w:p>
    <w:p w14:paraId="19CF4CB6" w14:textId="77777777" w:rsidR="007F1F22" w:rsidRPr="00D155C0" w:rsidRDefault="007F1F22" w:rsidP="00361335">
      <w:pPr>
        <w:pStyle w:val="Heading2"/>
        <w:numPr>
          <w:ilvl w:val="0"/>
          <w:numId w:val="26"/>
        </w:numPr>
        <w:ind w:hanging="720"/>
      </w:pPr>
      <w:bookmarkStart w:id="29" w:name="_Toc69491421"/>
      <w:bookmarkStart w:id="30" w:name="_Hlk193982804"/>
      <w:r w:rsidRPr="003A793E">
        <w:t>Summary of public consultation input</w:t>
      </w:r>
      <w:bookmarkEnd w:id="29"/>
    </w:p>
    <w:bookmarkEnd w:id="30"/>
    <w:p w14:paraId="0F0C9FEB" w14:textId="48469A5A" w:rsidR="006B42BA" w:rsidRPr="006B42BA" w:rsidRDefault="006B42BA" w:rsidP="174566F4">
      <w:pPr>
        <w:tabs>
          <w:tab w:val="left" w:pos="3686"/>
        </w:tabs>
        <w:spacing w:line="256" w:lineRule="auto"/>
      </w:pPr>
      <w:r w:rsidRPr="174566F4">
        <w:t xml:space="preserve">Consultation input was </w:t>
      </w:r>
      <w:r w:rsidR="4F8EA6FD" w:rsidRPr="174566F4">
        <w:t>receiv</w:t>
      </w:r>
      <w:r w:rsidRPr="174566F4">
        <w:t>ed from three medical, health, or other (non-consumer) organisations. Four inputs were received from individuals – three health professionals and one consumer.</w:t>
      </w:r>
    </w:p>
    <w:p w14:paraId="725FB8C9" w14:textId="77777777" w:rsidR="006B42BA" w:rsidRPr="006B42BA" w:rsidRDefault="006B42BA" w:rsidP="006B42BA">
      <w:pPr>
        <w:tabs>
          <w:tab w:val="left" w:pos="3686"/>
        </w:tabs>
        <w:spacing w:line="256" w:lineRule="auto"/>
        <w:rPr>
          <w:rFonts w:cstheme="minorHAnsi"/>
        </w:rPr>
      </w:pPr>
      <w:r w:rsidRPr="006B42BA">
        <w:rPr>
          <w:rFonts w:cstheme="minorHAnsi"/>
        </w:rPr>
        <w:t>The organisations that submitted input were:</w:t>
      </w:r>
    </w:p>
    <w:p w14:paraId="5D40DC9F" w14:textId="47BBACFF" w:rsidR="006B42BA" w:rsidRPr="006B42BA" w:rsidRDefault="006B42BA" w:rsidP="00361335">
      <w:pPr>
        <w:pStyle w:val="ListParagraph"/>
        <w:numPr>
          <w:ilvl w:val="0"/>
          <w:numId w:val="29"/>
        </w:numPr>
        <w:tabs>
          <w:tab w:val="left" w:pos="3686"/>
        </w:tabs>
        <w:spacing w:line="256" w:lineRule="auto"/>
        <w:rPr>
          <w:rFonts w:cstheme="minorHAnsi"/>
        </w:rPr>
      </w:pPr>
      <w:r w:rsidRPr="006B42BA">
        <w:rPr>
          <w:rFonts w:cstheme="minorHAnsi"/>
        </w:rPr>
        <w:t>Private Healthcare Australia</w:t>
      </w:r>
      <w:r w:rsidR="00222015">
        <w:rPr>
          <w:rFonts w:cstheme="minorHAnsi"/>
        </w:rPr>
        <w:t xml:space="preserve"> (PHA)</w:t>
      </w:r>
    </w:p>
    <w:p w14:paraId="1C5CA54B" w14:textId="77777777" w:rsidR="006B42BA" w:rsidRPr="006B42BA" w:rsidRDefault="006B42BA" w:rsidP="00361335">
      <w:pPr>
        <w:pStyle w:val="ListParagraph"/>
        <w:numPr>
          <w:ilvl w:val="0"/>
          <w:numId w:val="29"/>
        </w:numPr>
        <w:tabs>
          <w:tab w:val="left" w:pos="3686"/>
        </w:tabs>
        <w:spacing w:line="256" w:lineRule="auto"/>
        <w:rPr>
          <w:rFonts w:cstheme="minorHAnsi"/>
        </w:rPr>
      </w:pPr>
      <w:r w:rsidRPr="006B42BA">
        <w:rPr>
          <w:rFonts w:cstheme="minorHAnsi"/>
        </w:rPr>
        <w:t>Medtronic Australasia Pty Ltd</w:t>
      </w:r>
    </w:p>
    <w:p w14:paraId="293DE672" w14:textId="77777777" w:rsidR="006B42BA" w:rsidRPr="006B42BA" w:rsidRDefault="006B42BA" w:rsidP="00361335">
      <w:pPr>
        <w:pStyle w:val="ListParagraph"/>
        <w:numPr>
          <w:ilvl w:val="0"/>
          <w:numId w:val="29"/>
        </w:numPr>
        <w:tabs>
          <w:tab w:val="left" w:pos="3686"/>
        </w:tabs>
        <w:spacing w:line="256" w:lineRule="auto"/>
        <w:rPr>
          <w:rFonts w:cstheme="minorHAnsi"/>
        </w:rPr>
      </w:pPr>
      <w:r w:rsidRPr="006B42BA">
        <w:rPr>
          <w:rFonts w:cstheme="minorHAnsi"/>
        </w:rPr>
        <w:t>Gastroenterological Society of Australia (GESA)</w:t>
      </w:r>
    </w:p>
    <w:p w14:paraId="46BE5FBB" w14:textId="77777777" w:rsidR="006B42BA" w:rsidRPr="00393ED7" w:rsidRDefault="006B42BA" w:rsidP="006B42BA">
      <w:pPr>
        <w:rPr>
          <w:rFonts w:cstheme="minorHAnsi"/>
          <w:color w:val="FF0000"/>
          <w:sz w:val="24"/>
          <w:szCs w:val="24"/>
        </w:rPr>
      </w:pPr>
      <w:r w:rsidRPr="00393ED7">
        <w:rPr>
          <w:rFonts w:cstheme="minorHAnsi"/>
          <w:b/>
          <w:sz w:val="24"/>
          <w:szCs w:val="24"/>
        </w:rPr>
        <w:t xml:space="preserve">Level of support for public funding </w:t>
      </w:r>
    </w:p>
    <w:p w14:paraId="106B6B3E" w14:textId="77777777" w:rsidR="006B42BA" w:rsidRPr="006B42BA" w:rsidRDefault="006B42BA" w:rsidP="006B42BA">
      <w:pPr>
        <w:rPr>
          <w:rFonts w:cstheme="minorHAnsi"/>
        </w:rPr>
      </w:pPr>
      <w:r w:rsidRPr="006B42BA">
        <w:rPr>
          <w:rFonts w:cstheme="minorHAnsi"/>
        </w:rPr>
        <w:t xml:space="preserve">Support for public funding was mixed. All health professionals and GESA were supportive of public funding, however the consumer and other organisations were not supportive for various reasons including those which had already been raised by MSAC following their first consideration of the application. </w:t>
      </w:r>
    </w:p>
    <w:p w14:paraId="03FDE8FE" w14:textId="77777777" w:rsidR="006B42BA" w:rsidRPr="00393ED7" w:rsidRDefault="006B42BA" w:rsidP="006B42BA">
      <w:pPr>
        <w:rPr>
          <w:rFonts w:cstheme="minorHAnsi"/>
          <w:b/>
          <w:sz w:val="24"/>
          <w:szCs w:val="24"/>
        </w:rPr>
      </w:pPr>
      <w:r w:rsidRPr="00393ED7">
        <w:rPr>
          <w:rFonts w:cstheme="minorHAnsi"/>
          <w:b/>
          <w:sz w:val="24"/>
          <w:szCs w:val="24"/>
        </w:rPr>
        <w:t xml:space="preserve">Comments on PICO </w:t>
      </w:r>
    </w:p>
    <w:p w14:paraId="3EE005FB" w14:textId="5707F029" w:rsidR="006B42BA" w:rsidRPr="006B42BA" w:rsidRDefault="006B42BA" w:rsidP="174566F4">
      <w:pPr>
        <w:pStyle w:val="ListParagraph"/>
        <w:numPr>
          <w:ilvl w:val="0"/>
          <w:numId w:val="27"/>
        </w:numPr>
        <w:spacing w:before="0"/>
        <w:ind w:left="709"/>
      </w:pPr>
      <w:r w:rsidRPr="174566F4">
        <w:t xml:space="preserve">Organisations not supportive of the service considered the proposed population </w:t>
      </w:r>
      <w:r w:rsidR="15EF73F4" w:rsidRPr="174566F4">
        <w:t xml:space="preserve">as </w:t>
      </w:r>
      <w:r w:rsidRPr="174566F4">
        <w:t xml:space="preserve">too broad and </w:t>
      </w:r>
      <w:r w:rsidR="68F92938" w:rsidRPr="174566F4">
        <w:t xml:space="preserve">noted it </w:t>
      </w:r>
      <w:r w:rsidRPr="174566F4">
        <w:t xml:space="preserve">may result in bracket creep. It was suggested the population should be narrowed to patients with a BMI of 35+ with comorbidities who have failed </w:t>
      </w:r>
      <w:r w:rsidR="1D4150E4" w:rsidRPr="174566F4">
        <w:t>first- and second-line</w:t>
      </w:r>
      <w:r w:rsidRPr="174566F4">
        <w:t xml:space="preserve"> treatments.   </w:t>
      </w:r>
    </w:p>
    <w:p w14:paraId="33524062" w14:textId="77777777" w:rsidR="006B42BA" w:rsidRPr="006B42BA" w:rsidRDefault="006B42BA" w:rsidP="00361335">
      <w:pPr>
        <w:pStyle w:val="ListParagraph"/>
        <w:numPr>
          <w:ilvl w:val="0"/>
          <w:numId w:val="27"/>
        </w:numPr>
        <w:spacing w:before="0"/>
        <w:ind w:left="709"/>
        <w:rPr>
          <w:rFonts w:cstheme="minorHAnsi"/>
          <w:b/>
        </w:rPr>
      </w:pPr>
      <w:r w:rsidRPr="006B42BA">
        <w:rPr>
          <w:rFonts w:cstheme="minorHAnsi"/>
        </w:rPr>
        <w:t xml:space="preserve">Organisations noted the lack of inclusion of new pharmacotherapies to treat obesity (i.e. GLP-1 antagonists) which were not available during the previous consideration of the application. </w:t>
      </w:r>
      <w:r w:rsidRPr="006B42BA">
        <w:rPr>
          <w:rFonts w:cstheme="minorHAnsi"/>
          <w:i/>
        </w:rPr>
        <w:t xml:space="preserve"> </w:t>
      </w:r>
    </w:p>
    <w:p w14:paraId="757CAD0A" w14:textId="77777777" w:rsidR="006B42BA" w:rsidRPr="006B42BA" w:rsidRDefault="006B42BA" w:rsidP="00361335">
      <w:pPr>
        <w:pStyle w:val="ListParagraph"/>
        <w:numPr>
          <w:ilvl w:val="0"/>
          <w:numId w:val="27"/>
        </w:numPr>
        <w:spacing w:before="0"/>
        <w:ind w:left="709"/>
        <w:rPr>
          <w:rFonts w:cstheme="minorHAnsi"/>
        </w:rPr>
      </w:pPr>
      <w:r w:rsidRPr="006B42BA">
        <w:rPr>
          <w:rFonts w:cstheme="minorHAnsi"/>
        </w:rPr>
        <w:t xml:space="preserve">It was noted that bariatric surgery as a comparator was not included in the MERIT trial. </w:t>
      </w:r>
    </w:p>
    <w:p w14:paraId="4B0756BD" w14:textId="679D4C13" w:rsidR="006B42BA" w:rsidRPr="006B42BA" w:rsidRDefault="006B42BA" w:rsidP="174566F4">
      <w:pPr>
        <w:pStyle w:val="ListParagraph"/>
        <w:numPr>
          <w:ilvl w:val="0"/>
          <w:numId w:val="27"/>
        </w:numPr>
        <w:spacing w:before="0"/>
        <w:ind w:left="709"/>
        <w:rPr>
          <w:b/>
          <w:bCs/>
        </w:rPr>
      </w:pPr>
      <w:r w:rsidRPr="174566F4">
        <w:t xml:space="preserve">It was considered that the follow up period for the studies was short, </w:t>
      </w:r>
      <w:r w:rsidR="5A09CBFA" w:rsidRPr="174566F4">
        <w:t xml:space="preserve">noting </w:t>
      </w:r>
      <w:r w:rsidRPr="174566F4">
        <w:t xml:space="preserve">12 months </w:t>
      </w:r>
      <w:r w:rsidR="4C34D628" w:rsidRPr="174566F4">
        <w:t xml:space="preserve">as </w:t>
      </w:r>
      <w:r w:rsidRPr="174566F4">
        <w:t>too short a</w:t>
      </w:r>
      <w:r w:rsidR="46AE880B" w:rsidRPr="174566F4">
        <w:t xml:space="preserve">s a </w:t>
      </w:r>
      <w:r w:rsidRPr="174566F4">
        <w:t xml:space="preserve">follow up time to observe the safety and effectiveness of the procedure. </w:t>
      </w:r>
    </w:p>
    <w:p w14:paraId="73975F1B" w14:textId="77777777" w:rsidR="006B42BA" w:rsidRPr="006B42BA" w:rsidRDefault="006B42BA" w:rsidP="00361335">
      <w:pPr>
        <w:pStyle w:val="ListParagraph"/>
        <w:numPr>
          <w:ilvl w:val="0"/>
          <w:numId w:val="27"/>
        </w:numPr>
        <w:spacing w:before="0"/>
        <w:ind w:left="709"/>
        <w:rPr>
          <w:rFonts w:cstheme="minorHAnsi"/>
          <w:b/>
        </w:rPr>
      </w:pPr>
      <w:r w:rsidRPr="006B42BA">
        <w:rPr>
          <w:rFonts w:cstheme="minorHAnsi"/>
        </w:rPr>
        <w:t xml:space="preserve">It was noted there was a lack of inclusion of allied professionals in the service delivery to support patients in maintaining weight loss beyond three months.  </w:t>
      </w:r>
    </w:p>
    <w:p w14:paraId="112895D5" w14:textId="77777777" w:rsidR="006B42BA" w:rsidRPr="00393ED7" w:rsidRDefault="006B42BA" w:rsidP="006B42BA">
      <w:pPr>
        <w:rPr>
          <w:rFonts w:cstheme="minorHAnsi"/>
          <w:sz w:val="24"/>
          <w:szCs w:val="24"/>
        </w:rPr>
      </w:pPr>
      <w:r w:rsidRPr="00393ED7">
        <w:rPr>
          <w:rFonts w:cstheme="minorHAnsi"/>
          <w:b/>
          <w:sz w:val="24"/>
          <w:szCs w:val="24"/>
        </w:rPr>
        <w:t xml:space="preserve">Perceived Advantages </w:t>
      </w:r>
    </w:p>
    <w:p w14:paraId="5D08CC24" w14:textId="77777777" w:rsidR="006B42BA" w:rsidRPr="006B42BA" w:rsidRDefault="006B42BA" w:rsidP="006B42BA">
      <w:pPr>
        <w:rPr>
          <w:rFonts w:cstheme="minorHAnsi"/>
        </w:rPr>
      </w:pPr>
      <w:r w:rsidRPr="006B42BA">
        <w:rPr>
          <w:rFonts w:cstheme="minorHAnsi"/>
        </w:rPr>
        <w:t>Advantages of the service noted by GESA and the health professionals included:</w:t>
      </w:r>
    </w:p>
    <w:p w14:paraId="358C7106" w14:textId="793B8EDF" w:rsidR="006B42BA" w:rsidRPr="006B42BA" w:rsidRDefault="006B42BA" w:rsidP="174566F4">
      <w:pPr>
        <w:pStyle w:val="ListParagraph"/>
        <w:numPr>
          <w:ilvl w:val="0"/>
          <w:numId w:val="29"/>
        </w:numPr>
        <w:tabs>
          <w:tab w:val="left" w:pos="3686"/>
        </w:tabs>
        <w:spacing w:line="256" w:lineRule="auto"/>
      </w:pPr>
      <w:r w:rsidRPr="174566F4">
        <w:t>The procedure being minimally invasive</w:t>
      </w:r>
      <w:r w:rsidR="651C4FD8" w:rsidRPr="174566F4">
        <w:t>.</w:t>
      </w:r>
      <w:r w:rsidRPr="174566F4">
        <w:t xml:space="preserve"> </w:t>
      </w:r>
    </w:p>
    <w:p w14:paraId="67D8B4E4" w14:textId="5F4FED46" w:rsidR="006B42BA" w:rsidRPr="006B42BA" w:rsidRDefault="006B42BA" w:rsidP="174566F4">
      <w:pPr>
        <w:pStyle w:val="ListParagraph"/>
        <w:numPr>
          <w:ilvl w:val="0"/>
          <w:numId w:val="29"/>
        </w:numPr>
        <w:tabs>
          <w:tab w:val="left" w:pos="3686"/>
        </w:tabs>
        <w:spacing w:line="256" w:lineRule="auto"/>
      </w:pPr>
      <w:r w:rsidRPr="174566F4">
        <w:t>The procedure may potentially produce better outcomes compared to current non-surgical options available</w:t>
      </w:r>
      <w:r w:rsidR="636AABFC" w:rsidRPr="174566F4">
        <w:t>.</w:t>
      </w:r>
      <w:r w:rsidRPr="174566F4">
        <w:t xml:space="preserve"> </w:t>
      </w:r>
    </w:p>
    <w:p w14:paraId="7FA07421" w14:textId="77777777" w:rsidR="006B42BA" w:rsidRPr="006B42BA" w:rsidRDefault="006B42BA" w:rsidP="00361335">
      <w:pPr>
        <w:pStyle w:val="ListParagraph"/>
        <w:numPr>
          <w:ilvl w:val="0"/>
          <w:numId w:val="29"/>
        </w:numPr>
        <w:tabs>
          <w:tab w:val="left" w:pos="3686"/>
        </w:tabs>
        <w:spacing w:line="256" w:lineRule="auto"/>
        <w:rPr>
          <w:rFonts w:cstheme="minorHAnsi"/>
        </w:rPr>
      </w:pPr>
      <w:r w:rsidRPr="006B42BA">
        <w:rPr>
          <w:rFonts w:cstheme="minorHAnsi"/>
        </w:rPr>
        <w:t xml:space="preserve">Shorter recovery time following the procedure compared to other surgical options, </w:t>
      </w:r>
    </w:p>
    <w:p w14:paraId="49940601" w14:textId="7C17EA38" w:rsidR="006B42BA" w:rsidRPr="006B42BA" w:rsidRDefault="006B42BA" w:rsidP="174566F4">
      <w:pPr>
        <w:pStyle w:val="ListParagraph"/>
        <w:numPr>
          <w:ilvl w:val="0"/>
          <w:numId w:val="29"/>
        </w:numPr>
        <w:tabs>
          <w:tab w:val="left" w:pos="3686"/>
        </w:tabs>
        <w:spacing w:line="256" w:lineRule="auto"/>
      </w:pPr>
      <w:r w:rsidRPr="174566F4">
        <w:t>Decrease in overall cost to health budget with reduction in comorbidities as obesity is treated</w:t>
      </w:r>
      <w:r w:rsidR="7D71D005" w:rsidRPr="174566F4">
        <w:t>.</w:t>
      </w:r>
      <w:r w:rsidRPr="174566F4">
        <w:t xml:space="preserve"> </w:t>
      </w:r>
    </w:p>
    <w:p w14:paraId="4EB7437B" w14:textId="77777777" w:rsidR="006B42BA" w:rsidRPr="006B42BA" w:rsidRDefault="006B42BA" w:rsidP="00361335">
      <w:pPr>
        <w:pStyle w:val="ListParagraph"/>
        <w:numPr>
          <w:ilvl w:val="0"/>
          <w:numId w:val="29"/>
        </w:numPr>
        <w:tabs>
          <w:tab w:val="left" w:pos="3686"/>
        </w:tabs>
        <w:spacing w:line="256" w:lineRule="auto"/>
        <w:rPr>
          <w:rFonts w:cstheme="minorHAnsi"/>
        </w:rPr>
      </w:pPr>
      <w:r w:rsidRPr="006B42BA">
        <w:rPr>
          <w:rFonts w:cstheme="minorHAnsi"/>
        </w:rPr>
        <w:t xml:space="preserve">Improve equity of access to treatments for obesity (noting a small number of pharmacotherapy options are currently publicly funded for the proposed population).  </w:t>
      </w:r>
    </w:p>
    <w:p w14:paraId="67A4ADD5" w14:textId="77777777" w:rsidR="006B42BA" w:rsidRPr="00393ED7" w:rsidRDefault="006B42BA" w:rsidP="006B42BA">
      <w:pPr>
        <w:rPr>
          <w:rFonts w:cstheme="minorHAnsi"/>
          <w:sz w:val="24"/>
          <w:szCs w:val="24"/>
        </w:rPr>
      </w:pPr>
      <w:r w:rsidRPr="00393ED7">
        <w:rPr>
          <w:rFonts w:cstheme="minorHAnsi"/>
          <w:b/>
          <w:sz w:val="24"/>
          <w:szCs w:val="24"/>
        </w:rPr>
        <w:t>Perceived Disadvantages</w:t>
      </w:r>
    </w:p>
    <w:p w14:paraId="33ADB0A7" w14:textId="77777777" w:rsidR="006B42BA" w:rsidRPr="006B42BA" w:rsidRDefault="006B42BA" w:rsidP="006B42BA">
      <w:pPr>
        <w:rPr>
          <w:rFonts w:cstheme="minorHAnsi"/>
        </w:rPr>
      </w:pPr>
      <w:r w:rsidRPr="006B42BA">
        <w:rPr>
          <w:rFonts w:cstheme="minorHAnsi"/>
        </w:rPr>
        <w:t>Disadvantages of the service were primarily raised by those not supportive of the service and included noting:</w:t>
      </w:r>
    </w:p>
    <w:p w14:paraId="295EBC34" w14:textId="0C1D1FBA" w:rsidR="006B42BA" w:rsidRPr="006B42BA" w:rsidRDefault="006B42BA" w:rsidP="174566F4">
      <w:pPr>
        <w:pStyle w:val="ListParagraph"/>
        <w:numPr>
          <w:ilvl w:val="0"/>
          <w:numId w:val="29"/>
        </w:numPr>
        <w:tabs>
          <w:tab w:val="left" w:pos="3686"/>
        </w:tabs>
        <w:spacing w:line="256" w:lineRule="auto"/>
      </w:pPr>
      <w:r w:rsidRPr="174566F4">
        <w:t>High rate of adverse events noted in the MERIT trial</w:t>
      </w:r>
      <w:r w:rsidR="7D409510" w:rsidRPr="174566F4">
        <w:t>.</w:t>
      </w:r>
    </w:p>
    <w:p w14:paraId="3266DFF2" w14:textId="2BB29DA0" w:rsidR="006B42BA" w:rsidRPr="006B42BA" w:rsidRDefault="006B42BA" w:rsidP="00361335">
      <w:pPr>
        <w:pStyle w:val="ListParagraph"/>
        <w:numPr>
          <w:ilvl w:val="0"/>
          <w:numId w:val="29"/>
        </w:numPr>
        <w:tabs>
          <w:tab w:val="left" w:pos="3686"/>
        </w:tabs>
        <w:spacing w:line="256" w:lineRule="auto"/>
      </w:pPr>
      <w:r>
        <w:t>A higher likelihood of mid to longer term decline in weight loss (compared to a sleeve procedure) which can lead to revision and/or subsequent bariatric procedures</w:t>
      </w:r>
      <w:r w:rsidR="636B75A2">
        <w:t>.</w:t>
      </w:r>
    </w:p>
    <w:p w14:paraId="2FAA2493" w14:textId="77777777" w:rsidR="006B42BA" w:rsidRPr="006B42BA" w:rsidRDefault="006B42BA" w:rsidP="00361335">
      <w:pPr>
        <w:pStyle w:val="ListParagraph"/>
        <w:numPr>
          <w:ilvl w:val="0"/>
          <w:numId w:val="29"/>
        </w:numPr>
        <w:tabs>
          <w:tab w:val="left" w:pos="3686"/>
        </w:tabs>
        <w:spacing w:line="256" w:lineRule="auto"/>
        <w:rPr>
          <w:rFonts w:cstheme="minorHAnsi"/>
        </w:rPr>
      </w:pPr>
      <w:r w:rsidRPr="006B42BA">
        <w:rPr>
          <w:rFonts w:cstheme="minorHAnsi"/>
        </w:rPr>
        <w:t>The effectiveness of ESG in the proposed population (&lt;40 BMI, without comorbidities) is uncertain.</w:t>
      </w:r>
    </w:p>
    <w:p w14:paraId="2D49F731" w14:textId="2B817F7D" w:rsidR="006B42BA" w:rsidRPr="006B42BA" w:rsidRDefault="006B42BA" w:rsidP="174566F4">
      <w:r w:rsidRPr="174566F4">
        <w:t xml:space="preserve">The consumer described their experience with the service and </w:t>
      </w:r>
      <w:r w:rsidR="637BD1DF" w:rsidRPr="174566F4">
        <w:t xml:space="preserve">noting having </w:t>
      </w:r>
      <w:r w:rsidRPr="174566F4">
        <w:t>to tolerate a severe adverse event immediately after the procedure. They were required to receive a ‘revision’ operation and additional therapies to compensate for the adverse event. The consumer paid out</w:t>
      </w:r>
      <w:r w:rsidR="034A4213" w:rsidRPr="174566F4">
        <w:t>-</w:t>
      </w:r>
      <w:r w:rsidRPr="174566F4">
        <w:t>of</w:t>
      </w:r>
      <w:r w:rsidR="6BEFB78B" w:rsidRPr="174566F4">
        <w:t>-</w:t>
      </w:r>
      <w:r w:rsidRPr="174566F4">
        <w:t xml:space="preserve">pocket for the procedure and regretted that they did so as they did not experience any benefit or positive outcome from receiving the service. </w:t>
      </w:r>
    </w:p>
    <w:p w14:paraId="099CD9D6" w14:textId="77777777" w:rsidR="006B42BA" w:rsidRPr="00393ED7" w:rsidRDefault="006B42BA" w:rsidP="006B42BA">
      <w:pPr>
        <w:rPr>
          <w:rFonts w:cstheme="minorHAnsi"/>
          <w:b/>
          <w:sz w:val="24"/>
          <w:szCs w:val="24"/>
        </w:rPr>
      </w:pPr>
      <w:r w:rsidRPr="00393ED7">
        <w:rPr>
          <w:rFonts w:cstheme="minorHAnsi"/>
          <w:b/>
          <w:sz w:val="24"/>
          <w:szCs w:val="24"/>
        </w:rPr>
        <w:t xml:space="preserve">Support for Implementation /issues </w:t>
      </w:r>
    </w:p>
    <w:p w14:paraId="615DA1B6" w14:textId="77777777" w:rsidR="006B42BA" w:rsidRPr="006B42BA" w:rsidRDefault="006B42BA" w:rsidP="00361335">
      <w:pPr>
        <w:pStyle w:val="ListParagraph"/>
        <w:numPr>
          <w:ilvl w:val="0"/>
          <w:numId w:val="28"/>
        </w:numPr>
        <w:spacing w:before="0"/>
        <w:ind w:left="709"/>
        <w:rPr>
          <w:rFonts w:cstheme="minorHAnsi"/>
        </w:rPr>
      </w:pPr>
      <w:r w:rsidRPr="006B42BA">
        <w:rPr>
          <w:rFonts w:cstheme="minorHAnsi"/>
        </w:rPr>
        <w:t xml:space="preserve">All respondents supportive of funding agreed the service should be performed by specialist accredited surgeons and delivered holistically by a multidisciplinary team.  </w:t>
      </w:r>
    </w:p>
    <w:p w14:paraId="60119B15" w14:textId="77777777" w:rsidR="006B42BA" w:rsidRPr="006B42BA" w:rsidRDefault="006B42BA" w:rsidP="00361335">
      <w:pPr>
        <w:pStyle w:val="ListParagraph"/>
        <w:numPr>
          <w:ilvl w:val="0"/>
          <w:numId w:val="28"/>
        </w:numPr>
        <w:spacing w:before="0"/>
        <w:ind w:left="709"/>
      </w:pPr>
      <w:r w:rsidRPr="006B42BA">
        <w:t xml:space="preserve">Some respondents supportive of funding considered the item descriptor should be limited to the specific Apollo ESC NXT system (overstitch). </w:t>
      </w:r>
    </w:p>
    <w:p w14:paraId="1E7757E9" w14:textId="77777777" w:rsidR="006B42BA" w:rsidRPr="006B42BA" w:rsidRDefault="006B42BA" w:rsidP="00361335">
      <w:pPr>
        <w:pStyle w:val="ListParagraph"/>
        <w:numPr>
          <w:ilvl w:val="0"/>
          <w:numId w:val="28"/>
        </w:numPr>
        <w:spacing w:before="0"/>
        <w:ind w:left="709"/>
        <w:rPr>
          <w:rFonts w:cstheme="minorHAnsi"/>
        </w:rPr>
      </w:pPr>
      <w:r w:rsidRPr="006B42BA">
        <w:rPr>
          <w:rFonts w:cstheme="minorHAnsi"/>
        </w:rPr>
        <w:t xml:space="preserve">A comprehensive training program and accreditation would need to be developed if the service is supported for public funding. This includes developing eligibility criteria to identify suitable patients. </w:t>
      </w:r>
    </w:p>
    <w:p w14:paraId="387C7633" w14:textId="2F3922FA" w:rsidR="007F1F22" w:rsidRPr="006B42BA" w:rsidRDefault="006B42BA" w:rsidP="00361335">
      <w:pPr>
        <w:pStyle w:val="ListParagraph"/>
        <w:numPr>
          <w:ilvl w:val="0"/>
          <w:numId w:val="28"/>
        </w:numPr>
        <w:spacing w:before="0"/>
        <w:ind w:left="709"/>
        <w:rPr>
          <w:rFonts w:cstheme="minorHAnsi"/>
        </w:rPr>
      </w:pPr>
      <w:r w:rsidRPr="006B42BA">
        <w:rPr>
          <w:rFonts w:cstheme="minorHAnsi"/>
        </w:rPr>
        <w:t xml:space="preserve">A national registry may be of benefit if the service is supported for public funding. </w:t>
      </w:r>
    </w:p>
    <w:p w14:paraId="03C7A1F1" w14:textId="16D44205" w:rsidR="00772829" w:rsidRPr="00CE28E3" w:rsidRDefault="00772829" w:rsidP="00361335">
      <w:pPr>
        <w:pStyle w:val="Heading2"/>
        <w:numPr>
          <w:ilvl w:val="0"/>
          <w:numId w:val="26"/>
        </w:numPr>
        <w:ind w:hanging="720"/>
      </w:pPr>
      <w:bookmarkStart w:id="31" w:name="_Toc69491422"/>
      <w:r w:rsidRPr="00CE28E3">
        <w:t>Characteristics of the evidence base</w:t>
      </w:r>
      <w:bookmarkEnd w:id="31"/>
    </w:p>
    <w:p w14:paraId="4DFEC8B5" w14:textId="77777777" w:rsidR="0021110F" w:rsidRPr="00A205C6" w:rsidRDefault="0021110F" w:rsidP="0021110F">
      <w:pPr>
        <w:pStyle w:val="Heading3"/>
      </w:pPr>
      <w:r>
        <w:t>PICO set</w:t>
      </w:r>
      <w:r w:rsidRPr="00A205C6">
        <w:t xml:space="preserve"> 1</w:t>
      </w:r>
    </w:p>
    <w:p w14:paraId="1C1CC6BE" w14:textId="23BD5246" w:rsidR="00085A87" w:rsidRPr="003251C2" w:rsidRDefault="00085A87" w:rsidP="007D18A3">
      <w:pPr>
        <w:pStyle w:val="BodyText"/>
      </w:pPr>
      <w:r>
        <w:t xml:space="preserve">The clinical evidence presented in the </w:t>
      </w:r>
      <w:r w:rsidR="00255940">
        <w:t xml:space="preserve">ADAR </w:t>
      </w:r>
      <w:r w:rsidR="00167AA0">
        <w:t>for PICO set 1 is</w:t>
      </w:r>
      <w:r>
        <w:t xml:space="preserve"> based on </w:t>
      </w:r>
      <w:r w:rsidR="00B625D1">
        <w:t xml:space="preserve">1 RCT and </w:t>
      </w:r>
      <w:r w:rsidR="00236F83">
        <w:t xml:space="preserve">14 </w:t>
      </w:r>
      <w:r w:rsidR="00E06661">
        <w:t>single</w:t>
      </w:r>
      <w:r w:rsidR="00167AA0">
        <w:t>-</w:t>
      </w:r>
      <w:r w:rsidR="00E06661">
        <w:t>arm</w:t>
      </w:r>
      <w:r w:rsidR="00E854D1">
        <w:t xml:space="preserve"> studies</w:t>
      </w:r>
      <w:r w:rsidR="00102895">
        <w:t xml:space="preserve"> </w:t>
      </w:r>
      <w:r w:rsidR="00167AA0">
        <w:t>(</w:t>
      </w:r>
      <w:r w:rsidR="004E313E">
        <w:fldChar w:fldCharType="begin"/>
      </w:r>
      <w:r w:rsidR="004E313E">
        <w:instrText xml:space="preserve"> REF _Ref202518010 \h </w:instrText>
      </w:r>
      <w:r w:rsidR="004E313E">
        <w:fldChar w:fldCharType="separate"/>
      </w:r>
      <w:r w:rsidR="008F37D1">
        <w:t>Table </w:t>
      </w:r>
      <w:r w:rsidR="008F37D1">
        <w:rPr>
          <w:noProof/>
        </w:rPr>
        <w:t>9</w:t>
      </w:r>
      <w:r w:rsidR="004E313E">
        <w:fldChar w:fldCharType="end"/>
      </w:r>
      <w:r w:rsidR="00502AF5">
        <w:t xml:space="preserve">; </w:t>
      </w:r>
      <w:r w:rsidR="00502AF5">
        <w:fldChar w:fldCharType="begin"/>
      </w:r>
      <w:r w:rsidR="00502AF5">
        <w:instrText xml:space="preserve"> REF _Ref184217995 \h </w:instrText>
      </w:r>
      <w:r w:rsidR="00502AF5">
        <w:fldChar w:fldCharType="separate"/>
      </w:r>
      <w:r w:rsidR="008F37D1">
        <w:t xml:space="preserve">Table </w:t>
      </w:r>
      <w:r w:rsidR="008F37D1">
        <w:rPr>
          <w:noProof/>
        </w:rPr>
        <w:t>10</w:t>
      </w:r>
      <w:r w:rsidR="00502AF5">
        <w:fldChar w:fldCharType="end"/>
      </w:r>
      <w:r w:rsidR="00167AA0">
        <w:t>).</w:t>
      </w:r>
    </w:p>
    <w:p w14:paraId="2E24491A" w14:textId="1DFBC89C" w:rsidR="007E115E" w:rsidRPr="006F1C35" w:rsidRDefault="00070FE8" w:rsidP="006F1C35">
      <w:pPr>
        <w:pStyle w:val="BodyText"/>
      </w:pPr>
      <w:r>
        <w:t xml:space="preserve">The MERIT trial featured </w:t>
      </w:r>
      <w:r w:rsidR="0083449B">
        <w:t xml:space="preserve">adult </w:t>
      </w:r>
      <w:r>
        <w:t xml:space="preserve">participants </w:t>
      </w:r>
      <w:r w:rsidR="00511696">
        <w:t>with class 1 or 2 obesity</w:t>
      </w:r>
      <w:r w:rsidR="00CF0920">
        <w:t>,</w:t>
      </w:r>
      <w:r w:rsidR="00511696">
        <w:t xml:space="preserve"> </w:t>
      </w:r>
      <w:r w:rsidR="0083449B">
        <w:t>compar</w:t>
      </w:r>
      <w:r w:rsidR="00CF0920">
        <w:t>ing</w:t>
      </w:r>
      <w:r w:rsidR="000C3FAC">
        <w:t xml:space="preserve"> ESG </w:t>
      </w:r>
      <w:r w:rsidR="004E7856">
        <w:t>plus</w:t>
      </w:r>
      <w:r w:rsidR="000C3FAC">
        <w:t xml:space="preserve"> lifestyle </w:t>
      </w:r>
      <w:r w:rsidR="00A325A2">
        <w:t xml:space="preserve">modifications </w:t>
      </w:r>
      <w:r w:rsidR="0083449B">
        <w:t>to exposure</w:t>
      </w:r>
      <w:r w:rsidR="000C3FAC">
        <w:t xml:space="preserve"> to lifestyle modifications only</w:t>
      </w:r>
      <w:r w:rsidR="00A325A2">
        <w:t>. The primary follow</w:t>
      </w:r>
      <w:r w:rsidR="0083449B">
        <w:t>-</w:t>
      </w:r>
      <w:r w:rsidR="00A325A2">
        <w:t>up period was 52 weeks, with crossover occurring at 52</w:t>
      </w:r>
      <w:r w:rsidR="008E2336">
        <w:t xml:space="preserve"> </w:t>
      </w:r>
      <w:r w:rsidR="00A325A2">
        <w:t>weeks for the lifestyle modifications</w:t>
      </w:r>
      <w:r w:rsidR="008E2336">
        <w:t>-</w:t>
      </w:r>
      <w:r w:rsidR="00A325A2">
        <w:t>only group to</w:t>
      </w:r>
      <w:r w:rsidR="00F64EE0">
        <w:t xml:space="preserve"> undergo ESG</w:t>
      </w:r>
      <w:r w:rsidR="00A325A2">
        <w:t xml:space="preserve">. </w:t>
      </w:r>
      <w:bookmarkStart w:id="32" w:name="_Ref184238604"/>
      <w:bookmarkStart w:id="33" w:name="_Hlk182471391"/>
    </w:p>
    <w:p w14:paraId="692BCA4B" w14:textId="6F4B7F6B" w:rsidR="00956ACE" w:rsidRPr="007D18A3" w:rsidRDefault="77F2B35C" w:rsidP="009A06F4">
      <w:pPr>
        <w:pStyle w:val="Caption"/>
      </w:pPr>
      <w:bookmarkStart w:id="34" w:name="_Ref202518010"/>
      <w:r>
        <w:t>Table </w:t>
      </w:r>
      <w:r w:rsidRPr="0D77DCC5">
        <w:fldChar w:fldCharType="begin"/>
      </w:r>
      <w:r>
        <w:instrText xml:space="preserve"> SEQ Table \* ARABIC </w:instrText>
      </w:r>
      <w:r w:rsidRPr="0D77DCC5">
        <w:fldChar w:fldCharType="separate"/>
      </w:r>
      <w:r w:rsidR="008F37D1">
        <w:rPr>
          <w:noProof/>
        </w:rPr>
        <w:t>9</w:t>
      </w:r>
      <w:r w:rsidRPr="0D77DCC5">
        <w:rPr>
          <w:noProof/>
        </w:rPr>
        <w:fldChar w:fldCharType="end"/>
      </w:r>
      <w:bookmarkEnd w:id="32"/>
      <w:bookmarkEnd w:id="34"/>
      <w:r w:rsidR="00E002F8">
        <w:rPr>
          <w:noProof/>
        </w:rPr>
        <w:t>:</w:t>
      </w:r>
      <w:r w:rsidR="00E002F8">
        <w:t xml:space="preserve"> </w:t>
      </w:r>
      <w:r>
        <w:t>Key features of the included evidence</w:t>
      </w:r>
      <w:r w:rsidR="00102895">
        <w:t>,</w:t>
      </w:r>
      <w:r>
        <w:t xml:space="preserve"> </w:t>
      </w:r>
      <w:r w:rsidR="20015368">
        <w:t>PICO 1</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22"/>
        <w:gridCol w:w="672"/>
        <w:gridCol w:w="991"/>
        <w:gridCol w:w="710"/>
        <w:gridCol w:w="467"/>
        <w:gridCol w:w="497"/>
        <w:gridCol w:w="737"/>
        <w:gridCol w:w="708"/>
        <w:gridCol w:w="2125"/>
        <w:gridCol w:w="1081"/>
      </w:tblGrid>
      <w:tr w:rsidR="00C16896" w:rsidRPr="008D0A3F" w14:paraId="2C03BBB5" w14:textId="77777777" w:rsidTr="00C8307F">
        <w:trPr>
          <w:trHeight w:val="435"/>
          <w:tblHeader/>
        </w:trPr>
        <w:tc>
          <w:tcPr>
            <w:tcW w:w="567" w:type="pct"/>
            <w:vMerge w:val="restart"/>
            <w:tcBorders>
              <w:top w:val="single" w:sz="6" w:space="0" w:color="auto"/>
              <w:left w:val="single" w:sz="6" w:space="0" w:color="auto"/>
              <w:bottom w:val="single" w:sz="6" w:space="0" w:color="auto"/>
              <w:right w:val="single" w:sz="4" w:space="0" w:color="auto"/>
            </w:tcBorders>
            <w:shd w:val="clear" w:color="auto" w:fill="auto"/>
            <w:vAlign w:val="center"/>
            <w:hideMark/>
          </w:tcPr>
          <w:bookmarkEnd w:id="33"/>
          <w:p w14:paraId="4ECB8D3B" w14:textId="60E115A6" w:rsidR="008D0A3F" w:rsidRPr="008D0A3F" w:rsidRDefault="09A21A0B" w:rsidP="0D77DCC5">
            <w:pPr>
              <w:spacing w:before="0" w:after="0" w:line="240" w:lineRule="auto"/>
              <w:textAlignment w:val="baseline"/>
              <w:rPr>
                <w:rFonts w:ascii="Arial Narrow" w:eastAsia="Times New Roman" w:hAnsi="Arial Narrow" w:cs="Segoe UI"/>
                <w:b/>
                <w:bCs/>
                <w:sz w:val="20"/>
                <w:szCs w:val="20"/>
                <w:lang w:eastAsia="en-AU"/>
              </w:rPr>
            </w:pPr>
            <w:r w:rsidRPr="0D77DCC5">
              <w:rPr>
                <w:rFonts w:ascii="Arial Narrow" w:eastAsia="Times New Roman" w:hAnsi="Arial Narrow" w:cs="Segoe UI"/>
                <w:b/>
                <w:bCs/>
                <w:sz w:val="20"/>
                <w:szCs w:val="20"/>
                <w:lang w:val="en-US" w:eastAsia="en-AU"/>
              </w:rPr>
              <w:t>Reference</w:t>
            </w:r>
          </w:p>
        </w:tc>
        <w:tc>
          <w:tcPr>
            <w:tcW w:w="373" w:type="pct"/>
            <w:vMerge w:val="restart"/>
            <w:tcBorders>
              <w:top w:val="single" w:sz="6" w:space="0" w:color="auto"/>
              <w:left w:val="single" w:sz="4" w:space="0" w:color="auto"/>
              <w:bottom w:val="single" w:sz="6" w:space="0" w:color="auto"/>
              <w:right w:val="single" w:sz="4" w:space="0" w:color="auto"/>
            </w:tcBorders>
            <w:shd w:val="clear" w:color="auto" w:fill="auto"/>
            <w:vAlign w:val="center"/>
            <w:hideMark/>
          </w:tcPr>
          <w:p w14:paraId="71F5E2ED" w14:textId="77777777" w:rsidR="008D0A3F" w:rsidRPr="008D0A3F" w:rsidRDefault="008D0A3F" w:rsidP="008D0A3F">
            <w:pPr>
              <w:spacing w:before="0" w:after="0" w:line="240" w:lineRule="auto"/>
              <w:jc w:val="center"/>
              <w:textAlignment w:val="baseline"/>
              <w:rPr>
                <w:rFonts w:ascii="Arial Narrow" w:eastAsia="Arial Narrow" w:hAnsi="Arial Narrow" w:cs="Arial Narrow"/>
                <w:b/>
                <w:sz w:val="20"/>
                <w:szCs w:val="20"/>
                <w:lang w:eastAsia="en-AU"/>
              </w:rPr>
            </w:pPr>
            <w:r w:rsidRPr="008D0A3F">
              <w:rPr>
                <w:rFonts w:ascii="Arial Narrow" w:eastAsia="Times New Roman" w:hAnsi="Arial Narrow" w:cs="Segoe UI"/>
                <w:b/>
                <w:bCs/>
                <w:sz w:val="20"/>
                <w:szCs w:val="20"/>
                <w:lang w:val="en-US" w:eastAsia="en-AU"/>
              </w:rPr>
              <w:t>N</w:t>
            </w:r>
            <w:r w:rsidRPr="008D0A3F">
              <w:rPr>
                <w:rFonts w:ascii="Arial Narrow" w:eastAsia="Times New Roman" w:hAnsi="Arial Narrow" w:cs="Segoe UI"/>
                <w:b/>
                <w:bCs/>
                <w:sz w:val="20"/>
                <w:szCs w:val="20"/>
                <w:lang w:eastAsia="en-AU"/>
              </w:rPr>
              <w:t> </w:t>
            </w:r>
          </w:p>
        </w:tc>
        <w:tc>
          <w:tcPr>
            <w:tcW w:w="550" w:type="pct"/>
            <w:vMerge w:val="restart"/>
            <w:tcBorders>
              <w:top w:val="single" w:sz="6" w:space="0" w:color="auto"/>
              <w:left w:val="single" w:sz="4" w:space="0" w:color="auto"/>
              <w:bottom w:val="single" w:sz="6" w:space="0" w:color="auto"/>
              <w:right w:val="single" w:sz="4" w:space="0" w:color="auto"/>
            </w:tcBorders>
            <w:shd w:val="clear" w:color="auto" w:fill="auto"/>
            <w:vAlign w:val="center"/>
            <w:hideMark/>
          </w:tcPr>
          <w:p w14:paraId="010F9DC8" w14:textId="77777777" w:rsidR="008D0A3F" w:rsidRPr="008D0A3F" w:rsidRDefault="008D0A3F" w:rsidP="008D0A3F">
            <w:pPr>
              <w:spacing w:before="0" w:after="0" w:line="240" w:lineRule="auto"/>
              <w:jc w:val="center"/>
              <w:textAlignment w:val="baseline"/>
              <w:rPr>
                <w:rFonts w:ascii="Arial Narrow" w:eastAsia="Arial Narrow" w:hAnsi="Arial Narrow" w:cs="Arial Narrow"/>
                <w:b/>
                <w:sz w:val="20"/>
                <w:szCs w:val="20"/>
                <w:lang w:eastAsia="en-AU"/>
              </w:rPr>
            </w:pPr>
            <w:r w:rsidRPr="008D0A3F">
              <w:rPr>
                <w:rFonts w:ascii="Arial Narrow" w:eastAsia="Times New Roman" w:hAnsi="Arial Narrow" w:cs="Segoe UI"/>
                <w:b/>
                <w:bCs/>
                <w:sz w:val="20"/>
                <w:szCs w:val="20"/>
                <w:lang w:val="en-US" w:eastAsia="en-AU"/>
              </w:rPr>
              <w:t>Design</w:t>
            </w:r>
            <w:r w:rsidRPr="008D0A3F">
              <w:rPr>
                <w:rFonts w:ascii="Arial Narrow" w:eastAsia="Times New Roman" w:hAnsi="Arial Narrow" w:cs="Segoe UI"/>
                <w:b/>
                <w:bCs/>
                <w:sz w:val="20"/>
                <w:szCs w:val="20"/>
                <w:lang w:eastAsia="en-AU"/>
              </w:rPr>
              <w:t> </w:t>
            </w:r>
          </w:p>
        </w:tc>
        <w:tc>
          <w:tcPr>
            <w:tcW w:w="394" w:type="pct"/>
            <w:vMerge w:val="restart"/>
            <w:tcBorders>
              <w:top w:val="single" w:sz="6" w:space="0" w:color="auto"/>
              <w:left w:val="single" w:sz="4" w:space="0" w:color="auto"/>
              <w:bottom w:val="single" w:sz="6" w:space="0" w:color="auto"/>
              <w:right w:val="single" w:sz="4" w:space="0" w:color="auto"/>
            </w:tcBorders>
            <w:shd w:val="clear" w:color="auto" w:fill="FFFFFF" w:themeFill="background1"/>
            <w:vAlign w:val="center"/>
            <w:hideMark/>
          </w:tcPr>
          <w:p w14:paraId="4F24A28D" w14:textId="36DBDEF7" w:rsidR="008D0A3F" w:rsidRPr="008D0A3F" w:rsidRDefault="008D0A3F" w:rsidP="008D0A3F">
            <w:pPr>
              <w:spacing w:before="0" w:after="0" w:line="240" w:lineRule="auto"/>
              <w:jc w:val="center"/>
              <w:textAlignment w:val="baseline"/>
              <w:rPr>
                <w:rFonts w:ascii="Arial Narrow" w:eastAsia="Arial Narrow" w:hAnsi="Arial Narrow" w:cs="Arial Narrow"/>
                <w:b/>
                <w:sz w:val="20"/>
                <w:szCs w:val="20"/>
                <w:lang w:eastAsia="en-AU"/>
              </w:rPr>
            </w:pPr>
            <w:r w:rsidRPr="7D413406">
              <w:rPr>
                <w:rFonts w:ascii="Arial Narrow" w:eastAsia="Arial Narrow" w:hAnsi="Arial Narrow" w:cs="Arial Narrow"/>
                <w:b/>
                <w:sz w:val="18"/>
                <w:szCs w:val="18"/>
                <w:lang w:eastAsia="en-AU"/>
              </w:rPr>
              <w:t>Duration</w:t>
            </w:r>
          </w:p>
        </w:tc>
        <w:tc>
          <w:tcPr>
            <w:tcW w:w="259" w:type="pct"/>
            <w:vMerge w:val="restart"/>
            <w:tcBorders>
              <w:top w:val="single" w:sz="6" w:space="0" w:color="auto"/>
              <w:left w:val="single" w:sz="4" w:space="0" w:color="auto"/>
              <w:bottom w:val="single" w:sz="6" w:space="0" w:color="auto"/>
              <w:right w:val="single" w:sz="4" w:space="0" w:color="auto"/>
            </w:tcBorders>
            <w:shd w:val="clear" w:color="auto" w:fill="FFFFFF" w:themeFill="background1"/>
            <w:vAlign w:val="center"/>
            <w:hideMark/>
          </w:tcPr>
          <w:p w14:paraId="4B7CCB19" w14:textId="77777777" w:rsidR="008D0A3F" w:rsidRPr="008D0A3F" w:rsidRDefault="008D0A3F" w:rsidP="008D0A3F">
            <w:pPr>
              <w:spacing w:before="0" w:after="0" w:line="240" w:lineRule="auto"/>
              <w:jc w:val="center"/>
              <w:textAlignment w:val="baseline"/>
              <w:rPr>
                <w:rFonts w:ascii="Arial Narrow" w:eastAsia="Arial Narrow" w:hAnsi="Arial Narrow" w:cs="Arial Narrow"/>
                <w:b/>
                <w:sz w:val="20"/>
                <w:szCs w:val="20"/>
                <w:lang w:eastAsia="en-AU"/>
              </w:rPr>
            </w:pPr>
            <w:r w:rsidRPr="008D0A3F">
              <w:rPr>
                <w:rFonts w:ascii="Arial Narrow" w:eastAsia="Times New Roman" w:hAnsi="Arial Narrow" w:cs="Segoe UI"/>
                <w:b/>
                <w:bCs/>
                <w:sz w:val="20"/>
                <w:szCs w:val="20"/>
                <w:lang w:val="en-US" w:eastAsia="en-AU"/>
              </w:rPr>
              <w:t>Risk of bias</w:t>
            </w:r>
            <w:r w:rsidRPr="008D0A3F">
              <w:rPr>
                <w:rFonts w:ascii="Arial Narrow" w:eastAsia="Times New Roman" w:hAnsi="Arial Narrow" w:cs="Segoe UI"/>
                <w:b/>
                <w:bCs/>
                <w:sz w:val="20"/>
                <w:szCs w:val="20"/>
                <w:lang w:eastAsia="en-AU"/>
              </w:rPr>
              <w:t> </w:t>
            </w:r>
          </w:p>
        </w:tc>
        <w:tc>
          <w:tcPr>
            <w:tcW w:w="1078" w:type="pct"/>
            <w:gridSpan w:val="3"/>
            <w:tcBorders>
              <w:top w:val="single" w:sz="6" w:space="0" w:color="auto"/>
              <w:left w:val="single" w:sz="4" w:space="0" w:color="auto"/>
              <w:bottom w:val="single" w:sz="6" w:space="0" w:color="auto"/>
              <w:right w:val="single" w:sz="6" w:space="0" w:color="auto"/>
            </w:tcBorders>
            <w:shd w:val="clear" w:color="auto" w:fill="FFFFFF" w:themeFill="background1"/>
            <w:vAlign w:val="center"/>
            <w:hideMark/>
          </w:tcPr>
          <w:p w14:paraId="0D885527" w14:textId="4E822244" w:rsidR="008D0A3F" w:rsidRPr="008D0A3F" w:rsidRDefault="09A21A0B" w:rsidP="0D77DCC5">
            <w:pPr>
              <w:spacing w:before="0" w:after="0" w:line="240" w:lineRule="auto"/>
              <w:jc w:val="center"/>
              <w:textAlignment w:val="baseline"/>
              <w:rPr>
                <w:rFonts w:ascii="Arial Narrow" w:eastAsia="Times New Roman" w:hAnsi="Arial Narrow" w:cs="Segoe UI"/>
                <w:b/>
                <w:bCs/>
                <w:sz w:val="20"/>
                <w:szCs w:val="20"/>
                <w:lang w:val="en-US" w:eastAsia="en-AU"/>
              </w:rPr>
            </w:pPr>
            <w:r w:rsidRPr="0D77DCC5">
              <w:rPr>
                <w:rFonts w:ascii="Arial Narrow" w:eastAsia="Times New Roman" w:hAnsi="Arial Narrow" w:cs="Segoe UI"/>
                <w:b/>
                <w:bCs/>
                <w:sz w:val="20"/>
                <w:szCs w:val="20"/>
                <w:lang w:val="en-US" w:eastAsia="en-AU"/>
              </w:rPr>
              <w:t>Patient population</w:t>
            </w:r>
            <w:r w:rsidR="215FBB6B" w:rsidRPr="0D77DCC5">
              <w:rPr>
                <w:rFonts w:ascii="Arial Narrow" w:eastAsia="Times New Roman" w:hAnsi="Arial Narrow" w:cs="Segoe UI"/>
                <w:b/>
                <w:bCs/>
                <w:sz w:val="20"/>
                <w:szCs w:val="20"/>
                <w:lang w:val="en-US" w:eastAsia="en-AU"/>
              </w:rPr>
              <w:t xml:space="preserve"> (ESG only)</w:t>
            </w:r>
          </w:p>
        </w:tc>
        <w:tc>
          <w:tcPr>
            <w:tcW w:w="1179" w:type="pct"/>
            <w:vMerge w:val="restart"/>
            <w:tcBorders>
              <w:top w:val="single" w:sz="6" w:space="0" w:color="auto"/>
              <w:left w:val="single" w:sz="6" w:space="0" w:color="auto"/>
              <w:bottom w:val="single" w:sz="6" w:space="0" w:color="auto"/>
              <w:right w:val="single" w:sz="4" w:space="0" w:color="auto"/>
            </w:tcBorders>
            <w:shd w:val="clear" w:color="auto" w:fill="FFFFFF" w:themeFill="background1"/>
            <w:vAlign w:val="center"/>
            <w:hideMark/>
          </w:tcPr>
          <w:p w14:paraId="42376F31" w14:textId="77777777" w:rsidR="008D0A3F" w:rsidRPr="008D0A3F" w:rsidRDefault="008D0A3F" w:rsidP="008D0A3F">
            <w:pPr>
              <w:spacing w:before="0" w:after="0" w:line="240" w:lineRule="auto"/>
              <w:jc w:val="center"/>
              <w:textAlignment w:val="baseline"/>
              <w:rPr>
                <w:rFonts w:ascii="Arial Narrow" w:eastAsia="Arial Narrow" w:hAnsi="Arial Narrow" w:cs="Arial Narrow"/>
                <w:b/>
                <w:sz w:val="20"/>
                <w:szCs w:val="20"/>
                <w:lang w:eastAsia="en-AU"/>
              </w:rPr>
            </w:pPr>
            <w:r w:rsidRPr="008D0A3F">
              <w:rPr>
                <w:rFonts w:ascii="Arial Narrow" w:eastAsia="Times New Roman" w:hAnsi="Arial Narrow" w:cs="Segoe UI"/>
                <w:b/>
                <w:bCs/>
                <w:sz w:val="20"/>
                <w:szCs w:val="20"/>
                <w:lang w:val="en-US" w:eastAsia="en-AU"/>
              </w:rPr>
              <w:t>Outcome(s)</w:t>
            </w:r>
            <w:r w:rsidRPr="008D0A3F">
              <w:rPr>
                <w:rFonts w:ascii="Arial Narrow" w:eastAsia="Times New Roman" w:hAnsi="Arial Narrow" w:cs="Segoe UI"/>
                <w:b/>
                <w:bCs/>
                <w:sz w:val="20"/>
                <w:szCs w:val="20"/>
                <w:lang w:eastAsia="en-AU"/>
              </w:rPr>
              <w:t> </w:t>
            </w:r>
          </w:p>
        </w:tc>
        <w:tc>
          <w:tcPr>
            <w:tcW w:w="600" w:type="pct"/>
            <w:vMerge w:val="restart"/>
            <w:tcBorders>
              <w:top w:val="single" w:sz="6" w:space="0" w:color="auto"/>
              <w:left w:val="single" w:sz="4" w:space="0" w:color="auto"/>
              <w:bottom w:val="single" w:sz="6" w:space="0" w:color="auto"/>
              <w:right w:val="single" w:sz="6" w:space="0" w:color="auto"/>
            </w:tcBorders>
            <w:shd w:val="clear" w:color="auto" w:fill="FFFFFF" w:themeFill="background1"/>
            <w:vAlign w:val="center"/>
            <w:hideMark/>
          </w:tcPr>
          <w:p w14:paraId="63B18337" w14:textId="0C07870F" w:rsidR="008D0A3F" w:rsidRPr="008D0A3F" w:rsidRDefault="008D0A3F" w:rsidP="008D0A3F">
            <w:pPr>
              <w:spacing w:before="0" w:after="0" w:line="240" w:lineRule="auto"/>
              <w:jc w:val="center"/>
              <w:textAlignment w:val="baseline"/>
              <w:rPr>
                <w:rFonts w:ascii="Arial Narrow" w:eastAsia="Arial Narrow" w:hAnsi="Arial Narrow" w:cs="Arial Narrow"/>
                <w:b/>
                <w:sz w:val="20"/>
                <w:szCs w:val="20"/>
                <w:lang w:eastAsia="en-AU"/>
              </w:rPr>
            </w:pPr>
            <w:r w:rsidRPr="008D0A3F">
              <w:rPr>
                <w:rFonts w:ascii="Arial Narrow" w:eastAsia="Times New Roman" w:hAnsi="Arial Narrow" w:cs="Segoe UI"/>
                <w:b/>
                <w:bCs/>
                <w:sz w:val="20"/>
                <w:szCs w:val="20"/>
                <w:lang w:val="en-US" w:eastAsia="en-AU"/>
              </w:rPr>
              <w:t>Use in modelled evaluation</w:t>
            </w:r>
            <w:r w:rsidRPr="008D0A3F">
              <w:rPr>
                <w:rFonts w:ascii="Arial Narrow" w:eastAsia="Times New Roman" w:hAnsi="Arial Narrow" w:cs="Segoe UI"/>
                <w:b/>
                <w:bCs/>
                <w:sz w:val="20"/>
                <w:szCs w:val="20"/>
                <w:lang w:eastAsia="en-AU"/>
              </w:rPr>
              <w:t> </w:t>
            </w:r>
          </w:p>
        </w:tc>
      </w:tr>
      <w:tr w:rsidR="00C16896" w:rsidRPr="008D0A3F" w14:paraId="16BDB617" w14:textId="77777777" w:rsidTr="00C8307F">
        <w:trPr>
          <w:trHeight w:val="435"/>
        </w:trPr>
        <w:tc>
          <w:tcPr>
            <w:tcW w:w="567" w:type="pct"/>
            <w:vMerge/>
            <w:tcBorders>
              <w:left w:val="single" w:sz="6" w:space="0" w:color="auto"/>
              <w:bottom w:val="single" w:sz="6" w:space="0" w:color="auto"/>
              <w:right w:val="single" w:sz="4" w:space="0" w:color="auto"/>
            </w:tcBorders>
            <w:vAlign w:val="center"/>
            <w:hideMark/>
          </w:tcPr>
          <w:p w14:paraId="2644E9B8" w14:textId="77777777" w:rsidR="008D0A3F" w:rsidRPr="008D0A3F" w:rsidRDefault="008D0A3F" w:rsidP="008D0A3F">
            <w:pPr>
              <w:spacing w:before="0" w:after="0" w:line="256" w:lineRule="auto"/>
              <w:rPr>
                <w:rFonts w:ascii="Segoe UI" w:eastAsia="Times New Roman" w:hAnsi="Segoe UI" w:cs="Segoe UI"/>
                <w:b/>
                <w:bCs/>
                <w:sz w:val="18"/>
                <w:szCs w:val="18"/>
                <w:lang w:eastAsia="en-AU"/>
              </w:rPr>
            </w:pPr>
          </w:p>
        </w:tc>
        <w:tc>
          <w:tcPr>
            <w:tcW w:w="373" w:type="pct"/>
            <w:vMerge/>
            <w:tcBorders>
              <w:left w:val="single" w:sz="4" w:space="0" w:color="auto"/>
              <w:bottom w:val="single" w:sz="6" w:space="0" w:color="auto"/>
              <w:right w:val="single" w:sz="4" w:space="0" w:color="auto"/>
            </w:tcBorders>
            <w:vAlign w:val="center"/>
            <w:hideMark/>
          </w:tcPr>
          <w:p w14:paraId="3CC6FEF4" w14:textId="77777777" w:rsidR="008D0A3F" w:rsidRPr="008D0A3F" w:rsidRDefault="008D0A3F" w:rsidP="008D0A3F">
            <w:pPr>
              <w:spacing w:before="0" w:after="0" w:line="256" w:lineRule="auto"/>
              <w:rPr>
                <w:rFonts w:ascii="Segoe UI" w:eastAsia="Times New Roman" w:hAnsi="Segoe UI" w:cs="Segoe UI"/>
                <w:b/>
                <w:bCs/>
                <w:sz w:val="18"/>
                <w:szCs w:val="18"/>
                <w:lang w:eastAsia="en-AU"/>
              </w:rPr>
            </w:pPr>
          </w:p>
        </w:tc>
        <w:tc>
          <w:tcPr>
            <w:tcW w:w="550" w:type="pct"/>
            <w:vMerge/>
            <w:tcBorders>
              <w:left w:val="single" w:sz="4" w:space="0" w:color="auto"/>
              <w:bottom w:val="single" w:sz="6" w:space="0" w:color="auto"/>
              <w:right w:val="single" w:sz="4" w:space="0" w:color="auto"/>
            </w:tcBorders>
            <w:vAlign w:val="center"/>
            <w:hideMark/>
          </w:tcPr>
          <w:p w14:paraId="392F9894" w14:textId="77777777" w:rsidR="008D0A3F" w:rsidRPr="008D0A3F" w:rsidRDefault="008D0A3F" w:rsidP="008D0A3F">
            <w:pPr>
              <w:spacing w:before="0" w:after="0" w:line="256" w:lineRule="auto"/>
              <w:rPr>
                <w:rFonts w:ascii="Segoe UI" w:eastAsia="Times New Roman" w:hAnsi="Segoe UI" w:cs="Segoe UI"/>
                <w:b/>
                <w:bCs/>
                <w:sz w:val="18"/>
                <w:szCs w:val="18"/>
                <w:lang w:eastAsia="en-AU"/>
              </w:rPr>
            </w:pPr>
          </w:p>
        </w:tc>
        <w:tc>
          <w:tcPr>
            <w:tcW w:w="394" w:type="pct"/>
            <w:vMerge/>
            <w:tcBorders>
              <w:left w:val="single" w:sz="4" w:space="0" w:color="auto"/>
              <w:bottom w:val="single" w:sz="6" w:space="0" w:color="auto"/>
              <w:right w:val="single" w:sz="4" w:space="0" w:color="auto"/>
            </w:tcBorders>
            <w:vAlign w:val="center"/>
            <w:hideMark/>
          </w:tcPr>
          <w:p w14:paraId="71FD399C" w14:textId="77777777" w:rsidR="008D0A3F" w:rsidRPr="008D0A3F" w:rsidRDefault="008D0A3F" w:rsidP="008D0A3F">
            <w:pPr>
              <w:spacing w:before="0" w:after="0" w:line="256" w:lineRule="auto"/>
              <w:rPr>
                <w:rFonts w:ascii="Segoe UI" w:eastAsia="Times New Roman" w:hAnsi="Segoe UI" w:cs="Segoe UI"/>
                <w:b/>
                <w:bCs/>
                <w:sz w:val="18"/>
                <w:szCs w:val="18"/>
                <w:lang w:eastAsia="en-AU"/>
              </w:rPr>
            </w:pPr>
          </w:p>
        </w:tc>
        <w:tc>
          <w:tcPr>
            <w:tcW w:w="259" w:type="pct"/>
            <w:vMerge/>
            <w:tcBorders>
              <w:left w:val="single" w:sz="4" w:space="0" w:color="auto"/>
              <w:bottom w:val="single" w:sz="6" w:space="0" w:color="auto"/>
            </w:tcBorders>
            <w:vAlign w:val="center"/>
            <w:hideMark/>
          </w:tcPr>
          <w:p w14:paraId="1A97F954" w14:textId="77777777" w:rsidR="008D0A3F" w:rsidRPr="008D0A3F" w:rsidRDefault="008D0A3F" w:rsidP="008D0A3F">
            <w:pPr>
              <w:spacing w:before="0" w:after="0" w:line="256" w:lineRule="auto"/>
              <w:rPr>
                <w:rFonts w:ascii="Segoe UI" w:eastAsia="Times New Roman" w:hAnsi="Segoe UI" w:cs="Segoe UI"/>
                <w:b/>
                <w:bCs/>
                <w:sz w:val="18"/>
                <w:szCs w:val="18"/>
                <w:lang w:eastAsia="en-AU"/>
              </w:rPr>
            </w:pPr>
          </w:p>
        </w:tc>
        <w:tc>
          <w:tcPr>
            <w:tcW w:w="276" w:type="pct"/>
            <w:tcBorders>
              <w:top w:val="single" w:sz="6" w:space="0" w:color="auto"/>
              <w:left w:val="single" w:sz="4" w:space="0" w:color="auto"/>
              <w:bottom w:val="single" w:sz="6" w:space="0" w:color="auto"/>
              <w:right w:val="single" w:sz="6" w:space="0" w:color="auto"/>
            </w:tcBorders>
            <w:shd w:val="clear" w:color="auto" w:fill="FFFFFF" w:themeFill="background1"/>
            <w:vAlign w:val="center"/>
            <w:hideMark/>
          </w:tcPr>
          <w:p w14:paraId="5344D578" w14:textId="61295AC5" w:rsidR="008D0A3F" w:rsidRPr="008D0A3F" w:rsidRDefault="008D0A3F" w:rsidP="008D0A3F">
            <w:pPr>
              <w:spacing w:before="0" w:after="0" w:line="240" w:lineRule="auto"/>
              <w:jc w:val="center"/>
              <w:textAlignment w:val="baseline"/>
              <w:rPr>
                <w:rFonts w:ascii="Arial Narrow" w:eastAsia="Arial Narrow" w:hAnsi="Arial Narrow" w:cs="Arial Narrow"/>
                <w:b/>
                <w:sz w:val="20"/>
                <w:szCs w:val="20"/>
                <w:lang w:val="en-US" w:eastAsia="en-AU"/>
              </w:rPr>
            </w:pPr>
            <w:r w:rsidRPr="008D0A3F">
              <w:rPr>
                <w:rFonts w:ascii="Arial Narrow" w:eastAsia="Times New Roman" w:hAnsi="Arial Narrow" w:cs="Segoe UI"/>
                <w:b/>
                <w:bCs/>
                <w:sz w:val="18"/>
                <w:szCs w:val="18"/>
                <w:lang w:val="en-US" w:eastAsia="en-AU"/>
              </w:rPr>
              <w:t>mean age (years)</w:t>
            </w:r>
          </w:p>
        </w:tc>
        <w:tc>
          <w:tcPr>
            <w:tcW w:w="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2BE4127" w14:textId="31B3A161" w:rsidR="008D0A3F" w:rsidRPr="008D0A3F" w:rsidRDefault="008D0A3F" w:rsidP="008D0A3F">
            <w:pPr>
              <w:spacing w:before="0" w:after="0" w:line="240" w:lineRule="auto"/>
              <w:jc w:val="center"/>
              <w:textAlignment w:val="baseline"/>
              <w:rPr>
                <w:rFonts w:ascii="Arial Narrow" w:eastAsia="Arial Narrow" w:hAnsi="Arial Narrow" w:cs="Arial Narrow"/>
                <w:b/>
                <w:sz w:val="20"/>
                <w:szCs w:val="20"/>
                <w:lang w:val="en-US" w:eastAsia="en-AU"/>
              </w:rPr>
            </w:pPr>
            <w:r w:rsidRPr="008D0A3F">
              <w:rPr>
                <w:rFonts w:ascii="Arial Narrow" w:eastAsia="Times New Roman" w:hAnsi="Arial Narrow" w:cs="Segoe UI"/>
                <w:b/>
                <w:bCs/>
                <w:sz w:val="18"/>
                <w:szCs w:val="18"/>
                <w:lang w:val="en-US" w:eastAsia="en-AU"/>
              </w:rPr>
              <w:t>female (%)</w:t>
            </w:r>
          </w:p>
        </w:tc>
        <w:tc>
          <w:tcPr>
            <w:tcW w:w="39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7D61F81" w14:textId="2A1D826B" w:rsidR="008D0A3F" w:rsidRPr="008D0A3F" w:rsidRDefault="00446CBC" w:rsidP="008D0A3F">
            <w:pPr>
              <w:spacing w:before="0" w:after="0" w:line="240" w:lineRule="auto"/>
              <w:jc w:val="center"/>
              <w:textAlignment w:val="baseline"/>
              <w:rPr>
                <w:rFonts w:ascii="Arial Narrow" w:eastAsia="Arial Narrow" w:hAnsi="Arial Narrow" w:cs="Arial Narrow"/>
                <w:b/>
                <w:sz w:val="20"/>
                <w:szCs w:val="20"/>
                <w:lang w:val="en-US" w:eastAsia="en-AU"/>
              </w:rPr>
            </w:pPr>
            <w:r>
              <w:rPr>
                <w:rFonts w:ascii="Arial Narrow" w:eastAsia="Times New Roman" w:hAnsi="Arial Narrow" w:cs="Segoe UI"/>
                <w:b/>
                <w:bCs/>
                <w:sz w:val="18"/>
                <w:szCs w:val="18"/>
                <w:lang w:val="en-US" w:eastAsia="en-AU"/>
              </w:rPr>
              <w:t>m</w:t>
            </w:r>
            <w:r w:rsidR="00814301">
              <w:rPr>
                <w:rFonts w:ascii="Arial Narrow" w:eastAsia="Times New Roman" w:hAnsi="Arial Narrow" w:cs="Segoe UI"/>
                <w:b/>
                <w:bCs/>
                <w:sz w:val="18"/>
                <w:szCs w:val="18"/>
                <w:lang w:val="en-US" w:eastAsia="en-AU"/>
              </w:rPr>
              <w:t>ean</w:t>
            </w:r>
            <w:r>
              <w:rPr>
                <w:rFonts w:ascii="Arial Narrow" w:eastAsia="Times New Roman" w:hAnsi="Arial Narrow" w:cs="Segoe UI"/>
                <w:b/>
                <w:bCs/>
                <w:sz w:val="18"/>
                <w:szCs w:val="18"/>
                <w:lang w:val="en-US" w:eastAsia="en-AU"/>
              </w:rPr>
              <w:t xml:space="preserve"> </w:t>
            </w:r>
            <w:r w:rsidR="09A21A0B" w:rsidRPr="0D77DCC5">
              <w:rPr>
                <w:rFonts w:ascii="Arial Narrow" w:eastAsia="Times New Roman" w:hAnsi="Arial Narrow" w:cs="Segoe UI"/>
                <w:b/>
                <w:bCs/>
                <w:sz w:val="18"/>
                <w:szCs w:val="18"/>
                <w:lang w:val="en-US" w:eastAsia="en-AU"/>
              </w:rPr>
              <w:t>BMI (kg/m</w:t>
            </w:r>
            <w:r w:rsidR="09A21A0B" w:rsidRPr="0D77DCC5">
              <w:rPr>
                <w:rFonts w:ascii="Arial Narrow" w:hAnsi="Arial Narrow"/>
                <w:b/>
                <w:bCs/>
                <w:sz w:val="18"/>
                <w:szCs w:val="18"/>
                <w:vertAlign w:val="superscript"/>
                <w:lang w:val="en-US"/>
              </w:rPr>
              <w:t>2</w:t>
            </w:r>
            <w:r w:rsidR="09A21A0B" w:rsidRPr="0D77DCC5">
              <w:rPr>
                <w:rFonts w:ascii="Arial Narrow" w:eastAsia="Times New Roman" w:hAnsi="Arial Narrow" w:cs="Segoe UI"/>
                <w:b/>
                <w:bCs/>
                <w:sz w:val="18"/>
                <w:szCs w:val="18"/>
                <w:lang w:val="en-US" w:eastAsia="en-AU"/>
              </w:rPr>
              <w:t>))</w:t>
            </w:r>
          </w:p>
        </w:tc>
        <w:tc>
          <w:tcPr>
            <w:tcW w:w="1179" w:type="pct"/>
            <w:vMerge/>
            <w:tcBorders>
              <w:top w:val="nil"/>
              <w:bottom w:val="single" w:sz="6" w:space="0" w:color="auto"/>
              <w:right w:val="single" w:sz="4" w:space="0" w:color="auto"/>
            </w:tcBorders>
            <w:vAlign w:val="center"/>
            <w:hideMark/>
          </w:tcPr>
          <w:p w14:paraId="5C836364" w14:textId="77777777" w:rsidR="008D0A3F" w:rsidRPr="008D0A3F" w:rsidRDefault="008D0A3F" w:rsidP="008D0A3F">
            <w:pPr>
              <w:spacing w:before="0" w:after="0" w:line="256" w:lineRule="auto"/>
              <w:rPr>
                <w:rFonts w:ascii="Segoe UI" w:eastAsia="Times New Roman" w:hAnsi="Segoe UI" w:cs="Segoe UI"/>
                <w:b/>
                <w:bCs/>
                <w:sz w:val="18"/>
                <w:szCs w:val="18"/>
                <w:lang w:eastAsia="en-AU"/>
              </w:rPr>
            </w:pPr>
          </w:p>
        </w:tc>
        <w:tc>
          <w:tcPr>
            <w:tcW w:w="600" w:type="pct"/>
            <w:vMerge/>
            <w:tcBorders>
              <w:top w:val="nil"/>
              <w:left w:val="single" w:sz="4" w:space="0" w:color="auto"/>
              <w:bottom w:val="single" w:sz="6" w:space="0" w:color="auto"/>
              <w:right w:val="single" w:sz="6" w:space="0" w:color="auto"/>
            </w:tcBorders>
            <w:vAlign w:val="center"/>
            <w:hideMark/>
          </w:tcPr>
          <w:p w14:paraId="3788D0C4" w14:textId="77777777" w:rsidR="008D0A3F" w:rsidRPr="008D0A3F" w:rsidRDefault="008D0A3F" w:rsidP="008D0A3F">
            <w:pPr>
              <w:spacing w:before="0" w:after="0" w:line="256" w:lineRule="auto"/>
              <w:rPr>
                <w:rFonts w:ascii="Segoe UI" w:eastAsia="Times New Roman" w:hAnsi="Segoe UI" w:cs="Segoe UI"/>
                <w:b/>
                <w:bCs/>
                <w:sz w:val="18"/>
                <w:szCs w:val="18"/>
                <w:lang w:eastAsia="en-AU"/>
              </w:rPr>
            </w:pPr>
          </w:p>
        </w:tc>
      </w:tr>
      <w:tr w:rsidR="008D0A3F" w:rsidRPr="008D0A3F" w14:paraId="08E2DF2D" w14:textId="77777777" w:rsidTr="00115CA8">
        <w:trPr>
          <w:trHeight w:val="300"/>
        </w:trPr>
        <w:tc>
          <w:tcPr>
            <w:tcW w:w="5000" w:type="pct"/>
            <w:gridSpan w:val="10"/>
            <w:tcBorders>
              <w:top w:val="single" w:sz="6" w:space="0" w:color="auto"/>
              <w:left w:val="single" w:sz="6" w:space="0" w:color="auto"/>
              <w:bottom w:val="single" w:sz="6" w:space="0" w:color="auto"/>
              <w:right w:val="single" w:sz="6" w:space="0" w:color="auto"/>
            </w:tcBorders>
            <w:vAlign w:val="center"/>
            <w:hideMark/>
          </w:tcPr>
          <w:p w14:paraId="06FF3D64" w14:textId="437EE9EB" w:rsidR="008D0A3F" w:rsidRPr="008D0A3F" w:rsidRDefault="0033125B" w:rsidP="008D0A3F">
            <w:pPr>
              <w:spacing w:before="0" w:after="0" w:line="240" w:lineRule="auto"/>
              <w:textAlignment w:val="baseline"/>
              <w:rPr>
                <w:rFonts w:ascii="Arial Narrow" w:eastAsia="Arial Narrow" w:hAnsi="Arial Narrow" w:cs="Arial Narrow"/>
                <w:b/>
                <w:sz w:val="18"/>
                <w:szCs w:val="18"/>
                <w:lang w:eastAsia="en-AU"/>
              </w:rPr>
            </w:pPr>
            <w:r>
              <w:rPr>
                <w:rFonts w:ascii="Arial Narrow" w:eastAsia="Arial Narrow" w:hAnsi="Arial Narrow" w:cs="Arial Narrow"/>
                <w:b/>
                <w:sz w:val="18"/>
                <w:szCs w:val="18"/>
                <w:lang w:eastAsia="en-AU"/>
              </w:rPr>
              <w:t xml:space="preserve">RCT: </w:t>
            </w:r>
            <w:r w:rsidR="008D0A3F" w:rsidRPr="7D413406">
              <w:rPr>
                <w:rFonts w:ascii="Arial Narrow" w:eastAsia="Arial Narrow" w:hAnsi="Arial Narrow" w:cs="Arial Narrow"/>
                <w:b/>
                <w:sz w:val="18"/>
                <w:szCs w:val="18"/>
                <w:lang w:eastAsia="en-AU"/>
              </w:rPr>
              <w:t xml:space="preserve">ESG </w:t>
            </w:r>
            <w:r>
              <w:rPr>
                <w:rFonts w:ascii="Arial Narrow" w:eastAsia="Arial Narrow" w:hAnsi="Arial Narrow" w:cs="Arial Narrow"/>
                <w:b/>
                <w:sz w:val="18"/>
                <w:szCs w:val="18"/>
                <w:lang w:eastAsia="en-AU"/>
              </w:rPr>
              <w:t xml:space="preserve">+ lifestyle modification </w:t>
            </w:r>
            <w:r w:rsidR="008D0A3F" w:rsidRPr="7D413406">
              <w:rPr>
                <w:rFonts w:ascii="Arial Narrow" w:eastAsia="Arial Narrow" w:hAnsi="Arial Narrow" w:cs="Arial Narrow"/>
                <w:b/>
                <w:sz w:val="18"/>
                <w:szCs w:val="18"/>
                <w:lang w:eastAsia="en-AU"/>
              </w:rPr>
              <w:t>vs lifestyle modification</w:t>
            </w:r>
          </w:p>
        </w:tc>
      </w:tr>
      <w:tr w:rsidR="00BC3E79" w:rsidRPr="008D0A3F" w14:paraId="1D68327D" w14:textId="77777777" w:rsidTr="00115CA8">
        <w:trPr>
          <w:trHeight w:val="300"/>
        </w:trPr>
        <w:tc>
          <w:tcPr>
            <w:tcW w:w="567" w:type="pct"/>
            <w:tcBorders>
              <w:top w:val="single" w:sz="6" w:space="0" w:color="auto"/>
              <w:left w:val="single" w:sz="6" w:space="0" w:color="auto"/>
              <w:bottom w:val="single" w:sz="6" w:space="0" w:color="auto"/>
              <w:right w:val="single" w:sz="6" w:space="0" w:color="auto"/>
            </w:tcBorders>
            <w:vAlign w:val="center"/>
            <w:hideMark/>
          </w:tcPr>
          <w:p w14:paraId="02987D85" w14:textId="5061CCE7" w:rsidR="008D0A3F" w:rsidRPr="008D0A3F" w:rsidRDefault="008D0A3F" w:rsidP="008D0A3F">
            <w:pPr>
              <w:spacing w:before="0" w:after="0" w:line="240" w:lineRule="auto"/>
              <w:textAlignment w:val="baseline"/>
              <w:rPr>
                <w:rFonts w:ascii="Arial Narrow" w:eastAsia="Times New Roman" w:hAnsi="Arial Narrow" w:cs="Segoe UI"/>
                <w:sz w:val="20"/>
                <w:szCs w:val="20"/>
                <w:lang w:val="en-US" w:eastAsia="en-AU"/>
              </w:rPr>
            </w:pPr>
            <w:r w:rsidRPr="008D0A3F">
              <w:rPr>
                <w:rFonts w:ascii="Arial Narrow" w:eastAsia="Times New Roman" w:hAnsi="Arial Narrow" w:cs="Segoe UI"/>
                <w:sz w:val="20"/>
                <w:szCs w:val="20"/>
                <w:lang w:val="en-US" w:eastAsia="en-AU"/>
              </w:rPr>
              <w:t>MERIT</w:t>
            </w:r>
            <w:r w:rsidR="4BD243A9">
              <w:rPr>
                <w:rFonts w:ascii="Arial Narrow" w:eastAsia="Times New Roman" w:hAnsi="Arial Narrow" w:cs="Segoe UI"/>
                <w:sz w:val="20"/>
                <w:szCs w:val="20"/>
                <w:lang w:val="en-US" w:eastAsia="en-AU"/>
              </w:rPr>
              <w:t xml:space="preserve"> </w:t>
            </w:r>
            <w:r w:rsidR="58D1B84C">
              <w:rPr>
                <w:rFonts w:ascii="Arial Narrow" w:eastAsia="Times New Roman" w:hAnsi="Arial Narrow" w:cs="Segoe UI"/>
                <w:sz w:val="20"/>
                <w:szCs w:val="20"/>
                <w:lang w:val="en-US" w:eastAsia="en-AU"/>
              </w:rPr>
              <w:t xml:space="preserve">(Abu Dayyeh </w:t>
            </w:r>
            <w:r w:rsidR="4BD243A9">
              <w:rPr>
                <w:rFonts w:ascii="Arial Narrow" w:eastAsia="Times New Roman" w:hAnsi="Arial Narrow" w:cs="Segoe UI"/>
                <w:sz w:val="20"/>
                <w:szCs w:val="20"/>
                <w:lang w:val="en-US" w:eastAsia="en-AU"/>
              </w:rPr>
              <w:t>2022</w:t>
            </w:r>
            <w:r w:rsidR="4FEA3DB5">
              <w:rPr>
                <w:rFonts w:ascii="Arial Narrow" w:eastAsia="Times New Roman" w:hAnsi="Arial Narrow" w:cs="Segoe UI"/>
                <w:sz w:val="20"/>
                <w:szCs w:val="20"/>
                <w:lang w:val="en-US" w:eastAsia="en-AU"/>
              </w:rPr>
              <w:t>)</w:t>
            </w:r>
            <w:bookmarkStart w:id="35" w:name="_Ref187068871"/>
            <w:r w:rsidR="009A49B6">
              <w:rPr>
                <w:rStyle w:val="FootnoteReference"/>
                <w:rFonts w:ascii="Arial Narrow" w:eastAsia="Times New Roman" w:hAnsi="Arial Narrow" w:cs="Segoe UI"/>
                <w:sz w:val="20"/>
                <w:szCs w:val="20"/>
                <w:lang w:val="en-US" w:eastAsia="en-AU"/>
              </w:rPr>
              <w:footnoteReference w:id="21"/>
            </w:r>
            <w:bookmarkEnd w:id="35"/>
          </w:p>
        </w:tc>
        <w:tc>
          <w:tcPr>
            <w:tcW w:w="373" w:type="pct"/>
            <w:tcBorders>
              <w:top w:val="single" w:sz="6" w:space="0" w:color="auto"/>
              <w:left w:val="single" w:sz="6" w:space="0" w:color="auto"/>
              <w:bottom w:val="single" w:sz="6" w:space="0" w:color="auto"/>
              <w:right w:val="single" w:sz="6" w:space="0" w:color="auto"/>
            </w:tcBorders>
            <w:vAlign w:val="center"/>
            <w:hideMark/>
          </w:tcPr>
          <w:p w14:paraId="2F140553" w14:textId="77777777" w:rsidR="008D0A3F" w:rsidRPr="006D6D9D" w:rsidRDefault="09A21A0B" w:rsidP="00D76EFB">
            <w:pPr>
              <w:spacing w:before="0" w:after="0" w:line="240" w:lineRule="auto"/>
              <w:jc w:val="center"/>
              <w:textAlignment w:val="baseline"/>
              <w:rPr>
                <w:rFonts w:ascii="Arial Narrow" w:hAnsi="Arial Narrow"/>
                <w:kern w:val="2"/>
                <w:sz w:val="20"/>
                <w:szCs w:val="20"/>
                <w14:ligatures w14:val="standardContextual"/>
              </w:rPr>
            </w:pPr>
            <w:r w:rsidRPr="0D77DCC5">
              <w:rPr>
                <w:rFonts w:ascii="Arial Narrow" w:hAnsi="Arial Narrow"/>
                <w:kern w:val="2"/>
                <w:sz w:val="20"/>
                <w:szCs w:val="20"/>
                <w14:ligatures w14:val="standardContextual"/>
              </w:rPr>
              <w:t>209</w:t>
            </w:r>
          </w:p>
        </w:tc>
        <w:tc>
          <w:tcPr>
            <w:tcW w:w="550" w:type="pct"/>
            <w:tcBorders>
              <w:top w:val="single" w:sz="6" w:space="0" w:color="auto"/>
              <w:left w:val="single" w:sz="6" w:space="0" w:color="auto"/>
              <w:bottom w:val="single" w:sz="6" w:space="0" w:color="auto"/>
              <w:right w:val="single" w:sz="6" w:space="0" w:color="auto"/>
            </w:tcBorders>
            <w:vAlign w:val="center"/>
            <w:hideMark/>
          </w:tcPr>
          <w:p w14:paraId="2E1D08DD" w14:textId="77777777" w:rsidR="008D0A3F" w:rsidRPr="008D0A3F" w:rsidRDefault="008D0A3F" w:rsidP="00D76EFB">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RCT</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E9CA3F" w14:textId="77777777" w:rsidR="008D0A3F" w:rsidRPr="008D0A3F" w:rsidRDefault="008D0A3F" w:rsidP="008D0A3F">
            <w:pPr>
              <w:spacing w:before="0" w:after="0" w:line="240" w:lineRule="auto"/>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2 years</w:t>
            </w:r>
          </w:p>
        </w:tc>
        <w:tc>
          <w:tcPr>
            <w:tcW w:w="259" w:type="pct"/>
            <w:tcBorders>
              <w:top w:val="single" w:sz="6" w:space="0" w:color="auto"/>
              <w:left w:val="single" w:sz="6" w:space="0" w:color="auto"/>
              <w:bottom w:val="single" w:sz="6" w:space="0" w:color="auto"/>
              <w:right w:val="single" w:sz="6" w:space="0" w:color="auto"/>
            </w:tcBorders>
            <w:vAlign w:val="center"/>
            <w:hideMark/>
          </w:tcPr>
          <w:p w14:paraId="6600A30F" w14:textId="77777777" w:rsidR="008D0A3F" w:rsidRPr="006D6D9D" w:rsidRDefault="09A21A0B" w:rsidP="0D77DCC5">
            <w:pPr>
              <w:spacing w:before="0" w:after="0" w:line="240" w:lineRule="auto"/>
              <w:jc w:val="center"/>
              <w:textAlignment w:val="baseline"/>
              <w:rPr>
                <w:rFonts w:ascii="Arial Narrow" w:hAnsi="Arial Narrow"/>
                <w:sz w:val="20"/>
                <w:szCs w:val="20"/>
                <w:lang w:val="en-US"/>
              </w:rPr>
            </w:pPr>
            <w:r w:rsidRPr="0D77DCC5">
              <w:rPr>
                <w:rFonts w:ascii="Arial Narrow" w:hAnsi="Arial Narrow"/>
                <w:sz w:val="20"/>
                <w:szCs w:val="20"/>
                <w:lang w:val="en-US"/>
              </w:rPr>
              <w:t>Low</w:t>
            </w:r>
          </w:p>
        </w:tc>
        <w:tc>
          <w:tcPr>
            <w:tcW w:w="276" w:type="pct"/>
            <w:tcBorders>
              <w:top w:val="single" w:sz="6" w:space="0" w:color="auto"/>
              <w:left w:val="single" w:sz="6" w:space="0" w:color="auto"/>
              <w:bottom w:val="single" w:sz="6" w:space="0" w:color="auto"/>
              <w:right w:val="single" w:sz="6" w:space="0" w:color="auto"/>
            </w:tcBorders>
            <w:vAlign w:val="center"/>
          </w:tcPr>
          <w:p w14:paraId="417C5DED" w14:textId="00A06881" w:rsidR="008D0A3F" w:rsidRPr="008D0A3F" w:rsidRDefault="00261C4A" w:rsidP="008D0A3F">
            <w:pPr>
              <w:spacing w:before="0" w:after="0" w:line="240" w:lineRule="auto"/>
              <w:jc w:val="center"/>
              <w:textAlignment w:val="baseline"/>
              <w:rPr>
                <w:rFonts w:ascii="Arial Narrow" w:eastAsia="Times New Roman" w:hAnsi="Arial Narrow" w:cs="Segoe UI"/>
                <w:sz w:val="20"/>
                <w:szCs w:val="20"/>
                <w:lang w:eastAsia="en-AU"/>
              </w:rPr>
            </w:pPr>
            <w:r>
              <w:rPr>
                <w:rFonts w:ascii="Arial Narrow" w:eastAsia="Times New Roman" w:hAnsi="Arial Narrow" w:cs="Segoe UI"/>
                <w:sz w:val="20"/>
                <w:szCs w:val="20"/>
                <w:lang w:eastAsia="en-AU"/>
              </w:rPr>
              <w:t>47.3</w:t>
            </w:r>
          </w:p>
        </w:tc>
        <w:tc>
          <w:tcPr>
            <w:tcW w:w="409" w:type="pct"/>
            <w:tcBorders>
              <w:top w:val="single" w:sz="6" w:space="0" w:color="auto"/>
              <w:left w:val="single" w:sz="6" w:space="0" w:color="auto"/>
              <w:bottom w:val="single" w:sz="6" w:space="0" w:color="auto"/>
              <w:right w:val="single" w:sz="6" w:space="0" w:color="auto"/>
            </w:tcBorders>
            <w:vAlign w:val="center"/>
          </w:tcPr>
          <w:p w14:paraId="5B2C2104" w14:textId="397E2D17" w:rsidR="008D0A3F" w:rsidRPr="008D0A3F" w:rsidRDefault="00261C4A" w:rsidP="008D0A3F">
            <w:pPr>
              <w:spacing w:before="0" w:after="0" w:line="240" w:lineRule="auto"/>
              <w:jc w:val="center"/>
              <w:textAlignment w:val="baseline"/>
              <w:rPr>
                <w:rFonts w:ascii="Arial Narrow" w:eastAsia="Times New Roman" w:hAnsi="Arial Narrow" w:cs="Segoe UI"/>
                <w:sz w:val="20"/>
                <w:szCs w:val="20"/>
                <w:lang w:eastAsia="en-AU"/>
              </w:rPr>
            </w:pPr>
            <w:r>
              <w:rPr>
                <w:rFonts w:ascii="Arial Narrow" w:eastAsia="Times New Roman" w:hAnsi="Arial Narrow" w:cs="Segoe UI"/>
                <w:sz w:val="20"/>
                <w:szCs w:val="20"/>
                <w:lang w:eastAsia="en-AU"/>
              </w:rPr>
              <w:t>88</w:t>
            </w:r>
          </w:p>
        </w:tc>
        <w:tc>
          <w:tcPr>
            <w:tcW w:w="393" w:type="pct"/>
            <w:tcBorders>
              <w:top w:val="single" w:sz="6" w:space="0" w:color="auto"/>
              <w:left w:val="single" w:sz="6" w:space="0" w:color="auto"/>
              <w:bottom w:val="single" w:sz="6" w:space="0" w:color="auto"/>
              <w:right w:val="single" w:sz="6" w:space="0" w:color="auto"/>
            </w:tcBorders>
            <w:vAlign w:val="center"/>
          </w:tcPr>
          <w:p w14:paraId="46FB8113" w14:textId="2A3D5CEE" w:rsidR="008D0A3F" w:rsidRPr="008D0A3F" w:rsidRDefault="00261C4A" w:rsidP="008D0A3F">
            <w:pPr>
              <w:spacing w:before="0" w:after="0" w:line="240" w:lineRule="auto"/>
              <w:jc w:val="center"/>
              <w:textAlignment w:val="baseline"/>
              <w:rPr>
                <w:rFonts w:ascii="Arial Narrow" w:eastAsia="Times New Roman" w:hAnsi="Arial Narrow" w:cs="Segoe UI"/>
                <w:sz w:val="20"/>
                <w:szCs w:val="20"/>
                <w:lang w:eastAsia="en-AU"/>
              </w:rPr>
            </w:pPr>
            <w:r>
              <w:rPr>
                <w:rFonts w:ascii="Arial Narrow" w:eastAsia="Times New Roman" w:hAnsi="Arial Narrow" w:cs="Segoe UI"/>
                <w:sz w:val="20"/>
                <w:szCs w:val="20"/>
                <w:lang w:eastAsia="en-AU"/>
              </w:rPr>
              <w:t>35.5</w:t>
            </w:r>
          </w:p>
        </w:tc>
        <w:tc>
          <w:tcPr>
            <w:tcW w:w="1179" w:type="pct"/>
            <w:tcBorders>
              <w:top w:val="single" w:sz="6" w:space="0" w:color="auto"/>
              <w:left w:val="single" w:sz="6" w:space="0" w:color="auto"/>
              <w:bottom w:val="single" w:sz="6" w:space="0" w:color="auto"/>
              <w:right w:val="single" w:sz="6" w:space="0" w:color="auto"/>
            </w:tcBorders>
            <w:vAlign w:val="center"/>
            <w:hideMark/>
          </w:tcPr>
          <w:p w14:paraId="3993A1F3" w14:textId="2137CE5A" w:rsidR="008D0A3F" w:rsidRPr="008D0A3F" w:rsidRDefault="09A21A0B" w:rsidP="00BB3210">
            <w:pPr>
              <w:spacing w:before="0" w:after="0" w:line="240" w:lineRule="auto"/>
              <w:jc w:val="center"/>
              <w:textAlignment w:val="baseline"/>
              <w:rPr>
                <w:rFonts w:ascii="Arial Narrow" w:eastAsia="Times New Roman" w:hAnsi="Arial Narrow" w:cs="Segoe UI"/>
                <w:sz w:val="20"/>
                <w:szCs w:val="20"/>
                <w:lang w:eastAsia="en-AU"/>
              </w:rPr>
            </w:pPr>
            <w:r w:rsidRPr="0D77DCC5">
              <w:rPr>
                <w:rFonts w:ascii="Arial Narrow" w:eastAsia="Times New Roman" w:hAnsi="Arial Narrow" w:cs="Segoe UI"/>
                <w:sz w:val="20"/>
                <w:szCs w:val="20"/>
                <w:lang w:eastAsia="en-AU"/>
              </w:rPr>
              <w:t>%TBWL at 12 and 24 months, %EWL at 12 months, revision and conversion to bariatric surgery, comorbidity markers, patient</w:t>
            </w:r>
            <w:r w:rsidR="00B8449E" w:rsidRPr="0D77DCC5">
              <w:rPr>
                <w:rFonts w:ascii="Arial Narrow" w:eastAsia="Times New Roman" w:hAnsi="Arial Narrow" w:cs="Segoe UI"/>
                <w:sz w:val="20"/>
                <w:szCs w:val="20"/>
                <w:lang w:eastAsia="en-AU"/>
              </w:rPr>
              <w:t>-</w:t>
            </w:r>
            <w:r w:rsidRPr="0D77DCC5">
              <w:rPr>
                <w:rFonts w:ascii="Arial Narrow" w:eastAsia="Times New Roman" w:hAnsi="Arial Narrow" w:cs="Segoe UI"/>
                <w:sz w:val="20"/>
                <w:szCs w:val="20"/>
                <w:lang w:eastAsia="en-AU"/>
              </w:rPr>
              <w:t xml:space="preserve">reported endpoints, </w:t>
            </w:r>
            <w:r w:rsidR="00B8449E" w:rsidRPr="0D77DCC5">
              <w:rPr>
                <w:rFonts w:ascii="Arial Narrow" w:eastAsia="Times New Roman" w:hAnsi="Arial Narrow" w:cs="Segoe UI"/>
                <w:sz w:val="20"/>
                <w:szCs w:val="20"/>
                <w:lang w:eastAsia="en-AU"/>
              </w:rPr>
              <w:t>AE</w:t>
            </w:r>
            <w:r w:rsidRPr="0D77DCC5">
              <w:rPr>
                <w:rFonts w:ascii="Arial Narrow" w:eastAsia="Times New Roman" w:hAnsi="Arial Narrow" w:cs="Segoe UI"/>
                <w:sz w:val="20"/>
                <w:szCs w:val="20"/>
                <w:lang w:eastAsia="en-AU"/>
              </w:rPr>
              <w:t>s, long</w:t>
            </w:r>
            <w:r w:rsidR="00B8449E" w:rsidRPr="0D77DCC5">
              <w:rPr>
                <w:rFonts w:ascii="Arial Narrow" w:eastAsia="Times New Roman" w:hAnsi="Arial Narrow" w:cs="Segoe UI"/>
                <w:sz w:val="20"/>
                <w:szCs w:val="20"/>
                <w:lang w:eastAsia="en-AU"/>
              </w:rPr>
              <w:t>-</w:t>
            </w:r>
            <w:r w:rsidRPr="0D77DCC5">
              <w:rPr>
                <w:rFonts w:ascii="Arial Narrow" w:eastAsia="Times New Roman" w:hAnsi="Arial Narrow" w:cs="Segoe UI"/>
                <w:sz w:val="20"/>
                <w:szCs w:val="20"/>
                <w:lang w:eastAsia="en-AU"/>
              </w:rPr>
              <w:t xml:space="preserve">term </w:t>
            </w:r>
            <w:r w:rsidR="00B8449E" w:rsidRPr="0D77DCC5">
              <w:rPr>
                <w:rFonts w:ascii="Arial Narrow" w:eastAsia="Times New Roman" w:hAnsi="Arial Narrow" w:cs="Segoe UI"/>
                <w:sz w:val="20"/>
                <w:szCs w:val="20"/>
                <w:lang w:eastAsia="en-AU"/>
              </w:rPr>
              <w:t>AEs</w:t>
            </w:r>
          </w:p>
        </w:tc>
        <w:tc>
          <w:tcPr>
            <w:tcW w:w="600" w:type="pct"/>
            <w:tcBorders>
              <w:top w:val="single" w:sz="6" w:space="0" w:color="auto"/>
              <w:left w:val="single" w:sz="6" w:space="0" w:color="auto"/>
              <w:bottom w:val="single" w:sz="6" w:space="0" w:color="auto"/>
              <w:right w:val="single" w:sz="6" w:space="0" w:color="auto"/>
            </w:tcBorders>
            <w:vAlign w:val="center"/>
          </w:tcPr>
          <w:p w14:paraId="6FB8BE44" w14:textId="7C27B75D" w:rsidR="008D0A3F" w:rsidRPr="008D0A3F" w:rsidRDefault="00CC1BB1" w:rsidP="008D0A3F">
            <w:pPr>
              <w:spacing w:before="0" w:after="0" w:line="240" w:lineRule="auto"/>
              <w:jc w:val="center"/>
              <w:textAlignment w:val="baseline"/>
              <w:rPr>
                <w:rFonts w:ascii="Arial Narrow" w:eastAsia="Times New Roman" w:hAnsi="Arial Narrow" w:cs="Segoe UI"/>
                <w:sz w:val="20"/>
                <w:szCs w:val="20"/>
                <w:lang w:val="en-US" w:eastAsia="en-AU"/>
              </w:rPr>
            </w:pPr>
            <w:r>
              <w:rPr>
                <w:rFonts w:ascii="Arial Narrow" w:eastAsia="Times New Roman" w:hAnsi="Arial Narrow" w:cs="Segoe UI"/>
                <w:sz w:val="20"/>
                <w:szCs w:val="20"/>
                <w:lang w:val="en-US" w:eastAsia="en-AU"/>
              </w:rPr>
              <w:t>Yes</w:t>
            </w:r>
          </w:p>
        </w:tc>
      </w:tr>
      <w:tr w:rsidR="0033125B" w:rsidRPr="008D0A3F" w14:paraId="2755D8AB" w14:textId="77777777" w:rsidTr="00CD1CA5">
        <w:trPr>
          <w:trHeight w:val="300"/>
        </w:trPr>
        <w:tc>
          <w:tcPr>
            <w:tcW w:w="5000" w:type="pct"/>
            <w:gridSpan w:val="10"/>
            <w:tcBorders>
              <w:top w:val="single" w:sz="6" w:space="0" w:color="auto"/>
              <w:left w:val="single" w:sz="6" w:space="0" w:color="auto"/>
              <w:bottom w:val="single" w:sz="6" w:space="0" w:color="auto"/>
              <w:right w:val="single" w:sz="6" w:space="0" w:color="auto"/>
            </w:tcBorders>
            <w:vAlign w:val="center"/>
            <w:hideMark/>
          </w:tcPr>
          <w:p w14:paraId="217F2FB4" w14:textId="54172DE2" w:rsidR="0033125B" w:rsidRPr="008D0A3F" w:rsidRDefault="0033125B" w:rsidP="00CD1CA5">
            <w:pPr>
              <w:spacing w:before="0" w:after="0" w:line="240" w:lineRule="auto"/>
              <w:textAlignment w:val="baseline"/>
              <w:rPr>
                <w:rFonts w:ascii="Arial Narrow" w:eastAsia="Arial Narrow" w:hAnsi="Arial Narrow" w:cs="Arial Narrow"/>
                <w:b/>
                <w:sz w:val="20"/>
                <w:szCs w:val="20"/>
                <w:lang w:eastAsia="en-AU"/>
              </w:rPr>
            </w:pPr>
            <w:r>
              <w:rPr>
                <w:rFonts w:ascii="Arial Narrow" w:eastAsia="Arial Narrow" w:hAnsi="Arial Narrow" w:cs="Arial Narrow"/>
                <w:b/>
                <w:sz w:val="18"/>
                <w:szCs w:val="18"/>
                <w:lang w:eastAsia="en-AU"/>
              </w:rPr>
              <w:t xml:space="preserve">Single-arm studies: </w:t>
            </w:r>
            <w:r w:rsidRPr="7D413406">
              <w:rPr>
                <w:rFonts w:ascii="Arial Narrow" w:eastAsia="Arial Narrow" w:hAnsi="Arial Narrow" w:cs="Arial Narrow"/>
                <w:b/>
                <w:sz w:val="18"/>
                <w:szCs w:val="18"/>
                <w:lang w:eastAsia="en-AU"/>
              </w:rPr>
              <w:t xml:space="preserve">ESG </w:t>
            </w:r>
            <w:r>
              <w:rPr>
                <w:rFonts w:ascii="Arial Narrow" w:eastAsia="Arial Narrow" w:hAnsi="Arial Narrow" w:cs="Arial Narrow"/>
                <w:b/>
                <w:sz w:val="18"/>
                <w:szCs w:val="18"/>
                <w:lang w:eastAsia="en-AU"/>
              </w:rPr>
              <w:t>+</w:t>
            </w:r>
            <w:r w:rsidRPr="7D413406">
              <w:rPr>
                <w:rFonts w:ascii="Arial Narrow" w:eastAsia="Arial Narrow" w:hAnsi="Arial Narrow" w:cs="Arial Narrow"/>
                <w:b/>
                <w:sz w:val="18"/>
                <w:szCs w:val="18"/>
                <w:lang w:eastAsia="en-AU"/>
              </w:rPr>
              <w:t xml:space="preserve"> lifestyle modification</w:t>
            </w:r>
          </w:p>
        </w:tc>
      </w:tr>
      <w:tr w:rsidR="00BC3E79" w:rsidRPr="008D0A3F" w14:paraId="797EAA15" w14:textId="77777777" w:rsidTr="00115CA8">
        <w:trPr>
          <w:trHeight w:val="300"/>
        </w:trPr>
        <w:tc>
          <w:tcPr>
            <w:tcW w:w="567" w:type="pct"/>
            <w:tcBorders>
              <w:top w:val="single" w:sz="6" w:space="0" w:color="auto"/>
              <w:left w:val="single" w:sz="6" w:space="0" w:color="auto"/>
              <w:bottom w:val="single" w:sz="6" w:space="0" w:color="auto"/>
              <w:right w:val="single" w:sz="6" w:space="0" w:color="auto"/>
            </w:tcBorders>
            <w:vAlign w:val="center"/>
            <w:hideMark/>
          </w:tcPr>
          <w:p w14:paraId="41659B95" w14:textId="585B53BA" w:rsidR="008D0A3F" w:rsidRPr="008D0A3F" w:rsidRDefault="008D0A3F" w:rsidP="008D0A3F">
            <w:pPr>
              <w:spacing w:before="0" w:after="0" w:line="240" w:lineRule="auto"/>
              <w:textAlignment w:val="baseline"/>
              <w:rPr>
                <w:rFonts w:ascii="Arial Narrow" w:eastAsia="Times New Roman" w:hAnsi="Arial Narrow" w:cs="Segoe UI"/>
                <w:sz w:val="20"/>
                <w:szCs w:val="20"/>
                <w:lang w:val="en-US" w:eastAsia="en-AU"/>
              </w:rPr>
            </w:pPr>
            <w:r w:rsidRPr="008D0A3F">
              <w:rPr>
                <w:rFonts w:ascii="Arial Narrow" w:eastAsia="Times New Roman" w:hAnsi="Arial Narrow" w:cs="Segoe UI"/>
                <w:sz w:val="20"/>
                <w:szCs w:val="20"/>
                <w:lang w:val="en-US" w:eastAsia="en-AU"/>
              </w:rPr>
              <w:t>Abu Dayyeh 2017</w:t>
            </w:r>
            <w:r w:rsidR="000B1DC9">
              <w:rPr>
                <w:rStyle w:val="FootnoteReference"/>
                <w:rFonts w:ascii="Arial Narrow" w:eastAsia="Times New Roman" w:hAnsi="Arial Narrow" w:cs="Segoe UI"/>
                <w:sz w:val="20"/>
                <w:szCs w:val="20"/>
                <w:lang w:val="en-US" w:eastAsia="en-AU"/>
              </w:rPr>
              <w:footnoteReference w:id="22"/>
            </w:r>
          </w:p>
        </w:tc>
        <w:tc>
          <w:tcPr>
            <w:tcW w:w="373" w:type="pct"/>
            <w:tcBorders>
              <w:top w:val="single" w:sz="6" w:space="0" w:color="auto"/>
              <w:left w:val="single" w:sz="6" w:space="0" w:color="auto"/>
              <w:bottom w:val="single" w:sz="6" w:space="0" w:color="auto"/>
              <w:right w:val="single" w:sz="6" w:space="0" w:color="auto"/>
            </w:tcBorders>
            <w:vAlign w:val="center"/>
            <w:hideMark/>
          </w:tcPr>
          <w:p w14:paraId="720E897A" w14:textId="77777777" w:rsidR="008D0A3F" w:rsidRPr="006D6D9D" w:rsidRDefault="09A21A0B" w:rsidP="00D76EFB">
            <w:pPr>
              <w:spacing w:before="0" w:after="0" w:line="240" w:lineRule="auto"/>
              <w:jc w:val="center"/>
              <w:textAlignment w:val="baseline"/>
              <w:rPr>
                <w:rFonts w:ascii="Arial Narrow" w:hAnsi="Arial Narrow"/>
                <w:sz w:val="20"/>
                <w:szCs w:val="20"/>
              </w:rPr>
            </w:pPr>
            <w:r w:rsidRPr="0D77DCC5">
              <w:rPr>
                <w:rFonts w:ascii="Arial Narrow" w:hAnsi="Arial Narrow"/>
                <w:kern w:val="2"/>
                <w:sz w:val="20"/>
                <w:szCs w:val="20"/>
                <w14:ligatures w14:val="standardContextual"/>
              </w:rPr>
              <w:t>25</w:t>
            </w:r>
          </w:p>
        </w:tc>
        <w:tc>
          <w:tcPr>
            <w:tcW w:w="550" w:type="pct"/>
            <w:tcBorders>
              <w:top w:val="single" w:sz="6" w:space="0" w:color="auto"/>
              <w:left w:val="single" w:sz="6" w:space="0" w:color="auto"/>
              <w:bottom w:val="single" w:sz="6" w:space="0" w:color="auto"/>
              <w:right w:val="single" w:sz="6" w:space="0" w:color="auto"/>
            </w:tcBorders>
            <w:vAlign w:val="center"/>
            <w:hideMark/>
          </w:tcPr>
          <w:p w14:paraId="32BD122B" w14:textId="77777777" w:rsidR="008D0A3F" w:rsidRPr="008D0A3F" w:rsidRDefault="008D0A3F" w:rsidP="008D0A3F">
            <w:pPr>
              <w:spacing w:before="0" w:after="0" w:line="240" w:lineRule="auto"/>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Prospective cohort</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6ED769" w14:textId="77777777" w:rsidR="008D0A3F" w:rsidRPr="008D0A3F" w:rsidRDefault="008D0A3F" w:rsidP="008D0A3F">
            <w:pPr>
              <w:spacing w:before="0" w:after="0" w:line="240" w:lineRule="auto"/>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1.6 years</w:t>
            </w:r>
          </w:p>
        </w:tc>
        <w:tc>
          <w:tcPr>
            <w:tcW w:w="259" w:type="pct"/>
            <w:tcBorders>
              <w:top w:val="single" w:sz="6" w:space="0" w:color="auto"/>
              <w:left w:val="single" w:sz="6" w:space="0" w:color="auto"/>
              <w:bottom w:val="single" w:sz="6" w:space="0" w:color="auto"/>
              <w:right w:val="single" w:sz="6" w:space="0" w:color="auto"/>
            </w:tcBorders>
            <w:vAlign w:val="center"/>
            <w:hideMark/>
          </w:tcPr>
          <w:p w14:paraId="294A9E2E" w14:textId="77777777" w:rsidR="008D0A3F" w:rsidRPr="006D6D9D" w:rsidRDefault="09A21A0B" w:rsidP="0D77DCC5">
            <w:pPr>
              <w:spacing w:before="0" w:after="0" w:line="240" w:lineRule="auto"/>
              <w:jc w:val="center"/>
              <w:textAlignment w:val="baseline"/>
              <w:rPr>
                <w:rFonts w:ascii="Arial Narrow" w:hAnsi="Arial Narrow"/>
                <w:sz w:val="20"/>
                <w:szCs w:val="20"/>
                <w:lang w:val="en-US"/>
              </w:rPr>
            </w:pPr>
            <w:r w:rsidRPr="0D77DCC5">
              <w:rPr>
                <w:rFonts w:ascii="Arial Narrow" w:hAnsi="Arial Narrow"/>
                <w:sz w:val="20"/>
                <w:szCs w:val="20"/>
                <w:lang w:val="en-US"/>
              </w:rPr>
              <w:t>Low</w:t>
            </w:r>
            <w:r w:rsidRPr="0D77DCC5">
              <w:rPr>
                <w:rFonts w:ascii="Arial Narrow" w:eastAsia="Times New Roman" w:hAnsi="Arial Narrow" w:cs="Segoe UI"/>
                <w:sz w:val="20"/>
                <w:szCs w:val="20"/>
                <w:lang w:eastAsia="en-AU"/>
              </w:rPr>
              <w:t> </w:t>
            </w:r>
          </w:p>
        </w:tc>
        <w:tc>
          <w:tcPr>
            <w:tcW w:w="276" w:type="pct"/>
            <w:tcBorders>
              <w:top w:val="single" w:sz="6" w:space="0" w:color="auto"/>
              <w:left w:val="single" w:sz="6" w:space="0" w:color="auto"/>
              <w:bottom w:val="single" w:sz="6" w:space="0" w:color="auto"/>
              <w:right w:val="single" w:sz="6" w:space="0" w:color="auto"/>
            </w:tcBorders>
            <w:vAlign w:val="center"/>
            <w:hideMark/>
          </w:tcPr>
          <w:p w14:paraId="2EA305AE"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47.6</w:t>
            </w:r>
          </w:p>
        </w:tc>
        <w:tc>
          <w:tcPr>
            <w:tcW w:w="409" w:type="pct"/>
            <w:tcBorders>
              <w:top w:val="single" w:sz="6" w:space="0" w:color="auto"/>
              <w:left w:val="single" w:sz="6" w:space="0" w:color="auto"/>
              <w:bottom w:val="single" w:sz="6" w:space="0" w:color="auto"/>
              <w:right w:val="single" w:sz="6" w:space="0" w:color="auto"/>
            </w:tcBorders>
            <w:vAlign w:val="center"/>
            <w:hideMark/>
          </w:tcPr>
          <w:p w14:paraId="3F1DBC2D"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84.0</w:t>
            </w:r>
          </w:p>
        </w:tc>
        <w:tc>
          <w:tcPr>
            <w:tcW w:w="393" w:type="pct"/>
            <w:tcBorders>
              <w:top w:val="single" w:sz="6" w:space="0" w:color="auto"/>
              <w:left w:val="single" w:sz="6" w:space="0" w:color="auto"/>
              <w:bottom w:val="single" w:sz="6" w:space="0" w:color="auto"/>
              <w:right w:val="single" w:sz="6" w:space="0" w:color="auto"/>
            </w:tcBorders>
            <w:vAlign w:val="center"/>
            <w:hideMark/>
          </w:tcPr>
          <w:p w14:paraId="72C8EDA0"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35.5</w:t>
            </w:r>
          </w:p>
        </w:tc>
        <w:tc>
          <w:tcPr>
            <w:tcW w:w="1179" w:type="pct"/>
            <w:tcBorders>
              <w:top w:val="single" w:sz="6" w:space="0" w:color="auto"/>
              <w:left w:val="single" w:sz="6" w:space="0" w:color="auto"/>
              <w:bottom w:val="single" w:sz="6" w:space="0" w:color="auto"/>
              <w:right w:val="single" w:sz="6" w:space="0" w:color="auto"/>
            </w:tcBorders>
            <w:vAlign w:val="center"/>
            <w:hideMark/>
          </w:tcPr>
          <w:p w14:paraId="215106D1" w14:textId="05FA5AE5" w:rsidR="008D0A3F" w:rsidRPr="008D0A3F" w:rsidRDefault="09A21A0B" w:rsidP="00BB3210">
            <w:pPr>
              <w:spacing w:before="0" w:after="0" w:line="240" w:lineRule="auto"/>
              <w:jc w:val="center"/>
              <w:textAlignment w:val="baseline"/>
              <w:rPr>
                <w:rFonts w:ascii="Arial Narrow" w:eastAsia="Times New Roman" w:hAnsi="Arial Narrow" w:cs="Segoe UI"/>
                <w:sz w:val="20"/>
                <w:szCs w:val="20"/>
                <w:lang w:eastAsia="en-AU"/>
              </w:rPr>
            </w:pPr>
            <w:r w:rsidRPr="0D77DCC5">
              <w:rPr>
                <w:rFonts w:ascii="Arial Narrow" w:eastAsia="Times New Roman" w:hAnsi="Arial Narrow" w:cs="Segoe UI"/>
                <w:sz w:val="20"/>
                <w:szCs w:val="20"/>
                <w:lang w:eastAsia="en-AU"/>
              </w:rPr>
              <w:t>Revision and conversion to bariatric surgery, comorbidity markers, patient</w:t>
            </w:r>
            <w:r w:rsidR="00B8449E" w:rsidRPr="0D77DCC5">
              <w:rPr>
                <w:rFonts w:ascii="Arial Narrow" w:eastAsia="Times New Roman" w:hAnsi="Arial Narrow" w:cs="Segoe UI"/>
                <w:sz w:val="20"/>
                <w:szCs w:val="20"/>
                <w:lang w:eastAsia="en-AU"/>
              </w:rPr>
              <w:t>-</w:t>
            </w:r>
            <w:r w:rsidRPr="0D77DCC5">
              <w:rPr>
                <w:rFonts w:ascii="Arial Narrow" w:eastAsia="Times New Roman" w:hAnsi="Arial Narrow" w:cs="Segoe UI"/>
                <w:sz w:val="20"/>
                <w:szCs w:val="20"/>
                <w:lang w:eastAsia="en-AU"/>
              </w:rPr>
              <w:t xml:space="preserve">reported endpoints, </w:t>
            </w:r>
            <w:r w:rsidR="00B8449E" w:rsidRPr="0D77DCC5">
              <w:rPr>
                <w:rFonts w:ascii="Arial Narrow" w:eastAsia="Times New Roman" w:hAnsi="Arial Narrow" w:cs="Segoe UI"/>
                <w:sz w:val="20"/>
                <w:szCs w:val="20"/>
                <w:lang w:eastAsia="en-AU"/>
              </w:rPr>
              <w:t>AE</w:t>
            </w:r>
            <w:r w:rsidRPr="0D77DCC5">
              <w:rPr>
                <w:rFonts w:ascii="Arial Narrow" w:eastAsia="Times New Roman" w:hAnsi="Arial Narrow" w:cs="Segoe UI"/>
                <w:sz w:val="20"/>
                <w:szCs w:val="20"/>
                <w:lang w:eastAsia="en-AU"/>
              </w:rPr>
              <w:t>s, long</w:t>
            </w:r>
            <w:r w:rsidR="00B8449E" w:rsidRPr="0D77DCC5">
              <w:rPr>
                <w:rFonts w:ascii="Arial Narrow" w:eastAsia="Times New Roman" w:hAnsi="Arial Narrow" w:cs="Segoe UI"/>
                <w:sz w:val="20"/>
                <w:szCs w:val="20"/>
                <w:lang w:eastAsia="en-AU"/>
              </w:rPr>
              <w:t>-</w:t>
            </w:r>
            <w:r w:rsidRPr="0D77DCC5">
              <w:rPr>
                <w:rFonts w:ascii="Arial Narrow" w:eastAsia="Times New Roman" w:hAnsi="Arial Narrow" w:cs="Segoe UI"/>
                <w:sz w:val="20"/>
                <w:szCs w:val="20"/>
                <w:lang w:eastAsia="en-AU"/>
              </w:rPr>
              <w:t xml:space="preserve">term </w:t>
            </w:r>
            <w:r w:rsidR="00B8449E" w:rsidRPr="0D77DCC5">
              <w:rPr>
                <w:rFonts w:ascii="Arial Narrow" w:eastAsia="Times New Roman" w:hAnsi="Arial Narrow" w:cs="Segoe UI"/>
                <w:sz w:val="20"/>
                <w:szCs w:val="20"/>
                <w:lang w:eastAsia="en-AU"/>
              </w:rPr>
              <w:t>AE</w:t>
            </w:r>
            <w:r w:rsidRPr="0D77DCC5">
              <w:rPr>
                <w:rFonts w:ascii="Arial Narrow" w:eastAsia="Times New Roman" w:hAnsi="Arial Narrow" w:cs="Segoe UI"/>
                <w:sz w:val="20"/>
                <w:szCs w:val="20"/>
                <w:lang w:eastAsia="en-AU"/>
              </w:rPr>
              <w:t>s</w:t>
            </w:r>
          </w:p>
        </w:tc>
        <w:tc>
          <w:tcPr>
            <w:tcW w:w="600" w:type="pct"/>
            <w:tcBorders>
              <w:top w:val="single" w:sz="6" w:space="0" w:color="auto"/>
              <w:left w:val="single" w:sz="6" w:space="0" w:color="auto"/>
              <w:bottom w:val="single" w:sz="6" w:space="0" w:color="auto"/>
              <w:right w:val="single" w:sz="6" w:space="0" w:color="auto"/>
            </w:tcBorders>
            <w:vAlign w:val="center"/>
          </w:tcPr>
          <w:p w14:paraId="3C7F44C9" w14:textId="3877870D" w:rsidR="008D0A3F" w:rsidRPr="008D0A3F" w:rsidRDefault="00250748" w:rsidP="008D0A3F">
            <w:pPr>
              <w:spacing w:before="0" w:after="0" w:line="240" w:lineRule="auto"/>
              <w:jc w:val="center"/>
              <w:textAlignment w:val="baseline"/>
              <w:rPr>
                <w:rFonts w:ascii="Arial Narrow" w:eastAsia="Times New Roman" w:hAnsi="Arial Narrow" w:cs="Segoe UI"/>
                <w:sz w:val="20"/>
                <w:szCs w:val="20"/>
                <w:lang w:val="en-US" w:eastAsia="en-AU"/>
              </w:rPr>
            </w:pPr>
            <w:r>
              <w:rPr>
                <w:rFonts w:ascii="Arial Narrow" w:eastAsia="Times New Roman" w:hAnsi="Arial Narrow" w:cs="Segoe UI"/>
                <w:sz w:val="20"/>
                <w:szCs w:val="20"/>
                <w:lang w:val="en-US" w:eastAsia="en-AU"/>
              </w:rPr>
              <w:t>No</w:t>
            </w:r>
          </w:p>
        </w:tc>
      </w:tr>
      <w:tr w:rsidR="00BC3E79" w:rsidRPr="008D0A3F" w14:paraId="4D5F9BD6" w14:textId="77777777" w:rsidTr="00115CA8">
        <w:trPr>
          <w:trHeight w:val="300"/>
        </w:trPr>
        <w:tc>
          <w:tcPr>
            <w:tcW w:w="567" w:type="pct"/>
            <w:tcBorders>
              <w:top w:val="single" w:sz="6" w:space="0" w:color="auto"/>
              <w:left w:val="single" w:sz="6" w:space="0" w:color="auto"/>
              <w:bottom w:val="single" w:sz="6" w:space="0" w:color="auto"/>
              <w:right w:val="single" w:sz="6" w:space="0" w:color="auto"/>
            </w:tcBorders>
            <w:vAlign w:val="center"/>
            <w:hideMark/>
          </w:tcPr>
          <w:p w14:paraId="0B4FEA62" w14:textId="0AC198E5" w:rsidR="008D0A3F" w:rsidRPr="008D0A3F" w:rsidRDefault="008D0A3F" w:rsidP="008D0A3F">
            <w:pPr>
              <w:spacing w:before="0" w:after="0" w:line="240" w:lineRule="auto"/>
              <w:textAlignment w:val="baseline"/>
              <w:rPr>
                <w:rFonts w:ascii="Arial Narrow" w:eastAsia="Times New Roman" w:hAnsi="Arial Narrow" w:cs="Segoe UI"/>
                <w:sz w:val="20"/>
                <w:szCs w:val="20"/>
                <w:lang w:val="en-US" w:eastAsia="en-AU"/>
              </w:rPr>
            </w:pPr>
            <w:r w:rsidRPr="008D0A3F">
              <w:rPr>
                <w:rFonts w:ascii="Arial Narrow" w:eastAsia="Times New Roman" w:hAnsi="Arial Narrow" w:cs="Segoe UI"/>
                <w:sz w:val="20"/>
                <w:szCs w:val="20"/>
                <w:lang w:val="en-US" w:eastAsia="en-AU"/>
              </w:rPr>
              <w:t>Lopez-Nava 2017</w:t>
            </w:r>
            <w:r w:rsidR="000B1DC9">
              <w:rPr>
                <w:rStyle w:val="FootnoteReference"/>
                <w:rFonts w:ascii="Arial Narrow" w:eastAsia="Times New Roman" w:hAnsi="Arial Narrow" w:cs="Segoe UI"/>
                <w:sz w:val="20"/>
                <w:szCs w:val="20"/>
                <w:lang w:val="en-US" w:eastAsia="en-AU"/>
              </w:rPr>
              <w:footnoteReference w:id="23"/>
            </w:r>
          </w:p>
        </w:tc>
        <w:tc>
          <w:tcPr>
            <w:tcW w:w="373" w:type="pct"/>
            <w:tcBorders>
              <w:top w:val="single" w:sz="6" w:space="0" w:color="auto"/>
              <w:left w:val="single" w:sz="6" w:space="0" w:color="auto"/>
              <w:bottom w:val="single" w:sz="6" w:space="0" w:color="auto"/>
              <w:right w:val="single" w:sz="6" w:space="0" w:color="auto"/>
            </w:tcBorders>
            <w:vAlign w:val="center"/>
            <w:hideMark/>
          </w:tcPr>
          <w:p w14:paraId="13DF63BB" w14:textId="77777777" w:rsidR="008D0A3F" w:rsidRPr="006D6D9D" w:rsidRDefault="09A21A0B" w:rsidP="00D76EFB">
            <w:pPr>
              <w:spacing w:before="0" w:after="0" w:line="240" w:lineRule="auto"/>
              <w:jc w:val="center"/>
              <w:textAlignment w:val="baseline"/>
              <w:rPr>
                <w:rFonts w:ascii="Arial Narrow" w:hAnsi="Arial Narrow"/>
                <w:sz w:val="20"/>
                <w:szCs w:val="20"/>
              </w:rPr>
            </w:pPr>
            <w:r w:rsidRPr="0D77DCC5">
              <w:rPr>
                <w:rFonts w:ascii="Arial Narrow" w:hAnsi="Arial Narrow"/>
                <w:kern w:val="2"/>
                <w:sz w:val="20"/>
                <w:szCs w:val="20"/>
                <w14:ligatures w14:val="standardContextual"/>
              </w:rPr>
              <w:t>154</w:t>
            </w:r>
          </w:p>
        </w:tc>
        <w:tc>
          <w:tcPr>
            <w:tcW w:w="550" w:type="pct"/>
            <w:tcBorders>
              <w:top w:val="single" w:sz="6" w:space="0" w:color="auto"/>
              <w:left w:val="single" w:sz="6" w:space="0" w:color="auto"/>
              <w:bottom w:val="single" w:sz="6" w:space="0" w:color="auto"/>
              <w:right w:val="single" w:sz="6" w:space="0" w:color="auto"/>
            </w:tcBorders>
            <w:vAlign w:val="center"/>
            <w:hideMark/>
          </w:tcPr>
          <w:p w14:paraId="7C01C443" w14:textId="77777777" w:rsidR="008D0A3F" w:rsidRPr="008D0A3F" w:rsidRDefault="008D0A3F" w:rsidP="008D0A3F">
            <w:pPr>
              <w:spacing w:before="0" w:after="0" w:line="240" w:lineRule="auto"/>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Prospective cohort</w:t>
            </w:r>
          </w:p>
        </w:tc>
        <w:tc>
          <w:tcPr>
            <w:tcW w:w="394" w:type="pct"/>
            <w:tcBorders>
              <w:top w:val="single" w:sz="6" w:space="0" w:color="auto"/>
              <w:left w:val="single" w:sz="6" w:space="0" w:color="auto"/>
              <w:bottom w:val="single" w:sz="6" w:space="0" w:color="auto"/>
              <w:right w:val="single" w:sz="6" w:space="0" w:color="auto"/>
            </w:tcBorders>
            <w:vAlign w:val="center"/>
            <w:hideMark/>
          </w:tcPr>
          <w:p w14:paraId="6AD33B8B" w14:textId="77777777" w:rsidR="008D0A3F" w:rsidRPr="008D0A3F" w:rsidRDefault="008D0A3F" w:rsidP="008D0A3F">
            <w:pPr>
              <w:spacing w:before="0" w:after="0" w:line="240" w:lineRule="auto"/>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2 years</w:t>
            </w:r>
          </w:p>
        </w:tc>
        <w:tc>
          <w:tcPr>
            <w:tcW w:w="259" w:type="pct"/>
            <w:tcBorders>
              <w:top w:val="single" w:sz="6" w:space="0" w:color="auto"/>
              <w:left w:val="single" w:sz="6" w:space="0" w:color="auto"/>
              <w:bottom w:val="single" w:sz="6" w:space="0" w:color="auto"/>
              <w:right w:val="single" w:sz="6" w:space="0" w:color="auto"/>
            </w:tcBorders>
            <w:vAlign w:val="center"/>
            <w:hideMark/>
          </w:tcPr>
          <w:p w14:paraId="44A0316A" w14:textId="77777777" w:rsidR="008D0A3F" w:rsidRPr="006D6D9D" w:rsidRDefault="09A21A0B" w:rsidP="0D77DCC5">
            <w:pPr>
              <w:spacing w:before="0" w:after="0" w:line="240" w:lineRule="auto"/>
              <w:jc w:val="center"/>
              <w:textAlignment w:val="baseline"/>
              <w:rPr>
                <w:rFonts w:ascii="Arial Narrow" w:hAnsi="Arial Narrow"/>
                <w:sz w:val="20"/>
                <w:szCs w:val="20"/>
                <w:lang w:val="en-US"/>
              </w:rPr>
            </w:pPr>
            <w:r w:rsidRPr="0D77DCC5">
              <w:rPr>
                <w:rFonts w:ascii="Arial Narrow" w:hAnsi="Arial Narrow"/>
                <w:sz w:val="20"/>
                <w:szCs w:val="20"/>
                <w:lang w:val="en-US"/>
              </w:rPr>
              <w:t>Low</w:t>
            </w:r>
            <w:r w:rsidRPr="0D77DCC5">
              <w:rPr>
                <w:rFonts w:ascii="Arial Narrow" w:eastAsia="Times New Roman" w:hAnsi="Arial Narrow" w:cs="Segoe UI"/>
                <w:sz w:val="20"/>
                <w:szCs w:val="20"/>
                <w:lang w:eastAsia="en-AU"/>
              </w:rPr>
              <w:t> </w:t>
            </w:r>
          </w:p>
        </w:tc>
        <w:tc>
          <w:tcPr>
            <w:tcW w:w="276" w:type="pct"/>
            <w:tcBorders>
              <w:top w:val="single" w:sz="6" w:space="0" w:color="auto"/>
              <w:left w:val="single" w:sz="6" w:space="0" w:color="auto"/>
              <w:bottom w:val="single" w:sz="6" w:space="0" w:color="auto"/>
              <w:right w:val="single" w:sz="6" w:space="0" w:color="auto"/>
            </w:tcBorders>
            <w:vAlign w:val="center"/>
            <w:hideMark/>
          </w:tcPr>
          <w:p w14:paraId="50949B54"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44.9</w:t>
            </w:r>
          </w:p>
        </w:tc>
        <w:tc>
          <w:tcPr>
            <w:tcW w:w="409" w:type="pct"/>
            <w:tcBorders>
              <w:top w:val="single" w:sz="6" w:space="0" w:color="auto"/>
              <w:left w:val="single" w:sz="6" w:space="0" w:color="auto"/>
              <w:bottom w:val="single" w:sz="6" w:space="0" w:color="auto"/>
              <w:right w:val="single" w:sz="6" w:space="0" w:color="auto"/>
            </w:tcBorders>
            <w:vAlign w:val="center"/>
            <w:hideMark/>
          </w:tcPr>
          <w:p w14:paraId="7017CDF7"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70.1</w:t>
            </w:r>
          </w:p>
        </w:tc>
        <w:tc>
          <w:tcPr>
            <w:tcW w:w="393" w:type="pct"/>
            <w:tcBorders>
              <w:top w:val="single" w:sz="6" w:space="0" w:color="auto"/>
              <w:left w:val="single" w:sz="6" w:space="0" w:color="auto"/>
              <w:bottom w:val="single" w:sz="6" w:space="0" w:color="auto"/>
              <w:right w:val="single" w:sz="6" w:space="0" w:color="auto"/>
            </w:tcBorders>
            <w:vAlign w:val="center"/>
            <w:hideMark/>
          </w:tcPr>
          <w:p w14:paraId="5C455E83"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38.3</w:t>
            </w:r>
          </w:p>
        </w:tc>
        <w:tc>
          <w:tcPr>
            <w:tcW w:w="1179" w:type="pct"/>
            <w:tcBorders>
              <w:top w:val="single" w:sz="6" w:space="0" w:color="auto"/>
              <w:left w:val="single" w:sz="6" w:space="0" w:color="auto"/>
              <w:bottom w:val="single" w:sz="6" w:space="0" w:color="auto"/>
              <w:right w:val="single" w:sz="6" w:space="0" w:color="auto"/>
            </w:tcBorders>
            <w:vAlign w:val="center"/>
            <w:hideMark/>
          </w:tcPr>
          <w:p w14:paraId="6C47A313" w14:textId="77777777" w:rsidR="008D0A3F" w:rsidRPr="008D0A3F" w:rsidRDefault="008D0A3F" w:rsidP="00BB3210">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%TBWL at 12 months, %EWL at 12 months</w:t>
            </w:r>
          </w:p>
        </w:tc>
        <w:tc>
          <w:tcPr>
            <w:tcW w:w="600" w:type="pct"/>
            <w:tcBorders>
              <w:top w:val="single" w:sz="6" w:space="0" w:color="auto"/>
              <w:left w:val="single" w:sz="6" w:space="0" w:color="auto"/>
              <w:bottom w:val="single" w:sz="6" w:space="0" w:color="auto"/>
              <w:right w:val="single" w:sz="6" w:space="0" w:color="auto"/>
            </w:tcBorders>
            <w:vAlign w:val="center"/>
          </w:tcPr>
          <w:p w14:paraId="134807CA" w14:textId="700C3872" w:rsidR="008D0A3F" w:rsidRPr="008D0A3F" w:rsidRDefault="00250748" w:rsidP="008D0A3F">
            <w:pPr>
              <w:spacing w:before="0" w:after="0" w:line="240" w:lineRule="auto"/>
              <w:jc w:val="center"/>
              <w:textAlignment w:val="baseline"/>
              <w:rPr>
                <w:rFonts w:ascii="Arial Narrow" w:eastAsia="Times New Roman" w:hAnsi="Arial Narrow" w:cs="Segoe UI"/>
                <w:sz w:val="20"/>
                <w:szCs w:val="20"/>
                <w:lang w:val="en-US" w:eastAsia="en-AU"/>
              </w:rPr>
            </w:pPr>
            <w:r>
              <w:rPr>
                <w:rFonts w:ascii="Arial Narrow" w:eastAsia="Times New Roman" w:hAnsi="Arial Narrow" w:cs="Segoe UI"/>
                <w:sz w:val="20"/>
                <w:szCs w:val="20"/>
                <w:lang w:val="en-US" w:eastAsia="en-AU"/>
              </w:rPr>
              <w:t>No</w:t>
            </w:r>
          </w:p>
        </w:tc>
      </w:tr>
      <w:tr w:rsidR="00BC3E79" w:rsidRPr="008D0A3F" w14:paraId="57FA99E4" w14:textId="77777777" w:rsidTr="00115CA8">
        <w:trPr>
          <w:trHeight w:val="300"/>
        </w:trPr>
        <w:tc>
          <w:tcPr>
            <w:tcW w:w="567" w:type="pct"/>
            <w:tcBorders>
              <w:top w:val="single" w:sz="6" w:space="0" w:color="auto"/>
              <w:left w:val="single" w:sz="6" w:space="0" w:color="auto"/>
              <w:bottom w:val="single" w:sz="6" w:space="0" w:color="auto"/>
              <w:right w:val="single" w:sz="6" w:space="0" w:color="auto"/>
            </w:tcBorders>
            <w:vAlign w:val="center"/>
            <w:hideMark/>
          </w:tcPr>
          <w:p w14:paraId="67EA3735" w14:textId="3FD1F914" w:rsidR="008D0A3F" w:rsidRPr="008D0A3F" w:rsidRDefault="008D0A3F" w:rsidP="008D0A3F">
            <w:pPr>
              <w:spacing w:before="0" w:after="0" w:line="240" w:lineRule="auto"/>
              <w:textAlignment w:val="baseline"/>
              <w:rPr>
                <w:rFonts w:ascii="Arial Narrow" w:eastAsia="Times New Roman" w:hAnsi="Arial Narrow" w:cs="Segoe UI"/>
                <w:sz w:val="20"/>
                <w:szCs w:val="20"/>
                <w:lang w:val="en-US" w:eastAsia="en-AU"/>
              </w:rPr>
            </w:pPr>
            <w:r w:rsidRPr="008D0A3F">
              <w:rPr>
                <w:rFonts w:ascii="Arial Narrow" w:eastAsia="Times New Roman" w:hAnsi="Arial Narrow" w:cs="Segoe UI"/>
                <w:sz w:val="20"/>
                <w:szCs w:val="20"/>
                <w:lang w:val="en-US" w:eastAsia="en-AU"/>
              </w:rPr>
              <w:t>Saumoy 2018</w:t>
            </w:r>
            <w:bookmarkStart w:id="36" w:name="_Ref187068947"/>
            <w:r w:rsidR="00267310">
              <w:rPr>
                <w:rStyle w:val="FootnoteReference"/>
                <w:rFonts w:ascii="Arial Narrow" w:eastAsia="Times New Roman" w:hAnsi="Arial Narrow" w:cs="Segoe UI"/>
                <w:sz w:val="20"/>
                <w:szCs w:val="20"/>
                <w:lang w:val="en-US" w:eastAsia="en-AU"/>
              </w:rPr>
              <w:footnoteReference w:id="24"/>
            </w:r>
            <w:bookmarkEnd w:id="36"/>
          </w:p>
        </w:tc>
        <w:tc>
          <w:tcPr>
            <w:tcW w:w="373" w:type="pct"/>
            <w:tcBorders>
              <w:top w:val="single" w:sz="6" w:space="0" w:color="auto"/>
              <w:left w:val="single" w:sz="6" w:space="0" w:color="auto"/>
              <w:bottom w:val="single" w:sz="6" w:space="0" w:color="auto"/>
              <w:right w:val="single" w:sz="6" w:space="0" w:color="auto"/>
            </w:tcBorders>
            <w:vAlign w:val="center"/>
            <w:hideMark/>
          </w:tcPr>
          <w:p w14:paraId="1F54DD9F" w14:textId="77777777" w:rsidR="008D0A3F" w:rsidRPr="006D6D9D" w:rsidRDefault="09A21A0B" w:rsidP="00D76EFB">
            <w:pPr>
              <w:spacing w:before="0" w:after="0" w:line="240" w:lineRule="auto"/>
              <w:jc w:val="center"/>
              <w:textAlignment w:val="baseline"/>
              <w:rPr>
                <w:rFonts w:ascii="Arial Narrow" w:hAnsi="Arial Narrow"/>
                <w:sz w:val="20"/>
                <w:szCs w:val="20"/>
              </w:rPr>
            </w:pPr>
            <w:r w:rsidRPr="0D77DCC5">
              <w:rPr>
                <w:rFonts w:ascii="Arial Narrow" w:hAnsi="Arial Narrow"/>
                <w:kern w:val="2"/>
                <w:sz w:val="20"/>
                <w:szCs w:val="20"/>
                <w14:ligatures w14:val="standardContextual"/>
              </w:rPr>
              <w:t>128</w:t>
            </w:r>
          </w:p>
        </w:tc>
        <w:tc>
          <w:tcPr>
            <w:tcW w:w="550" w:type="pct"/>
            <w:tcBorders>
              <w:top w:val="single" w:sz="6" w:space="0" w:color="auto"/>
              <w:left w:val="single" w:sz="6" w:space="0" w:color="auto"/>
              <w:bottom w:val="single" w:sz="6" w:space="0" w:color="auto"/>
              <w:right w:val="single" w:sz="6" w:space="0" w:color="auto"/>
            </w:tcBorders>
            <w:vAlign w:val="center"/>
            <w:hideMark/>
          </w:tcPr>
          <w:p w14:paraId="15C6EFC9" w14:textId="77777777" w:rsidR="008D0A3F" w:rsidRPr="008D0A3F" w:rsidRDefault="008D0A3F" w:rsidP="008D0A3F">
            <w:pPr>
              <w:spacing w:before="0" w:after="0" w:line="240" w:lineRule="auto"/>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Prospective cohort</w:t>
            </w:r>
          </w:p>
        </w:tc>
        <w:tc>
          <w:tcPr>
            <w:tcW w:w="394" w:type="pct"/>
            <w:tcBorders>
              <w:top w:val="single" w:sz="6" w:space="0" w:color="auto"/>
              <w:left w:val="single" w:sz="6" w:space="0" w:color="auto"/>
              <w:bottom w:val="single" w:sz="6" w:space="0" w:color="auto"/>
              <w:right w:val="single" w:sz="6" w:space="0" w:color="auto"/>
            </w:tcBorders>
            <w:vAlign w:val="center"/>
            <w:hideMark/>
          </w:tcPr>
          <w:p w14:paraId="0BE9AF64" w14:textId="77777777" w:rsidR="008D0A3F" w:rsidRPr="008D0A3F" w:rsidRDefault="008D0A3F" w:rsidP="008D0A3F">
            <w:pPr>
              <w:spacing w:before="0" w:after="0" w:line="240" w:lineRule="auto"/>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1 year</w:t>
            </w:r>
          </w:p>
        </w:tc>
        <w:tc>
          <w:tcPr>
            <w:tcW w:w="259" w:type="pct"/>
            <w:tcBorders>
              <w:top w:val="single" w:sz="6" w:space="0" w:color="auto"/>
              <w:left w:val="single" w:sz="6" w:space="0" w:color="auto"/>
              <w:bottom w:val="single" w:sz="6" w:space="0" w:color="auto"/>
              <w:right w:val="single" w:sz="6" w:space="0" w:color="auto"/>
            </w:tcBorders>
            <w:vAlign w:val="center"/>
            <w:hideMark/>
          </w:tcPr>
          <w:p w14:paraId="1EFA39BD" w14:textId="77777777" w:rsidR="008D0A3F" w:rsidRPr="006D6D9D" w:rsidRDefault="09A21A0B" w:rsidP="0D77DCC5">
            <w:pPr>
              <w:spacing w:before="0" w:after="0" w:line="240" w:lineRule="auto"/>
              <w:jc w:val="center"/>
              <w:textAlignment w:val="baseline"/>
              <w:rPr>
                <w:rFonts w:ascii="Arial Narrow" w:hAnsi="Arial Narrow"/>
                <w:sz w:val="20"/>
                <w:szCs w:val="20"/>
                <w:lang w:val="en-US"/>
              </w:rPr>
            </w:pPr>
            <w:r w:rsidRPr="0D77DCC5">
              <w:rPr>
                <w:rFonts w:ascii="Arial Narrow" w:hAnsi="Arial Narrow"/>
                <w:sz w:val="20"/>
                <w:szCs w:val="20"/>
                <w:lang w:val="en-US"/>
              </w:rPr>
              <w:t>Low</w:t>
            </w:r>
            <w:r w:rsidRPr="0D77DCC5">
              <w:rPr>
                <w:rFonts w:ascii="Arial Narrow" w:eastAsia="Times New Roman" w:hAnsi="Arial Narrow" w:cs="Segoe UI"/>
                <w:sz w:val="20"/>
                <w:szCs w:val="20"/>
                <w:lang w:eastAsia="en-AU"/>
              </w:rPr>
              <w:t> </w:t>
            </w:r>
          </w:p>
        </w:tc>
        <w:tc>
          <w:tcPr>
            <w:tcW w:w="276" w:type="pct"/>
            <w:tcBorders>
              <w:top w:val="single" w:sz="6" w:space="0" w:color="auto"/>
              <w:left w:val="single" w:sz="6" w:space="0" w:color="auto"/>
              <w:bottom w:val="single" w:sz="6" w:space="0" w:color="auto"/>
              <w:right w:val="single" w:sz="6" w:space="0" w:color="auto"/>
            </w:tcBorders>
            <w:vAlign w:val="center"/>
            <w:hideMark/>
          </w:tcPr>
          <w:p w14:paraId="0085DA29"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43.6</w:t>
            </w:r>
          </w:p>
        </w:tc>
        <w:tc>
          <w:tcPr>
            <w:tcW w:w="409" w:type="pct"/>
            <w:tcBorders>
              <w:top w:val="single" w:sz="6" w:space="0" w:color="auto"/>
              <w:left w:val="single" w:sz="6" w:space="0" w:color="auto"/>
              <w:bottom w:val="single" w:sz="6" w:space="0" w:color="auto"/>
              <w:right w:val="single" w:sz="6" w:space="0" w:color="auto"/>
            </w:tcBorders>
            <w:vAlign w:val="center"/>
            <w:hideMark/>
          </w:tcPr>
          <w:p w14:paraId="2A0F09D9"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67.2</w:t>
            </w:r>
          </w:p>
        </w:tc>
        <w:tc>
          <w:tcPr>
            <w:tcW w:w="393" w:type="pct"/>
            <w:tcBorders>
              <w:top w:val="single" w:sz="6" w:space="0" w:color="auto"/>
              <w:left w:val="single" w:sz="6" w:space="0" w:color="auto"/>
              <w:bottom w:val="single" w:sz="6" w:space="0" w:color="auto"/>
              <w:right w:val="single" w:sz="6" w:space="0" w:color="auto"/>
            </w:tcBorders>
            <w:vAlign w:val="center"/>
            <w:hideMark/>
          </w:tcPr>
          <w:p w14:paraId="1DF99118"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38.9</w:t>
            </w:r>
          </w:p>
        </w:tc>
        <w:tc>
          <w:tcPr>
            <w:tcW w:w="1179" w:type="pct"/>
            <w:tcBorders>
              <w:top w:val="single" w:sz="6" w:space="0" w:color="auto"/>
              <w:left w:val="single" w:sz="6" w:space="0" w:color="auto"/>
              <w:bottom w:val="single" w:sz="6" w:space="0" w:color="auto"/>
              <w:right w:val="single" w:sz="6" w:space="0" w:color="auto"/>
            </w:tcBorders>
            <w:vAlign w:val="center"/>
            <w:hideMark/>
          </w:tcPr>
          <w:p w14:paraId="0A3FFABC" w14:textId="10302005" w:rsidR="008D0A3F" w:rsidRPr="008D0A3F" w:rsidRDefault="09A21A0B" w:rsidP="00BB3210">
            <w:pPr>
              <w:spacing w:before="0" w:after="0" w:line="240" w:lineRule="auto"/>
              <w:jc w:val="center"/>
              <w:textAlignment w:val="baseline"/>
              <w:rPr>
                <w:rFonts w:ascii="Arial Narrow" w:eastAsia="Times New Roman" w:hAnsi="Arial Narrow" w:cs="Segoe UI"/>
                <w:sz w:val="20"/>
                <w:szCs w:val="20"/>
                <w:lang w:eastAsia="en-AU"/>
              </w:rPr>
            </w:pPr>
            <w:r w:rsidRPr="0D77DCC5">
              <w:rPr>
                <w:rFonts w:ascii="Arial Narrow" w:eastAsia="Times New Roman" w:hAnsi="Arial Narrow" w:cs="Segoe UI"/>
                <w:sz w:val="20"/>
                <w:szCs w:val="20"/>
                <w:lang w:eastAsia="en-AU"/>
              </w:rPr>
              <w:t xml:space="preserve">%TBWL at 12 months, </w:t>
            </w:r>
            <w:r w:rsidR="2028854F" w:rsidRPr="0D77DCC5">
              <w:rPr>
                <w:rFonts w:ascii="Arial Narrow" w:eastAsia="Times New Roman" w:hAnsi="Arial Narrow" w:cs="Segoe UI"/>
                <w:sz w:val="20"/>
                <w:szCs w:val="20"/>
                <w:lang w:eastAsia="en-AU"/>
              </w:rPr>
              <w:t>AE</w:t>
            </w:r>
            <w:r w:rsidRPr="0D77DCC5">
              <w:rPr>
                <w:rFonts w:ascii="Arial Narrow" w:eastAsia="Times New Roman" w:hAnsi="Arial Narrow" w:cs="Segoe UI"/>
                <w:sz w:val="20"/>
                <w:szCs w:val="20"/>
                <w:lang w:eastAsia="en-AU"/>
              </w:rPr>
              <w:t>s</w:t>
            </w:r>
          </w:p>
        </w:tc>
        <w:tc>
          <w:tcPr>
            <w:tcW w:w="600" w:type="pct"/>
            <w:tcBorders>
              <w:top w:val="single" w:sz="6" w:space="0" w:color="auto"/>
              <w:left w:val="single" w:sz="6" w:space="0" w:color="auto"/>
              <w:bottom w:val="single" w:sz="6" w:space="0" w:color="auto"/>
              <w:right w:val="single" w:sz="6" w:space="0" w:color="auto"/>
            </w:tcBorders>
            <w:vAlign w:val="center"/>
          </w:tcPr>
          <w:p w14:paraId="5382B22F" w14:textId="4C1C5BFD" w:rsidR="008D0A3F" w:rsidRPr="008D0A3F" w:rsidRDefault="008A2AE6" w:rsidP="008D0A3F">
            <w:pPr>
              <w:spacing w:before="0" w:after="0" w:line="240" w:lineRule="auto"/>
              <w:jc w:val="center"/>
              <w:textAlignment w:val="baseline"/>
              <w:rPr>
                <w:rFonts w:ascii="Arial Narrow" w:eastAsia="Times New Roman" w:hAnsi="Arial Narrow" w:cs="Segoe UI"/>
                <w:sz w:val="20"/>
                <w:szCs w:val="20"/>
                <w:lang w:val="en-US" w:eastAsia="en-AU"/>
              </w:rPr>
            </w:pPr>
            <w:r>
              <w:rPr>
                <w:rFonts w:ascii="Arial Narrow" w:eastAsia="Times New Roman" w:hAnsi="Arial Narrow" w:cs="Segoe UI"/>
                <w:sz w:val="20"/>
                <w:szCs w:val="20"/>
                <w:lang w:val="en-US" w:eastAsia="en-AU"/>
              </w:rPr>
              <w:t>No</w:t>
            </w:r>
          </w:p>
        </w:tc>
      </w:tr>
      <w:tr w:rsidR="00BC3E79" w:rsidRPr="008D0A3F" w14:paraId="0D58F5CE" w14:textId="77777777" w:rsidTr="00115CA8">
        <w:trPr>
          <w:trHeight w:val="300"/>
        </w:trPr>
        <w:tc>
          <w:tcPr>
            <w:tcW w:w="567" w:type="pct"/>
            <w:tcBorders>
              <w:top w:val="single" w:sz="6" w:space="0" w:color="auto"/>
              <w:left w:val="single" w:sz="6" w:space="0" w:color="auto"/>
              <w:bottom w:val="single" w:sz="6" w:space="0" w:color="auto"/>
              <w:right w:val="single" w:sz="6" w:space="0" w:color="auto"/>
            </w:tcBorders>
            <w:vAlign w:val="center"/>
            <w:hideMark/>
          </w:tcPr>
          <w:p w14:paraId="43EE95B2" w14:textId="5484E0F6" w:rsidR="008D0A3F" w:rsidRPr="008D0A3F" w:rsidRDefault="008D0A3F" w:rsidP="008D0A3F">
            <w:pPr>
              <w:spacing w:before="0" w:after="0" w:line="240" w:lineRule="auto"/>
              <w:textAlignment w:val="baseline"/>
              <w:rPr>
                <w:rFonts w:ascii="Arial Narrow" w:eastAsia="Times New Roman" w:hAnsi="Arial Narrow" w:cs="Segoe UI"/>
                <w:sz w:val="20"/>
                <w:szCs w:val="20"/>
                <w:lang w:val="en-US" w:eastAsia="en-AU"/>
              </w:rPr>
            </w:pPr>
            <w:r w:rsidRPr="008D0A3F">
              <w:rPr>
                <w:rFonts w:ascii="Arial Narrow" w:eastAsia="Times New Roman" w:hAnsi="Arial Narrow" w:cs="Segoe UI"/>
                <w:sz w:val="20"/>
                <w:szCs w:val="20"/>
                <w:lang w:val="en-US" w:eastAsia="en-AU"/>
              </w:rPr>
              <w:t>Kumar 2018</w:t>
            </w:r>
            <w:r w:rsidR="00267310">
              <w:rPr>
                <w:rStyle w:val="FootnoteReference"/>
                <w:rFonts w:ascii="Arial Narrow" w:eastAsia="Times New Roman" w:hAnsi="Arial Narrow" w:cs="Segoe UI"/>
                <w:sz w:val="20"/>
                <w:szCs w:val="20"/>
                <w:lang w:val="en-US" w:eastAsia="en-AU"/>
              </w:rPr>
              <w:footnoteReference w:id="25"/>
            </w:r>
          </w:p>
        </w:tc>
        <w:tc>
          <w:tcPr>
            <w:tcW w:w="373" w:type="pct"/>
            <w:tcBorders>
              <w:top w:val="single" w:sz="6" w:space="0" w:color="auto"/>
              <w:left w:val="single" w:sz="6" w:space="0" w:color="auto"/>
              <w:bottom w:val="single" w:sz="6" w:space="0" w:color="auto"/>
              <w:right w:val="single" w:sz="6" w:space="0" w:color="auto"/>
            </w:tcBorders>
            <w:vAlign w:val="center"/>
            <w:hideMark/>
          </w:tcPr>
          <w:p w14:paraId="32F1ADA6" w14:textId="77777777" w:rsidR="008D0A3F" w:rsidRPr="006D6D9D" w:rsidRDefault="09A21A0B" w:rsidP="00D76EFB">
            <w:pPr>
              <w:spacing w:before="0" w:after="0" w:line="240" w:lineRule="auto"/>
              <w:jc w:val="center"/>
              <w:textAlignment w:val="baseline"/>
              <w:rPr>
                <w:rFonts w:ascii="Arial Narrow" w:hAnsi="Arial Narrow"/>
                <w:sz w:val="20"/>
                <w:szCs w:val="20"/>
              </w:rPr>
            </w:pPr>
            <w:r w:rsidRPr="0D77DCC5">
              <w:rPr>
                <w:rFonts w:ascii="Arial Narrow" w:hAnsi="Arial Narrow"/>
                <w:kern w:val="2"/>
                <w:sz w:val="20"/>
                <w:szCs w:val="20"/>
                <w14:ligatures w14:val="standardContextual"/>
              </w:rPr>
              <w:t>99</w:t>
            </w:r>
          </w:p>
        </w:tc>
        <w:tc>
          <w:tcPr>
            <w:tcW w:w="550" w:type="pct"/>
            <w:tcBorders>
              <w:top w:val="single" w:sz="6" w:space="0" w:color="auto"/>
              <w:left w:val="single" w:sz="6" w:space="0" w:color="auto"/>
              <w:bottom w:val="single" w:sz="6" w:space="0" w:color="auto"/>
              <w:right w:val="single" w:sz="6" w:space="0" w:color="auto"/>
            </w:tcBorders>
            <w:vAlign w:val="center"/>
            <w:hideMark/>
          </w:tcPr>
          <w:p w14:paraId="7C9F86ED" w14:textId="77777777" w:rsidR="008D0A3F" w:rsidRPr="008D0A3F" w:rsidRDefault="008D0A3F" w:rsidP="008D0A3F">
            <w:pPr>
              <w:spacing w:before="0" w:after="0" w:line="240" w:lineRule="auto"/>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Prospective cohort</w:t>
            </w:r>
          </w:p>
        </w:tc>
        <w:tc>
          <w:tcPr>
            <w:tcW w:w="394" w:type="pct"/>
            <w:tcBorders>
              <w:top w:val="single" w:sz="6" w:space="0" w:color="auto"/>
              <w:left w:val="single" w:sz="6" w:space="0" w:color="auto"/>
              <w:bottom w:val="single" w:sz="6" w:space="0" w:color="auto"/>
              <w:right w:val="single" w:sz="6" w:space="0" w:color="auto"/>
            </w:tcBorders>
            <w:vAlign w:val="center"/>
            <w:hideMark/>
          </w:tcPr>
          <w:p w14:paraId="0F083932" w14:textId="77777777" w:rsidR="008D0A3F" w:rsidRPr="008D0A3F" w:rsidRDefault="008D0A3F" w:rsidP="008D0A3F">
            <w:pPr>
              <w:spacing w:before="0" w:after="0" w:line="240" w:lineRule="auto"/>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1 year</w:t>
            </w:r>
          </w:p>
        </w:tc>
        <w:tc>
          <w:tcPr>
            <w:tcW w:w="259" w:type="pct"/>
            <w:tcBorders>
              <w:top w:val="single" w:sz="6" w:space="0" w:color="auto"/>
              <w:left w:val="single" w:sz="6" w:space="0" w:color="auto"/>
              <w:bottom w:val="single" w:sz="6" w:space="0" w:color="auto"/>
              <w:right w:val="single" w:sz="6" w:space="0" w:color="auto"/>
            </w:tcBorders>
            <w:vAlign w:val="center"/>
            <w:hideMark/>
          </w:tcPr>
          <w:p w14:paraId="4986F9D2" w14:textId="77777777" w:rsidR="008D0A3F" w:rsidRPr="006D6D9D" w:rsidRDefault="09A21A0B" w:rsidP="0D77DCC5">
            <w:pPr>
              <w:spacing w:before="0" w:after="0" w:line="240" w:lineRule="auto"/>
              <w:jc w:val="center"/>
              <w:textAlignment w:val="baseline"/>
              <w:rPr>
                <w:rFonts w:ascii="Arial Narrow" w:hAnsi="Arial Narrow"/>
                <w:sz w:val="20"/>
                <w:szCs w:val="20"/>
                <w:lang w:val="en-US"/>
              </w:rPr>
            </w:pPr>
            <w:r w:rsidRPr="0D77DCC5">
              <w:rPr>
                <w:rFonts w:ascii="Arial Narrow" w:hAnsi="Arial Narrow"/>
                <w:sz w:val="20"/>
                <w:szCs w:val="20"/>
                <w:lang w:val="en-US"/>
              </w:rPr>
              <w:t>High</w:t>
            </w:r>
          </w:p>
        </w:tc>
        <w:tc>
          <w:tcPr>
            <w:tcW w:w="276" w:type="pct"/>
            <w:tcBorders>
              <w:top w:val="single" w:sz="6" w:space="0" w:color="auto"/>
              <w:left w:val="single" w:sz="6" w:space="0" w:color="auto"/>
              <w:bottom w:val="single" w:sz="6" w:space="0" w:color="auto"/>
              <w:right w:val="single" w:sz="6" w:space="0" w:color="auto"/>
            </w:tcBorders>
            <w:vAlign w:val="center"/>
            <w:hideMark/>
          </w:tcPr>
          <w:p w14:paraId="5A2AD224"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 xml:space="preserve">41.3 </w:t>
            </w:r>
          </w:p>
        </w:tc>
        <w:tc>
          <w:tcPr>
            <w:tcW w:w="409" w:type="pct"/>
            <w:tcBorders>
              <w:top w:val="single" w:sz="6" w:space="0" w:color="auto"/>
              <w:left w:val="single" w:sz="6" w:space="0" w:color="auto"/>
              <w:bottom w:val="single" w:sz="6" w:space="0" w:color="auto"/>
              <w:right w:val="single" w:sz="6" w:space="0" w:color="auto"/>
            </w:tcBorders>
            <w:vAlign w:val="center"/>
            <w:hideMark/>
          </w:tcPr>
          <w:p w14:paraId="37CC9BA6"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Phase II: NR Phase III: 81.9</w:t>
            </w:r>
          </w:p>
        </w:tc>
        <w:tc>
          <w:tcPr>
            <w:tcW w:w="393" w:type="pct"/>
            <w:tcBorders>
              <w:top w:val="single" w:sz="6" w:space="0" w:color="auto"/>
              <w:left w:val="single" w:sz="6" w:space="0" w:color="auto"/>
              <w:bottom w:val="single" w:sz="6" w:space="0" w:color="auto"/>
              <w:right w:val="single" w:sz="6" w:space="0" w:color="auto"/>
            </w:tcBorders>
            <w:vAlign w:val="center"/>
            <w:hideMark/>
          </w:tcPr>
          <w:p w14:paraId="3F7C10B6"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Phase II: 34.3 Phase III: 36.1</w:t>
            </w:r>
          </w:p>
        </w:tc>
        <w:tc>
          <w:tcPr>
            <w:tcW w:w="1179" w:type="pct"/>
            <w:tcBorders>
              <w:top w:val="single" w:sz="6" w:space="0" w:color="auto"/>
              <w:left w:val="single" w:sz="6" w:space="0" w:color="auto"/>
              <w:bottom w:val="single" w:sz="6" w:space="0" w:color="auto"/>
              <w:right w:val="single" w:sz="6" w:space="0" w:color="auto"/>
            </w:tcBorders>
            <w:vAlign w:val="center"/>
            <w:hideMark/>
          </w:tcPr>
          <w:p w14:paraId="1599F50E" w14:textId="77777777" w:rsidR="008D0A3F" w:rsidRPr="008D0A3F" w:rsidRDefault="008D0A3F" w:rsidP="00BB3210">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%TBWL at 12 months</w:t>
            </w:r>
          </w:p>
        </w:tc>
        <w:tc>
          <w:tcPr>
            <w:tcW w:w="600" w:type="pct"/>
            <w:tcBorders>
              <w:top w:val="single" w:sz="6" w:space="0" w:color="auto"/>
              <w:left w:val="single" w:sz="6" w:space="0" w:color="auto"/>
              <w:bottom w:val="single" w:sz="6" w:space="0" w:color="auto"/>
              <w:right w:val="single" w:sz="6" w:space="0" w:color="auto"/>
            </w:tcBorders>
            <w:vAlign w:val="center"/>
          </w:tcPr>
          <w:p w14:paraId="4E5AD2E2" w14:textId="171F218B" w:rsidR="008D0A3F" w:rsidRPr="008D0A3F" w:rsidRDefault="003150DA" w:rsidP="008D0A3F">
            <w:pPr>
              <w:spacing w:before="0" w:after="0" w:line="240" w:lineRule="auto"/>
              <w:jc w:val="center"/>
              <w:textAlignment w:val="baseline"/>
              <w:rPr>
                <w:rFonts w:ascii="Arial Narrow" w:eastAsia="Times New Roman" w:hAnsi="Arial Narrow" w:cs="Segoe UI"/>
                <w:sz w:val="20"/>
                <w:szCs w:val="20"/>
                <w:lang w:val="en-US" w:eastAsia="en-AU"/>
              </w:rPr>
            </w:pPr>
            <w:r>
              <w:rPr>
                <w:rFonts w:ascii="Arial Narrow" w:eastAsia="Times New Roman" w:hAnsi="Arial Narrow" w:cs="Segoe UI"/>
                <w:sz w:val="20"/>
                <w:szCs w:val="20"/>
                <w:lang w:val="en-US" w:eastAsia="en-AU"/>
              </w:rPr>
              <w:t>No</w:t>
            </w:r>
          </w:p>
        </w:tc>
      </w:tr>
      <w:tr w:rsidR="00BC3E79" w:rsidRPr="008D0A3F" w14:paraId="5734FBD8" w14:textId="77777777" w:rsidTr="00115CA8">
        <w:trPr>
          <w:trHeight w:val="300"/>
        </w:trPr>
        <w:tc>
          <w:tcPr>
            <w:tcW w:w="567" w:type="pct"/>
            <w:tcBorders>
              <w:top w:val="single" w:sz="6" w:space="0" w:color="auto"/>
              <w:left w:val="single" w:sz="6" w:space="0" w:color="auto"/>
              <w:bottom w:val="single" w:sz="6" w:space="0" w:color="auto"/>
              <w:right w:val="single" w:sz="6" w:space="0" w:color="auto"/>
            </w:tcBorders>
            <w:vAlign w:val="center"/>
            <w:hideMark/>
          </w:tcPr>
          <w:p w14:paraId="28DAA12D" w14:textId="5917DA78" w:rsidR="008D0A3F" w:rsidRPr="008D0A3F" w:rsidRDefault="008D0A3F" w:rsidP="008D0A3F">
            <w:pPr>
              <w:spacing w:before="0" w:after="0" w:line="240" w:lineRule="auto"/>
              <w:textAlignment w:val="baseline"/>
              <w:rPr>
                <w:rFonts w:ascii="Arial Narrow" w:eastAsia="Times New Roman" w:hAnsi="Arial Narrow" w:cs="Segoe UI"/>
                <w:sz w:val="20"/>
                <w:szCs w:val="20"/>
                <w:lang w:val="en-US" w:eastAsia="en-AU"/>
              </w:rPr>
            </w:pPr>
            <w:r w:rsidRPr="008D0A3F">
              <w:rPr>
                <w:rFonts w:ascii="Arial Narrow" w:eastAsia="Times New Roman" w:hAnsi="Arial Narrow" w:cs="Segoe UI"/>
                <w:sz w:val="20"/>
                <w:szCs w:val="20"/>
                <w:lang w:val="en-US" w:eastAsia="en-AU"/>
              </w:rPr>
              <w:t>Sartoretto 2018</w:t>
            </w:r>
            <w:bookmarkStart w:id="37" w:name="_Ref187068942"/>
            <w:r w:rsidR="0029295E">
              <w:rPr>
                <w:rStyle w:val="FootnoteReference"/>
                <w:rFonts w:ascii="Arial Narrow" w:eastAsia="Times New Roman" w:hAnsi="Arial Narrow" w:cs="Segoe UI"/>
                <w:sz w:val="20"/>
                <w:szCs w:val="20"/>
                <w:lang w:val="en-US" w:eastAsia="en-AU"/>
              </w:rPr>
              <w:footnoteReference w:id="26"/>
            </w:r>
            <w:bookmarkEnd w:id="37"/>
          </w:p>
        </w:tc>
        <w:tc>
          <w:tcPr>
            <w:tcW w:w="373" w:type="pct"/>
            <w:tcBorders>
              <w:top w:val="single" w:sz="6" w:space="0" w:color="auto"/>
              <w:left w:val="single" w:sz="6" w:space="0" w:color="auto"/>
              <w:bottom w:val="single" w:sz="6" w:space="0" w:color="auto"/>
              <w:right w:val="single" w:sz="6" w:space="0" w:color="auto"/>
            </w:tcBorders>
            <w:vAlign w:val="center"/>
            <w:hideMark/>
          </w:tcPr>
          <w:p w14:paraId="6665FDCF" w14:textId="77777777" w:rsidR="008D0A3F" w:rsidRPr="006D6D9D" w:rsidRDefault="09A21A0B" w:rsidP="00D76EFB">
            <w:pPr>
              <w:spacing w:before="0" w:after="0" w:line="240" w:lineRule="auto"/>
              <w:jc w:val="center"/>
              <w:textAlignment w:val="baseline"/>
              <w:rPr>
                <w:rFonts w:ascii="Arial Narrow" w:hAnsi="Arial Narrow"/>
                <w:sz w:val="20"/>
                <w:szCs w:val="20"/>
              </w:rPr>
            </w:pPr>
            <w:r w:rsidRPr="0D77DCC5">
              <w:rPr>
                <w:rFonts w:ascii="Arial Narrow" w:hAnsi="Arial Narrow"/>
                <w:kern w:val="2"/>
                <w:sz w:val="20"/>
                <w:szCs w:val="20"/>
                <w14:ligatures w14:val="standardContextual"/>
              </w:rPr>
              <w:t>112</w:t>
            </w:r>
          </w:p>
        </w:tc>
        <w:tc>
          <w:tcPr>
            <w:tcW w:w="550" w:type="pct"/>
            <w:tcBorders>
              <w:top w:val="single" w:sz="6" w:space="0" w:color="auto"/>
              <w:left w:val="single" w:sz="6" w:space="0" w:color="auto"/>
              <w:bottom w:val="single" w:sz="6" w:space="0" w:color="auto"/>
              <w:right w:val="single" w:sz="6" w:space="0" w:color="auto"/>
            </w:tcBorders>
            <w:vAlign w:val="center"/>
            <w:hideMark/>
          </w:tcPr>
          <w:p w14:paraId="71C6CC75" w14:textId="77777777" w:rsidR="008D0A3F" w:rsidRPr="008D0A3F" w:rsidRDefault="008D0A3F" w:rsidP="008D0A3F">
            <w:pPr>
              <w:spacing w:before="0" w:after="0" w:line="240" w:lineRule="auto"/>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Retrospective cohort</w:t>
            </w:r>
          </w:p>
        </w:tc>
        <w:tc>
          <w:tcPr>
            <w:tcW w:w="394" w:type="pct"/>
            <w:tcBorders>
              <w:top w:val="single" w:sz="6" w:space="0" w:color="auto"/>
              <w:left w:val="single" w:sz="6" w:space="0" w:color="auto"/>
              <w:bottom w:val="single" w:sz="6" w:space="0" w:color="auto"/>
              <w:right w:val="single" w:sz="6" w:space="0" w:color="auto"/>
            </w:tcBorders>
            <w:vAlign w:val="center"/>
            <w:hideMark/>
          </w:tcPr>
          <w:p w14:paraId="729E91AC" w14:textId="77777777" w:rsidR="008D0A3F" w:rsidRPr="008D0A3F" w:rsidRDefault="008D0A3F" w:rsidP="008D0A3F">
            <w:pPr>
              <w:spacing w:before="0" w:after="0" w:line="240" w:lineRule="auto"/>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0.5 years</w:t>
            </w:r>
          </w:p>
        </w:tc>
        <w:tc>
          <w:tcPr>
            <w:tcW w:w="259" w:type="pct"/>
            <w:tcBorders>
              <w:top w:val="single" w:sz="6" w:space="0" w:color="auto"/>
              <w:left w:val="single" w:sz="6" w:space="0" w:color="auto"/>
              <w:bottom w:val="single" w:sz="6" w:space="0" w:color="auto"/>
              <w:right w:val="single" w:sz="6" w:space="0" w:color="auto"/>
            </w:tcBorders>
            <w:vAlign w:val="center"/>
            <w:hideMark/>
          </w:tcPr>
          <w:p w14:paraId="48476659" w14:textId="77777777" w:rsidR="008D0A3F" w:rsidRPr="006D6D9D" w:rsidRDefault="09A21A0B" w:rsidP="0D77DCC5">
            <w:pPr>
              <w:spacing w:before="0" w:after="0" w:line="240" w:lineRule="auto"/>
              <w:jc w:val="center"/>
              <w:textAlignment w:val="baseline"/>
              <w:rPr>
                <w:rFonts w:ascii="Arial Narrow" w:hAnsi="Arial Narrow"/>
                <w:sz w:val="20"/>
                <w:szCs w:val="20"/>
                <w:lang w:val="en-US"/>
              </w:rPr>
            </w:pPr>
            <w:r w:rsidRPr="0D77DCC5">
              <w:rPr>
                <w:rFonts w:ascii="Arial Narrow" w:hAnsi="Arial Narrow"/>
                <w:sz w:val="20"/>
                <w:szCs w:val="20"/>
                <w:lang w:val="en-US"/>
              </w:rPr>
              <w:t>Low</w:t>
            </w:r>
            <w:r w:rsidRPr="0D77DCC5">
              <w:rPr>
                <w:rFonts w:ascii="Arial Narrow" w:eastAsia="Times New Roman" w:hAnsi="Arial Narrow" w:cs="Segoe UI"/>
                <w:sz w:val="20"/>
                <w:szCs w:val="20"/>
                <w:lang w:eastAsia="en-AU"/>
              </w:rPr>
              <w:t> </w:t>
            </w:r>
          </w:p>
        </w:tc>
        <w:tc>
          <w:tcPr>
            <w:tcW w:w="276" w:type="pct"/>
            <w:tcBorders>
              <w:top w:val="single" w:sz="6" w:space="0" w:color="auto"/>
              <w:left w:val="single" w:sz="6" w:space="0" w:color="auto"/>
              <w:bottom w:val="single" w:sz="6" w:space="0" w:color="auto"/>
              <w:right w:val="single" w:sz="6" w:space="0" w:color="auto"/>
            </w:tcBorders>
            <w:vAlign w:val="center"/>
            <w:hideMark/>
          </w:tcPr>
          <w:p w14:paraId="762E4FB4"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45.1</w:t>
            </w:r>
          </w:p>
        </w:tc>
        <w:tc>
          <w:tcPr>
            <w:tcW w:w="409" w:type="pct"/>
            <w:tcBorders>
              <w:top w:val="single" w:sz="6" w:space="0" w:color="auto"/>
              <w:left w:val="single" w:sz="6" w:space="0" w:color="auto"/>
              <w:bottom w:val="single" w:sz="6" w:space="0" w:color="auto"/>
              <w:right w:val="single" w:sz="6" w:space="0" w:color="auto"/>
            </w:tcBorders>
            <w:vAlign w:val="center"/>
            <w:hideMark/>
          </w:tcPr>
          <w:p w14:paraId="69B49164"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69.0</w:t>
            </w:r>
          </w:p>
        </w:tc>
        <w:tc>
          <w:tcPr>
            <w:tcW w:w="393" w:type="pct"/>
            <w:tcBorders>
              <w:top w:val="single" w:sz="6" w:space="0" w:color="auto"/>
              <w:left w:val="single" w:sz="6" w:space="0" w:color="auto"/>
              <w:bottom w:val="single" w:sz="6" w:space="0" w:color="auto"/>
              <w:right w:val="single" w:sz="6" w:space="0" w:color="auto"/>
            </w:tcBorders>
            <w:vAlign w:val="center"/>
            <w:hideMark/>
          </w:tcPr>
          <w:p w14:paraId="4F3AA3D6"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37.9</w:t>
            </w:r>
          </w:p>
        </w:tc>
        <w:tc>
          <w:tcPr>
            <w:tcW w:w="1179" w:type="pct"/>
            <w:tcBorders>
              <w:top w:val="single" w:sz="6" w:space="0" w:color="auto"/>
              <w:left w:val="single" w:sz="6" w:space="0" w:color="auto"/>
              <w:bottom w:val="single" w:sz="6" w:space="0" w:color="auto"/>
              <w:right w:val="single" w:sz="6" w:space="0" w:color="auto"/>
            </w:tcBorders>
            <w:vAlign w:val="center"/>
            <w:hideMark/>
          </w:tcPr>
          <w:p w14:paraId="17AC21E9" w14:textId="4C1C4041" w:rsidR="008D0A3F" w:rsidRPr="008D0A3F" w:rsidRDefault="1B120044" w:rsidP="008D0A3F">
            <w:pPr>
              <w:spacing w:before="0" w:after="0" w:line="240" w:lineRule="auto"/>
              <w:jc w:val="center"/>
              <w:textAlignment w:val="baseline"/>
              <w:rPr>
                <w:rFonts w:ascii="Arial Narrow" w:eastAsia="Times New Roman" w:hAnsi="Arial Narrow" w:cs="Segoe UI"/>
                <w:sz w:val="20"/>
                <w:szCs w:val="20"/>
                <w:lang w:eastAsia="en-AU"/>
              </w:rPr>
            </w:pPr>
            <w:r w:rsidRPr="0D77DCC5">
              <w:rPr>
                <w:rFonts w:ascii="Arial Narrow" w:eastAsia="Times New Roman" w:hAnsi="Arial Narrow" w:cs="Segoe UI"/>
                <w:sz w:val="20"/>
                <w:szCs w:val="20"/>
                <w:lang w:eastAsia="en-AU"/>
              </w:rPr>
              <w:t>AEs</w:t>
            </w:r>
          </w:p>
        </w:tc>
        <w:tc>
          <w:tcPr>
            <w:tcW w:w="600" w:type="pct"/>
            <w:tcBorders>
              <w:top w:val="single" w:sz="6" w:space="0" w:color="auto"/>
              <w:left w:val="single" w:sz="6" w:space="0" w:color="auto"/>
              <w:bottom w:val="single" w:sz="6" w:space="0" w:color="auto"/>
              <w:right w:val="single" w:sz="6" w:space="0" w:color="auto"/>
            </w:tcBorders>
            <w:vAlign w:val="center"/>
          </w:tcPr>
          <w:p w14:paraId="419DA0F7" w14:textId="658A5234" w:rsidR="008D0A3F" w:rsidRPr="008D0A3F" w:rsidRDefault="00760E36" w:rsidP="008D0A3F">
            <w:pPr>
              <w:spacing w:before="0" w:after="0" w:line="240" w:lineRule="auto"/>
              <w:jc w:val="center"/>
              <w:textAlignment w:val="baseline"/>
              <w:rPr>
                <w:rFonts w:ascii="Arial Narrow" w:eastAsia="Times New Roman" w:hAnsi="Arial Narrow" w:cs="Segoe UI"/>
                <w:sz w:val="20"/>
                <w:szCs w:val="20"/>
                <w:lang w:val="en-US" w:eastAsia="en-AU"/>
              </w:rPr>
            </w:pPr>
            <w:r>
              <w:rPr>
                <w:rFonts w:ascii="Arial Narrow" w:eastAsia="Times New Roman" w:hAnsi="Arial Narrow" w:cs="Segoe UI"/>
                <w:sz w:val="20"/>
                <w:szCs w:val="20"/>
                <w:lang w:val="en-US" w:eastAsia="en-AU"/>
              </w:rPr>
              <w:t>No</w:t>
            </w:r>
          </w:p>
        </w:tc>
      </w:tr>
      <w:tr w:rsidR="00BC3E79" w:rsidRPr="008D0A3F" w14:paraId="69F9CFE4" w14:textId="77777777" w:rsidTr="00115CA8">
        <w:trPr>
          <w:trHeight w:val="300"/>
        </w:trPr>
        <w:tc>
          <w:tcPr>
            <w:tcW w:w="567" w:type="pct"/>
            <w:tcBorders>
              <w:top w:val="single" w:sz="6" w:space="0" w:color="auto"/>
              <w:left w:val="single" w:sz="6" w:space="0" w:color="auto"/>
              <w:bottom w:val="single" w:sz="6" w:space="0" w:color="auto"/>
              <w:right w:val="single" w:sz="6" w:space="0" w:color="auto"/>
            </w:tcBorders>
            <w:vAlign w:val="center"/>
            <w:hideMark/>
          </w:tcPr>
          <w:p w14:paraId="26AE7EB0" w14:textId="5A9A9489" w:rsidR="008D0A3F" w:rsidRPr="008D0A3F" w:rsidRDefault="008D0A3F" w:rsidP="008D0A3F">
            <w:pPr>
              <w:spacing w:before="0" w:after="0" w:line="240" w:lineRule="auto"/>
              <w:textAlignment w:val="baseline"/>
              <w:rPr>
                <w:rFonts w:ascii="Arial Narrow" w:eastAsia="Times New Roman" w:hAnsi="Arial Narrow" w:cs="Segoe UI"/>
                <w:sz w:val="20"/>
                <w:szCs w:val="20"/>
                <w:lang w:val="en-US" w:eastAsia="en-AU"/>
              </w:rPr>
            </w:pPr>
            <w:r w:rsidRPr="008D0A3F">
              <w:rPr>
                <w:rFonts w:ascii="Arial Narrow" w:eastAsia="Times New Roman" w:hAnsi="Arial Narrow" w:cs="Segoe UI"/>
                <w:sz w:val="20"/>
                <w:szCs w:val="20"/>
                <w:lang w:val="en-US" w:eastAsia="en-AU"/>
              </w:rPr>
              <w:t>Morales 2018</w:t>
            </w:r>
            <w:bookmarkStart w:id="38" w:name="_Ref187068910"/>
            <w:r w:rsidR="001448A4">
              <w:rPr>
                <w:rStyle w:val="FootnoteReference"/>
                <w:rFonts w:ascii="Arial Narrow" w:eastAsia="Times New Roman" w:hAnsi="Arial Narrow" w:cs="Segoe UI"/>
                <w:sz w:val="20"/>
                <w:szCs w:val="20"/>
                <w:lang w:val="en-US" w:eastAsia="en-AU"/>
              </w:rPr>
              <w:footnoteReference w:id="27"/>
            </w:r>
            <w:bookmarkEnd w:id="38"/>
          </w:p>
        </w:tc>
        <w:tc>
          <w:tcPr>
            <w:tcW w:w="373" w:type="pct"/>
            <w:tcBorders>
              <w:top w:val="single" w:sz="6" w:space="0" w:color="auto"/>
              <w:left w:val="single" w:sz="6" w:space="0" w:color="auto"/>
              <w:bottom w:val="single" w:sz="6" w:space="0" w:color="auto"/>
              <w:right w:val="single" w:sz="6" w:space="0" w:color="auto"/>
            </w:tcBorders>
            <w:vAlign w:val="center"/>
            <w:hideMark/>
          </w:tcPr>
          <w:p w14:paraId="0F3EEB06" w14:textId="77777777" w:rsidR="008D0A3F" w:rsidRPr="006D6D9D" w:rsidRDefault="09A21A0B" w:rsidP="00D76EFB">
            <w:pPr>
              <w:spacing w:before="0" w:after="0" w:line="240" w:lineRule="auto"/>
              <w:jc w:val="center"/>
              <w:textAlignment w:val="baseline"/>
              <w:rPr>
                <w:rFonts w:ascii="Arial Narrow" w:hAnsi="Arial Narrow"/>
                <w:sz w:val="20"/>
                <w:szCs w:val="20"/>
              </w:rPr>
            </w:pPr>
            <w:r w:rsidRPr="0D77DCC5">
              <w:rPr>
                <w:rFonts w:ascii="Arial Narrow" w:hAnsi="Arial Narrow"/>
                <w:kern w:val="2"/>
                <w:sz w:val="20"/>
                <w:szCs w:val="20"/>
                <w14:ligatures w14:val="standardContextual"/>
              </w:rPr>
              <w:t>148</w:t>
            </w:r>
          </w:p>
        </w:tc>
        <w:tc>
          <w:tcPr>
            <w:tcW w:w="550" w:type="pct"/>
            <w:tcBorders>
              <w:top w:val="single" w:sz="6" w:space="0" w:color="auto"/>
              <w:left w:val="single" w:sz="6" w:space="0" w:color="auto"/>
              <w:bottom w:val="single" w:sz="6" w:space="0" w:color="auto"/>
              <w:right w:val="single" w:sz="6" w:space="0" w:color="auto"/>
            </w:tcBorders>
            <w:vAlign w:val="center"/>
            <w:hideMark/>
          </w:tcPr>
          <w:p w14:paraId="7BCB0AC9" w14:textId="77777777" w:rsidR="008D0A3F" w:rsidRPr="008D0A3F" w:rsidRDefault="008D0A3F" w:rsidP="008D0A3F">
            <w:pPr>
              <w:spacing w:before="0" w:after="0" w:line="240" w:lineRule="auto"/>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Retrospective cohort</w:t>
            </w:r>
          </w:p>
        </w:tc>
        <w:tc>
          <w:tcPr>
            <w:tcW w:w="394" w:type="pct"/>
            <w:tcBorders>
              <w:top w:val="single" w:sz="6" w:space="0" w:color="auto"/>
              <w:left w:val="single" w:sz="6" w:space="0" w:color="auto"/>
              <w:bottom w:val="single" w:sz="6" w:space="0" w:color="auto"/>
              <w:right w:val="single" w:sz="6" w:space="0" w:color="auto"/>
            </w:tcBorders>
            <w:vAlign w:val="center"/>
            <w:hideMark/>
          </w:tcPr>
          <w:p w14:paraId="3769B768" w14:textId="77777777" w:rsidR="008D0A3F" w:rsidRPr="008D0A3F" w:rsidRDefault="008D0A3F" w:rsidP="008D0A3F">
            <w:pPr>
              <w:spacing w:before="0" w:after="0" w:line="240" w:lineRule="auto"/>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1.5 years</w:t>
            </w:r>
          </w:p>
        </w:tc>
        <w:tc>
          <w:tcPr>
            <w:tcW w:w="259" w:type="pct"/>
            <w:tcBorders>
              <w:top w:val="single" w:sz="6" w:space="0" w:color="auto"/>
              <w:left w:val="single" w:sz="6" w:space="0" w:color="auto"/>
              <w:bottom w:val="single" w:sz="6" w:space="0" w:color="auto"/>
              <w:right w:val="single" w:sz="6" w:space="0" w:color="auto"/>
            </w:tcBorders>
            <w:vAlign w:val="center"/>
            <w:hideMark/>
          </w:tcPr>
          <w:p w14:paraId="6DADEA51" w14:textId="77777777" w:rsidR="008D0A3F" w:rsidRPr="006D6D9D" w:rsidRDefault="09A21A0B" w:rsidP="0D77DCC5">
            <w:pPr>
              <w:spacing w:before="0" w:after="0" w:line="240" w:lineRule="auto"/>
              <w:jc w:val="center"/>
              <w:textAlignment w:val="baseline"/>
              <w:rPr>
                <w:rFonts w:ascii="Arial Narrow" w:hAnsi="Arial Narrow"/>
                <w:sz w:val="20"/>
                <w:szCs w:val="20"/>
                <w:lang w:val="en-US"/>
              </w:rPr>
            </w:pPr>
            <w:r w:rsidRPr="0D77DCC5">
              <w:rPr>
                <w:rFonts w:ascii="Arial Narrow" w:hAnsi="Arial Narrow"/>
                <w:sz w:val="20"/>
                <w:szCs w:val="20"/>
                <w:lang w:val="en-US"/>
              </w:rPr>
              <w:t>Low</w:t>
            </w:r>
            <w:r w:rsidRPr="0D77DCC5">
              <w:rPr>
                <w:rFonts w:ascii="Arial Narrow" w:eastAsia="Times New Roman" w:hAnsi="Arial Narrow" w:cs="Segoe UI"/>
                <w:sz w:val="20"/>
                <w:szCs w:val="20"/>
                <w:lang w:eastAsia="en-AU"/>
              </w:rPr>
              <w:t> </w:t>
            </w:r>
          </w:p>
        </w:tc>
        <w:tc>
          <w:tcPr>
            <w:tcW w:w="276" w:type="pct"/>
            <w:tcBorders>
              <w:top w:val="single" w:sz="6" w:space="0" w:color="auto"/>
              <w:left w:val="single" w:sz="6" w:space="0" w:color="auto"/>
              <w:bottom w:val="single" w:sz="6" w:space="0" w:color="auto"/>
              <w:right w:val="single" w:sz="6" w:space="0" w:color="auto"/>
            </w:tcBorders>
            <w:vAlign w:val="center"/>
            <w:hideMark/>
          </w:tcPr>
          <w:p w14:paraId="440327F3"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41.5</w:t>
            </w:r>
          </w:p>
        </w:tc>
        <w:tc>
          <w:tcPr>
            <w:tcW w:w="409" w:type="pct"/>
            <w:tcBorders>
              <w:top w:val="single" w:sz="6" w:space="0" w:color="auto"/>
              <w:left w:val="single" w:sz="6" w:space="0" w:color="auto"/>
              <w:bottom w:val="single" w:sz="6" w:space="0" w:color="auto"/>
              <w:right w:val="single" w:sz="6" w:space="0" w:color="auto"/>
            </w:tcBorders>
            <w:vAlign w:val="center"/>
            <w:hideMark/>
          </w:tcPr>
          <w:p w14:paraId="48207F4D"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81.8</w:t>
            </w:r>
          </w:p>
        </w:tc>
        <w:tc>
          <w:tcPr>
            <w:tcW w:w="393" w:type="pct"/>
            <w:tcBorders>
              <w:top w:val="single" w:sz="6" w:space="0" w:color="auto"/>
              <w:left w:val="single" w:sz="6" w:space="0" w:color="auto"/>
              <w:bottom w:val="single" w:sz="6" w:space="0" w:color="auto"/>
              <w:right w:val="single" w:sz="6" w:space="0" w:color="auto"/>
            </w:tcBorders>
            <w:vAlign w:val="center"/>
            <w:hideMark/>
          </w:tcPr>
          <w:p w14:paraId="21C087A3" w14:textId="77777777" w:rsidR="008D0A3F" w:rsidRPr="008D0A3F" w:rsidRDefault="008D0A3F" w:rsidP="008D0A3F">
            <w:pPr>
              <w:spacing w:before="0" w:after="0" w:line="240" w:lineRule="auto"/>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 xml:space="preserve"> 35.1</w:t>
            </w:r>
          </w:p>
        </w:tc>
        <w:tc>
          <w:tcPr>
            <w:tcW w:w="1179" w:type="pct"/>
            <w:tcBorders>
              <w:top w:val="single" w:sz="6" w:space="0" w:color="auto"/>
              <w:left w:val="single" w:sz="6" w:space="0" w:color="auto"/>
              <w:bottom w:val="single" w:sz="6" w:space="0" w:color="auto"/>
              <w:right w:val="single" w:sz="6" w:space="0" w:color="auto"/>
            </w:tcBorders>
            <w:vAlign w:val="center"/>
            <w:hideMark/>
          </w:tcPr>
          <w:p w14:paraId="722049CF" w14:textId="7766DA48" w:rsidR="008D0A3F" w:rsidRPr="008D0A3F" w:rsidRDefault="09A21A0B" w:rsidP="008D0A3F">
            <w:pPr>
              <w:spacing w:before="0" w:after="0" w:line="240" w:lineRule="auto"/>
              <w:jc w:val="center"/>
              <w:textAlignment w:val="baseline"/>
              <w:rPr>
                <w:rFonts w:ascii="Arial Narrow" w:eastAsia="Times New Roman" w:hAnsi="Arial Narrow" w:cs="Segoe UI"/>
                <w:sz w:val="20"/>
                <w:szCs w:val="20"/>
                <w:lang w:eastAsia="en-AU"/>
              </w:rPr>
            </w:pPr>
            <w:r w:rsidRPr="0D77DCC5">
              <w:rPr>
                <w:rFonts w:ascii="Arial Narrow" w:eastAsia="Times New Roman" w:hAnsi="Arial Narrow" w:cs="Segoe UI"/>
                <w:sz w:val="20"/>
                <w:szCs w:val="20"/>
                <w:lang w:eastAsia="en-AU"/>
              </w:rPr>
              <w:t xml:space="preserve">%TBWL at 12 months, %EWL at 12 months, </w:t>
            </w:r>
            <w:r w:rsidR="1B120044" w:rsidRPr="0D77DCC5">
              <w:rPr>
                <w:rFonts w:ascii="Arial Narrow" w:eastAsia="Times New Roman" w:hAnsi="Arial Narrow" w:cs="Segoe UI"/>
                <w:sz w:val="20"/>
                <w:szCs w:val="20"/>
                <w:lang w:eastAsia="en-AU"/>
              </w:rPr>
              <w:t>AE</w:t>
            </w:r>
            <w:r w:rsidRPr="0D77DCC5">
              <w:rPr>
                <w:rFonts w:ascii="Arial Narrow" w:eastAsia="Times New Roman" w:hAnsi="Arial Narrow" w:cs="Segoe UI"/>
                <w:sz w:val="20"/>
                <w:szCs w:val="20"/>
                <w:lang w:eastAsia="en-AU"/>
              </w:rPr>
              <w:t>s</w:t>
            </w:r>
          </w:p>
        </w:tc>
        <w:tc>
          <w:tcPr>
            <w:tcW w:w="600" w:type="pct"/>
            <w:tcBorders>
              <w:top w:val="single" w:sz="6" w:space="0" w:color="auto"/>
              <w:left w:val="single" w:sz="6" w:space="0" w:color="auto"/>
              <w:bottom w:val="single" w:sz="6" w:space="0" w:color="auto"/>
              <w:right w:val="single" w:sz="6" w:space="0" w:color="auto"/>
            </w:tcBorders>
            <w:vAlign w:val="center"/>
          </w:tcPr>
          <w:p w14:paraId="5BBC82FB" w14:textId="21600336" w:rsidR="008D0A3F" w:rsidRPr="008D0A3F" w:rsidRDefault="00F20E66" w:rsidP="00AB7E62">
            <w:pPr>
              <w:spacing w:before="0" w:after="0" w:line="240" w:lineRule="auto"/>
              <w:jc w:val="center"/>
              <w:textAlignment w:val="baseline"/>
              <w:rPr>
                <w:rFonts w:ascii="Arial Narrow" w:eastAsia="Times New Roman" w:hAnsi="Arial Narrow" w:cs="Segoe UI"/>
                <w:sz w:val="20"/>
                <w:szCs w:val="20"/>
                <w:lang w:val="en-US" w:eastAsia="en-AU"/>
              </w:rPr>
            </w:pPr>
            <w:r>
              <w:rPr>
                <w:rFonts w:ascii="Arial Narrow" w:eastAsia="Times New Roman" w:hAnsi="Arial Narrow" w:cs="Segoe UI"/>
                <w:sz w:val="20"/>
                <w:szCs w:val="20"/>
                <w:lang w:val="en-US" w:eastAsia="en-AU"/>
              </w:rPr>
              <w:t>No</w:t>
            </w:r>
          </w:p>
        </w:tc>
      </w:tr>
      <w:tr w:rsidR="00BC3E79" w:rsidRPr="008D0A3F" w14:paraId="6FE15CFE" w14:textId="77777777" w:rsidTr="00115CA8">
        <w:trPr>
          <w:trHeight w:val="300"/>
        </w:trPr>
        <w:tc>
          <w:tcPr>
            <w:tcW w:w="567" w:type="pct"/>
            <w:tcBorders>
              <w:top w:val="single" w:sz="6" w:space="0" w:color="auto"/>
              <w:left w:val="single" w:sz="6" w:space="0" w:color="auto"/>
              <w:bottom w:val="single" w:sz="6" w:space="0" w:color="auto"/>
              <w:right w:val="single" w:sz="6" w:space="0" w:color="auto"/>
            </w:tcBorders>
            <w:vAlign w:val="center"/>
            <w:hideMark/>
          </w:tcPr>
          <w:p w14:paraId="2FA94F92" w14:textId="00157D8A" w:rsidR="008D0A3F" w:rsidRPr="008D0A3F" w:rsidRDefault="008D0A3F" w:rsidP="008D0A3F">
            <w:pPr>
              <w:spacing w:before="0" w:after="0" w:line="240" w:lineRule="auto"/>
              <w:textAlignment w:val="baseline"/>
              <w:rPr>
                <w:rFonts w:ascii="Arial Narrow" w:eastAsia="Times New Roman" w:hAnsi="Arial Narrow" w:cs="Segoe UI"/>
                <w:sz w:val="20"/>
                <w:szCs w:val="20"/>
                <w:lang w:val="en-US" w:eastAsia="en-AU"/>
              </w:rPr>
            </w:pPr>
            <w:r w:rsidRPr="008D0A3F">
              <w:rPr>
                <w:rFonts w:ascii="Arial Narrow" w:eastAsia="Times New Roman" w:hAnsi="Arial Narrow" w:cs="Segoe UI"/>
                <w:sz w:val="20"/>
                <w:szCs w:val="20"/>
                <w:lang w:val="en-US" w:eastAsia="en-AU"/>
              </w:rPr>
              <w:t>Alqahtani 2019</w:t>
            </w:r>
            <w:bookmarkStart w:id="39" w:name="_Ref187068959"/>
            <w:r w:rsidR="001448A4">
              <w:rPr>
                <w:rStyle w:val="FootnoteReference"/>
                <w:rFonts w:ascii="Arial Narrow" w:eastAsia="Times New Roman" w:hAnsi="Arial Narrow" w:cs="Segoe UI"/>
                <w:sz w:val="20"/>
                <w:szCs w:val="20"/>
                <w:lang w:val="en-US" w:eastAsia="en-AU"/>
              </w:rPr>
              <w:footnoteReference w:id="28"/>
            </w:r>
            <w:bookmarkEnd w:id="39"/>
          </w:p>
        </w:tc>
        <w:tc>
          <w:tcPr>
            <w:tcW w:w="373" w:type="pct"/>
            <w:tcBorders>
              <w:top w:val="single" w:sz="6" w:space="0" w:color="auto"/>
              <w:left w:val="single" w:sz="6" w:space="0" w:color="auto"/>
              <w:bottom w:val="single" w:sz="6" w:space="0" w:color="auto"/>
              <w:right w:val="single" w:sz="6" w:space="0" w:color="auto"/>
            </w:tcBorders>
            <w:vAlign w:val="center"/>
            <w:hideMark/>
          </w:tcPr>
          <w:p w14:paraId="0D5E638B" w14:textId="04BF40D1" w:rsidR="008D0A3F" w:rsidRPr="006D6D9D" w:rsidRDefault="09A21A0B" w:rsidP="00D76EFB">
            <w:pPr>
              <w:spacing w:before="0" w:after="0" w:line="240" w:lineRule="auto"/>
              <w:jc w:val="center"/>
              <w:textAlignment w:val="baseline"/>
              <w:rPr>
                <w:rFonts w:ascii="Arial Narrow" w:hAnsi="Arial Narrow"/>
                <w:sz w:val="20"/>
                <w:szCs w:val="20"/>
              </w:rPr>
            </w:pPr>
            <w:r w:rsidRPr="0D77DCC5">
              <w:rPr>
                <w:rFonts w:ascii="Arial Narrow" w:hAnsi="Arial Narrow"/>
                <w:kern w:val="2"/>
                <w:sz w:val="20"/>
                <w:szCs w:val="20"/>
                <w14:ligatures w14:val="standardContextual"/>
              </w:rPr>
              <w:t>1</w:t>
            </w:r>
            <w:r w:rsidR="00276562">
              <w:rPr>
                <w:rFonts w:ascii="Arial Narrow" w:hAnsi="Arial Narrow"/>
                <w:kern w:val="2"/>
                <w:sz w:val="20"/>
                <w:szCs w:val="20"/>
                <w14:ligatures w14:val="standardContextual"/>
              </w:rPr>
              <w:t>,</w:t>
            </w:r>
            <w:r w:rsidRPr="0D77DCC5">
              <w:rPr>
                <w:rFonts w:ascii="Arial Narrow" w:hAnsi="Arial Narrow"/>
                <w:kern w:val="2"/>
                <w:sz w:val="20"/>
                <w:szCs w:val="20"/>
                <w14:ligatures w14:val="standardContextual"/>
              </w:rPr>
              <w:t>000</w:t>
            </w:r>
          </w:p>
        </w:tc>
        <w:tc>
          <w:tcPr>
            <w:tcW w:w="550" w:type="pct"/>
            <w:tcBorders>
              <w:top w:val="single" w:sz="6" w:space="0" w:color="auto"/>
              <w:left w:val="single" w:sz="6" w:space="0" w:color="auto"/>
              <w:bottom w:val="single" w:sz="6" w:space="0" w:color="auto"/>
              <w:right w:val="single" w:sz="6" w:space="0" w:color="auto"/>
            </w:tcBorders>
            <w:vAlign w:val="center"/>
            <w:hideMark/>
          </w:tcPr>
          <w:p w14:paraId="791D7441" w14:textId="77777777" w:rsidR="008D0A3F" w:rsidRPr="008D0A3F" w:rsidRDefault="008D0A3F" w:rsidP="008D0A3F">
            <w:pPr>
              <w:spacing w:before="0" w:after="0" w:line="240" w:lineRule="auto"/>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Prospective cohort</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01DA9F" w14:textId="77777777" w:rsidR="008D0A3F" w:rsidRPr="008D0A3F" w:rsidRDefault="008D0A3F" w:rsidP="008D0A3F">
            <w:pPr>
              <w:spacing w:before="0" w:after="0" w:line="240" w:lineRule="auto"/>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1.5 years</w:t>
            </w:r>
          </w:p>
        </w:tc>
        <w:tc>
          <w:tcPr>
            <w:tcW w:w="259" w:type="pct"/>
            <w:tcBorders>
              <w:top w:val="single" w:sz="6" w:space="0" w:color="auto"/>
              <w:left w:val="single" w:sz="6" w:space="0" w:color="auto"/>
              <w:bottom w:val="single" w:sz="6" w:space="0" w:color="auto"/>
              <w:right w:val="single" w:sz="6" w:space="0" w:color="auto"/>
            </w:tcBorders>
            <w:vAlign w:val="center"/>
            <w:hideMark/>
          </w:tcPr>
          <w:p w14:paraId="342CED17" w14:textId="77777777" w:rsidR="008D0A3F" w:rsidRPr="006D6D9D" w:rsidRDefault="09A21A0B" w:rsidP="0D77DCC5">
            <w:pPr>
              <w:spacing w:before="0" w:after="0" w:line="240" w:lineRule="auto"/>
              <w:jc w:val="center"/>
              <w:textAlignment w:val="baseline"/>
              <w:rPr>
                <w:rFonts w:ascii="Arial Narrow" w:hAnsi="Arial Narrow"/>
                <w:sz w:val="20"/>
                <w:szCs w:val="20"/>
                <w:lang w:val="en-US"/>
              </w:rPr>
            </w:pPr>
            <w:r w:rsidRPr="0D77DCC5">
              <w:rPr>
                <w:rFonts w:ascii="Arial Narrow" w:hAnsi="Arial Narrow"/>
                <w:sz w:val="20"/>
                <w:szCs w:val="20"/>
                <w:lang w:val="en-US"/>
              </w:rPr>
              <w:t>Low</w:t>
            </w:r>
            <w:r w:rsidRPr="0D77DCC5">
              <w:rPr>
                <w:rFonts w:ascii="Arial Narrow" w:eastAsia="Times New Roman" w:hAnsi="Arial Narrow" w:cs="Segoe UI"/>
                <w:sz w:val="20"/>
                <w:szCs w:val="20"/>
                <w:lang w:eastAsia="en-AU"/>
              </w:rPr>
              <w:t> </w:t>
            </w:r>
          </w:p>
        </w:tc>
        <w:tc>
          <w:tcPr>
            <w:tcW w:w="276" w:type="pct"/>
            <w:tcBorders>
              <w:top w:val="single" w:sz="6" w:space="0" w:color="auto"/>
              <w:left w:val="single" w:sz="6" w:space="0" w:color="auto"/>
              <w:bottom w:val="single" w:sz="6" w:space="0" w:color="auto"/>
              <w:right w:val="single" w:sz="6" w:space="0" w:color="auto"/>
            </w:tcBorders>
            <w:vAlign w:val="center"/>
            <w:hideMark/>
          </w:tcPr>
          <w:p w14:paraId="3A90516A"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34.4</w:t>
            </w:r>
          </w:p>
        </w:tc>
        <w:tc>
          <w:tcPr>
            <w:tcW w:w="409" w:type="pct"/>
            <w:tcBorders>
              <w:top w:val="single" w:sz="6" w:space="0" w:color="auto"/>
              <w:left w:val="single" w:sz="6" w:space="0" w:color="auto"/>
              <w:bottom w:val="single" w:sz="6" w:space="0" w:color="auto"/>
              <w:right w:val="single" w:sz="6" w:space="0" w:color="auto"/>
            </w:tcBorders>
            <w:vAlign w:val="center"/>
            <w:hideMark/>
          </w:tcPr>
          <w:p w14:paraId="4D9022FA"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89.7</w:t>
            </w:r>
          </w:p>
        </w:tc>
        <w:tc>
          <w:tcPr>
            <w:tcW w:w="393" w:type="pct"/>
            <w:tcBorders>
              <w:top w:val="single" w:sz="6" w:space="0" w:color="auto"/>
              <w:left w:val="single" w:sz="6" w:space="0" w:color="auto"/>
              <w:bottom w:val="single" w:sz="6" w:space="0" w:color="auto"/>
              <w:right w:val="single" w:sz="6" w:space="0" w:color="auto"/>
            </w:tcBorders>
            <w:vAlign w:val="center"/>
            <w:hideMark/>
          </w:tcPr>
          <w:p w14:paraId="2D9AB7FF"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33.3</w:t>
            </w:r>
          </w:p>
        </w:tc>
        <w:tc>
          <w:tcPr>
            <w:tcW w:w="1179" w:type="pct"/>
            <w:tcBorders>
              <w:top w:val="single" w:sz="6" w:space="0" w:color="auto"/>
              <w:left w:val="single" w:sz="6" w:space="0" w:color="auto"/>
              <w:bottom w:val="single" w:sz="6" w:space="0" w:color="auto"/>
              <w:right w:val="single" w:sz="6" w:space="0" w:color="auto"/>
            </w:tcBorders>
            <w:vAlign w:val="center"/>
            <w:hideMark/>
          </w:tcPr>
          <w:p w14:paraId="2391900C" w14:textId="620BA085" w:rsidR="008D0A3F" w:rsidRPr="008D0A3F" w:rsidRDefault="09A21A0B" w:rsidP="008D0A3F">
            <w:pPr>
              <w:spacing w:before="0" w:after="0" w:line="240" w:lineRule="auto"/>
              <w:jc w:val="center"/>
              <w:textAlignment w:val="baseline"/>
              <w:rPr>
                <w:rFonts w:ascii="Arial Narrow" w:eastAsia="Times New Roman" w:hAnsi="Arial Narrow" w:cs="Segoe UI"/>
                <w:sz w:val="20"/>
                <w:szCs w:val="20"/>
                <w:lang w:eastAsia="en-AU"/>
              </w:rPr>
            </w:pPr>
            <w:r w:rsidRPr="0D77DCC5">
              <w:rPr>
                <w:rFonts w:ascii="Arial Narrow" w:eastAsia="Times New Roman" w:hAnsi="Arial Narrow" w:cs="Segoe UI"/>
                <w:sz w:val="20"/>
                <w:szCs w:val="20"/>
                <w:lang w:eastAsia="en-AU"/>
              </w:rPr>
              <w:t xml:space="preserve">%TBWL at 12 months, %EWL at 12 months, </w:t>
            </w:r>
            <w:r w:rsidR="1B120044" w:rsidRPr="0D77DCC5">
              <w:rPr>
                <w:rFonts w:ascii="Arial Narrow" w:eastAsia="Times New Roman" w:hAnsi="Arial Narrow" w:cs="Segoe UI"/>
                <w:sz w:val="20"/>
                <w:szCs w:val="20"/>
                <w:lang w:eastAsia="en-AU"/>
              </w:rPr>
              <w:t>AE</w:t>
            </w:r>
            <w:r w:rsidRPr="0D77DCC5">
              <w:rPr>
                <w:rFonts w:ascii="Arial Narrow" w:eastAsia="Times New Roman" w:hAnsi="Arial Narrow" w:cs="Segoe UI"/>
                <w:sz w:val="20"/>
                <w:szCs w:val="20"/>
                <w:lang w:eastAsia="en-AU"/>
              </w:rPr>
              <w:t>s</w:t>
            </w:r>
          </w:p>
        </w:tc>
        <w:tc>
          <w:tcPr>
            <w:tcW w:w="600" w:type="pct"/>
            <w:tcBorders>
              <w:top w:val="single" w:sz="6" w:space="0" w:color="auto"/>
              <w:left w:val="single" w:sz="6" w:space="0" w:color="auto"/>
              <w:bottom w:val="single" w:sz="6" w:space="0" w:color="auto"/>
              <w:right w:val="single" w:sz="6" w:space="0" w:color="auto"/>
            </w:tcBorders>
            <w:vAlign w:val="center"/>
          </w:tcPr>
          <w:p w14:paraId="224FF11B" w14:textId="6BAD400E" w:rsidR="008D0A3F" w:rsidRPr="008D0A3F" w:rsidRDefault="00731733" w:rsidP="008D0A3F">
            <w:pPr>
              <w:spacing w:before="0" w:after="0" w:line="240" w:lineRule="auto"/>
              <w:jc w:val="center"/>
              <w:textAlignment w:val="baseline"/>
              <w:rPr>
                <w:rFonts w:ascii="Arial Narrow" w:eastAsia="Times New Roman" w:hAnsi="Arial Narrow" w:cs="Segoe UI"/>
                <w:sz w:val="20"/>
                <w:szCs w:val="20"/>
                <w:lang w:val="en-US" w:eastAsia="en-AU"/>
              </w:rPr>
            </w:pPr>
            <w:r>
              <w:rPr>
                <w:rFonts w:ascii="Arial Narrow" w:eastAsia="Times New Roman" w:hAnsi="Arial Narrow" w:cs="Segoe UI"/>
                <w:sz w:val="20"/>
                <w:szCs w:val="20"/>
                <w:lang w:val="en-US" w:eastAsia="en-AU"/>
              </w:rPr>
              <w:t>No</w:t>
            </w:r>
          </w:p>
        </w:tc>
      </w:tr>
      <w:tr w:rsidR="00BC3E79" w:rsidRPr="008D0A3F" w14:paraId="7894D6DE" w14:textId="77777777" w:rsidTr="00115CA8">
        <w:trPr>
          <w:trHeight w:val="300"/>
        </w:trPr>
        <w:tc>
          <w:tcPr>
            <w:tcW w:w="567" w:type="pct"/>
            <w:tcBorders>
              <w:top w:val="single" w:sz="6" w:space="0" w:color="auto"/>
              <w:left w:val="single" w:sz="6" w:space="0" w:color="auto"/>
              <w:bottom w:val="single" w:sz="6" w:space="0" w:color="auto"/>
              <w:right w:val="single" w:sz="6" w:space="0" w:color="auto"/>
            </w:tcBorders>
            <w:vAlign w:val="center"/>
            <w:hideMark/>
          </w:tcPr>
          <w:p w14:paraId="33B9615A" w14:textId="702CA64B" w:rsidR="008D0A3F" w:rsidRPr="008D0A3F" w:rsidRDefault="008D0A3F" w:rsidP="008D0A3F">
            <w:pPr>
              <w:spacing w:before="0" w:after="0" w:line="240" w:lineRule="auto"/>
              <w:textAlignment w:val="baseline"/>
              <w:rPr>
                <w:rFonts w:ascii="Arial Narrow" w:eastAsia="Times New Roman" w:hAnsi="Arial Narrow" w:cs="Segoe UI"/>
                <w:sz w:val="20"/>
                <w:szCs w:val="20"/>
                <w:lang w:val="en-US" w:eastAsia="en-AU"/>
              </w:rPr>
            </w:pPr>
            <w:r w:rsidRPr="008D0A3F">
              <w:rPr>
                <w:rFonts w:ascii="Arial Narrow" w:eastAsia="Times New Roman" w:hAnsi="Arial Narrow" w:cs="Segoe UI"/>
                <w:sz w:val="20"/>
                <w:szCs w:val="20"/>
                <w:lang w:val="en-US" w:eastAsia="en-AU"/>
              </w:rPr>
              <w:t>Barrichello 2019</w:t>
            </w:r>
            <w:bookmarkStart w:id="40" w:name="_Ref187068964"/>
            <w:r w:rsidR="00E10FD7">
              <w:rPr>
                <w:rStyle w:val="FootnoteReference"/>
                <w:rFonts w:ascii="Arial Narrow" w:eastAsia="Times New Roman" w:hAnsi="Arial Narrow" w:cs="Segoe UI"/>
                <w:sz w:val="20"/>
                <w:szCs w:val="20"/>
                <w:lang w:val="en-US" w:eastAsia="en-AU"/>
              </w:rPr>
              <w:footnoteReference w:id="29"/>
            </w:r>
            <w:bookmarkEnd w:id="40"/>
          </w:p>
        </w:tc>
        <w:tc>
          <w:tcPr>
            <w:tcW w:w="373" w:type="pct"/>
            <w:tcBorders>
              <w:top w:val="single" w:sz="6" w:space="0" w:color="auto"/>
              <w:left w:val="single" w:sz="6" w:space="0" w:color="auto"/>
              <w:bottom w:val="single" w:sz="6" w:space="0" w:color="auto"/>
              <w:right w:val="single" w:sz="6" w:space="0" w:color="auto"/>
            </w:tcBorders>
            <w:vAlign w:val="center"/>
            <w:hideMark/>
          </w:tcPr>
          <w:p w14:paraId="69D894E1" w14:textId="77777777" w:rsidR="008D0A3F" w:rsidRPr="006D6D9D" w:rsidRDefault="09A21A0B" w:rsidP="00D76EFB">
            <w:pPr>
              <w:spacing w:before="0" w:after="0" w:line="240" w:lineRule="auto"/>
              <w:jc w:val="center"/>
              <w:textAlignment w:val="baseline"/>
              <w:rPr>
                <w:rFonts w:ascii="Arial Narrow" w:hAnsi="Arial Narrow"/>
                <w:sz w:val="20"/>
                <w:szCs w:val="20"/>
              </w:rPr>
            </w:pPr>
            <w:r w:rsidRPr="0D77DCC5">
              <w:rPr>
                <w:rFonts w:ascii="Arial Narrow" w:hAnsi="Arial Narrow"/>
                <w:kern w:val="2"/>
                <w:sz w:val="20"/>
                <w:szCs w:val="20"/>
                <w14:ligatures w14:val="standardContextual"/>
              </w:rPr>
              <w:t>193</w:t>
            </w:r>
          </w:p>
        </w:tc>
        <w:tc>
          <w:tcPr>
            <w:tcW w:w="550" w:type="pct"/>
            <w:tcBorders>
              <w:top w:val="single" w:sz="6" w:space="0" w:color="auto"/>
              <w:left w:val="single" w:sz="6" w:space="0" w:color="auto"/>
              <w:bottom w:val="single" w:sz="6" w:space="0" w:color="auto"/>
              <w:right w:val="single" w:sz="6" w:space="0" w:color="auto"/>
            </w:tcBorders>
            <w:vAlign w:val="center"/>
            <w:hideMark/>
          </w:tcPr>
          <w:p w14:paraId="34D47E1D" w14:textId="77777777" w:rsidR="008D0A3F" w:rsidRPr="008D0A3F" w:rsidRDefault="008D0A3F" w:rsidP="008D0A3F">
            <w:pPr>
              <w:spacing w:before="0" w:after="0" w:line="240" w:lineRule="auto"/>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Prospective cohort</w:t>
            </w:r>
          </w:p>
        </w:tc>
        <w:tc>
          <w:tcPr>
            <w:tcW w:w="394" w:type="pct"/>
            <w:tcBorders>
              <w:top w:val="single" w:sz="6" w:space="0" w:color="auto"/>
              <w:left w:val="single" w:sz="6" w:space="0" w:color="auto"/>
              <w:bottom w:val="single" w:sz="6" w:space="0" w:color="auto"/>
              <w:right w:val="single" w:sz="6" w:space="0" w:color="auto"/>
            </w:tcBorders>
            <w:vAlign w:val="center"/>
            <w:hideMark/>
          </w:tcPr>
          <w:p w14:paraId="56F6FA79" w14:textId="77777777" w:rsidR="008D0A3F" w:rsidRPr="008D0A3F" w:rsidRDefault="008D0A3F" w:rsidP="008D0A3F">
            <w:pPr>
              <w:spacing w:before="0" w:after="0" w:line="240" w:lineRule="auto"/>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1 year</w:t>
            </w:r>
          </w:p>
        </w:tc>
        <w:tc>
          <w:tcPr>
            <w:tcW w:w="259" w:type="pct"/>
            <w:tcBorders>
              <w:top w:val="single" w:sz="6" w:space="0" w:color="auto"/>
              <w:left w:val="single" w:sz="6" w:space="0" w:color="auto"/>
              <w:bottom w:val="single" w:sz="6" w:space="0" w:color="auto"/>
              <w:right w:val="single" w:sz="6" w:space="0" w:color="auto"/>
            </w:tcBorders>
            <w:vAlign w:val="center"/>
            <w:hideMark/>
          </w:tcPr>
          <w:p w14:paraId="5BF3C8ED" w14:textId="77777777" w:rsidR="008D0A3F" w:rsidRPr="006D6D9D" w:rsidRDefault="09A21A0B" w:rsidP="0D77DCC5">
            <w:pPr>
              <w:spacing w:before="0" w:after="0" w:line="240" w:lineRule="auto"/>
              <w:jc w:val="center"/>
              <w:textAlignment w:val="baseline"/>
              <w:rPr>
                <w:rFonts w:ascii="Arial Narrow" w:hAnsi="Arial Narrow"/>
                <w:sz w:val="20"/>
                <w:szCs w:val="20"/>
                <w:lang w:val="en-US"/>
              </w:rPr>
            </w:pPr>
            <w:r w:rsidRPr="0D77DCC5">
              <w:rPr>
                <w:rFonts w:ascii="Arial Narrow" w:hAnsi="Arial Narrow"/>
                <w:sz w:val="20"/>
                <w:szCs w:val="20"/>
                <w:lang w:val="en-US"/>
              </w:rPr>
              <w:t>Low</w:t>
            </w:r>
            <w:r w:rsidRPr="0D77DCC5">
              <w:rPr>
                <w:rFonts w:ascii="Arial Narrow" w:eastAsia="Times New Roman" w:hAnsi="Arial Narrow" w:cs="Segoe UI"/>
                <w:sz w:val="20"/>
                <w:szCs w:val="20"/>
                <w:lang w:eastAsia="en-AU"/>
              </w:rPr>
              <w:t> </w:t>
            </w:r>
          </w:p>
        </w:tc>
        <w:tc>
          <w:tcPr>
            <w:tcW w:w="276" w:type="pct"/>
            <w:tcBorders>
              <w:top w:val="single" w:sz="6" w:space="0" w:color="auto"/>
              <w:left w:val="single" w:sz="6" w:space="0" w:color="auto"/>
              <w:bottom w:val="single" w:sz="6" w:space="0" w:color="auto"/>
              <w:right w:val="single" w:sz="6" w:space="0" w:color="auto"/>
            </w:tcBorders>
            <w:vAlign w:val="center"/>
            <w:hideMark/>
          </w:tcPr>
          <w:p w14:paraId="32700530"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42.3</w:t>
            </w:r>
          </w:p>
        </w:tc>
        <w:tc>
          <w:tcPr>
            <w:tcW w:w="409" w:type="pct"/>
            <w:tcBorders>
              <w:top w:val="single" w:sz="6" w:space="0" w:color="auto"/>
              <w:left w:val="single" w:sz="6" w:space="0" w:color="auto"/>
              <w:bottom w:val="single" w:sz="6" w:space="0" w:color="auto"/>
              <w:right w:val="single" w:sz="6" w:space="0" w:color="auto"/>
            </w:tcBorders>
            <w:vAlign w:val="center"/>
            <w:hideMark/>
          </w:tcPr>
          <w:p w14:paraId="0E83DB28"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76.7</w:t>
            </w:r>
          </w:p>
        </w:tc>
        <w:tc>
          <w:tcPr>
            <w:tcW w:w="393" w:type="pct"/>
            <w:tcBorders>
              <w:top w:val="single" w:sz="6" w:space="0" w:color="auto"/>
              <w:left w:val="single" w:sz="6" w:space="0" w:color="auto"/>
              <w:bottom w:val="single" w:sz="6" w:space="0" w:color="auto"/>
              <w:right w:val="single" w:sz="6" w:space="0" w:color="auto"/>
            </w:tcBorders>
            <w:vAlign w:val="center"/>
            <w:hideMark/>
          </w:tcPr>
          <w:p w14:paraId="737B4367"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34.1</w:t>
            </w:r>
          </w:p>
        </w:tc>
        <w:tc>
          <w:tcPr>
            <w:tcW w:w="1179" w:type="pct"/>
            <w:tcBorders>
              <w:top w:val="single" w:sz="6" w:space="0" w:color="auto"/>
              <w:left w:val="single" w:sz="6" w:space="0" w:color="auto"/>
              <w:bottom w:val="single" w:sz="6" w:space="0" w:color="auto"/>
              <w:right w:val="single" w:sz="6" w:space="0" w:color="auto"/>
            </w:tcBorders>
            <w:vAlign w:val="center"/>
            <w:hideMark/>
          </w:tcPr>
          <w:p w14:paraId="5AD5B742" w14:textId="25CA4696" w:rsidR="008D0A3F" w:rsidRPr="008D0A3F" w:rsidRDefault="09A21A0B" w:rsidP="008D0A3F">
            <w:pPr>
              <w:spacing w:before="0" w:after="0" w:line="240" w:lineRule="auto"/>
              <w:jc w:val="center"/>
              <w:textAlignment w:val="baseline"/>
              <w:rPr>
                <w:rFonts w:ascii="Arial Narrow" w:eastAsia="Times New Roman" w:hAnsi="Arial Narrow" w:cs="Segoe UI"/>
                <w:sz w:val="20"/>
                <w:szCs w:val="20"/>
                <w:lang w:eastAsia="en-AU"/>
              </w:rPr>
            </w:pPr>
            <w:r w:rsidRPr="0D77DCC5">
              <w:rPr>
                <w:rFonts w:ascii="Arial Narrow" w:eastAsia="Times New Roman" w:hAnsi="Arial Narrow" w:cs="Segoe UI"/>
                <w:sz w:val="20"/>
                <w:szCs w:val="20"/>
                <w:lang w:eastAsia="en-AU"/>
              </w:rPr>
              <w:t xml:space="preserve">%TBWL at 12 months, %EWL at 12 months, </w:t>
            </w:r>
            <w:r w:rsidR="1B120044" w:rsidRPr="0D77DCC5">
              <w:rPr>
                <w:rFonts w:ascii="Arial Narrow" w:eastAsia="Times New Roman" w:hAnsi="Arial Narrow" w:cs="Segoe UI"/>
                <w:sz w:val="20"/>
                <w:szCs w:val="20"/>
                <w:lang w:eastAsia="en-AU"/>
              </w:rPr>
              <w:t>AE</w:t>
            </w:r>
            <w:r w:rsidRPr="0D77DCC5">
              <w:rPr>
                <w:rFonts w:ascii="Arial Narrow" w:eastAsia="Times New Roman" w:hAnsi="Arial Narrow" w:cs="Segoe UI"/>
                <w:sz w:val="20"/>
                <w:szCs w:val="20"/>
                <w:lang w:eastAsia="en-AU"/>
              </w:rPr>
              <w:t>s</w:t>
            </w:r>
          </w:p>
        </w:tc>
        <w:tc>
          <w:tcPr>
            <w:tcW w:w="600" w:type="pct"/>
            <w:tcBorders>
              <w:top w:val="single" w:sz="6" w:space="0" w:color="auto"/>
              <w:left w:val="single" w:sz="6" w:space="0" w:color="auto"/>
              <w:bottom w:val="single" w:sz="6" w:space="0" w:color="auto"/>
              <w:right w:val="single" w:sz="6" w:space="0" w:color="auto"/>
            </w:tcBorders>
            <w:vAlign w:val="center"/>
          </w:tcPr>
          <w:p w14:paraId="53E44E18" w14:textId="51CEDAC9" w:rsidR="008D0A3F" w:rsidRPr="008D0A3F" w:rsidRDefault="00A4098E" w:rsidP="008D0A3F">
            <w:pPr>
              <w:spacing w:before="0" w:after="0" w:line="240" w:lineRule="auto"/>
              <w:jc w:val="center"/>
              <w:textAlignment w:val="baseline"/>
              <w:rPr>
                <w:rFonts w:ascii="Arial Narrow" w:eastAsia="Times New Roman" w:hAnsi="Arial Narrow" w:cs="Segoe UI"/>
                <w:sz w:val="20"/>
                <w:szCs w:val="20"/>
                <w:lang w:val="en-US" w:eastAsia="en-AU"/>
              </w:rPr>
            </w:pPr>
            <w:r>
              <w:rPr>
                <w:rFonts w:ascii="Arial Narrow" w:eastAsia="Times New Roman" w:hAnsi="Arial Narrow" w:cs="Segoe UI"/>
                <w:sz w:val="20"/>
                <w:szCs w:val="20"/>
                <w:lang w:val="en-US" w:eastAsia="en-AU"/>
              </w:rPr>
              <w:t>No</w:t>
            </w:r>
          </w:p>
        </w:tc>
      </w:tr>
      <w:tr w:rsidR="00BC3E79" w:rsidRPr="008D0A3F" w14:paraId="0F4C6C71" w14:textId="77777777" w:rsidTr="00115CA8">
        <w:trPr>
          <w:trHeight w:val="300"/>
        </w:trPr>
        <w:tc>
          <w:tcPr>
            <w:tcW w:w="567" w:type="pct"/>
            <w:tcBorders>
              <w:top w:val="single" w:sz="6" w:space="0" w:color="auto"/>
              <w:left w:val="single" w:sz="6" w:space="0" w:color="auto"/>
              <w:bottom w:val="single" w:sz="6" w:space="0" w:color="auto"/>
              <w:right w:val="single" w:sz="6" w:space="0" w:color="auto"/>
            </w:tcBorders>
            <w:vAlign w:val="center"/>
            <w:hideMark/>
          </w:tcPr>
          <w:p w14:paraId="0103EEED" w14:textId="5657B79A" w:rsidR="008D0A3F" w:rsidRPr="008D0A3F" w:rsidRDefault="008D0A3F" w:rsidP="008D0A3F">
            <w:pPr>
              <w:spacing w:before="0" w:after="0" w:line="240" w:lineRule="auto"/>
              <w:textAlignment w:val="baseline"/>
              <w:rPr>
                <w:rFonts w:ascii="Arial Narrow" w:eastAsia="Times New Roman" w:hAnsi="Arial Narrow" w:cs="Segoe UI"/>
                <w:sz w:val="20"/>
                <w:szCs w:val="20"/>
                <w:lang w:val="en-US" w:eastAsia="en-AU"/>
              </w:rPr>
            </w:pPr>
            <w:r w:rsidRPr="008D0A3F">
              <w:rPr>
                <w:rFonts w:ascii="Arial Narrow" w:eastAsia="Times New Roman" w:hAnsi="Arial Narrow" w:cs="Segoe UI"/>
                <w:sz w:val="20"/>
                <w:szCs w:val="20"/>
                <w:lang w:val="en-US" w:eastAsia="en-AU"/>
              </w:rPr>
              <w:t>Espinet 2019</w:t>
            </w:r>
            <w:r w:rsidR="0023164A">
              <w:rPr>
                <w:rStyle w:val="FootnoteReference"/>
                <w:rFonts w:ascii="Arial Narrow" w:eastAsia="Times New Roman" w:hAnsi="Arial Narrow" w:cs="Segoe UI"/>
                <w:sz w:val="20"/>
                <w:szCs w:val="20"/>
                <w:lang w:val="en-US" w:eastAsia="en-AU"/>
              </w:rPr>
              <w:footnoteReference w:id="30"/>
            </w:r>
          </w:p>
        </w:tc>
        <w:tc>
          <w:tcPr>
            <w:tcW w:w="373" w:type="pct"/>
            <w:tcBorders>
              <w:top w:val="single" w:sz="6" w:space="0" w:color="auto"/>
              <w:left w:val="single" w:sz="6" w:space="0" w:color="auto"/>
              <w:bottom w:val="single" w:sz="6" w:space="0" w:color="auto"/>
              <w:right w:val="single" w:sz="6" w:space="0" w:color="auto"/>
            </w:tcBorders>
            <w:vAlign w:val="center"/>
            <w:hideMark/>
          </w:tcPr>
          <w:p w14:paraId="0EF19959" w14:textId="77777777" w:rsidR="008D0A3F" w:rsidRPr="006D6D9D" w:rsidRDefault="09A21A0B" w:rsidP="00D76EFB">
            <w:pPr>
              <w:spacing w:before="0" w:after="0" w:line="240" w:lineRule="auto"/>
              <w:jc w:val="center"/>
              <w:textAlignment w:val="baseline"/>
              <w:rPr>
                <w:rFonts w:ascii="Arial Narrow" w:hAnsi="Arial Narrow"/>
                <w:sz w:val="20"/>
                <w:szCs w:val="20"/>
              </w:rPr>
            </w:pPr>
            <w:r w:rsidRPr="0D77DCC5">
              <w:rPr>
                <w:rFonts w:ascii="Arial Narrow" w:hAnsi="Arial Narrow"/>
                <w:kern w:val="2"/>
                <w:sz w:val="20"/>
                <w:szCs w:val="20"/>
                <w14:ligatures w14:val="standardContextual"/>
              </w:rPr>
              <w:t>15</w:t>
            </w:r>
          </w:p>
        </w:tc>
        <w:tc>
          <w:tcPr>
            <w:tcW w:w="550" w:type="pct"/>
            <w:tcBorders>
              <w:top w:val="single" w:sz="6" w:space="0" w:color="auto"/>
              <w:left w:val="single" w:sz="6" w:space="0" w:color="auto"/>
              <w:bottom w:val="single" w:sz="6" w:space="0" w:color="auto"/>
              <w:right w:val="single" w:sz="6" w:space="0" w:color="auto"/>
            </w:tcBorders>
            <w:vAlign w:val="center"/>
            <w:hideMark/>
          </w:tcPr>
          <w:p w14:paraId="659494FE" w14:textId="77777777" w:rsidR="008D0A3F" w:rsidRPr="008D0A3F" w:rsidRDefault="008D0A3F" w:rsidP="008D0A3F">
            <w:pPr>
              <w:spacing w:before="0" w:after="0" w:line="240" w:lineRule="auto"/>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Prospective cohort</w:t>
            </w:r>
          </w:p>
        </w:tc>
        <w:tc>
          <w:tcPr>
            <w:tcW w:w="394" w:type="pct"/>
            <w:tcBorders>
              <w:top w:val="single" w:sz="6" w:space="0" w:color="auto"/>
              <w:left w:val="single" w:sz="6" w:space="0" w:color="auto"/>
              <w:bottom w:val="single" w:sz="6" w:space="0" w:color="auto"/>
              <w:right w:val="single" w:sz="6" w:space="0" w:color="auto"/>
            </w:tcBorders>
            <w:vAlign w:val="center"/>
            <w:hideMark/>
          </w:tcPr>
          <w:p w14:paraId="1024B951" w14:textId="77777777" w:rsidR="008D0A3F" w:rsidRPr="008D0A3F" w:rsidRDefault="008D0A3F" w:rsidP="008D0A3F">
            <w:pPr>
              <w:spacing w:before="0" w:after="0" w:line="240" w:lineRule="auto"/>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1 year</w:t>
            </w:r>
          </w:p>
        </w:tc>
        <w:tc>
          <w:tcPr>
            <w:tcW w:w="259" w:type="pct"/>
            <w:tcBorders>
              <w:top w:val="single" w:sz="6" w:space="0" w:color="auto"/>
              <w:left w:val="single" w:sz="6" w:space="0" w:color="auto"/>
              <w:bottom w:val="single" w:sz="6" w:space="0" w:color="auto"/>
              <w:right w:val="single" w:sz="6" w:space="0" w:color="auto"/>
            </w:tcBorders>
            <w:vAlign w:val="center"/>
            <w:hideMark/>
          </w:tcPr>
          <w:p w14:paraId="6BE61CE8" w14:textId="77777777" w:rsidR="008D0A3F" w:rsidRPr="006D6D9D" w:rsidRDefault="09A21A0B" w:rsidP="0D77DCC5">
            <w:pPr>
              <w:spacing w:before="0" w:after="0" w:line="240" w:lineRule="auto"/>
              <w:jc w:val="center"/>
              <w:textAlignment w:val="baseline"/>
              <w:rPr>
                <w:rFonts w:ascii="Arial Narrow" w:hAnsi="Arial Narrow"/>
                <w:sz w:val="20"/>
                <w:szCs w:val="20"/>
                <w:lang w:val="en-US"/>
              </w:rPr>
            </w:pPr>
            <w:r w:rsidRPr="0D77DCC5">
              <w:rPr>
                <w:rFonts w:ascii="Arial Narrow" w:hAnsi="Arial Narrow"/>
                <w:sz w:val="20"/>
                <w:szCs w:val="20"/>
                <w:lang w:val="en-US"/>
              </w:rPr>
              <w:t>Low</w:t>
            </w:r>
            <w:r w:rsidRPr="0D77DCC5">
              <w:rPr>
                <w:rFonts w:ascii="Arial Narrow" w:eastAsia="Times New Roman" w:hAnsi="Arial Narrow" w:cs="Segoe UI"/>
                <w:sz w:val="20"/>
                <w:szCs w:val="20"/>
                <w:lang w:eastAsia="en-AU"/>
              </w:rPr>
              <w:t> </w:t>
            </w:r>
          </w:p>
        </w:tc>
        <w:tc>
          <w:tcPr>
            <w:tcW w:w="276" w:type="pct"/>
            <w:tcBorders>
              <w:top w:val="single" w:sz="6" w:space="0" w:color="auto"/>
              <w:left w:val="single" w:sz="6" w:space="0" w:color="auto"/>
              <w:bottom w:val="single" w:sz="6" w:space="0" w:color="auto"/>
              <w:right w:val="single" w:sz="6" w:space="0" w:color="auto"/>
            </w:tcBorders>
            <w:vAlign w:val="center"/>
            <w:hideMark/>
          </w:tcPr>
          <w:p w14:paraId="75EFF13B"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46.9</w:t>
            </w:r>
          </w:p>
        </w:tc>
        <w:tc>
          <w:tcPr>
            <w:tcW w:w="409" w:type="pct"/>
            <w:tcBorders>
              <w:top w:val="single" w:sz="6" w:space="0" w:color="auto"/>
              <w:left w:val="single" w:sz="6" w:space="0" w:color="auto"/>
              <w:bottom w:val="single" w:sz="6" w:space="0" w:color="auto"/>
              <w:right w:val="single" w:sz="6" w:space="0" w:color="auto"/>
            </w:tcBorders>
            <w:vAlign w:val="center"/>
            <w:hideMark/>
          </w:tcPr>
          <w:p w14:paraId="11065581"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50.0</w:t>
            </w:r>
          </w:p>
        </w:tc>
        <w:tc>
          <w:tcPr>
            <w:tcW w:w="393" w:type="pct"/>
            <w:tcBorders>
              <w:top w:val="single" w:sz="6" w:space="0" w:color="auto"/>
              <w:left w:val="single" w:sz="6" w:space="0" w:color="auto"/>
              <w:bottom w:val="single" w:sz="6" w:space="0" w:color="auto"/>
              <w:right w:val="single" w:sz="6" w:space="0" w:color="auto"/>
            </w:tcBorders>
            <w:vAlign w:val="center"/>
            <w:hideMark/>
          </w:tcPr>
          <w:p w14:paraId="3B0AED16"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38.8</w:t>
            </w:r>
          </w:p>
        </w:tc>
        <w:tc>
          <w:tcPr>
            <w:tcW w:w="1179" w:type="pct"/>
            <w:tcBorders>
              <w:top w:val="single" w:sz="6" w:space="0" w:color="auto"/>
              <w:left w:val="single" w:sz="6" w:space="0" w:color="auto"/>
              <w:bottom w:val="single" w:sz="6" w:space="0" w:color="auto"/>
              <w:right w:val="single" w:sz="6" w:space="0" w:color="auto"/>
            </w:tcBorders>
            <w:vAlign w:val="center"/>
            <w:hideMark/>
          </w:tcPr>
          <w:p w14:paraId="2D3639D0"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%TBWL at 12 months, %EWL at 12 months</w:t>
            </w:r>
          </w:p>
        </w:tc>
        <w:tc>
          <w:tcPr>
            <w:tcW w:w="600" w:type="pct"/>
            <w:tcBorders>
              <w:top w:val="single" w:sz="6" w:space="0" w:color="auto"/>
              <w:left w:val="single" w:sz="6" w:space="0" w:color="auto"/>
              <w:bottom w:val="single" w:sz="6" w:space="0" w:color="auto"/>
              <w:right w:val="single" w:sz="6" w:space="0" w:color="auto"/>
            </w:tcBorders>
            <w:vAlign w:val="center"/>
          </w:tcPr>
          <w:p w14:paraId="1454ABB8" w14:textId="38C4D813" w:rsidR="008D0A3F" w:rsidRPr="008D0A3F" w:rsidRDefault="00C570DC" w:rsidP="008D0A3F">
            <w:pPr>
              <w:spacing w:before="0" w:after="0" w:line="240" w:lineRule="auto"/>
              <w:jc w:val="center"/>
              <w:textAlignment w:val="baseline"/>
              <w:rPr>
                <w:rFonts w:ascii="Arial Narrow" w:eastAsia="Times New Roman" w:hAnsi="Arial Narrow" w:cs="Segoe UI"/>
                <w:sz w:val="20"/>
                <w:szCs w:val="20"/>
                <w:lang w:val="en-US" w:eastAsia="en-AU"/>
              </w:rPr>
            </w:pPr>
            <w:r>
              <w:rPr>
                <w:rFonts w:ascii="Arial Narrow" w:eastAsia="Times New Roman" w:hAnsi="Arial Narrow" w:cs="Segoe UI"/>
                <w:sz w:val="20"/>
                <w:szCs w:val="20"/>
                <w:lang w:val="en-US" w:eastAsia="en-AU"/>
              </w:rPr>
              <w:t>No</w:t>
            </w:r>
          </w:p>
        </w:tc>
      </w:tr>
      <w:tr w:rsidR="00BC3E79" w:rsidRPr="008D0A3F" w14:paraId="33BEBABD" w14:textId="77777777" w:rsidTr="00115CA8">
        <w:trPr>
          <w:trHeight w:val="300"/>
        </w:trPr>
        <w:tc>
          <w:tcPr>
            <w:tcW w:w="567" w:type="pct"/>
            <w:tcBorders>
              <w:top w:val="single" w:sz="6" w:space="0" w:color="auto"/>
              <w:left w:val="single" w:sz="6" w:space="0" w:color="auto"/>
              <w:bottom w:val="single" w:sz="6" w:space="0" w:color="auto"/>
              <w:right w:val="single" w:sz="6" w:space="0" w:color="auto"/>
            </w:tcBorders>
            <w:vAlign w:val="center"/>
            <w:hideMark/>
          </w:tcPr>
          <w:p w14:paraId="01E8E02E" w14:textId="05887F4B" w:rsidR="008D0A3F" w:rsidRPr="008D0A3F" w:rsidRDefault="008D0A3F" w:rsidP="008D0A3F">
            <w:pPr>
              <w:spacing w:before="0" w:after="0" w:line="240" w:lineRule="auto"/>
              <w:textAlignment w:val="baseline"/>
              <w:rPr>
                <w:rFonts w:ascii="Arial Narrow" w:eastAsia="Times New Roman" w:hAnsi="Arial Narrow" w:cs="Segoe UI"/>
                <w:sz w:val="20"/>
                <w:szCs w:val="20"/>
                <w:lang w:val="en-US" w:eastAsia="en-AU"/>
              </w:rPr>
            </w:pPr>
            <w:r w:rsidRPr="008D0A3F">
              <w:rPr>
                <w:rFonts w:ascii="Arial Narrow" w:eastAsia="Times New Roman" w:hAnsi="Arial Narrow" w:cs="Segoe UI"/>
                <w:sz w:val="20"/>
                <w:szCs w:val="20"/>
                <w:lang w:val="en-US" w:eastAsia="en-AU"/>
              </w:rPr>
              <w:t>Bhandari 2020</w:t>
            </w:r>
            <w:bookmarkStart w:id="41" w:name="_Ref187069914"/>
            <w:r w:rsidR="0023164A">
              <w:rPr>
                <w:rStyle w:val="FootnoteReference"/>
                <w:rFonts w:ascii="Arial Narrow" w:eastAsia="Times New Roman" w:hAnsi="Arial Narrow" w:cs="Segoe UI"/>
                <w:sz w:val="20"/>
                <w:szCs w:val="20"/>
                <w:lang w:val="en-US" w:eastAsia="en-AU"/>
              </w:rPr>
              <w:footnoteReference w:id="31"/>
            </w:r>
            <w:bookmarkEnd w:id="41"/>
          </w:p>
        </w:tc>
        <w:tc>
          <w:tcPr>
            <w:tcW w:w="373" w:type="pct"/>
            <w:tcBorders>
              <w:top w:val="single" w:sz="6" w:space="0" w:color="auto"/>
              <w:left w:val="single" w:sz="6" w:space="0" w:color="auto"/>
              <w:bottom w:val="single" w:sz="6" w:space="0" w:color="auto"/>
              <w:right w:val="single" w:sz="6" w:space="0" w:color="auto"/>
            </w:tcBorders>
            <w:vAlign w:val="center"/>
            <w:hideMark/>
          </w:tcPr>
          <w:p w14:paraId="5DECEFDE" w14:textId="77777777" w:rsidR="008D0A3F" w:rsidRPr="006D6D9D" w:rsidRDefault="09A21A0B" w:rsidP="00D76EFB">
            <w:pPr>
              <w:spacing w:before="0" w:after="0" w:line="240" w:lineRule="auto"/>
              <w:jc w:val="center"/>
              <w:textAlignment w:val="baseline"/>
              <w:rPr>
                <w:rFonts w:ascii="Arial Narrow" w:hAnsi="Arial Narrow"/>
                <w:sz w:val="20"/>
                <w:szCs w:val="20"/>
              </w:rPr>
            </w:pPr>
            <w:r w:rsidRPr="0D77DCC5">
              <w:rPr>
                <w:rFonts w:ascii="Arial Narrow" w:hAnsi="Arial Narrow"/>
                <w:kern w:val="2"/>
                <w:sz w:val="20"/>
                <w:szCs w:val="20"/>
                <w14:ligatures w14:val="standardContextual"/>
              </w:rPr>
              <w:t>53</w:t>
            </w:r>
          </w:p>
        </w:tc>
        <w:tc>
          <w:tcPr>
            <w:tcW w:w="550" w:type="pct"/>
            <w:tcBorders>
              <w:top w:val="single" w:sz="6" w:space="0" w:color="auto"/>
              <w:left w:val="single" w:sz="6" w:space="0" w:color="auto"/>
              <w:bottom w:val="single" w:sz="6" w:space="0" w:color="auto"/>
              <w:right w:val="single" w:sz="6" w:space="0" w:color="auto"/>
            </w:tcBorders>
            <w:vAlign w:val="center"/>
            <w:hideMark/>
          </w:tcPr>
          <w:p w14:paraId="65BB0977" w14:textId="77777777" w:rsidR="008D0A3F" w:rsidRPr="008D0A3F" w:rsidRDefault="008D0A3F" w:rsidP="008D0A3F">
            <w:pPr>
              <w:spacing w:before="0" w:after="0" w:line="240" w:lineRule="auto"/>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Retrospective cohort</w:t>
            </w:r>
          </w:p>
        </w:tc>
        <w:tc>
          <w:tcPr>
            <w:tcW w:w="394" w:type="pct"/>
            <w:tcBorders>
              <w:top w:val="single" w:sz="6" w:space="0" w:color="auto"/>
              <w:left w:val="single" w:sz="6" w:space="0" w:color="auto"/>
              <w:bottom w:val="single" w:sz="6" w:space="0" w:color="auto"/>
              <w:right w:val="single" w:sz="6" w:space="0" w:color="auto"/>
            </w:tcBorders>
            <w:vAlign w:val="center"/>
            <w:hideMark/>
          </w:tcPr>
          <w:p w14:paraId="536707B3" w14:textId="77777777" w:rsidR="008D0A3F" w:rsidRPr="008D0A3F" w:rsidRDefault="008D0A3F" w:rsidP="008D0A3F">
            <w:pPr>
              <w:spacing w:before="0" w:after="0" w:line="240" w:lineRule="auto"/>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1 year</w:t>
            </w:r>
          </w:p>
        </w:tc>
        <w:tc>
          <w:tcPr>
            <w:tcW w:w="259" w:type="pct"/>
            <w:tcBorders>
              <w:top w:val="single" w:sz="6" w:space="0" w:color="auto"/>
              <w:left w:val="single" w:sz="6" w:space="0" w:color="auto"/>
              <w:bottom w:val="single" w:sz="6" w:space="0" w:color="auto"/>
              <w:right w:val="single" w:sz="6" w:space="0" w:color="auto"/>
            </w:tcBorders>
            <w:vAlign w:val="center"/>
            <w:hideMark/>
          </w:tcPr>
          <w:p w14:paraId="329F4654" w14:textId="77777777" w:rsidR="008D0A3F" w:rsidRPr="006D6D9D" w:rsidRDefault="09A21A0B" w:rsidP="0D77DCC5">
            <w:pPr>
              <w:spacing w:before="0" w:after="0" w:line="240" w:lineRule="auto"/>
              <w:jc w:val="center"/>
              <w:textAlignment w:val="baseline"/>
              <w:rPr>
                <w:rFonts w:ascii="Arial Narrow" w:hAnsi="Arial Narrow"/>
                <w:sz w:val="20"/>
                <w:szCs w:val="20"/>
                <w:lang w:val="en-US"/>
              </w:rPr>
            </w:pPr>
            <w:r w:rsidRPr="0D77DCC5">
              <w:rPr>
                <w:rFonts w:ascii="Arial Narrow" w:hAnsi="Arial Narrow"/>
                <w:sz w:val="20"/>
                <w:szCs w:val="20"/>
                <w:lang w:val="en-US"/>
              </w:rPr>
              <w:t>Low</w:t>
            </w:r>
            <w:r w:rsidRPr="0D77DCC5">
              <w:rPr>
                <w:rFonts w:ascii="Arial Narrow" w:eastAsia="Times New Roman" w:hAnsi="Arial Narrow" w:cs="Segoe UI"/>
                <w:sz w:val="20"/>
                <w:szCs w:val="20"/>
                <w:lang w:eastAsia="en-AU"/>
              </w:rPr>
              <w:t> </w:t>
            </w:r>
          </w:p>
        </w:tc>
        <w:tc>
          <w:tcPr>
            <w:tcW w:w="276" w:type="pct"/>
            <w:tcBorders>
              <w:top w:val="single" w:sz="6" w:space="0" w:color="auto"/>
              <w:left w:val="single" w:sz="6" w:space="0" w:color="auto"/>
              <w:bottom w:val="single" w:sz="6" w:space="0" w:color="auto"/>
              <w:right w:val="single" w:sz="6" w:space="0" w:color="auto"/>
            </w:tcBorders>
            <w:vAlign w:val="center"/>
            <w:hideMark/>
          </w:tcPr>
          <w:p w14:paraId="2359D85D"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40.5</w:t>
            </w:r>
          </w:p>
        </w:tc>
        <w:tc>
          <w:tcPr>
            <w:tcW w:w="409" w:type="pct"/>
            <w:tcBorders>
              <w:top w:val="single" w:sz="6" w:space="0" w:color="auto"/>
              <w:left w:val="single" w:sz="6" w:space="0" w:color="auto"/>
              <w:bottom w:val="single" w:sz="6" w:space="0" w:color="auto"/>
              <w:right w:val="single" w:sz="6" w:space="0" w:color="auto"/>
            </w:tcBorders>
            <w:vAlign w:val="center"/>
            <w:hideMark/>
          </w:tcPr>
          <w:p w14:paraId="48CE2514"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81.1</w:t>
            </w:r>
          </w:p>
        </w:tc>
        <w:tc>
          <w:tcPr>
            <w:tcW w:w="393" w:type="pct"/>
            <w:tcBorders>
              <w:top w:val="single" w:sz="6" w:space="0" w:color="auto"/>
              <w:left w:val="single" w:sz="6" w:space="0" w:color="auto"/>
              <w:bottom w:val="single" w:sz="6" w:space="0" w:color="auto"/>
              <w:right w:val="single" w:sz="6" w:space="0" w:color="auto"/>
            </w:tcBorders>
            <w:vAlign w:val="center"/>
            <w:hideMark/>
          </w:tcPr>
          <w:p w14:paraId="27713A12"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34.8</w:t>
            </w:r>
          </w:p>
        </w:tc>
        <w:tc>
          <w:tcPr>
            <w:tcW w:w="1179" w:type="pct"/>
            <w:tcBorders>
              <w:top w:val="single" w:sz="6" w:space="0" w:color="auto"/>
              <w:left w:val="single" w:sz="6" w:space="0" w:color="auto"/>
              <w:bottom w:val="single" w:sz="6" w:space="0" w:color="auto"/>
              <w:right w:val="single" w:sz="6" w:space="0" w:color="auto"/>
            </w:tcBorders>
            <w:vAlign w:val="center"/>
            <w:hideMark/>
          </w:tcPr>
          <w:p w14:paraId="3DCD9B28"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%TBWL at 12 months, %EWL at 12 months</w:t>
            </w:r>
          </w:p>
        </w:tc>
        <w:tc>
          <w:tcPr>
            <w:tcW w:w="600" w:type="pct"/>
            <w:tcBorders>
              <w:top w:val="single" w:sz="6" w:space="0" w:color="auto"/>
              <w:left w:val="single" w:sz="6" w:space="0" w:color="auto"/>
              <w:bottom w:val="single" w:sz="6" w:space="0" w:color="auto"/>
              <w:right w:val="single" w:sz="6" w:space="0" w:color="auto"/>
            </w:tcBorders>
            <w:vAlign w:val="center"/>
          </w:tcPr>
          <w:p w14:paraId="13C62679" w14:textId="6E45A435" w:rsidR="008D0A3F" w:rsidRPr="008D0A3F" w:rsidRDefault="00CE15B5" w:rsidP="008D0A3F">
            <w:pPr>
              <w:spacing w:before="0" w:after="0" w:line="240" w:lineRule="auto"/>
              <w:jc w:val="center"/>
              <w:textAlignment w:val="baseline"/>
              <w:rPr>
                <w:rFonts w:ascii="Arial Narrow" w:eastAsia="Times New Roman" w:hAnsi="Arial Narrow" w:cs="Segoe UI"/>
                <w:sz w:val="20"/>
                <w:szCs w:val="20"/>
                <w:lang w:val="en-US" w:eastAsia="en-AU"/>
              </w:rPr>
            </w:pPr>
            <w:r>
              <w:rPr>
                <w:rFonts w:ascii="Arial Narrow" w:eastAsia="Times New Roman" w:hAnsi="Arial Narrow" w:cs="Segoe UI"/>
                <w:sz w:val="20"/>
                <w:szCs w:val="20"/>
                <w:lang w:val="en-US" w:eastAsia="en-AU"/>
              </w:rPr>
              <w:t>No</w:t>
            </w:r>
          </w:p>
        </w:tc>
      </w:tr>
      <w:tr w:rsidR="00BC3E79" w:rsidRPr="008D0A3F" w14:paraId="0384C74A" w14:textId="77777777" w:rsidTr="00115CA8">
        <w:trPr>
          <w:trHeight w:val="300"/>
        </w:trPr>
        <w:tc>
          <w:tcPr>
            <w:tcW w:w="567" w:type="pct"/>
            <w:tcBorders>
              <w:top w:val="single" w:sz="6" w:space="0" w:color="auto"/>
              <w:left w:val="single" w:sz="6" w:space="0" w:color="auto"/>
              <w:bottom w:val="single" w:sz="6" w:space="0" w:color="auto"/>
              <w:right w:val="single" w:sz="6" w:space="0" w:color="auto"/>
            </w:tcBorders>
            <w:vAlign w:val="center"/>
            <w:hideMark/>
          </w:tcPr>
          <w:p w14:paraId="370EA2C7" w14:textId="55864EA7" w:rsidR="008D0A3F" w:rsidRPr="008D0A3F" w:rsidRDefault="008D0A3F" w:rsidP="008D0A3F">
            <w:pPr>
              <w:spacing w:before="0" w:after="0" w:line="240" w:lineRule="auto"/>
              <w:textAlignment w:val="baseline"/>
              <w:rPr>
                <w:rFonts w:ascii="Arial Narrow" w:eastAsia="Arial Narrow" w:hAnsi="Arial Narrow" w:cs="Arial Narrow"/>
                <w:sz w:val="20"/>
                <w:szCs w:val="20"/>
                <w:lang w:eastAsia="en-AU"/>
              </w:rPr>
            </w:pPr>
            <w:r w:rsidRPr="008D0A3F">
              <w:rPr>
                <w:rFonts w:ascii="Arial Narrow" w:eastAsia="Times New Roman" w:hAnsi="Arial Narrow" w:cs="Segoe UI"/>
                <w:sz w:val="20"/>
                <w:szCs w:val="20"/>
                <w:lang w:val="en-US" w:eastAsia="en-AU"/>
              </w:rPr>
              <w:t>De Miranda Neto 2020</w:t>
            </w:r>
            <w:bookmarkStart w:id="42" w:name="_Ref187069000"/>
            <w:r w:rsidR="00156942">
              <w:rPr>
                <w:rStyle w:val="FootnoteReference"/>
                <w:rFonts w:ascii="Arial Narrow" w:eastAsia="Times New Roman" w:hAnsi="Arial Narrow" w:cs="Segoe UI"/>
                <w:sz w:val="20"/>
                <w:szCs w:val="20"/>
                <w:lang w:val="en-US" w:eastAsia="en-AU"/>
              </w:rPr>
              <w:footnoteReference w:id="32"/>
            </w:r>
            <w:bookmarkEnd w:id="42"/>
          </w:p>
        </w:tc>
        <w:tc>
          <w:tcPr>
            <w:tcW w:w="373" w:type="pct"/>
            <w:tcBorders>
              <w:top w:val="single" w:sz="6" w:space="0" w:color="auto"/>
              <w:left w:val="single" w:sz="6" w:space="0" w:color="auto"/>
              <w:bottom w:val="single" w:sz="6" w:space="0" w:color="auto"/>
              <w:right w:val="single" w:sz="6" w:space="0" w:color="auto"/>
            </w:tcBorders>
            <w:vAlign w:val="center"/>
            <w:hideMark/>
          </w:tcPr>
          <w:p w14:paraId="47877606" w14:textId="77777777" w:rsidR="008D0A3F" w:rsidRPr="006D6D9D" w:rsidRDefault="09A21A0B" w:rsidP="00D76EFB">
            <w:pPr>
              <w:spacing w:before="0" w:after="0" w:line="240" w:lineRule="auto"/>
              <w:jc w:val="center"/>
              <w:textAlignment w:val="baseline"/>
              <w:rPr>
                <w:rFonts w:ascii="Arial Narrow" w:hAnsi="Arial Narrow"/>
                <w:sz w:val="20"/>
                <w:szCs w:val="20"/>
              </w:rPr>
            </w:pPr>
            <w:r w:rsidRPr="0D77DCC5">
              <w:rPr>
                <w:rFonts w:ascii="Arial Narrow" w:hAnsi="Arial Narrow"/>
                <w:sz w:val="20"/>
                <w:szCs w:val="20"/>
              </w:rPr>
              <w:t>233</w:t>
            </w:r>
          </w:p>
        </w:tc>
        <w:tc>
          <w:tcPr>
            <w:tcW w:w="550" w:type="pct"/>
            <w:tcBorders>
              <w:top w:val="single" w:sz="6" w:space="0" w:color="auto"/>
              <w:left w:val="single" w:sz="6" w:space="0" w:color="auto"/>
              <w:bottom w:val="single" w:sz="6" w:space="0" w:color="auto"/>
              <w:right w:val="single" w:sz="6" w:space="0" w:color="auto"/>
            </w:tcBorders>
            <w:vAlign w:val="center"/>
            <w:hideMark/>
          </w:tcPr>
          <w:p w14:paraId="32C793D4" w14:textId="77777777" w:rsidR="008D0A3F" w:rsidRPr="008D0A3F" w:rsidRDefault="008D0A3F" w:rsidP="008D0A3F">
            <w:pPr>
              <w:spacing w:before="0" w:after="0" w:line="240" w:lineRule="auto"/>
              <w:textAlignment w:val="baseline"/>
              <w:rPr>
                <w:rFonts w:ascii="Arial Narrow" w:eastAsia="Arial Narrow" w:hAnsi="Arial Narrow" w:cs="Arial Narrow"/>
                <w:sz w:val="20"/>
                <w:szCs w:val="20"/>
                <w:lang w:eastAsia="en-AU"/>
              </w:rPr>
            </w:pPr>
            <w:r w:rsidRPr="008D0A3F">
              <w:rPr>
                <w:rFonts w:ascii="Arial Narrow" w:eastAsia="Times New Roman" w:hAnsi="Arial Narrow" w:cs="Segoe UI"/>
                <w:sz w:val="20"/>
                <w:szCs w:val="20"/>
                <w:lang w:eastAsia="en-AU"/>
              </w:rPr>
              <w:t>Prospective cohort</w:t>
            </w:r>
          </w:p>
        </w:tc>
        <w:tc>
          <w:tcPr>
            <w:tcW w:w="394" w:type="pct"/>
            <w:tcBorders>
              <w:top w:val="single" w:sz="6" w:space="0" w:color="auto"/>
              <w:left w:val="single" w:sz="6" w:space="0" w:color="auto"/>
              <w:bottom w:val="single" w:sz="6" w:space="0" w:color="auto"/>
              <w:right w:val="single" w:sz="6" w:space="0" w:color="auto"/>
            </w:tcBorders>
            <w:vAlign w:val="center"/>
            <w:hideMark/>
          </w:tcPr>
          <w:p w14:paraId="2D7F0914" w14:textId="77777777" w:rsidR="008D0A3F" w:rsidRPr="008D0A3F" w:rsidRDefault="008D0A3F" w:rsidP="008D0A3F">
            <w:pPr>
              <w:spacing w:before="0" w:after="0" w:line="240" w:lineRule="auto"/>
              <w:textAlignment w:val="baseline"/>
              <w:rPr>
                <w:rFonts w:ascii="Arial Narrow" w:eastAsia="Arial Narrow" w:hAnsi="Arial Narrow" w:cs="Arial Narrow"/>
                <w:sz w:val="20"/>
                <w:szCs w:val="20"/>
                <w:lang w:eastAsia="en-AU"/>
              </w:rPr>
            </w:pPr>
            <w:r w:rsidRPr="008D0A3F">
              <w:rPr>
                <w:rFonts w:ascii="Arial Narrow" w:eastAsia="Times New Roman" w:hAnsi="Arial Narrow" w:cs="Segoe UI"/>
                <w:sz w:val="20"/>
                <w:szCs w:val="20"/>
                <w:lang w:eastAsia="en-AU"/>
              </w:rPr>
              <w:t>1 year </w:t>
            </w:r>
          </w:p>
        </w:tc>
        <w:tc>
          <w:tcPr>
            <w:tcW w:w="259" w:type="pct"/>
            <w:tcBorders>
              <w:top w:val="single" w:sz="6" w:space="0" w:color="auto"/>
              <w:left w:val="single" w:sz="6" w:space="0" w:color="auto"/>
              <w:bottom w:val="single" w:sz="6" w:space="0" w:color="auto"/>
              <w:right w:val="single" w:sz="6" w:space="0" w:color="auto"/>
            </w:tcBorders>
            <w:vAlign w:val="center"/>
            <w:hideMark/>
          </w:tcPr>
          <w:p w14:paraId="7D8C0EAA" w14:textId="77777777" w:rsidR="008D0A3F" w:rsidRPr="00BB3210" w:rsidRDefault="09A21A0B" w:rsidP="008D0A3F">
            <w:pPr>
              <w:spacing w:before="0" w:after="0" w:line="240" w:lineRule="auto"/>
              <w:jc w:val="center"/>
              <w:textAlignment w:val="baseline"/>
              <w:rPr>
                <w:rFonts w:ascii="Arial Narrow" w:eastAsia="Arial Narrow" w:hAnsi="Arial Narrow" w:cs="Arial Narrow"/>
                <w:sz w:val="20"/>
                <w:szCs w:val="20"/>
                <w:lang w:eastAsia="en-AU"/>
              </w:rPr>
            </w:pPr>
            <w:r w:rsidRPr="0D77DCC5">
              <w:rPr>
                <w:rFonts w:ascii="Arial Narrow" w:hAnsi="Arial Narrow"/>
                <w:sz w:val="20"/>
                <w:szCs w:val="20"/>
                <w:lang w:val="en-US"/>
              </w:rPr>
              <w:t>Low</w:t>
            </w:r>
            <w:r w:rsidRPr="0D77DCC5">
              <w:rPr>
                <w:rFonts w:ascii="Arial Narrow" w:eastAsia="Times New Roman" w:hAnsi="Arial Narrow" w:cs="Segoe UI"/>
                <w:sz w:val="20"/>
                <w:szCs w:val="20"/>
                <w:lang w:eastAsia="en-AU"/>
              </w:rPr>
              <w:t> </w:t>
            </w:r>
          </w:p>
        </w:tc>
        <w:tc>
          <w:tcPr>
            <w:tcW w:w="276" w:type="pct"/>
            <w:tcBorders>
              <w:top w:val="single" w:sz="6" w:space="0" w:color="auto"/>
              <w:left w:val="single" w:sz="6" w:space="0" w:color="auto"/>
              <w:bottom w:val="single" w:sz="6" w:space="0" w:color="auto"/>
              <w:right w:val="single" w:sz="6" w:space="0" w:color="auto"/>
            </w:tcBorders>
            <w:vAlign w:val="center"/>
            <w:hideMark/>
          </w:tcPr>
          <w:p w14:paraId="011B9E20" w14:textId="77777777" w:rsidR="008D0A3F" w:rsidRPr="008D0A3F" w:rsidRDefault="008D0A3F" w:rsidP="008D0A3F">
            <w:pPr>
              <w:spacing w:before="0" w:after="0" w:line="240" w:lineRule="auto"/>
              <w:jc w:val="center"/>
              <w:textAlignment w:val="baseline"/>
              <w:rPr>
                <w:rFonts w:ascii="Arial Narrow" w:eastAsia="Arial Narrow" w:hAnsi="Arial Narrow" w:cs="Arial Narrow"/>
                <w:sz w:val="20"/>
                <w:szCs w:val="20"/>
                <w:lang w:eastAsia="en-AU"/>
              </w:rPr>
            </w:pPr>
            <w:r w:rsidRPr="008D0A3F">
              <w:rPr>
                <w:rFonts w:ascii="Arial Narrow" w:eastAsia="Times New Roman" w:hAnsi="Arial Narrow" w:cs="Segoe UI"/>
                <w:sz w:val="20"/>
                <w:szCs w:val="20"/>
                <w:lang w:eastAsia="en-AU"/>
              </w:rPr>
              <w:t>41.1 </w:t>
            </w:r>
          </w:p>
        </w:tc>
        <w:tc>
          <w:tcPr>
            <w:tcW w:w="409" w:type="pct"/>
            <w:tcBorders>
              <w:top w:val="single" w:sz="6" w:space="0" w:color="auto"/>
              <w:left w:val="single" w:sz="6" w:space="0" w:color="auto"/>
              <w:bottom w:val="single" w:sz="6" w:space="0" w:color="auto"/>
              <w:right w:val="single" w:sz="6" w:space="0" w:color="auto"/>
            </w:tcBorders>
            <w:vAlign w:val="center"/>
            <w:hideMark/>
          </w:tcPr>
          <w:p w14:paraId="1B8DE999" w14:textId="77777777" w:rsidR="008D0A3F" w:rsidRPr="006D6D9D" w:rsidRDefault="09A21A0B" w:rsidP="0D77DCC5">
            <w:pPr>
              <w:spacing w:before="0" w:after="0" w:line="240" w:lineRule="auto"/>
              <w:jc w:val="center"/>
              <w:textAlignment w:val="baseline"/>
              <w:rPr>
                <w:rFonts w:ascii="Arial Narrow" w:hAnsi="Arial Narrow"/>
                <w:sz w:val="20"/>
                <w:szCs w:val="20"/>
              </w:rPr>
            </w:pPr>
            <w:r w:rsidRPr="0D77DCC5">
              <w:rPr>
                <w:rFonts w:ascii="Arial Narrow" w:hAnsi="Arial Narrow"/>
                <w:sz w:val="20"/>
                <w:szCs w:val="20"/>
              </w:rPr>
              <w:t>73.0</w:t>
            </w:r>
          </w:p>
        </w:tc>
        <w:tc>
          <w:tcPr>
            <w:tcW w:w="393" w:type="pct"/>
            <w:tcBorders>
              <w:top w:val="single" w:sz="6" w:space="0" w:color="auto"/>
              <w:left w:val="single" w:sz="6" w:space="0" w:color="auto"/>
              <w:bottom w:val="single" w:sz="6" w:space="0" w:color="auto"/>
              <w:right w:val="single" w:sz="6" w:space="0" w:color="auto"/>
            </w:tcBorders>
            <w:vAlign w:val="center"/>
            <w:hideMark/>
          </w:tcPr>
          <w:p w14:paraId="2E47605C" w14:textId="77777777" w:rsidR="008D0A3F" w:rsidRPr="006D6D9D" w:rsidRDefault="09A21A0B" w:rsidP="0D77DCC5">
            <w:pPr>
              <w:spacing w:before="0" w:after="0" w:line="240" w:lineRule="auto"/>
              <w:jc w:val="center"/>
              <w:textAlignment w:val="baseline"/>
              <w:rPr>
                <w:rFonts w:ascii="Arial Narrow" w:hAnsi="Arial Narrow"/>
                <w:sz w:val="20"/>
                <w:szCs w:val="20"/>
              </w:rPr>
            </w:pPr>
            <w:r w:rsidRPr="0D77DCC5">
              <w:rPr>
                <w:rFonts w:ascii="Arial Narrow" w:hAnsi="Arial Narrow"/>
                <w:sz w:val="20"/>
                <w:szCs w:val="20"/>
              </w:rPr>
              <w:t>34.7</w:t>
            </w:r>
          </w:p>
        </w:tc>
        <w:tc>
          <w:tcPr>
            <w:tcW w:w="1179" w:type="pct"/>
            <w:tcBorders>
              <w:top w:val="single" w:sz="6" w:space="0" w:color="auto"/>
              <w:left w:val="single" w:sz="6" w:space="0" w:color="auto"/>
              <w:bottom w:val="single" w:sz="6" w:space="0" w:color="auto"/>
              <w:right w:val="single" w:sz="6" w:space="0" w:color="auto"/>
            </w:tcBorders>
            <w:vAlign w:val="center"/>
            <w:hideMark/>
          </w:tcPr>
          <w:p w14:paraId="03487D3C" w14:textId="156EA893" w:rsidR="008D0A3F" w:rsidRPr="008D0A3F" w:rsidRDefault="09A21A0B" w:rsidP="008D0A3F">
            <w:pPr>
              <w:spacing w:before="0" w:after="0" w:line="240" w:lineRule="auto"/>
              <w:jc w:val="center"/>
              <w:textAlignment w:val="baseline"/>
              <w:rPr>
                <w:rFonts w:ascii="Arial Narrow" w:eastAsia="Arial Narrow" w:hAnsi="Arial Narrow" w:cs="Arial Narrow"/>
                <w:sz w:val="20"/>
                <w:szCs w:val="20"/>
                <w:lang w:eastAsia="en-AU"/>
              </w:rPr>
            </w:pPr>
            <w:r w:rsidRPr="0D77DCC5">
              <w:rPr>
                <w:rFonts w:ascii="Arial Narrow" w:eastAsia="Times New Roman" w:hAnsi="Arial Narrow" w:cs="Segoe UI"/>
                <w:sz w:val="20"/>
                <w:szCs w:val="20"/>
                <w:lang w:eastAsia="en-AU"/>
              </w:rPr>
              <w:t xml:space="preserve">%TBWL at 12 months, durability of ESG, </w:t>
            </w:r>
            <w:r w:rsidR="1B120044" w:rsidRPr="0D77DCC5">
              <w:rPr>
                <w:rFonts w:ascii="Arial Narrow" w:eastAsia="Times New Roman" w:hAnsi="Arial Narrow" w:cs="Segoe UI"/>
                <w:sz w:val="20"/>
                <w:szCs w:val="20"/>
                <w:lang w:eastAsia="en-AU"/>
              </w:rPr>
              <w:t>AE</w:t>
            </w:r>
            <w:r w:rsidRPr="0D77DCC5">
              <w:rPr>
                <w:rFonts w:ascii="Arial Narrow" w:eastAsia="Times New Roman" w:hAnsi="Arial Narrow" w:cs="Segoe UI"/>
                <w:sz w:val="20"/>
                <w:szCs w:val="20"/>
                <w:lang w:eastAsia="en-AU"/>
              </w:rPr>
              <w:t>s</w:t>
            </w:r>
          </w:p>
        </w:tc>
        <w:tc>
          <w:tcPr>
            <w:tcW w:w="600" w:type="pct"/>
            <w:tcBorders>
              <w:top w:val="single" w:sz="6" w:space="0" w:color="auto"/>
              <w:left w:val="single" w:sz="6" w:space="0" w:color="auto"/>
              <w:bottom w:val="single" w:sz="6" w:space="0" w:color="auto"/>
              <w:right w:val="single" w:sz="6" w:space="0" w:color="auto"/>
            </w:tcBorders>
            <w:vAlign w:val="center"/>
          </w:tcPr>
          <w:p w14:paraId="0EF90D6D" w14:textId="3FDC186B" w:rsidR="008D0A3F" w:rsidRPr="008D0A3F" w:rsidRDefault="00305304" w:rsidP="008D0A3F">
            <w:pPr>
              <w:spacing w:before="0" w:after="0" w:line="240" w:lineRule="auto"/>
              <w:jc w:val="center"/>
              <w:textAlignment w:val="baseline"/>
              <w:rPr>
                <w:rFonts w:ascii="Arial Narrow" w:eastAsia="Arial Narrow" w:hAnsi="Arial Narrow" w:cs="Arial Narrow"/>
                <w:sz w:val="20"/>
                <w:szCs w:val="20"/>
                <w:lang w:eastAsia="en-AU"/>
              </w:rPr>
            </w:pPr>
            <w:r>
              <w:rPr>
                <w:rFonts w:ascii="Arial Narrow" w:eastAsia="Arial Narrow" w:hAnsi="Arial Narrow" w:cs="Arial Narrow"/>
                <w:sz w:val="20"/>
                <w:szCs w:val="20"/>
                <w:lang w:eastAsia="en-AU"/>
              </w:rPr>
              <w:t>No</w:t>
            </w:r>
          </w:p>
        </w:tc>
      </w:tr>
      <w:tr w:rsidR="00BC3E79" w:rsidRPr="008D0A3F" w14:paraId="7EAB4EBA" w14:textId="77777777" w:rsidTr="00115CA8">
        <w:trPr>
          <w:trHeight w:val="300"/>
        </w:trPr>
        <w:tc>
          <w:tcPr>
            <w:tcW w:w="567" w:type="pct"/>
            <w:tcBorders>
              <w:top w:val="single" w:sz="6" w:space="0" w:color="auto"/>
              <w:left w:val="single" w:sz="6" w:space="0" w:color="auto"/>
              <w:bottom w:val="single" w:sz="6" w:space="0" w:color="auto"/>
              <w:right w:val="single" w:sz="6" w:space="0" w:color="auto"/>
            </w:tcBorders>
            <w:vAlign w:val="center"/>
            <w:hideMark/>
          </w:tcPr>
          <w:p w14:paraId="17DE0297" w14:textId="7ABD6C6E" w:rsidR="008D0A3F" w:rsidRPr="008D0A3F" w:rsidRDefault="008D0A3F" w:rsidP="008D0A3F">
            <w:pPr>
              <w:spacing w:before="0" w:after="0" w:line="240" w:lineRule="auto"/>
              <w:textAlignment w:val="baseline"/>
              <w:rPr>
                <w:rFonts w:ascii="Arial Narrow" w:eastAsia="Arial Narrow" w:hAnsi="Arial Narrow" w:cs="Arial Narrow"/>
                <w:sz w:val="20"/>
                <w:szCs w:val="20"/>
                <w:lang w:eastAsia="en-AU"/>
              </w:rPr>
            </w:pPr>
            <w:r w:rsidRPr="008D0A3F">
              <w:rPr>
                <w:rFonts w:ascii="Arial Narrow" w:eastAsia="Times New Roman" w:hAnsi="Arial Narrow" w:cs="Segoe UI"/>
                <w:sz w:val="20"/>
                <w:szCs w:val="20"/>
                <w:lang w:val="en-US" w:eastAsia="en-AU"/>
              </w:rPr>
              <w:t>Sharaiha 2021</w:t>
            </w:r>
            <w:bookmarkStart w:id="43" w:name="_Ref187069073"/>
            <w:r w:rsidR="009638AC">
              <w:rPr>
                <w:rStyle w:val="FootnoteReference"/>
                <w:rFonts w:ascii="Arial Narrow" w:eastAsia="Times New Roman" w:hAnsi="Arial Narrow" w:cs="Segoe UI"/>
                <w:sz w:val="20"/>
                <w:szCs w:val="20"/>
                <w:lang w:val="en-US" w:eastAsia="en-AU"/>
              </w:rPr>
              <w:footnoteReference w:id="33"/>
            </w:r>
            <w:bookmarkEnd w:id="43"/>
          </w:p>
        </w:tc>
        <w:tc>
          <w:tcPr>
            <w:tcW w:w="373" w:type="pct"/>
            <w:tcBorders>
              <w:top w:val="single" w:sz="6" w:space="0" w:color="auto"/>
              <w:left w:val="single" w:sz="6" w:space="0" w:color="auto"/>
              <w:bottom w:val="single" w:sz="6" w:space="0" w:color="auto"/>
              <w:right w:val="single" w:sz="6" w:space="0" w:color="auto"/>
            </w:tcBorders>
            <w:vAlign w:val="center"/>
            <w:hideMark/>
          </w:tcPr>
          <w:p w14:paraId="3B162C7E" w14:textId="77777777" w:rsidR="008D0A3F" w:rsidRPr="006D6D9D" w:rsidRDefault="09A21A0B" w:rsidP="00D76EFB">
            <w:pPr>
              <w:spacing w:before="0" w:after="0" w:line="240" w:lineRule="auto"/>
              <w:jc w:val="center"/>
              <w:textAlignment w:val="baseline"/>
              <w:rPr>
                <w:rFonts w:ascii="Arial Narrow" w:hAnsi="Arial Narrow"/>
                <w:sz w:val="20"/>
                <w:szCs w:val="20"/>
              </w:rPr>
            </w:pPr>
            <w:r w:rsidRPr="0D77DCC5">
              <w:rPr>
                <w:rFonts w:ascii="Arial Narrow" w:eastAsia="Times New Roman" w:hAnsi="Arial Narrow" w:cs="Segoe UI"/>
                <w:sz w:val="20"/>
                <w:szCs w:val="20"/>
                <w:lang w:val="en-US" w:eastAsia="en-AU"/>
              </w:rPr>
              <w:t>216</w:t>
            </w:r>
          </w:p>
        </w:tc>
        <w:tc>
          <w:tcPr>
            <w:tcW w:w="550" w:type="pct"/>
            <w:tcBorders>
              <w:top w:val="single" w:sz="6" w:space="0" w:color="auto"/>
              <w:left w:val="single" w:sz="6" w:space="0" w:color="auto"/>
              <w:bottom w:val="single" w:sz="6" w:space="0" w:color="auto"/>
              <w:right w:val="single" w:sz="6" w:space="0" w:color="auto"/>
            </w:tcBorders>
            <w:vAlign w:val="center"/>
            <w:hideMark/>
          </w:tcPr>
          <w:p w14:paraId="5CB5A07F" w14:textId="77777777" w:rsidR="008D0A3F" w:rsidRPr="008D0A3F" w:rsidRDefault="008D0A3F" w:rsidP="008D0A3F">
            <w:pPr>
              <w:spacing w:before="0" w:after="0" w:line="240" w:lineRule="auto"/>
              <w:textAlignment w:val="baseline"/>
              <w:rPr>
                <w:rFonts w:ascii="Arial Narrow" w:eastAsia="Arial Narrow" w:hAnsi="Arial Narrow" w:cs="Arial Narrow"/>
                <w:sz w:val="20"/>
                <w:szCs w:val="20"/>
                <w:lang w:eastAsia="en-AU"/>
              </w:rPr>
            </w:pPr>
            <w:r w:rsidRPr="008D0A3F">
              <w:rPr>
                <w:rFonts w:ascii="Arial Narrow" w:eastAsia="Times New Roman" w:hAnsi="Arial Narrow" w:cs="Segoe UI"/>
                <w:sz w:val="20"/>
                <w:szCs w:val="20"/>
                <w:lang w:eastAsia="en-AU"/>
              </w:rPr>
              <w:t> Prospective cohort</w:t>
            </w:r>
          </w:p>
        </w:tc>
        <w:tc>
          <w:tcPr>
            <w:tcW w:w="394" w:type="pct"/>
            <w:tcBorders>
              <w:top w:val="single" w:sz="6" w:space="0" w:color="auto"/>
              <w:left w:val="single" w:sz="6" w:space="0" w:color="auto"/>
              <w:bottom w:val="single" w:sz="6" w:space="0" w:color="auto"/>
              <w:right w:val="single" w:sz="6" w:space="0" w:color="auto"/>
            </w:tcBorders>
            <w:vAlign w:val="center"/>
            <w:hideMark/>
          </w:tcPr>
          <w:p w14:paraId="3EDB0BA4" w14:textId="77777777" w:rsidR="008D0A3F" w:rsidRPr="008D0A3F" w:rsidRDefault="008D0A3F" w:rsidP="008D0A3F">
            <w:pPr>
              <w:spacing w:before="0" w:after="0" w:line="240" w:lineRule="auto"/>
              <w:textAlignment w:val="baseline"/>
              <w:rPr>
                <w:rFonts w:ascii="Arial Narrow" w:eastAsia="Arial Narrow" w:hAnsi="Arial Narrow" w:cs="Arial Narrow"/>
                <w:sz w:val="20"/>
                <w:szCs w:val="20"/>
                <w:lang w:eastAsia="en-AU"/>
              </w:rPr>
            </w:pPr>
            <w:r w:rsidRPr="008D0A3F">
              <w:rPr>
                <w:rFonts w:ascii="Arial Narrow" w:eastAsia="Times New Roman" w:hAnsi="Arial Narrow" w:cs="Segoe UI"/>
                <w:sz w:val="20"/>
                <w:szCs w:val="20"/>
                <w:lang w:eastAsia="en-AU"/>
              </w:rPr>
              <w:t>5 years</w:t>
            </w:r>
          </w:p>
        </w:tc>
        <w:tc>
          <w:tcPr>
            <w:tcW w:w="259" w:type="pct"/>
            <w:tcBorders>
              <w:top w:val="single" w:sz="6" w:space="0" w:color="auto"/>
              <w:left w:val="single" w:sz="6" w:space="0" w:color="auto"/>
              <w:bottom w:val="single" w:sz="6" w:space="0" w:color="auto"/>
              <w:right w:val="single" w:sz="6" w:space="0" w:color="auto"/>
            </w:tcBorders>
            <w:vAlign w:val="center"/>
            <w:hideMark/>
          </w:tcPr>
          <w:p w14:paraId="745A74CE" w14:textId="77777777" w:rsidR="008D0A3F" w:rsidRPr="006D6D9D" w:rsidRDefault="09A21A0B" w:rsidP="0D77DCC5">
            <w:pPr>
              <w:spacing w:before="0" w:after="0" w:line="240" w:lineRule="auto"/>
              <w:jc w:val="center"/>
              <w:textAlignment w:val="baseline"/>
              <w:rPr>
                <w:rFonts w:ascii="Arial Narrow" w:eastAsia="Arial Narrow" w:hAnsi="Arial Narrow" w:cs="Arial Narrow"/>
                <w:sz w:val="20"/>
                <w:szCs w:val="20"/>
              </w:rPr>
            </w:pPr>
            <w:r w:rsidRPr="0D77DCC5">
              <w:rPr>
                <w:rFonts w:ascii="Arial Narrow" w:hAnsi="Arial Narrow"/>
                <w:sz w:val="20"/>
                <w:szCs w:val="20"/>
              </w:rPr>
              <w:t>Low </w:t>
            </w:r>
          </w:p>
        </w:tc>
        <w:tc>
          <w:tcPr>
            <w:tcW w:w="276" w:type="pct"/>
            <w:tcBorders>
              <w:top w:val="single" w:sz="6" w:space="0" w:color="auto"/>
              <w:left w:val="single" w:sz="6" w:space="0" w:color="auto"/>
              <w:bottom w:val="single" w:sz="6" w:space="0" w:color="auto"/>
              <w:right w:val="single" w:sz="6" w:space="0" w:color="auto"/>
            </w:tcBorders>
            <w:vAlign w:val="center"/>
            <w:hideMark/>
          </w:tcPr>
          <w:p w14:paraId="4D40080F" w14:textId="77777777" w:rsidR="008D0A3F" w:rsidRPr="008D0A3F" w:rsidRDefault="008D0A3F" w:rsidP="008D0A3F">
            <w:pPr>
              <w:spacing w:before="0" w:after="0" w:line="240" w:lineRule="auto"/>
              <w:jc w:val="center"/>
              <w:textAlignment w:val="baseline"/>
              <w:rPr>
                <w:rFonts w:ascii="Arial Narrow" w:eastAsia="Arial Narrow" w:hAnsi="Arial Narrow" w:cs="Arial Narrow"/>
                <w:sz w:val="20"/>
                <w:szCs w:val="20"/>
                <w:lang w:eastAsia="en-AU"/>
              </w:rPr>
            </w:pPr>
            <w:r w:rsidRPr="008D0A3F">
              <w:rPr>
                <w:rFonts w:ascii="Arial Narrow" w:eastAsia="Times New Roman" w:hAnsi="Arial Narrow" w:cs="Segoe UI"/>
                <w:sz w:val="20"/>
                <w:szCs w:val="20"/>
                <w:lang w:eastAsia="en-AU"/>
              </w:rPr>
              <w:t>46.0</w:t>
            </w:r>
          </w:p>
        </w:tc>
        <w:tc>
          <w:tcPr>
            <w:tcW w:w="409" w:type="pct"/>
            <w:tcBorders>
              <w:top w:val="single" w:sz="6" w:space="0" w:color="auto"/>
              <w:left w:val="single" w:sz="6" w:space="0" w:color="auto"/>
              <w:bottom w:val="single" w:sz="6" w:space="0" w:color="auto"/>
              <w:right w:val="single" w:sz="6" w:space="0" w:color="auto"/>
            </w:tcBorders>
            <w:vAlign w:val="center"/>
            <w:hideMark/>
          </w:tcPr>
          <w:p w14:paraId="2C81FFCB" w14:textId="77777777" w:rsidR="008D0A3F" w:rsidRPr="006D6D9D" w:rsidRDefault="09A21A0B" w:rsidP="0D77DCC5">
            <w:pPr>
              <w:spacing w:before="0" w:after="0" w:line="240" w:lineRule="auto"/>
              <w:jc w:val="center"/>
              <w:textAlignment w:val="baseline"/>
              <w:rPr>
                <w:rFonts w:ascii="Arial Narrow" w:hAnsi="Arial Narrow"/>
                <w:sz w:val="20"/>
                <w:szCs w:val="20"/>
              </w:rPr>
            </w:pPr>
            <w:r w:rsidRPr="0D77DCC5">
              <w:rPr>
                <w:rFonts w:ascii="Arial Narrow" w:hAnsi="Arial Narrow"/>
                <w:sz w:val="20"/>
                <w:szCs w:val="20"/>
              </w:rPr>
              <w:t>68.0</w:t>
            </w:r>
          </w:p>
        </w:tc>
        <w:tc>
          <w:tcPr>
            <w:tcW w:w="393" w:type="pct"/>
            <w:tcBorders>
              <w:top w:val="single" w:sz="6" w:space="0" w:color="auto"/>
              <w:left w:val="single" w:sz="6" w:space="0" w:color="auto"/>
              <w:bottom w:val="single" w:sz="6" w:space="0" w:color="auto"/>
              <w:right w:val="single" w:sz="6" w:space="0" w:color="auto"/>
            </w:tcBorders>
            <w:vAlign w:val="center"/>
            <w:hideMark/>
          </w:tcPr>
          <w:p w14:paraId="123EC825" w14:textId="77777777" w:rsidR="008D0A3F" w:rsidRPr="006D6D9D" w:rsidRDefault="09A21A0B" w:rsidP="0D77DCC5">
            <w:pPr>
              <w:spacing w:before="0" w:after="0" w:line="240" w:lineRule="auto"/>
              <w:jc w:val="center"/>
              <w:textAlignment w:val="baseline"/>
              <w:rPr>
                <w:rFonts w:ascii="Arial Narrow" w:hAnsi="Arial Narrow"/>
                <w:sz w:val="20"/>
                <w:szCs w:val="20"/>
              </w:rPr>
            </w:pPr>
            <w:r w:rsidRPr="0D77DCC5">
              <w:rPr>
                <w:rFonts w:ascii="Arial Narrow" w:hAnsi="Arial Narrow"/>
                <w:sz w:val="20"/>
                <w:szCs w:val="20"/>
              </w:rPr>
              <w:t>39.0</w:t>
            </w:r>
          </w:p>
        </w:tc>
        <w:tc>
          <w:tcPr>
            <w:tcW w:w="1179" w:type="pct"/>
            <w:tcBorders>
              <w:top w:val="single" w:sz="6" w:space="0" w:color="auto"/>
              <w:left w:val="single" w:sz="6" w:space="0" w:color="auto"/>
              <w:bottom w:val="single" w:sz="6" w:space="0" w:color="auto"/>
              <w:right w:val="single" w:sz="6" w:space="0" w:color="auto"/>
            </w:tcBorders>
            <w:vAlign w:val="center"/>
            <w:hideMark/>
          </w:tcPr>
          <w:p w14:paraId="0D90EC2A" w14:textId="46982648" w:rsidR="008D0A3F" w:rsidRPr="008D0A3F" w:rsidRDefault="09A21A0B" w:rsidP="008D0A3F">
            <w:pPr>
              <w:spacing w:before="0" w:after="0" w:line="240" w:lineRule="auto"/>
              <w:jc w:val="center"/>
              <w:textAlignment w:val="baseline"/>
              <w:rPr>
                <w:rFonts w:ascii="Arial Narrow" w:eastAsia="Arial Narrow" w:hAnsi="Arial Narrow" w:cs="Arial Narrow"/>
                <w:sz w:val="20"/>
                <w:szCs w:val="20"/>
                <w:lang w:eastAsia="en-AU"/>
              </w:rPr>
            </w:pPr>
            <w:r w:rsidRPr="0D77DCC5">
              <w:rPr>
                <w:rFonts w:ascii="Arial Narrow" w:eastAsia="Times New Roman" w:hAnsi="Arial Narrow" w:cs="Segoe UI"/>
                <w:sz w:val="20"/>
                <w:szCs w:val="20"/>
                <w:lang w:eastAsia="en-AU"/>
              </w:rPr>
              <w:t> %TBWL at 12 months, %EWL at 12 months, durability of ESG, revision and conversion to bariatric surgery, long</w:t>
            </w:r>
            <w:r w:rsidR="1B120044" w:rsidRPr="0D77DCC5">
              <w:rPr>
                <w:rFonts w:ascii="Arial Narrow" w:eastAsia="Times New Roman" w:hAnsi="Arial Narrow" w:cs="Segoe UI"/>
                <w:sz w:val="20"/>
                <w:szCs w:val="20"/>
                <w:lang w:eastAsia="en-AU"/>
              </w:rPr>
              <w:t>-</w:t>
            </w:r>
            <w:r w:rsidRPr="0D77DCC5">
              <w:rPr>
                <w:rFonts w:ascii="Arial Narrow" w:eastAsia="Times New Roman" w:hAnsi="Arial Narrow" w:cs="Segoe UI"/>
                <w:sz w:val="20"/>
                <w:szCs w:val="20"/>
                <w:lang w:eastAsia="en-AU"/>
              </w:rPr>
              <w:t xml:space="preserve">term </w:t>
            </w:r>
            <w:r w:rsidR="1B120044" w:rsidRPr="0D77DCC5">
              <w:rPr>
                <w:rFonts w:ascii="Arial Narrow" w:eastAsia="Times New Roman" w:hAnsi="Arial Narrow" w:cs="Segoe UI"/>
                <w:sz w:val="20"/>
                <w:szCs w:val="20"/>
                <w:lang w:eastAsia="en-AU"/>
              </w:rPr>
              <w:t>AE</w:t>
            </w:r>
            <w:r w:rsidRPr="0D77DCC5">
              <w:rPr>
                <w:rFonts w:ascii="Arial Narrow" w:eastAsia="Times New Roman" w:hAnsi="Arial Narrow" w:cs="Segoe UI"/>
                <w:sz w:val="20"/>
                <w:szCs w:val="20"/>
                <w:lang w:eastAsia="en-AU"/>
              </w:rPr>
              <w:t>s</w:t>
            </w:r>
          </w:p>
        </w:tc>
        <w:tc>
          <w:tcPr>
            <w:tcW w:w="600" w:type="pct"/>
            <w:tcBorders>
              <w:top w:val="single" w:sz="6" w:space="0" w:color="auto"/>
              <w:left w:val="single" w:sz="6" w:space="0" w:color="auto"/>
              <w:bottom w:val="single" w:sz="6" w:space="0" w:color="auto"/>
              <w:right w:val="single" w:sz="6" w:space="0" w:color="auto"/>
            </w:tcBorders>
            <w:vAlign w:val="center"/>
          </w:tcPr>
          <w:p w14:paraId="0BC0CDFE" w14:textId="2A0FFB97" w:rsidR="008D0A3F" w:rsidRPr="008D0A3F" w:rsidRDefault="007A3C12" w:rsidP="008D0A3F">
            <w:pPr>
              <w:spacing w:before="0" w:after="0" w:line="240" w:lineRule="auto"/>
              <w:jc w:val="center"/>
              <w:textAlignment w:val="baseline"/>
              <w:rPr>
                <w:rFonts w:ascii="Arial Narrow" w:eastAsia="Arial Narrow" w:hAnsi="Arial Narrow" w:cs="Arial Narrow"/>
                <w:sz w:val="20"/>
                <w:szCs w:val="20"/>
                <w:lang w:eastAsia="en-AU"/>
              </w:rPr>
            </w:pPr>
            <w:r>
              <w:rPr>
                <w:rFonts w:ascii="Arial Narrow" w:eastAsia="Arial Narrow" w:hAnsi="Arial Narrow" w:cs="Arial Narrow"/>
                <w:sz w:val="20"/>
                <w:szCs w:val="20"/>
                <w:lang w:eastAsia="en-AU"/>
              </w:rPr>
              <w:t>No</w:t>
            </w:r>
          </w:p>
        </w:tc>
      </w:tr>
      <w:tr w:rsidR="00BC3E79" w:rsidRPr="008D0A3F" w14:paraId="64E0B032" w14:textId="77777777" w:rsidTr="00115CA8">
        <w:trPr>
          <w:trHeight w:val="300"/>
        </w:trPr>
        <w:tc>
          <w:tcPr>
            <w:tcW w:w="567" w:type="pct"/>
            <w:tcBorders>
              <w:top w:val="single" w:sz="6" w:space="0" w:color="auto"/>
              <w:left w:val="single" w:sz="6" w:space="0" w:color="auto"/>
              <w:bottom w:val="single" w:sz="6" w:space="0" w:color="auto"/>
              <w:right w:val="single" w:sz="6" w:space="0" w:color="auto"/>
            </w:tcBorders>
            <w:vAlign w:val="center"/>
            <w:hideMark/>
          </w:tcPr>
          <w:p w14:paraId="0CF84463" w14:textId="3C04FEA7" w:rsidR="008D0A3F" w:rsidRPr="008D0A3F" w:rsidRDefault="008D0A3F" w:rsidP="008D0A3F">
            <w:pPr>
              <w:spacing w:before="0" w:after="0" w:line="240" w:lineRule="auto"/>
              <w:textAlignment w:val="baseline"/>
              <w:rPr>
                <w:rFonts w:ascii="Arial Narrow" w:eastAsia="Arial Narrow" w:hAnsi="Arial Narrow" w:cs="Arial Narrow"/>
                <w:sz w:val="20"/>
                <w:szCs w:val="20"/>
                <w:lang w:eastAsia="en-AU"/>
              </w:rPr>
            </w:pPr>
            <w:r w:rsidRPr="008D0A3F">
              <w:rPr>
                <w:rFonts w:ascii="Arial Narrow" w:eastAsia="Times New Roman" w:hAnsi="Arial Narrow" w:cs="Segoe UI"/>
                <w:sz w:val="20"/>
                <w:szCs w:val="20"/>
                <w:lang w:val="en-US" w:eastAsia="en-AU"/>
              </w:rPr>
              <w:t>Bhandari 2022</w:t>
            </w:r>
            <w:bookmarkStart w:id="44" w:name="_Ref187069739"/>
            <w:r w:rsidR="009638AC">
              <w:rPr>
                <w:rStyle w:val="FootnoteReference"/>
                <w:rFonts w:ascii="Arial Narrow" w:eastAsia="Times New Roman" w:hAnsi="Arial Narrow" w:cs="Segoe UI"/>
                <w:sz w:val="20"/>
                <w:szCs w:val="20"/>
                <w:lang w:val="en-US" w:eastAsia="en-AU"/>
              </w:rPr>
              <w:footnoteReference w:id="34"/>
            </w:r>
            <w:bookmarkEnd w:id="44"/>
          </w:p>
        </w:tc>
        <w:tc>
          <w:tcPr>
            <w:tcW w:w="373" w:type="pct"/>
            <w:tcBorders>
              <w:top w:val="single" w:sz="6" w:space="0" w:color="auto"/>
              <w:left w:val="single" w:sz="6" w:space="0" w:color="auto"/>
              <w:bottom w:val="single" w:sz="6" w:space="0" w:color="auto"/>
              <w:right w:val="single" w:sz="6" w:space="0" w:color="auto"/>
            </w:tcBorders>
            <w:vAlign w:val="center"/>
            <w:hideMark/>
          </w:tcPr>
          <w:p w14:paraId="2B644589" w14:textId="77777777" w:rsidR="008D0A3F" w:rsidRPr="006D6D9D" w:rsidRDefault="09A21A0B" w:rsidP="00D76EFB">
            <w:pPr>
              <w:spacing w:before="0" w:after="0" w:line="240" w:lineRule="auto"/>
              <w:jc w:val="center"/>
              <w:textAlignment w:val="baseline"/>
              <w:rPr>
                <w:rFonts w:ascii="Arial Narrow" w:hAnsi="Arial Narrow"/>
                <w:sz w:val="20"/>
                <w:szCs w:val="20"/>
              </w:rPr>
            </w:pPr>
            <w:r w:rsidRPr="0D77DCC5">
              <w:rPr>
                <w:rFonts w:ascii="Arial Narrow" w:hAnsi="Arial Narrow"/>
                <w:sz w:val="20"/>
                <w:szCs w:val="20"/>
              </w:rPr>
              <w:t>612</w:t>
            </w:r>
          </w:p>
        </w:tc>
        <w:tc>
          <w:tcPr>
            <w:tcW w:w="550" w:type="pct"/>
            <w:tcBorders>
              <w:top w:val="single" w:sz="6" w:space="0" w:color="auto"/>
              <w:left w:val="single" w:sz="6" w:space="0" w:color="auto"/>
              <w:bottom w:val="single" w:sz="6" w:space="0" w:color="auto"/>
              <w:right w:val="single" w:sz="6" w:space="0" w:color="auto"/>
            </w:tcBorders>
            <w:vAlign w:val="center"/>
            <w:hideMark/>
          </w:tcPr>
          <w:p w14:paraId="40CC5BC1" w14:textId="77777777" w:rsidR="008D0A3F" w:rsidRPr="008D0A3F" w:rsidRDefault="008D0A3F" w:rsidP="008D0A3F">
            <w:pPr>
              <w:spacing w:before="0" w:after="0" w:line="240" w:lineRule="auto"/>
              <w:textAlignment w:val="baseline"/>
              <w:rPr>
                <w:rFonts w:ascii="Arial Narrow" w:eastAsia="Arial Narrow" w:hAnsi="Arial Narrow" w:cs="Arial Narrow"/>
                <w:sz w:val="20"/>
                <w:szCs w:val="20"/>
                <w:lang w:eastAsia="en-AU"/>
              </w:rPr>
            </w:pPr>
            <w:r w:rsidRPr="008D0A3F">
              <w:rPr>
                <w:rFonts w:ascii="Arial Narrow" w:eastAsia="Times New Roman" w:hAnsi="Arial Narrow" w:cs="Segoe UI"/>
                <w:sz w:val="20"/>
                <w:szCs w:val="20"/>
                <w:lang w:eastAsia="en-AU"/>
              </w:rPr>
              <w:t> Prospective cohort</w:t>
            </w:r>
          </w:p>
        </w:tc>
        <w:tc>
          <w:tcPr>
            <w:tcW w:w="394" w:type="pct"/>
            <w:tcBorders>
              <w:top w:val="single" w:sz="6" w:space="0" w:color="auto"/>
              <w:left w:val="single" w:sz="6" w:space="0" w:color="auto"/>
              <w:bottom w:val="single" w:sz="6" w:space="0" w:color="auto"/>
              <w:right w:val="single" w:sz="6" w:space="0" w:color="auto"/>
            </w:tcBorders>
            <w:vAlign w:val="center"/>
            <w:hideMark/>
          </w:tcPr>
          <w:p w14:paraId="7AE8E3C9" w14:textId="77777777" w:rsidR="008D0A3F" w:rsidRPr="008D0A3F" w:rsidRDefault="008D0A3F" w:rsidP="008D0A3F">
            <w:pPr>
              <w:spacing w:before="0" w:after="0" w:line="240" w:lineRule="auto"/>
              <w:textAlignment w:val="baseline"/>
              <w:rPr>
                <w:rFonts w:ascii="Arial Narrow" w:eastAsia="Arial Narrow" w:hAnsi="Arial Narrow" w:cs="Arial Narrow"/>
                <w:sz w:val="20"/>
                <w:szCs w:val="20"/>
                <w:lang w:eastAsia="en-AU"/>
              </w:rPr>
            </w:pPr>
            <w:r w:rsidRPr="008D0A3F">
              <w:rPr>
                <w:rFonts w:ascii="Arial Narrow" w:eastAsia="Times New Roman" w:hAnsi="Arial Narrow" w:cs="Segoe UI"/>
                <w:sz w:val="20"/>
                <w:szCs w:val="20"/>
                <w:lang w:eastAsia="en-AU"/>
              </w:rPr>
              <w:t>4 years</w:t>
            </w:r>
          </w:p>
        </w:tc>
        <w:tc>
          <w:tcPr>
            <w:tcW w:w="259" w:type="pct"/>
            <w:tcBorders>
              <w:top w:val="single" w:sz="6" w:space="0" w:color="auto"/>
              <w:left w:val="single" w:sz="6" w:space="0" w:color="auto"/>
              <w:bottom w:val="single" w:sz="6" w:space="0" w:color="auto"/>
              <w:right w:val="single" w:sz="6" w:space="0" w:color="auto"/>
            </w:tcBorders>
            <w:vAlign w:val="center"/>
            <w:hideMark/>
          </w:tcPr>
          <w:p w14:paraId="53778CB5" w14:textId="77777777" w:rsidR="008D0A3F" w:rsidRPr="00283D18" w:rsidRDefault="09A21A0B" w:rsidP="008D0A3F">
            <w:pPr>
              <w:spacing w:before="0" w:after="0" w:line="240" w:lineRule="auto"/>
              <w:jc w:val="center"/>
              <w:textAlignment w:val="baseline"/>
              <w:rPr>
                <w:rFonts w:ascii="Arial Narrow" w:eastAsia="Arial Narrow" w:hAnsi="Arial Narrow" w:cs="Arial Narrow"/>
                <w:sz w:val="20"/>
                <w:szCs w:val="20"/>
                <w:lang w:eastAsia="en-AU"/>
              </w:rPr>
            </w:pPr>
            <w:r w:rsidRPr="0D77DCC5">
              <w:rPr>
                <w:rFonts w:ascii="Arial Narrow" w:hAnsi="Arial Narrow"/>
                <w:sz w:val="20"/>
                <w:szCs w:val="20"/>
                <w:lang w:val="en-US"/>
              </w:rPr>
              <w:t>Low</w:t>
            </w:r>
            <w:r w:rsidRPr="0D77DCC5">
              <w:rPr>
                <w:rFonts w:ascii="Arial Narrow" w:eastAsia="Times New Roman" w:hAnsi="Arial Narrow" w:cs="Segoe UI"/>
                <w:sz w:val="20"/>
                <w:szCs w:val="20"/>
                <w:lang w:eastAsia="en-AU"/>
              </w:rPr>
              <w:t> </w:t>
            </w:r>
          </w:p>
        </w:tc>
        <w:tc>
          <w:tcPr>
            <w:tcW w:w="276" w:type="pct"/>
            <w:tcBorders>
              <w:top w:val="single" w:sz="6" w:space="0" w:color="auto"/>
              <w:left w:val="single" w:sz="6" w:space="0" w:color="auto"/>
              <w:bottom w:val="single" w:sz="6" w:space="0" w:color="auto"/>
              <w:right w:val="single" w:sz="6" w:space="0" w:color="auto"/>
            </w:tcBorders>
            <w:vAlign w:val="center"/>
            <w:hideMark/>
          </w:tcPr>
          <w:p w14:paraId="2C5DCACE" w14:textId="77777777" w:rsidR="008D0A3F" w:rsidRPr="008D0A3F" w:rsidRDefault="008D0A3F" w:rsidP="008D0A3F">
            <w:pPr>
              <w:spacing w:before="0" w:after="0" w:line="240" w:lineRule="auto"/>
              <w:jc w:val="center"/>
              <w:textAlignment w:val="baseline"/>
              <w:rPr>
                <w:rFonts w:ascii="Arial Narrow" w:eastAsia="Arial Narrow" w:hAnsi="Arial Narrow" w:cs="Arial Narrow"/>
                <w:sz w:val="20"/>
                <w:szCs w:val="20"/>
                <w:lang w:eastAsia="en-AU"/>
              </w:rPr>
            </w:pPr>
            <w:r w:rsidRPr="008D0A3F">
              <w:rPr>
                <w:rFonts w:ascii="Arial Narrow" w:eastAsia="Times New Roman" w:hAnsi="Arial Narrow" w:cs="Segoe UI"/>
                <w:sz w:val="20"/>
                <w:szCs w:val="20"/>
                <w:lang w:eastAsia="en-AU"/>
              </w:rPr>
              <w:t>40.7</w:t>
            </w:r>
          </w:p>
        </w:tc>
        <w:tc>
          <w:tcPr>
            <w:tcW w:w="409" w:type="pct"/>
            <w:tcBorders>
              <w:top w:val="single" w:sz="6" w:space="0" w:color="auto"/>
              <w:left w:val="single" w:sz="6" w:space="0" w:color="auto"/>
              <w:bottom w:val="single" w:sz="6" w:space="0" w:color="auto"/>
              <w:right w:val="single" w:sz="6" w:space="0" w:color="auto"/>
            </w:tcBorders>
            <w:vAlign w:val="center"/>
            <w:hideMark/>
          </w:tcPr>
          <w:p w14:paraId="253A0C84" w14:textId="77777777" w:rsidR="008D0A3F" w:rsidRPr="006D6D9D" w:rsidRDefault="09A21A0B" w:rsidP="0D77DCC5">
            <w:pPr>
              <w:spacing w:before="0" w:after="0" w:line="240" w:lineRule="auto"/>
              <w:jc w:val="center"/>
              <w:textAlignment w:val="baseline"/>
              <w:rPr>
                <w:rFonts w:ascii="Arial Narrow" w:hAnsi="Arial Narrow"/>
                <w:sz w:val="20"/>
                <w:szCs w:val="20"/>
              </w:rPr>
            </w:pPr>
            <w:r w:rsidRPr="0D77DCC5">
              <w:rPr>
                <w:rFonts w:ascii="Arial Narrow" w:hAnsi="Arial Narrow"/>
                <w:sz w:val="20"/>
                <w:szCs w:val="20"/>
              </w:rPr>
              <w:t>69.3</w:t>
            </w:r>
          </w:p>
        </w:tc>
        <w:tc>
          <w:tcPr>
            <w:tcW w:w="393" w:type="pct"/>
            <w:tcBorders>
              <w:top w:val="single" w:sz="6" w:space="0" w:color="auto"/>
              <w:left w:val="single" w:sz="6" w:space="0" w:color="auto"/>
              <w:bottom w:val="single" w:sz="6" w:space="0" w:color="auto"/>
              <w:right w:val="single" w:sz="6" w:space="0" w:color="auto"/>
            </w:tcBorders>
            <w:vAlign w:val="center"/>
            <w:hideMark/>
          </w:tcPr>
          <w:p w14:paraId="3EFEE8F6" w14:textId="77777777" w:rsidR="008D0A3F" w:rsidRPr="006D6D9D" w:rsidRDefault="09A21A0B" w:rsidP="0D77DCC5">
            <w:pPr>
              <w:spacing w:before="0" w:after="0" w:line="240" w:lineRule="auto"/>
              <w:jc w:val="center"/>
              <w:textAlignment w:val="baseline"/>
              <w:rPr>
                <w:rFonts w:ascii="Arial Narrow" w:hAnsi="Arial Narrow"/>
                <w:sz w:val="20"/>
                <w:szCs w:val="20"/>
              </w:rPr>
            </w:pPr>
            <w:r w:rsidRPr="0D77DCC5">
              <w:rPr>
                <w:rFonts w:ascii="Arial Narrow" w:hAnsi="Arial Narrow"/>
                <w:sz w:val="20"/>
                <w:szCs w:val="20"/>
              </w:rPr>
              <w:t>34.3</w:t>
            </w:r>
          </w:p>
        </w:tc>
        <w:tc>
          <w:tcPr>
            <w:tcW w:w="1179" w:type="pct"/>
            <w:tcBorders>
              <w:top w:val="single" w:sz="6" w:space="0" w:color="auto"/>
              <w:left w:val="single" w:sz="6" w:space="0" w:color="auto"/>
              <w:bottom w:val="single" w:sz="6" w:space="0" w:color="auto"/>
              <w:right w:val="single" w:sz="6" w:space="0" w:color="auto"/>
            </w:tcBorders>
            <w:vAlign w:val="center"/>
            <w:hideMark/>
          </w:tcPr>
          <w:p w14:paraId="543C0A5F" w14:textId="77777777" w:rsidR="008D0A3F" w:rsidRPr="008D0A3F" w:rsidRDefault="008D0A3F" w:rsidP="008D0A3F">
            <w:pPr>
              <w:spacing w:before="0" w:after="0" w:line="240" w:lineRule="auto"/>
              <w:jc w:val="center"/>
              <w:textAlignment w:val="baseline"/>
              <w:rPr>
                <w:rFonts w:ascii="Arial Narrow" w:eastAsia="Arial Narrow" w:hAnsi="Arial Narrow" w:cs="Arial Narrow"/>
                <w:sz w:val="20"/>
                <w:szCs w:val="20"/>
                <w:lang w:eastAsia="en-AU"/>
              </w:rPr>
            </w:pPr>
            <w:r w:rsidRPr="008D0A3F">
              <w:rPr>
                <w:rFonts w:ascii="Arial Narrow" w:eastAsia="Times New Roman" w:hAnsi="Arial Narrow" w:cs="Segoe UI"/>
                <w:sz w:val="20"/>
                <w:szCs w:val="20"/>
                <w:lang w:eastAsia="en-AU"/>
              </w:rPr>
              <w:t>%TBWL at 12 months, %EWL at 12 months, durability of ESG, revision and conversion to bariatric surgery, comorbidity markers</w:t>
            </w:r>
          </w:p>
        </w:tc>
        <w:tc>
          <w:tcPr>
            <w:tcW w:w="600" w:type="pct"/>
            <w:tcBorders>
              <w:top w:val="single" w:sz="6" w:space="0" w:color="auto"/>
              <w:left w:val="single" w:sz="6" w:space="0" w:color="auto"/>
              <w:bottom w:val="single" w:sz="6" w:space="0" w:color="auto"/>
              <w:right w:val="single" w:sz="6" w:space="0" w:color="auto"/>
            </w:tcBorders>
            <w:vAlign w:val="center"/>
          </w:tcPr>
          <w:p w14:paraId="1E66B2A9" w14:textId="17937745" w:rsidR="008D0A3F" w:rsidRPr="008D0A3F" w:rsidRDefault="00E16E9F" w:rsidP="008D0A3F">
            <w:pPr>
              <w:spacing w:before="0" w:after="0" w:line="240" w:lineRule="auto"/>
              <w:jc w:val="center"/>
              <w:textAlignment w:val="baseline"/>
              <w:rPr>
                <w:rFonts w:ascii="Arial Narrow" w:eastAsia="Arial Narrow" w:hAnsi="Arial Narrow" w:cs="Arial Narrow"/>
                <w:sz w:val="20"/>
                <w:szCs w:val="20"/>
                <w:lang w:eastAsia="en-AU"/>
              </w:rPr>
            </w:pPr>
            <w:r>
              <w:rPr>
                <w:rFonts w:ascii="Arial Narrow" w:eastAsia="Arial Narrow" w:hAnsi="Arial Narrow" w:cs="Arial Narrow"/>
                <w:sz w:val="20"/>
                <w:szCs w:val="20"/>
                <w:lang w:eastAsia="en-AU"/>
              </w:rPr>
              <w:t>No</w:t>
            </w:r>
          </w:p>
        </w:tc>
      </w:tr>
      <w:tr w:rsidR="00BC3E79" w:rsidRPr="008D0A3F" w14:paraId="3D746509" w14:textId="77777777" w:rsidTr="00115CA8">
        <w:trPr>
          <w:trHeight w:val="300"/>
        </w:trPr>
        <w:tc>
          <w:tcPr>
            <w:tcW w:w="567" w:type="pct"/>
            <w:tcBorders>
              <w:top w:val="single" w:sz="6" w:space="0" w:color="auto"/>
              <w:left w:val="single" w:sz="6" w:space="0" w:color="auto"/>
              <w:bottom w:val="single" w:sz="6" w:space="0" w:color="auto"/>
              <w:right w:val="single" w:sz="6" w:space="0" w:color="auto"/>
            </w:tcBorders>
            <w:vAlign w:val="center"/>
            <w:hideMark/>
          </w:tcPr>
          <w:p w14:paraId="1AD44DDA" w14:textId="01C47C12" w:rsidR="008D0A3F" w:rsidRPr="008D0A3F" w:rsidRDefault="008D0A3F" w:rsidP="008D0A3F">
            <w:pPr>
              <w:spacing w:before="0" w:after="0" w:line="240" w:lineRule="auto"/>
              <w:textAlignment w:val="baseline"/>
              <w:rPr>
                <w:rFonts w:ascii="Arial Narrow" w:eastAsia="Times New Roman" w:hAnsi="Arial Narrow" w:cs="Segoe UI"/>
                <w:sz w:val="20"/>
                <w:szCs w:val="20"/>
                <w:lang w:val="en-US" w:eastAsia="en-AU"/>
              </w:rPr>
            </w:pPr>
            <w:r w:rsidRPr="008D0A3F">
              <w:rPr>
                <w:rFonts w:ascii="Arial Narrow" w:eastAsia="Times New Roman" w:hAnsi="Arial Narrow" w:cs="Segoe UI"/>
                <w:sz w:val="20"/>
                <w:szCs w:val="20"/>
                <w:lang w:val="en-US" w:eastAsia="en-AU"/>
              </w:rPr>
              <w:t>Frey 2024</w:t>
            </w:r>
            <w:bookmarkStart w:id="45" w:name="_Ref187069758"/>
            <w:r w:rsidR="00771A79">
              <w:rPr>
                <w:rStyle w:val="FootnoteReference"/>
                <w:rFonts w:ascii="Arial Narrow" w:eastAsia="Times New Roman" w:hAnsi="Arial Narrow" w:cs="Segoe UI"/>
                <w:sz w:val="20"/>
                <w:szCs w:val="20"/>
                <w:lang w:val="en-US" w:eastAsia="en-AU"/>
              </w:rPr>
              <w:footnoteReference w:id="35"/>
            </w:r>
            <w:bookmarkEnd w:id="45"/>
          </w:p>
        </w:tc>
        <w:tc>
          <w:tcPr>
            <w:tcW w:w="373" w:type="pct"/>
            <w:tcBorders>
              <w:top w:val="single" w:sz="6" w:space="0" w:color="auto"/>
              <w:left w:val="single" w:sz="6" w:space="0" w:color="auto"/>
              <w:bottom w:val="single" w:sz="6" w:space="0" w:color="auto"/>
              <w:right w:val="single" w:sz="6" w:space="0" w:color="auto"/>
            </w:tcBorders>
            <w:vAlign w:val="center"/>
            <w:hideMark/>
          </w:tcPr>
          <w:p w14:paraId="5DBB55F2" w14:textId="77777777" w:rsidR="008D0A3F" w:rsidRPr="00BB3210" w:rsidRDefault="09A21A0B" w:rsidP="00D76EFB">
            <w:pPr>
              <w:spacing w:before="0" w:after="0" w:line="240" w:lineRule="auto"/>
              <w:jc w:val="center"/>
              <w:textAlignment w:val="baseline"/>
              <w:rPr>
                <w:rFonts w:ascii="Arial Narrow" w:eastAsia="Times New Roman" w:hAnsi="Arial Narrow" w:cs="Segoe UI"/>
                <w:sz w:val="20"/>
                <w:szCs w:val="20"/>
                <w:lang w:val="en-US" w:eastAsia="en-AU"/>
              </w:rPr>
            </w:pPr>
            <w:r w:rsidRPr="0D77DCC5">
              <w:rPr>
                <w:rFonts w:ascii="Arial Narrow" w:eastAsia="Times New Roman" w:hAnsi="Arial Narrow" w:cs="Segoe UI"/>
                <w:sz w:val="20"/>
                <w:szCs w:val="20"/>
                <w:lang w:val="en-US" w:eastAsia="en-AU"/>
              </w:rPr>
              <w:t>143</w:t>
            </w:r>
          </w:p>
        </w:tc>
        <w:tc>
          <w:tcPr>
            <w:tcW w:w="550" w:type="pct"/>
            <w:tcBorders>
              <w:top w:val="single" w:sz="6" w:space="0" w:color="auto"/>
              <w:left w:val="single" w:sz="6" w:space="0" w:color="auto"/>
              <w:bottom w:val="single" w:sz="6" w:space="0" w:color="auto"/>
              <w:right w:val="single" w:sz="6" w:space="0" w:color="auto"/>
            </w:tcBorders>
            <w:vAlign w:val="center"/>
            <w:hideMark/>
          </w:tcPr>
          <w:p w14:paraId="76DD1621" w14:textId="77777777" w:rsidR="008D0A3F" w:rsidRPr="008D0A3F" w:rsidRDefault="008D0A3F" w:rsidP="008D0A3F">
            <w:pPr>
              <w:spacing w:before="0" w:after="0" w:line="240" w:lineRule="auto"/>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Retrospective cohort</w:t>
            </w:r>
          </w:p>
        </w:tc>
        <w:tc>
          <w:tcPr>
            <w:tcW w:w="394" w:type="pct"/>
            <w:tcBorders>
              <w:top w:val="single" w:sz="6" w:space="0" w:color="auto"/>
              <w:left w:val="single" w:sz="6" w:space="0" w:color="auto"/>
              <w:bottom w:val="single" w:sz="6" w:space="0" w:color="auto"/>
              <w:right w:val="single" w:sz="6" w:space="0" w:color="auto"/>
            </w:tcBorders>
            <w:vAlign w:val="center"/>
            <w:hideMark/>
          </w:tcPr>
          <w:p w14:paraId="1AA6DB70" w14:textId="77777777" w:rsidR="008D0A3F" w:rsidRPr="008D0A3F" w:rsidRDefault="008D0A3F" w:rsidP="008D0A3F">
            <w:pPr>
              <w:spacing w:before="0" w:after="0" w:line="240" w:lineRule="auto"/>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3 years</w:t>
            </w:r>
          </w:p>
        </w:tc>
        <w:tc>
          <w:tcPr>
            <w:tcW w:w="259" w:type="pct"/>
            <w:tcBorders>
              <w:top w:val="single" w:sz="6" w:space="0" w:color="auto"/>
              <w:left w:val="single" w:sz="6" w:space="0" w:color="auto"/>
              <w:bottom w:val="single" w:sz="6" w:space="0" w:color="auto"/>
              <w:right w:val="single" w:sz="6" w:space="0" w:color="auto"/>
            </w:tcBorders>
            <w:vAlign w:val="center"/>
            <w:hideMark/>
          </w:tcPr>
          <w:p w14:paraId="0E3D1D73" w14:textId="77777777" w:rsidR="008D0A3F" w:rsidRPr="006D6D9D" w:rsidRDefault="09A21A0B" w:rsidP="0D77DCC5">
            <w:pPr>
              <w:spacing w:before="0" w:after="0" w:line="240" w:lineRule="auto"/>
              <w:jc w:val="center"/>
              <w:textAlignment w:val="baseline"/>
              <w:rPr>
                <w:rFonts w:ascii="Arial Narrow" w:hAnsi="Arial Narrow"/>
                <w:sz w:val="20"/>
                <w:szCs w:val="20"/>
                <w:lang w:val="en-US"/>
              </w:rPr>
            </w:pPr>
            <w:r w:rsidRPr="0D77DCC5">
              <w:rPr>
                <w:rFonts w:ascii="Arial Narrow" w:hAnsi="Arial Narrow"/>
                <w:sz w:val="20"/>
                <w:szCs w:val="20"/>
                <w:lang w:val="en-US"/>
              </w:rPr>
              <w:t>High</w:t>
            </w:r>
          </w:p>
        </w:tc>
        <w:tc>
          <w:tcPr>
            <w:tcW w:w="276" w:type="pct"/>
            <w:tcBorders>
              <w:top w:val="single" w:sz="6" w:space="0" w:color="auto"/>
              <w:left w:val="single" w:sz="6" w:space="0" w:color="auto"/>
              <w:bottom w:val="single" w:sz="6" w:space="0" w:color="auto"/>
              <w:right w:val="single" w:sz="6" w:space="0" w:color="auto"/>
            </w:tcBorders>
            <w:vAlign w:val="center"/>
            <w:hideMark/>
          </w:tcPr>
          <w:p w14:paraId="599F7C5F"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43.0</w:t>
            </w:r>
          </w:p>
        </w:tc>
        <w:tc>
          <w:tcPr>
            <w:tcW w:w="409" w:type="pct"/>
            <w:tcBorders>
              <w:top w:val="single" w:sz="6" w:space="0" w:color="auto"/>
              <w:left w:val="single" w:sz="6" w:space="0" w:color="auto"/>
              <w:bottom w:val="single" w:sz="6" w:space="0" w:color="auto"/>
              <w:right w:val="single" w:sz="6" w:space="0" w:color="auto"/>
            </w:tcBorders>
            <w:vAlign w:val="center"/>
            <w:hideMark/>
          </w:tcPr>
          <w:p w14:paraId="5673402C"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90.2</w:t>
            </w:r>
          </w:p>
        </w:tc>
        <w:tc>
          <w:tcPr>
            <w:tcW w:w="393" w:type="pct"/>
            <w:tcBorders>
              <w:top w:val="single" w:sz="6" w:space="0" w:color="auto"/>
              <w:left w:val="single" w:sz="6" w:space="0" w:color="auto"/>
              <w:bottom w:val="single" w:sz="6" w:space="0" w:color="auto"/>
              <w:right w:val="single" w:sz="6" w:space="0" w:color="auto"/>
            </w:tcBorders>
            <w:vAlign w:val="center"/>
            <w:hideMark/>
          </w:tcPr>
          <w:p w14:paraId="1E71B4E6"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33.6</w:t>
            </w:r>
          </w:p>
        </w:tc>
        <w:tc>
          <w:tcPr>
            <w:tcW w:w="1179" w:type="pct"/>
            <w:tcBorders>
              <w:top w:val="single" w:sz="6" w:space="0" w:color="auto"/>
              <w:left w:val="single" w:sz="6" w:space="0" w:color="auto"/>
              <w:bottom w:val="single" w:sz="6" w:space="0" w:color="auto"/>
              <w:right w:val="single" w:sz="6" w:space="0" w:color="auto"/>
            </w:tcBorders>
            <w:vAlign w:val="center"/>
            <w:hideMark/>
          </w:tcPr>
          <w:p w14:paraId="0B359806" w14:textId="77777777" w:rsidR="008D0A3F" w:rsidRPr="008D0A3F" w:rsidRDefault="008D0A3F" w:rsidP="008D0A3F">
            <w:pPr>
              <w:spacing w:before="0" w:after="0" w:line="240" w:lineRule="auto"/>
              <w:jc w:val="center"/>
              <w:textAlignment w:val="baseline"/>
              <w:rPr>
                <w:rFonts w:ascii="Arial Narrow" w:eastAsia="Times New Roman" w:hAnsi="Arial Narrow" w:cs="Segoe UI"/>
                <w:sz w:val="20"/>
                <w:szCs w:val="20"/>
                <w:lang w:eastAsia="en-AU"/>
              </w:rPr>
            </w:pPr>
            <w:r w:rsidRPr="008D0A3F">
              <w:rPr>
                <w:rFonts w:ascii="Arial Narrow" w:eastAsia="Times New Roman" w:hAnsi="Arial Narrow" w:cs="Segoe UI"/>
                <w:sz w:val="20"/>
                <w:szCs w:val="20"/>
                <w:lang w:eastAsia="en-AU"/>
              </w:rPr>
              <w:t>%TBWL at 12 months, %EWL at 12 months, durability of ESG</w:t>
            </w:r>
          </w:p>
        </w:tc>
        <w:tc>
          <w:tcPr>
            <w:tcW w:w="600" w:type="pct"/>
            <w:tcBorders>
              <w:top w:val="single" w:sz="6" w:space="0" w:color="auto"/>
              <w:left w:val="single" w:sz="6" w:space="0" w:color="auto"/>
              <w:bottom w:val="single" w:sz="6" w:space="0" w:color="auto"/>
              <w:right w:val="single" w:sz="6" w:space="0" w:color="auto"/>
            </w:tcBorders>
            <w:vAlign w:val="center"/>
          </w:tcPr>
          <w:p w14:paraId="2215E810" w14:textId="738FA427" w:rsidR="008D0A3F" w:rsidRPr="008D0A3F" w:rsidRDefault="00DD5B09" w:rsidP="008D0A3F">
            <w:pPr>
              <w:spacing w:before="0" w:after="0" w:line="240" w:lineRule="auto"/>
              <w:jc w:val="center"/>
              <w:textAlignment w:val="baseline"/>
              <w:rPr>
                <w:rFonts w:ascii="Arial Narrow" w:eastAsia="Times New Roman" w:hAnsi="Arial Narrow" w:cs="Segoe UI"/>
                <w:sz w:val="20"/>
                <w:szCs w:val="20"/>
                <w:lang w:val="en-US" w:eastAsia="en-AU"/>
              </w:rPr>
            </w:pPr>
            <w:r>
              <w:rPr>
                <w:rFonts w:ascii="Arial Narrow" w:eastAsia="Times New Roman" w:hAnsi="Arial Narrow" w:cs="Segoe UI"/>
                <w:sz w:val="20"/>
                <w:szCs w:val="20"/>
                <w:lang w:val="en-US" w:eastAsia="en-AU"/>
              </w:rPr>
              <w:t>No</w:t>
            </w:r>
          </w:p>
        </w:tc>
      </w:tr>
    </w:tbl>
    <w:p w14:paraId="6045F735" w14:textId="6EC02E95" w:rsidR="004B3520" w:rsidRDefault="27528212" w:rsidP="00ED651B">
      <w:pPr>
        <w:pStyle w:val="TableFigureFooter"/>
      </w:pPr>
      <w:r w:rsidRPr="3B92DCA0">
        <w:t>Abbreviations:</w:t>
      </w:r>
      <w:r w:rsidRPr="1C3A1CD7">
        <w:t xml:space="preserve"> </w:t>
      </w:r>
      <w:r w:rsidRPr="3B92DCA0">
        <w:t>AE</w:t>
      </w:r>
      <w:r w:rsidRPr="1C3A1CD7">
        <w:t xml:space="preserve">: adverse event; </w:t>
      </w:r>
      <w:r w:rsidRPr="3B92DCA0">
        <w:t>BMI</w:t>
      </w:r>
      <w:r w:rsidRPr="1C3A1CD7">
        <w:t xml:space="preserve">: body mass index; </w:t>
      </w:r>
      <w:r w:rsidRPr="3B92DCA0">
        <w:t>ESG</w:t>
      </w:r>
      <w:r w:rsidRPr="1C3A1CD7">
        <w:t xml:space="preserve">: endoscopic sleeve gastroplasty; GORD: gastro-oesophageal reflux disease; LSG: laparoscopic sleeve gastrectomy, </w:t>
      </w:r>
      <w:r w:rsidRPr="3B92DCA0">
        <w:t>NR</w:t>
      </w:r>
      <w:r w:rsidRPr="1C3A1CD7">
        <w:t xml:space="preserve">: not reported; </w:t>
      </w:r>
      <w:r w:rsidRPr="3B92DCA0">
        <w:t>PICO</w:t>
      </w:r>
      <w:r w:rsidRPr="1C3A1CD7">
        <w:t xml:space="preserve">: population, intervention, comparator, outcome; </w:t>
      </w:r>
      <w:r w:rsidRPr="3B92DCA0">
        <w:t>RCT</w:t>
      </w:r>
      <w:r w:rsidRPr="1C3A1CD7">
        <w:t xml:space="preserve">: randomised controlled trial; </w:t>
      </w:r>
      <w:r w:rsidRPr="3B92DCA0">
        <w:t>%</w:t>
      </w:r>
      <w:r w:rsidR="00483F52" w:rsidRPr="3B92DCA0">
        <w:t>EWL</w:t>
      </w:r>
      <w:r w:rsidR="00483F52" w:rsidRPr="1C3A1CD7">
        <w:t xml:space="preserve">: excess weight loss; </w:t>
      </w:r>
      <w:r w:rsidRPr="3B92DCA0">
        <w:t>%TBWL</w:t>
      </w:r>
      <w:r w:rsidRPr="1C3A1CD7">
        <w:t>: % total body weight loss</w:t>
      </w:r>
      <w:r w:rsidR="75137198" w:rsidRPr="3F9AD25B">
        <w:t xml:space="preserve"> </w:t>
      </w:r>
      <w:r w:rsidR="002208D8">
        <w:br/>
      </w:r>
      <w:r w:rsidR="002208D8" w:rsidRPr="00820DB5">
        <w:t xml:space="preserve">Source: </w:t>
      </w:r>
      <w:r w:rsidR="002208D8">
        <w:t>compiled during commentary</w:t>
      </w:r>
    </w:p>
    <w:p w14:paraId="017B6117" w14:textId="01B59C3F" w:rsidR="004B3520" w:rsidRDefault="004B3520" w:rsidP="004B3520">
      <w:pPr>
        <w:pStyle w:val="Caption"/>
      </w:pPr>
      <w:bookmarkStart w:id="46" w:name="_Ref184217995"/>
      <w:r>
        <w:t xml:space="preserve">Table </w:t>
      </w:r>
      <w:r w:rsidR="009C59B0">
        <w:fldChar w:fldCharType="begin"/>
      </w:r>
      <w:r w:rsidR="009C59B0">
        <w:instrText xml:space="preserve"> SEQ Table \* ARABIC </w:instrText>
      </w:r>
      <w:r w:rsidR="009C59B0">
        <w:fldChar w:fldCharType="separate"/>
      </w:r>
      <w:r w:rsidR="008F37D1">
        <w:rPr>
          <w:noProof/>
        </w:rPr>
        <w:t>10</w:t>
      </w:r>
      <w:r w:rsidR="009C59B0">
        <w:rPr>
          <w:noProof/>
        </w:rPr>
        <w:fldChar w:fldCharType="end"/>
      </w:r>
      <w:bookmarkEnd w:id="46"/>
      <w:r>
        <w:t xml:space="preserve">: </w:t>
      </w:r>
      <w:r w:rsidRPr="00E5014A">
        <w:t xml:space="preserve">Key features of included evaluations, PICO </w:t>
      </w:r>
      <w:r w:rsidR="00470EA8">
        <w:t xml:space="preserve">set </w:t>
      </w:r>
      <w:r>
        <w:t>1</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22"/>
        <w:gridCol w:w="6341"/>
        <w:gridCol w:w="1647"/>
      </w:tblGrid>
      <w:tr w:rsidR="0D77DCC5" w14:paraId="5F6CA80C" w14:textId="77777777" w:rsidTr="2AA1CA0C">
        <w:trPr>
          <w:trHeight w:val="300"/>
          <w:tblHeader/>
        </w:trPr>
        <w:tc>
          <w:tcPr>
            <w:tcW w:w="56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F7F03E" w14:textId="2618CA53" w:rsidR="2256735F" w:rsidRDefault="2256735F" w:rsidP="00D76EFB">
            <w:pPr>
              <w:keepNext/>
              <w:spacing w:before="0" w:after="0" w:line="240" w:lineRule="auto"/>
              <w:rPr>
                <w:rFonts w:ascii="Arial Narrow" w:hAnsi="Arial Narrow" w:cs="Segoe UI"/>
                <w:b/>
                <w:bCs/>
                <w:sz w:val="20"/>
                <w:szCs w:val="20"/>
              </w:rPr>
            </w:pPr>
            <w:r w:rsidRPr="0D77DCC5">
              <w:rPr>
                <w:rFonts w:ascii="Arial Narrow" w:hAnsi="Arial Narrow" w:cs="Segoe UI"/>
                <w:b/>
                <w:bCs/>
                <w:sz w:val="20"/>
                <w:szCs w:val="20"/>
              </w:rPr>
              <w:t>Evaluation type</w:t>
            </w:r>
          </w:p>
        </w:tc>
        <w:tc>
          <w:tcPr>
            <w:tcW w:w="351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1620ED" w14:textId="5AD3E8B6" w:rsidR="2256735F" w:rsidRDefault="2256735F" w:rsidP="00D76EFB">
            <w:pPr>
              <w:keepNext/>
              <w:spacing w:before="0" w:after="0" w:line="240" w:lineRule="auto"/>
              <w:rPr>
                <w:rFonts w:ascii="Arial Narrow" w:eastAsia="Times New Roman" w:hAnsi="Arial Narrow" w:cs="Segoe UI"/>
                <w:b/>
                <w:bCs/>
                <w:sz w:val="20"/>
                <w:szCs w:val="20"/>
                <w:lang w:eastAsia="en-AU"/>
              </w:rPr>
            </w:pPr>
            <w:r w:rsidRPr="0D77DCC5">
              <w:rPr>
                <w:rFonts w:ascii="Arial Narrow" w:eastAsia="Times New Roman" w:hAnsi="Arial Narrow" w:cs="Segoe UI"/>
                <w:b/>
                <w:bCs/>
                <w:sz w:val="20"/>
                <w:szCs w:val="20"/>
                <w:lang w:eastAsia="en-AU"/>
              </w:rPr>
              <w:t>Included studies</w:t>
            </w:r>
          </w:p>
        </w:tc>
        <w:tc>
          <w:tcPr>
            <w:tcW w:w="914" w:type="pct"/>
            <w:tcBorders>
              <w:top w:val="single" w:sz="6" w:space="0" w:color="auto"/>
              <w:left w:val="single" w:sz="6" w:space="0" w:color="auto"/>
              <w:bottom w:val="single" w:sz="6" w:space="0" w:color="auto"/>
              <w:right w:val="single" w:sz="6" w:space="0" w:color="auto"/>
            </w:tcBorders>
            <w:shd w:val="clear" w:color="auto" w:fill="auto"/>
            <w:vAlign w:val="center"/>
          </w:tcPr>
          <w:p w14:paraId="188976E5" w14:textId="07BFDB8A" w:rsidR="2256735F" w:rsidRDefault="2256735F" w:rsidP="00D76EFB">
            <w:pPr>
              <w:keepNext/>
              <w:spacing w:before="0" w:after="0" w:line="240" w:lineRule="auto"/>
              <w:jc w:val="center"/>
              <w:rPr>
                <w:rFonts w:ascii="Arial Narrow" w:eastAsia="Times New Roman" w:hAnsi="Arial Narrow" w:cs="Segoe UI"/>
                <w:b/>
                <w:bCs/>
                <w:sz w:val="20"/>
                <w:szCs w:val="20"/>
                <w:lang w:eastAsia="en-AU"/>
              </w:rPr>
            </w:pPr>
            <w:r w:rsidRPr="0D77DCC5">
              <w:rPr>
                <w:rFonts w:ascii="Arial Narrow" w:eastAsia="Times New Roman" w:hAnsi="Arial Narrow" w:cs="Segoe UI"/>
                <w:b/>
                <w:bCs/>
                <w:sz w:val="20"/>
                <w:szCs w:val="20"/>
                <w:lang w:eastAsia="en-AU"/>
              </w:rPr>
              <w:t>Outcome</w:t>
            </w:r>
          </w:p>
        </w:tc>
      </w:tr>
      <w:tr w:rsidR="0EBE4891" w14:paraId="512E88E5" w14:textId="77777777" w:rsidTr="2AA1CA0C">
        <w:trPr>
          <w:trHeight w:val="729"/>
        </w:trPr>
        <w:tc>
          <w:tcPr>
            <w:tcW w:w="567" w:type="pct"/>
            <w:tcBorders>
              <w:top w:val="single" w:sz="6" w:space="0" w:color="auto"/>
              <w:left w:val="single" w:sz="6" w:space="0" w:color="auto"/>
              <w:bottom w:val="single" w:sz="6" w:space="0" w:color="auto"/>
              <w:right w:val="single" w:sz="6" w:space="0" w:color="auto"/>
            </w:tcBorders>
            <w:vAlign w:val="center"/>
            <w:hideMark/>
          </w:tcPr>
          <w:p w14:paraId="1A75F546" w14:textId="0E8C3074" w:rsidR="7C79B30C" w:rsidRPr="7C79B30C" w:rsidRDefault="00855C59" w:rsidP="00D76EFB">
            <w:pPr>
              <w:keepNext/>
              <w:spacing w:before="0" w:after="0" w:line="240" w:lineRule="auto"/>
              <w:rPr>
                <w:rFonts w:ascii="Arial Narrow" w:eastAsia="Arial Narrow" w:hAnsi="Arial Narrow" w:cs="Arial Narrow"/>
                <w:sz w:val="20"/>
                <w:szCs w:val="20"/>
              </w:rPr>
            </w:pPr>
            <w:r>
              <w:rPr>
                <w:rFonts w:ascii="Arial Narrow" w:hAnsi="Arial Narrow" w:cs="Segoe UI"/>
                <w:sz w:val="20"/>
                <w:szCs w:val="20"/>
              </w:rPr>
              <w:t>Meta</w:t>
            </w:r>
            <w:r w:rsidR="001462F1">
              <w:rPr>
                <w:rFonts w:ascii="Arial Narrow" w:hAnsi="Arial Narrow" w:cs="Segoe UI"/>
                <w:sz w:val="20"/>
                <w:szCs w:val="20"/>
              </w:rPr>
              <w:t>-</w:t>
            </w:r>
            <w:r>
              <w:rPr>
                <w:rFonts w:ascii="Arial Narrow" w:hAnsi="Arial Narrow" w:cs="Segoe UI"/>
                <w:sz w:val="20"/>
                <w:szCs w:val="20"/>
              </w:rPr>
              <w:t>analysis</w:t>
            </w:r>
          </w:p>
        </w:tc>
        <w:tc>
          <w:tcPr>
            <w:tcW w:w="3519" w:type="pct"/>
            <w:tcBorders>
              <w:top w:val="single" w:sz="6" w:space="0" w:color="auto"/>
              <w:left w:val="single" w:sz="6" w:space="0" w:color="auto"/>
              <w:bottom w:val="single" w:sz="6" w:space="0" w:color="auto"/>
              <w:right w:val="single" w:sz="6" w:space="0" w:color="auto"/>
            </w:tcBorders>
            <w:vAlign w:val="center"/>
            <w:hideMark/>
          </w:tcPr>
          <w:p w14:paraId="34AC6532" w14:textId="651C5215" w:rsidR="0EBE4891" w:rsidRDefault="00855C59" w:rsidP="2AA1CA0C">
            <w:pPr>
              <w:keepNext/>
              <w:spacing w:before="0" w:after="0" w:line="240" w:lineRule="auto"/>
              <w:rPr>
                <w:rFonts w:ascii="Arial Narrow" w:eastAsia="Times New Roman" w:hAnsi="Arial Narrow" w:cs="Segoe UI"/>
                <w:sz w:val="20"/>
                <w:szCs w:val="20"/>
                <w:lang w:eastAsia="en-AU"/>
              </w:rPr>
            </w:pPr>
            <w:r w:rsidRPr="2AA1CA0C">
              <w:rPr>
                <w:rFonts w:ascii="Arial Narrow" w:eastAsia="Times New Roman" w:hAnsi="Arial Narrow" w:cs="Segoe UI"/>
                <w:sz w:val="20"/>
                <w:szCs w:val="20"/>
                <w:lang w:eastAsia="en-AU"/>
              </w:rPr>
              <w:t>MERIT, Sharaiha 2021, Lopez-Nava 2017, Kumar 2018 phase II, Kumar 2018 phase III, Sumoy 2018, Morales 2018, Espinet 2018, Alqahtania, 2019, Barrichello 2019, Bhandari 2022, Neto 2019, Bhamdari 2022, Frey 2024</w:t>
            </w:r>
          </w:p>
        </w:tc>
        <w:tc>
          <w:tcPr>
            <w:tcW w:w="914" w:type="pct"/>
            <w:tcBorders>
              <w:top w:val="single" w:sz="6" w:space="0" w:color="auto"/>
              <w:left w:val="single" w:sz="6" w:space="0" w:color="auto"/>
              <w:bottom w:val="single" w:sz="6" w:space="0" w:color="auto"/>
              <w:right w:val="single" w:sz="6" w:space="0" w:color="auto"/>
            </w:tcBorders>
            <w:vAlign w:val="center"/>
          </w:tcPr>
          <w:p w14:paraId="61135D4E" w14:textId="0D2675F0" w:rsidR="0EBE4891" w:rsidRDefault="00855C59" w:rsidP="00D76EFB">
            <w:pPr>
              <w:keepNext/>
              <w:spacing w:before="0" w:after="0" w:line="240" w:lineRule="auto"/>
              <w:jc w:val="center"/>
              <w:rPr>
                <w:rFonts w:ascii="Arial Narrow" w:eastAsia="Times New Roman" w:hAnsi="Arial Narrow" w:cs="Segoe UI"/>
                <w:sz w:val="20"/>
                <w:szCs w:val="20"/>
                <w:lang w:val="en-US" w:eastAsia="en-AU"/>
              </w:rPr>
            </w:pPr>
            <w:r w:rsidRPr="007D18A3">
              <w:rPr>
                <w:rFonts w:ascii="Arial Narrow" w:eastAsia="Times New Roman" w:hAnsi="Arial Narrow" w:cs="Segoe UI"/>
                <w:sz w:val="20"/>
                <w:szCs w:val="20"/>
                <w:lang w:eastAsia="en-AU"/>
              </w:rPr>
              <w:t>%TBWL at 12 months</w:t>
            </w:r>
          </w:p>
        </w:tc>
      </w:tr>
      <w:tr w:rsidR="58AC465F" w14:paraId="7B06EC59" w14:textId="77777777" w:rsidTr="2AA1CA0C">
        <w:trPr>
          <w:trHeight w:val="300"/>
        </w:trPr>
        <w:tc>
          <w:tcPr>
            <w:tcW w:w="567" w:type="pct"/>
            <w:tcBorders>
              <w:top w:val="single" w:sz="6" w:space="0" w:color="auto"/>
              <w:left w:val="single" w:sz="6" w:space="0" w:color="auto"/>
              <w:bottom w:val="single" w:sz="6" w:space="0" w:color="auto"/>
              <w:right w:val="single" w:sz="6" w:space="0" w:color="auto"/>
            </w:tcBorders>
            <w:vAlign w:val="center"/>
            <w:hideMark/>
          </w:tcPr>
          <w:p w14:paraId="0EA0C6C6" w14:textId="332B9C3F" w:rsidR="58AC465F" w:rsidRDefault="00855C59" w:rsidP="00D76EFB">
            <w:pPr>
              <w:keepNext/>
              <w:spacing w:before="0" w:after="0" w:line="240" w:lineRule="auto"/>
              <w:rPr>
                <w:rFonts w:ascii="Arial Narrow" w:eastAsia="Times New Roman" w:hAnsi="Arial Narrow" w:cs="Segoe UI"/>
                <w:sz w:val="20"/>
                <w:szCs w:val="20"/>
                <w:lang w:val="en-US" w:eastAsia="en-AU"/>
              </w:rPr>
            </w:pPr>
            <w:r>
              <w:rPr>
                <w:rFonts w:ascii="Arial Narrow" w:hAnsi="Arial Narrow" w:cs="Segoe UI"/>
                <w:sz w:val="20"/>
                <w:szCs w:val="20"/>
              </w:rPr>
              <w:t>Meta</w:t>
            </w:r>
            <w:r w:rsidR="001462F1">
              <w:rPr>
                <w:rFonts w:ascii="Arial Narrow" w:hAnsi="Arial Narrow" w:cs="Segoe UI"/>
                <w:sz w:val="20"/>
                <w:szCs w:val="20"/>
              </w:rPr>
              <w:t>-</w:t>
            </w:r>
            <w:r>
              <w:rPr>
                <w:rFonts w:ascii="Arial Narrow" w:hAnsi="Arial Narrow" w:cs="Segoe UI"/>
                <w:sz w:val="20"/>
                <w:szCs w:val="20"/>
              </w:rPr>
              <w:t>analysis</w:t>
            </w:r>
          </w:p>
        </w:tc>
        <w:tc>
          <w:tcPr>
            <w:tcW w:w="3519" w:type="pct"/>
            <w:tcBorders>
              <w:top w:val="single" w:sz="6" w:space="0" w:color="auto"/>
              <w:left w:val="single" w:sz="6" w:space="0" w:color="auto"/>
              <w:bottom w:val="single" w:sz="6" w:space="0" w:color="auto"/>
              <w:right w:val="single" w:sz="6" w:space="0" w:color="auto"/>
            </w:tcBorders>
            <w:vAlign w:val="center"/>
            <w:hideMark/>
          </w:tcPr>
          <w:p w14:paraId="6AB75804" w14:textId="6D5962CF" w:rsidR="58AC465F" w:rsidRDefault="00855C59" w:rsidP="2AA1CA0C">
            <w:pPr>
              <w:keepNext/>
              <w:spacing w:before="0" w:after="0" w:line="240" w:lineRule="auto"/>
              <w:rPr>
                <w:rFonts w:ascii="Arial Narrow" w:eastAsia="Times New Roman" w:hAnsi="Arial Narrow" w:cs="Segoe UI"/>
                <w:sz w:val="20"/>
                <w:szCs w:val="20"/>
                <w:lang w:eastAsia="en-AU"/>
              </w:rPr>
            </w:pPr>
            <w:r w:rsidRPr="2AA1CA0C">
              <w:rPr>
                <w:rFonts w:ascii="Arial Narrow" w:eastAsia="Times New Roman" w:hAnsi="Arial Narrow" w:cs="Segoe UI"/>
                <w:sz w:val="20"/>
                <w:szCs w:val="20"/>
                <w:lang w:eastAsia="en-AU"/>
              </w:rPr>
              <w:t>MERIT, Sharaiha 202, Lopez-Nava 2017, Dayyeh 2017, Morales 2018, Espinet 2018, Alqahtania, 2019, Barrichello 2019, Bhandari 2022, Frey 2024</w:t>
            </w:r>
          </w:p>
        </w:tc>
        <w:tc>
          <w:tcPr>
            <w:tcW w:w="914" w:type="pct"/>
            <w:tcBorders>
              <w:top w:val="single" w:sz="6" w:space="0" w:color="auto"/>
              <w:left w:val="single" w:sz="6" w:space="0" w:color="auto"/>
              <w:bottom w:val="single" w:sz="6" w:space="0" w:color="auto"/>
              <w:right w:val="single" w:sz="6" w:space="0" w:color="auto"/>
            </w:tcBorders>
            <w:vAlign w:val="center"/>
          </w:tcPr>
          <w:p w14:paraId="309C4CE5" w14:textId="17873050" w:rsidR="58AC465F" w:rsidRDefault="00855C59" w:rsidP="00D76EFB">
            <w:pPr>
              <w:keepNext/>
              <w:spacing w:before="0" w:after="0" w:line="240" w:lineRule="auto"/>
              <w:jc w:val="center"/>
              <w:rPr>
                <w:rFonts w:ascii="Arial Narrow" w:eastAsia="Times New Roman" w:hAnsi="Arial Narrow" w:cs="Segoe UI"/>
                <w:sz w:val="20"/>
                <w:szCs w:val="20"/>
                <w:lang w:val="en-US" w:eastAsia="en-AU"/>
              </w:rPr>
            </w:pPr>
            <w:r w:rsidRPr="007D18A3">
              <w:rPr>
                <w:rFonts w:ascii="Arial Narrow" w:eastAsia="Times New Roman" w:hAnsi="Arial Narrow" w:cs="Segoe UI"/>
                <w:sz w:val="20"/>
                <w:szCs w:val="20"/>
                <w:lang w:eastAsia="en-AU"/>
              </w:rPr>
              <w:t>%EWL at 12 months</w:t>
            </w:r>
          </w:p>
        </w:tc>
      </w:tr>
      <w:tr w:rsidR="00855C59" w14:paraId="6B7D7779" w14:textId="77777777" w:rsidTr="2AA1CA0C">
        <w:trPr>
          <w:trHeight w:val="300"/>
        </w:trPr>
        <w:tc>
          <w:tcPr>
            <w:tcW w:w="567" w:type="pct"/>
            <w:tcBorders>
              <w:top w:val="single" w:sz="6" w:space="0" w:color="auto"/>
              <w:left w:val="single" w:sz="6" w:space="0" w:color="auto"/>
              <w:bottom w:val="single" w:sz="6" w:space="0" w:color="auto"/>
              <w:right w:val="single" w:sz="6" w:space="0" w:color="auto"/>
            </w:tcBorders>
            <w:vAlign w:val="center"/>
          </w:tcPr>
          <w:p w14:paraId="38EE641A" w14:textId="2B15E904" w:rsidR="00855C59" w:rsidRDefault="00855C59" w:rsidP="00D76EFB">
            <w:pPr>
              <w:keepNext/>
              <w:spacing w:before="0" w:after="0" w:line="240" w:lineRule="auto"/>
              <w:rPr>
                <w:rFonts w:ascii="Arial Narrow" w:hAnsi="Arial Narrow" w:cs="Segoe UI"/>
                <w:sz w:val="20"/>
                <w:szCs w:val="20"/>
              </w:rPr>
            </w:pPr>
            <w:r>
              <w:rPr>
                <w:rFonts w:ascii="Arial Narrow" w:hAnsi="Arial Narrow" w:cs="Segoe UI"/>
                <w:sz w:val="20"/>
                <w:szCs w:val="20"/>
              </w:rPr>
              <w:t>Meta</w:t>
            </w:r>
            <w:r w:rsidR="00EA760D">
              <w:rPr>
                <w:rFonts w:ascii="Arial Narrow" w:hAnsi="Arial Narrow" w:cs="Segoe UI"/>
                <w:sz w:val="20"/>
                <w:szCs w:val="20"/>
              </w:rPr>
              <w:t>-</w:t>
            </w:r>
            <w:r>
              <w:rPr>
                <w:rFonts w:ascii="Arial Narrow" w:hAnsi="Arial Narrow" w:cs="Segoe UI"/>
                <w:sz w:val="20"/>
                <w:szCs w:val="20"/>
              </w:rPr>
              <w:t>analysis</w:t>
            </w:r>
          </w:p>
        </w:tc>
        <w:tc>
          <w:tcPr>
            <w:tcW w:w="3519" w:type="pct"/>
            <w:tcBorders>
              <w:top w:val="single" w:sz="6" w:space="0" w:color="auto"/>
              <w:left w:val="single" w:sz="6" w:space="0" w:color="auto"/>
              <w:bottom w:val="single" w:sz="6" w:space="0" w:color="auto"/>
              <w:right w:val="single" w:sz="6" w:space="0" w:color="auto"/>
            </w:tcBorders>
            <w:vAlign w:val="center"/>
          </w:tcPr>
          <w:p w14:paraId="14FA8D2A" w14:textId="40B50925" w:rsidR="00855C59" w:rsidRDefault="00855C59" w:rsidP="74FD806D">
            <w:pPr>
              <w:keepNext/>
              <w:spacing w:before="0" w:after="0" w:line="240" w:lineRule="auto"/>
              <w:rPr>
                <w:rFonts w:ascii="Arial Narrow" w:eastAsia="Times New Roman" w:hAnsi="Arial Narrow" w:cs="Segoe UI"/>
                <w:sz w:val="20"/>
                <w:szCs w:val="20"/>
                <w:lang w:eastAsia="en-AU"/>
              </w:rPr>
            </w:pPr>
            <w:r w:rsidRPr="74FD806D">
              <w:rPr>
                <w:rFonts w:ascii="Arial Narrow" w:eastAsia="Times New Roman" w:hAnsi="Arial Narrow" w:cs="Segoe UI"/>
                <w:sz w:val="20"/>
                <w:szCs w:val="20"/>
                <w:lang w:eastAsia="en-AU"/>
              </w:rPr>
              <w:t>Abu Dayyeh 2017, Alqahtani 2019</w:t>
            </w:r>
          </w:p>
        </w:tc>
        <w:tc>
          <w:tcPr>
            <w:tcW w:w="914" w:type="pct"/>
            <w:tcBorders>
              <w:top w:val="single" w:sz="6" w:space="0" w:color="auto"/>
              <w:left w:val="single" w:sz="6" w:space="0" w:color="auto"/>
              <w:bottom w:val="single" w:sz="6" w:space="0" w:color="auto"/>
              <w:right w:val="single" w:sz="6" w:space="0" w:color="auto"/>
            </w:tcBorders>
            <w:vAlign w:val="center"/>
          </w:tcPr>
          <w:p w14:paraId="6B064B23" w14:textId="79B94FFE" w:rsidR="00855C59" w:rsidRDefault="34FB3F64" w:rsidP="00D76EFB">
            <w:pPr>
              <w:keepNext/>
              <w:spacing w:before="0" w:after="0" w:line="240" w:lineRule="auto"/>
              <w:jc w:val="center"/>
              <w:rPr>
                <w:rFonts w:ascii="Arial Narrow" w:eastAsia="Times New Roman" w:hAnsi="Arial Narrow" w:cs="Segoe UI"/>
                <w:sz w:val="20"/>
                <w:szCs w:val="20"/>
                <w:lang w:val="en-US" w:eastAsia="en-AU"/>
              </w:rPr>
            </w:pPr>
            <w:r w:rsidRPr="0D77DCC5">
              <w:rPr>
                <w:rFonts w:ascii="Arial Narrow" w:eastAsia="Times New Roman" w:hAnsi="Arial Narrow" w:cs="Segoe UI"/>
                <w:sz w:val="20"/>
                <w:szCs w:val="20"/>
                <w:lang w:eastAsia="en-AU"/>
              </w:rPr>
              <w:t xml:space="preserve">Mild </w:t>
            </w:r>
            <w:r w:rsidR="00C44E88" w:rsidRPr="0D77DCC5">
              <w:rPr>
                <w:rFonts w:ascii="Arial Narrow" w:eastAsia="Times New Roman" w:hAnsi="Arial Narrow" w:cs="Segoe UI"/>
                <w:sz w:val="20"/>
                <w:szCs w:val="20"/>
                <w:lang w:eastAsia="en-AU"/>
              </w:rPr>
              <w:t>AEs</w:t>
            </w:r>
          </w:p>
        </w:tc>
      </w:tr>
      <w:tr w:rsidR="00855C59" w14:paraId="18730877" w14:textId="77777777" w:rsidTr="2AA1CA0C">
        <w:trPr>
          <w:trHeight w:val="300"/>
        </w:trPr>
        <w:tc>
          <w:tcPr>
            <w:tcW w:w="567" w:type="pct"/>
            <w:tcBorders>
              <w:top w:val="single" w:sz="6" w:space="0" w:color="auto"/>
              <w:left w:val="single" w:sz="6" w:space="0" w:color="auto"/>
              <w:bottom w:val="single" w:sz="6" w:space="0" w:color="auto"/>
              <w:right w:val="single" w:sz="6" w:space="0" w:color="auto"/>
            </w:tcBorders>
            <w:vAlign w:val="center"/>
          </w:tcPr>
          <w:p w14:paraId="1F83EEF0" w14:textId="029906EA" w:rsidR="00855C59" w:rsidRDefault="00855C59" w:rsidP="00D76EFB">
            <w:pPr>
              <w:keepNext/>
              <w:spacing w:before="0" w:after="0" w:line="240" w:lineRule="auto"/>
              <w:rPr>
                <w:rFonts w:ascii="Arial Narrow" w:hAnsi="Arial Narrow" w:cs="Segoe UI"/>
                <w:sz w:val="20"/>
                <w:szCs w:val="20"/>
              </w:rPr>
            </w:pPr>
            <w:r>
              <w:rPr>
                <w:rFonts w:ascii="Arial Narrow" w:hAnsi="Arial Narrow" w:cs="Segoe UI"/>
                <w:sz w:val="20"/>
                <w:szCs w:val="20"/>
              </w:rPr>
              <w:t>Meta</w:t>
            </w:r>
            <w:r w:rsidR="00EA760D">
              <w:rPr>
                <w:rFonts w:ascii="Arial Narrow" w:hAnsi="Arial Narrow" w:cs="Segoe UI"/>
                <w:sz w:val="20"/>
                <w:szCs w:val="20"/>
              </w:rPr>
              <w:t>-</w:t>
            </w:r>
            <w:r>
              <w:rPr>
                <w:rFonts w:ascii="Arial Narrow" w:hAnsi="Arial Narrow" w:cs="Segoe UI"/>
                <w:sz w:val="20"/>
                <w:szCs w:val="20"/>
              </w:rPr>
              <w:t>analysis</w:t>
            </w:r>
          </w:p>
        </w:tc>
        <w:tc>
          <w:tcPr>
            <w:tcW w:w="3519" w:type="pct"/>
            <w:tcBorders>
              <w:top w:val="single" w:sz="6" w:space="0" w:color="auto"/>
              <w:left w:val="single" w:sz="6" w:space="0" w:color="auto"/>
              <w:bottom w:val="single" w:sz="6" w:space="0" w:color="auto"/>
              <w:right w:val="single" w:sz="6" w:space="0" w:color="auto"/>
            </w:tcBorders>
            <w:vAlign w:val="center"/>
          </w:tcPr>
          <w:p w14:paraId="4BD93645" w14:textId="15A9D585" w:rsidR="00855C59" w:rsidRDefault="00855C59" w:rsidP="74FD806D">
            <w:pPr>
              <w:keepNext/>
              <w:spacing w:before="0" w:after="0" w:line="240" w:lineRule="auto"/>
              <w:rPr>
                <w:rFonts w:ascii="Arial Narrow" w:eastAsia="Times New Roman" w:hAnsi="Arial Narrow" w:cs="Segoe UI"/>
                <w:sz w:val="20"/>
                <w:szCs w:val="20"/>
                <w:lang w:eastAsia="en-AU"/>
              </w:rPr>
            </w:pPr>
            <w:r w:rsidRPr="74FD806D">
              <w:rPr>
                <w:rFonts w:ascii="Arial Narrow" w:eastAsia="Times New Roman" w:hAnsi="Arial Narrow" w:cs="Segoe UI"/>
                <w:sz w:val="20"/>
                <w:szCs w:val="20"/>
                <w:lang w:eastAsia="en-AU"/>
              </w:rPr>
              <w:t>Abu Dayyeh 2017, Saumoy 2018, Sartoretto 2018, Morales 2018, Alqahtani, 2019, Barrichello 2019</w:t>
            </w:r>
          </w:p>
        </w:tc>
        <w:tc>
          <w:tcPr>
            <w:tcW w:w="914" w:type="pct"/>
            <w:tcBorders>
              <w:top w:val="single" w:sz="6" w:space="0" w:color="auto"/>
              <w:left w:val="single" w:sz="6" w:space="0" w:color="auto"/>
              <w:bottom w:val="single" w:sz="6" w:space="0" w:color="auto"/>
              <w:right w:val="single" w:sz="6" w:space="0" w:color="auto"/>
            </w:tcBorders>
            <w:vAlign w:val="center"/>
          </w:tcPr>
          <w:p w14:paraId="6703D0ED" w14:textId="49AFCAB9" w:rsidR="00855C59" w:rsidRDefault="34FB3F64" w:rsidP="00D76EFB">
            <w:pPr>
              <w:keepNext/>
              <w:spacing w:before="0" w:after="0" w:line="240" w:lineRule="auto"/>
              <w:jc w:val="center"/>
              <w:rPr>
                <w:rFonts w:ascii="Arial Narrow" w:eastAsia="Times New Roman" w:hAnsi="Arial Narrow" w:cs="Segoe UI"/>
                <w:sz w:val="20"/>
                <w:szCs w:val="20"/>
                <w:lang w:val="en-US" w:eastAsia="en-AU"/>
              </w:rPr>
            </w:pPr>
            <w:r w:rsidRPr="0D77DCC5">
              <w:rPr>
                <w:rFonts w:ascii="Arial Narrow" w:eastAsia="Times New Roman" w:hAnsi="Arial Narrow" w:cs="Segoe UI"/>
                <w:sz w:val="20"/>
                <w:szCs w:val="20"/>
                <w:lang w:eastAsia="en-AU"/>
              </w:rPr>
              <w:t xml:space="preserve">Moderate </w:t>
            </w:r>
            <w:r w:rsidR="00C44E88" w:rsidRPr="0D77DCC5">
              <w:rPr>
                <w:rFonts w:ascii="Arial Narrow" w:eastAsia="Times New Roman" w:hAnsi="Arial Narrow" w:cs="Segoe UI"/>
                <w:sz w:val="20"/>
                <w:szCs w:val="20"/>
                <w:lang w:eastAsia="en-AU"/>
              </w:rPr>
              <w:t>AEs</w:t>
            </w:r>
          </w:p>
        </w:tc>
      </w:tr>
      <w:tr w:rsidR="00855C59" w14:paraId="788FB3A0" w14:textId="77777777" w:rsidTr="2AA1CA0C">
        <w:trPr>
          <w:trHeight w:val="300"/>
        </w:trPr>
        <w:tc>
          <w:tcPr>
            <w:tcW w:w="567" w:type="pct"/>
            <w:tcBorders>
              <w:top w:val="single" w:sz="6" w:space="0" w:color="auto"/>
              <w:left w:val="single" w:sz="6" w:space="0" w:color="auto"/>
              <w:bottom w:val="single" w:sz="6" w:space="0" w:color="auto"/>
              <w:right w:val="single" w:sz="6" w:space="0" w:color="auto"/>
            </w:tcBorders>
            <w:vAlign w:val="center"/>
          </w:tcPr>
          <w:p w14:paraId="6BF7AF09" w14:textId="43AAE4EC" w:rsidR="00855C59" w:rsidRDefault="00855C59" w:rsidP="00D76EFB">
            <w:pPr>
              <w:keepNext/>
              <w:spacing w:before="0" w:after="0" w:line="240" w:lineRule="auto"/>
              <w:rPr>
                <w:rFonts w:ascii="Arial Narrow" w:hAnsi="Arial Narrow" w:cs="Segoe UI"/>
                <w:sz w:val="20"/>
                <w:szCs w:val="20"/>
              </w:rPr>
            </w:pPr>
            <w:r>
              <w:rPr>
                <w:rFonts w:ascii="Arial Narrow" w:hAnsi="Arial Narrow" w:cs="Segoe UI"/>
                <w:sz w:val="20"/>
                <w:szCs w:val="20"/>
              </w:rPr>
              <w:t>Meta</w:t>
            </w:r>
            <w:r w:rsidR="00EA760D">
              <w:rPr>
                <w:rFonts w:ascii="Arial Narrow" w:hAnsi="Arial Narrow" w:cs="Segoe UI"/>
                <w:sz w:val="20"/>
                <w:szCs w:val="20"/>
              </w:rPr>
              <w:t>-</w:t>
            </w:r>
            <w:r>
              <w:rPr>
                <w:rFonts w:ascii="Arial Narrow" w:hAnsi="Arial Narrow" w:cs="Segoe UI"/>
                <w:sz w:val="20"/>
                <w:szCs w:val="20"/>
              </w:rPr>
              <w:t>analysis</w:t>
            </w:r>
          </w:p>
        </w:tc>
        <w:tc>
          <w:tcPr>
            <w:tcW w:w="3519" w:type="pct"/>
            <w:tcBorders>
              <w:top w:val="single" w:sz="6" w:space="0" w:color="auto"/>
              <w:left w:val="single" w:sz="6" w:space="0" w:color="auto"/>
              <w:bottom w:val="single" w:sz="6" w:space="0" w:color="auto"/>
              <w:right w:val="single" w:sz="6" w:space="0" w:color="auto"/>
            </w:tcBorders>
            <w:vAlign w:val="center"/>
          </w:tcPr>
          <w:p w14:paraId="439ECB95" w14:textId="15C32E3C" w:rsidR="00855C59" w:rsidRDefault="00855C59" w:rsidP="74FD806D">
            <w:pPr>
              <w:keepNext/>
              <w:spacing w:before="0" w:after="0" w:line="240" w:lineRule="auto"/>
              <w:rPr>
                <w:rFonts w:ascii="Arial Narrow" w:eastAsia="Times New Roman" w:hAnsi="Arial Narrow" w:cs="Segoe UI"/>
                <w:sz w:val="20"/>
                <w:szCs w:val="20"/>
                <w:lang w:eastAsia="en-AU"/>
              </w:rPr>
            </w:pPr>
            <w:r w:rsidRPr="74FD806D">
              <w:rPr>
                <w:rFonts w:ascii="Arial Narrow" w:eastAsia="Times New Roman" w:hAnsi="Arial Narrow" w:cs="Segoe UI"/>
                <w:sz w:val="20"/>
                <w:szCs w:val="20"/>
                <w:lang w:eastAsia="en-AU"/>
              </w:rPr>
              <w:t>Saumoy 2018, Barrichello 2019, Neto 2019</w:t>
            </w:r>
          </w:p>
        </w:tc>
        <w:tc>
          <w:tcPr>
            <w:tcW w:w="914" w:type="pct"/>
            <w:tcBorders>
              <w:top w:val="single" w:sz="6" w:space="0" w:color="auto"/>
              <w:left w:val="single" w:sz="6" w:space="0" w:color="auto"/>
              <w:bottom w:val="single" w:sz="6" w:space="0" w:color="auto"/>
              <w:right w:val="single" w:sz="6" w:space="0" w:color="auto"/>
            </w:tcBorders>
            <w:vAlign w:val="center"/>
          </w:tcPr>
          <w:p w14:paraId="3DF4EF5E" w14:textId="0AFF53C1" w:rsidR="00855C59" w:rsidRDefault="34FB3F64" w:rsidP="00D76EFB">
            <w:pPr>
              <w:keepNext/>
              <w:spacing w:before="0" w:after="0" w:line="240" w:lineRule="auto"/>
              <w:jc w:val="center"/>
              <w:rPr>
                <w:rFonts w:ascii="Arial Narrow" w:eastAsia="Times New Roman" w:hAnsi="Arial Narrow" w:cs="Segoe UI"/>
                <w:sz w:val="20"/>
                <w:szCs w:val="20"/>
                <w:lang w:val="en-US" w:eastAsia="en-AU"/>
              </w:rPr>
            </w:pPr>
            <w:r w:rsidRPr="0D77DCC5">
              <w:rPr>
                <w:rFonts w:ascii="Arial Narrow" w:eastAsia="Times New Roman" w:hAnsi="Arial Narrow" w:cs="Segoe UI"/>
                <w:sz w:val="20"/>
                <w:szCs w:val="20"/>
                <w:lang w:eastAsia="en-AU"/>
              </w:rPr>
              <w:t xml:space="preserve">Severe </w:t>
            </w:r>
            <w:r w:rsidR="00C44E88" w:rsidRPr="0D77DCC5">
              <w:rPr>
                <w:rFonts w:ascii="Arial Narrow" w:eastAsia="Times New Roman" w:hAnsi="Arial Narrow" w:cs="Segoe UI"/>
                <w:sz w:val="20"/>
                <w:szCs w:val="20"/>
                <w:lang w:eastAsia="en-AU"/>
              </w:rPr>
              <w:t>AEs</w:t>
            </w:r>
          </w:p>
        </w:tc>
      </w:tr>
      <w:tr w:rsidR="00855C59" w14:paraId="2447BCBF" w14:textId="77777777" w:rsidTr="2AA1CA0C">
        <w:trPr>
          <w:trHeight w:val="300"/>
        </w:trPr>
        <w:tc>
          <w:tcPr>
            <w:tcW w:w="567" w:type="pct"/>
            <w:tcBorders>
              <w:top w:val="single" w:sz="6" w:space="0" w:color="auto"/>
              <w:left w:val="single" w:sz="6" w:space="0" w:color="auto"/>
              <w:bottom w:val="single" w:sz="6" w:space="0" w:color="auto"/>
              <w:right w:val="single" w:sz="6" w:space="0" w:color="auto"/>
            </w:tcBorders>
            <w:vAlign w:val="center"/>
          </w:tcPr>
          <w:p w14:paraId="0C503D5F" w14:textId="0E1D0822" w:rsidR="00855C59" w:rsidRDefault="00855C59" w:rsidP="00D76EFB">
            <w:pPr>
              <w:keepNext/>
              <w:spacing w:before="0" w:after="0" w:line="240" w:lineRule="auto"/>
              <w:rPr>
                <w:rFonts w:ascii="Arial Narrow" w:hAnsi="Arial Narrow" w:cs="Segoe UI"/>
                <w:sz w:val="20"/>
                <w:szCs w:val="20"/>
              </w:rPr>
            </w:pPr>
            <w:r>
              <w:rPr>
                <w:rFonts w:ascii="Arial Narrow" w:hAnsi="Arial Narrow" w:cs="Segoe UI"/>
                <w:sz w:val="20"/>
                <w:szCs w:val="20"/>
              </w:rPr>
              <w:t>Meta</w:t>
            </w:r>
            <w:r w:rsidR="00EA760D">
              <w:rPr>
                <w:rFonts w:ascii="Arial Narrow" w:hAnsi="Arial Narrow" w:cs="Segoe UI"/>
                <w:sz w:val="20"/>
                <w:szCs w:val="20"/>
              </w:rPr>
              <w:t>-</w:t>
            </w:r>
            <w:r>
              <w:rPr>
                <w:rFonts w:ascii="Arial Narrow" w:hAnsi="Arial Narrow" w:cs="Segoe UI"/>
                <w:sz w:val="20"/>
                <w:szCs w:val="20"/>
              </w:rPr>
              <w:t>analysis</w:t>
            </w:r>
          </w:p>
        </w:tc>
        <w:tc>
          <w:tcPr>
            <w:tcW w:w="3519" w:type="pct"/>
            <w:tcBorders>
              <w:top w:val="single" w:sz="6" w:space="0" w:color="auto"/>
              <w:left w:val="single" w:sz="6" w:space="0" w:color="auto"/>
              <w:bottom w:val="single" w:sz="6" w:space="0" w:color="auto"/>
              <w:right w:val="single" w:sz="6" w:space="0" w:color="auto"/>
            </w:tcBorders>
            <w:vAlign w:val="center"/>
          </w:tcPr>
          <w:p w14:paraId="68B8E920" w14:textId="27BE8BF8" w:rsidR="00855C59" w:rsidRDefault="00855C59" w:rsidP="2AA1CA0C">
            <w:pPr>
              <w:keepNext/>
              <w:spacing w:before="0" w:after="0" w:line="240" w:lineRule="auto"/>
              <w:rPr>
                <w:rFonts w:ascii="Arial Narrow" w:eastAsia="Times New Roman" w:hAnsi="Arial Narrow" w:cs="Segoe UI"/>
                <w:sz w:val="20"/>
                <w:szCs w:val="20"/>
                <w:lang w:eastAsia="en-AU"/>
              </w:rPr>
            </w:pPr>
            <w:r w:rsidRPr="2AA1CA0C">
              <w:rPr>
                <w:rFonts w:ascii="Arial Narrow" w:eastAsia="Times New Roman" w:hAnsi="Arial Narrow" w:cs="Segoe UI"/>
                <w:sz w:val="20"/>
                <w:szCs w:val="20"/>
                <w:lang w:eastAsia="en-AU"/>
              </w:rPr>
              <w:t>Abu Dayyeh 2017, Saumoy 2018, Sartoretto 2018, Morales 2018, Alqahtani, 2019, Barrichello 2019,</w:t>
            </w:r>
            <w:r w:rsidRPr="2AA1CA0C">
              <w:rPr>
                <w:rFonts w:ascii="Arial Narrow" w:eastAsia="Arial Narrow" w:hAnsi="Arial Narrow" w:cs="Arial Narrow"/>
              </w:rPr>
              <w:t xml:space="preserve"> </w:t>
            </w:r>
            <w:r w:rsidRPr="2AA1CA0C">
              <w:rPr>
                <w:rFonts w:ascii="Arial Narrow" w:eastAsia="Times New Roman" w:hAnsi="Arial Narrow" w:cs="Segoe UI"/>
                <w:sz w:val="20"/>
                <w:szCs w:val="20"/>
                <w:lang w:eastAsia="en-AU"/>
              </w:rPr>
              <w:t>Neto 2019</w:t>
            </w:r>
          </w:p>
        </w:tc>
        <w:tc>
          <w:tcPr>
            <w:tcW w:w="914" w:type="pct"/>
            <w:tcBorders>
              <w:top w:val="single" w:sz="6" w:space="0" w:color="auto"/>
              <w:left w:val="single" w:sz="6" w:space="0" w:color="auto"/>
              <w:bottom w:val="single" w:sz="6" w:space="0" w:color="auto"/>
              <w:right w:val="single" w:sz="6" w:space="0" w:color="auto"/>
            </w:tcBorders>
            <w:vAlign w:val="center"/>
          </w:tcPr>
          <w:p w14:paraId="18D45183" w14:textId="06CF23BC" w:rsidR="00855C59" w:rsidRDefault="34FB3F64" w:rsidP="00D76EFB">
            <w:pPr>
              <w:keepNext/>
              <w:spacing w:before="0" w:after="0" w:line="240" w:lineRule="auto"/>
              <w:jc w:val="center"/>
              <w:rPr>
                <w:rFonts w:ascii="Arial Narrow" w:eastAsia="Times New Roman" w:hAnsi="Arial Narrow" w:cs="Segoe UI"/>
                <w:sz w:val="20"/>
                <w:szCs w:val="20"/>
                <w:lang w:val="en-US" w:eastAsia="en-AU"/>
              </w:rPr>
            </w:pPr>
            <w:r w:rsidRPr="0D77DCC5">
              <w:rPr>
                <w:rFonts w:ascii="Arial Narrow" w:eastAsia="Times New Roman" w:hAnsi="Arial Narrow" w:cs="Segoe UI"/>
                <w:sz w:val="20"/>
                <w:szCs w:val="20"/>
                <w:lang w:eastAsia="en-AU"/>
              </w:rPr>
              <w:t xml:space="preserve">Total </w:t>
            </w:r>
            <w:r w:rsidR="00C44E88" w:rsidRPr="0D77DCC5">
              <w:rPr>
                <w:rFonts w:ascii="Arial Narrow" w:eastAsia="Times New Roman" w:hAnsi="Arial Narrow" w:cs="Segoe UI"/>
                <w:sz w:val="20"/>
                <w:szCs w:val="20"/>
                <w:lang w:eastAsia="en-AU"/>
              </w:rPr>
              <w:t>AEs</w:t>
            </w:r>
          </w:p>
        </w:tc>
      </w:tr>
    </w:tbl>
    <w:p w14:paraId="52AE2DA2" w14:textId="35AE86F3" w:rsidR="1729C408" w:rsidRDefault="04AB7062" w:rsidP="00C8307F">
      <w:pPr>
        <w:pStyle w:val="TableFigureFooter"/>
        <w:spacing w:before="0" w:after="160"/>
      </w:pPr>
      <w:r w:rsidRPr="00D76EFB">
        <w:t>Abbreviations:</w:t>
      </w:r>
      <w:r>
        <w:t xml:space="preserve"> </w:t>
      </w:r>
      <w:r w:rsidRPr="00D76EFB">
        <w:t>AE</w:t>
      </w:r>
      <w:r>
        <w:t xml:space="preserve">: adverse event; </w:t>
      </w:r>
      <w:r w:rsidRPr="00D76EFB">
        <w:t>ESG</w:t>
      </w:r>
      <w:r>
        <w:t xml:space="preserve">: endoscopic sleeve gastroplasty, </w:t>
      </w:r>
      <w:r w:rsidRPr="00D76EFB">
        <w:t>GORD</w:t>
      </w:r>
      <w:r>
        <w:t xml:space="preserve">: gastro-oesophageal reflux disease; </w:t>
      </w:r>
      <w:r w:rsidRPr="00D76EFB">
        <w:t>PICO</w:t>
      </w:r>
      <w:r>
        <w:t xml:space="preserve">: population, intervention, comparator, outcome, </w:t>
      </w:r>
      <w:r w:rsidRPr="00D76EFB">
        <w:t>LSG</w:t>
      </w:r>
      <w:r>
        <w:t xml:space="preserve">: laparoscopic sleeve gastrectomy. </w:t>
      </w:r>
      <w:r w:rsidR="00C7489F">
        <w:t xml:space="preserve">%EWL: excess weight loss, </w:t>
      </w:r>
      <w:r>
        <w:t>%TBWL: % total body weight loss</w:t>
      </w:r>
      <w:r w:rsidR="00463D6A">
        <w:br/>
      </w:r>
      <w:r w:rsidR="00463D6A" w:rsidRPr="00820DB5">
        <w:rPr>
          <w:szCs w:val="18"/>
        </w:rPr>
        <w:t xml:space="preserve">Source: </w:t>
      </w:r>
      <w:r w:rsidR="00463D6A">
        <w:rPr>
          <w:szCs w:val="18"/>
        </w:rPr>
        <w:t>compiled during commentary</w:t>
      </w:r>
    </w:p>
    <w:p w14:paraId="060753BF" w14:textId="3D9F78AE" w:rsidR="0021110F" w:rsidRPr="00A205C6" w:rsidRDefault="0021110F" w:rsidP="0021110F">
      <w:pPr>
        <w:pStyle w:val="Heading3"/>
      </w:pPr>
      <w:r>
        <w:t>PICO set</w:t>
      </w:r>
      <w:r w:rsidRPr="00A205C6">
        <w:t xml:space="preserve"> </w:t>
      </w:r>
      <w:r>
        <w:t>2</w:t>
      </w:r>
    </w:p>
    <w:p w14:paraId="45BFDFC3" w14:textId="4FF17925" w:rsidR="00EB5FFC" w:rsidRPr="003251C2" w:rsidRDefault="00EB5FFC" w:rsidP="00E529BA">
      <w:pPr>
        <w:pStyle w:val="BodyText"/>
      </w:pPr>
      <w:r>
        <w:t xml:space="preserve">The clinical evidence presented in the submission </w:t>
      </w:r>
      <w:r w:rsidR="00167AA0">
        <w:t>for PICO set 2 i</w:t>
      </w:r>
      <w:r>
        <w:t xml:space="preserve">s based on </w:t>
      </w:r>
      <w:r w:rsidR="00690F68">
        <w:t>9</w:t>
      </w:r>
      <w:r>
        <w:t xml:space="preserve"> </w:t>
      </w:r>
      <w:r w:rsidR="00E06661">
        <w:t>single</w:t>
      </w:r>
      <w:r w:rsidR="00167AA0">
        <w:t>-</w:t>
      </w:r>
      <w:r w:rsidR="00E06661">
        <w:t>arm</w:t>
      </w:r>
      <w:r>
        <w:t xml:space="preserve"> studies</w:t>
      </w:r>
      <w:r w:rsidR="00167AA0">
        <w:t xml:space="preserve"> (</w:t>
      </w:r>
      <w:r w:rsidR="004B3520">
        <w:fldChar w:fldCharType="begin"/>
      </w:r>
      <w:r w:rsidR="004B3520">
        <w:instrText xml:space="preserve"> REF _Ref184218035 \h </w:instrText>
      </w:r>
      <w:r w:rsidR="004E313E">
        <w:instrText xml:space="preserve"> \* MERGEFORMAT </w:instrText>
      </w:r>
      <w:r w:rsidR="004B3520">
        <w:fldChar w:fldCharType="separate"/>
      </w:r>
      <w:r w:rsidR="008F37D1">
        <w:t>Table 11</w:t>
      </w:r>
      <w:r w:rsidR="004B3520">
        <w:fldChar w:fldCharType="end"/>
      </w:r>
      <w:r w:rsidR="00502AF5">
        <w:t>;</w:t>
      </w:r>
      <w:r w:rsidR="004E313E">
        <w:t xml:space="preserve"> </w:t>
      </w:r>
      <w:r w:rsidR="004E313E">
        <w:fldChar w:fldCharType="begin"/>
      </w:r>
      <w:r w:rsidR="004E313E">
        <w:instrText xml:space="preserve"> REF _Ref202518089 \h </w:instrText>
      </w:r>
      <w:r w:rsidR="004E313E">
        <w:fldChar w:fldCharType="separate"/>
      </w:r>
      <w:r w:rsidR="008F37D1">
        <w:t xml:space="preserve">Table </w:t>
      </w:r>
      <w:r w:rsidR="008F37D1">
        <w:rPr>
          <w:noProof/>
        </w:rPr>
        <w:t>12</w:t>
      </w:r>
      <w:r w:rsidR="004E313E">
        <w:fldChar w:fldCharType="end"/>
      </w:r>
      <w:r w:rsidR="00167AA0">
        <w:t>)</w:t>
      </w:r>
      <w:r>
        <w:t>.</w:t>
      </w:r>
    </w:p>
    <w:p w14:paraId="6A024574" w14:textId="0CA912A3" w:rsidR="0009569A" w:rsidRPr="0000657C" w:rsidRDefault="00DB5357" w:rsidP="0009569A">
      <w:pPr>
        <w:pStyle w:val="Caption"/>
      </w:pPr>
      <w:bookmarkStart w:id="47" w:name="_Ref184218035"/>
      <w:r>
        <w:t>Table</w:t>
      </w:r>
      <w:r w:rsidR="00DC388B">
        <w:t xml:space="preserve"> </w:t>
      </w:r>
      <w:r w:rsidRPr="0D77DCC5">
        <w:fldChar w:fldCharType="begin"/>
      </w:r>
      <w:r>
        <w:instrText xml:space="preserve"> SEQ Table \* ARABIC </w:instrText>
      </w:r>
      <w:r w:rsidRPr="0D77DCC5">
        <w:fldChar w:fldCharType="separate"/>
      </w:r>
      <w:r w:rsidR="008F37D1">
        <w:rPr>
          <w:noProof/>
        </w:rPr>
        <w:t>11</w:t>
      </w:r>
      <w:r w:rsidRPr="0D77DCC5">
        <w:rPr>
          <w:noProof/>
        </w:rPr>
        <w:fldChar w:fldCharType="end"/>
      </w:r>
      <w:bookmarkEnd w:id="47"/>
      <w:r w:rsidR="00E002F8">
        <w:rPr>
          <w:noProof/>
        </w:rPr>
        <w:t xml:space="preserve">: </w:t>
      </w:r>
      <w:r w:rsidRPr="0D77DCC5">
        <w:fldChar w:fldCharType="begin"/>
      </w:r>
      <w:r w:rsidRPr="0D77DCC5">
        <w:fldChar w:fldCharType="separate"/>
      </w:r>
      <w:r w:rsidRPr="0D77DCC5">
        <w:rPr>
          <w:noProof/>
        </w:rPr>
        <w:t>7</w:t>
      </w:r>
      <w:r w:rsidRPr="0D77DCC5">
        <w:rPr>
          <w:noProof/>
        </w:rPr>
        <w:fldChar w:fldCharType="end"/>
      </w:r>
      <w:r w:rsidR="0009569A">
        <w:t>Key features of the included evidence</w:t>
      </w:r>
      <w:r w:rsidR="00C44E88">
        <w:t>,</w:t>
      </w:r>
      <w:r w:rsidR="0009569A">
        <w:t xml:space="preserve"> PICO </w:t>
      </w:r>
      <w:r w:rsidR="008C1CC3">
        <w:t xml:space="preserve">set </w:t>
      </w:r>
      <w:r w:rsidR="00EB5FFC">
        <w:t>2</w:t>
      </w:r>
      <w:r w:rsidR="45160F25">
        <w:t xml:space="preserve"> (ESG vs LSG)</w:t>
      </w:r>
    </w:p>
    <w:tbl>
      <w:tblPr>
        <w:tblpPr w:leftFromText="180" w:rightFromText="180" w:bottomFromText="160" w:vertAnchor="text" w:horzAnchor="margin" w:tblpY="267"/>
        <w:tblW w:w="90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24"/>
        <w:gridCol w:w="594"/>
        <w:gridCol w:w="1035"/>
        <w:gridCol w:w="765"/>
        <w:gridCol w:w="784"/>
        <w:gridCol w:w="795"/>
        <w:gridCol w:w="795"/>
        <w:gridCol w:w="852"/>
        <w:gridCol w:w="1403"/>
        <w:gridCol w:w="1068"/>
      </w:tblGrid>
      <w:tr w:rsidR="00136F73" w:rsidRPr="00E710CF" w14:paraId="6EBF0908" w14:textId="77777777" w:rsidTr="00ED651B">
        <w:trPr>
          <w:trHeight w:val="548"/>
          <w:tblHeader/>
        </w:trPr>
        <w:tc>
          <w:tcPr>
            <w:tcW w:w="92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0234A" w14:textId="4429D8C4" w:rsidR="00E710CF" w:rsidRPr="00E710CF" w:rsidRDefault="2D7EDF77" w:rsidP="00E710CF">
            <w:pPr>
              <w:spacing w:before="0" w:after="0" w:line="240" w:lineRule="auto"/>
              <w:textAlignment w:val="baseline"/>
              <w:rPr>
                <w:rFonts w:ascii="Arial Narrow" w:eastAsia="Arial Narrow" w:hAnsi="Arial Narrow" w:cs="Arial Narrow"/>
                <w:b/>
                <w:sz w:val="20"/>
                <w:szCs w:val="20"/>
                <w:lang w:eastAsia="en-AU"/>
              </w:rPr>
            </w:pPr>
            <w:r w:rsidRPr="7D413406">
              <w:rPr>
                <w:rFonts w:ascii="Arial Narrow" w:eastAsia="Arial Narrow" w:hAnsi="Arial Narrow" w:cs="Arial Narrow"/>
                <w:b/>
                <w:sz w:val="20"/>
                <w:szCs w:val="20"/>
                <w:lang w:val="en-US" w:eastAsia="en-AU"/>
              </w:rPr>
              <w:t>Reference</w:t>
            </w:r>
            <w:r w:rsidRPr="7D413406">
              <w:rPr>
                <w:rFonts w:ascii="Arial Narrow" w:eastAsia="Arial Narrow" w:hAnsi="Arial Narrow" w:cs="Arial Narrow"/>
                <w:b/>
                <w:sz w:val="20"/>
                <w:szCs w:val="20"/>
                <w:lang w:eastAsia="en-AU"/>
              </w:rPr>
              <w:t> </w:t>
            </w:r>
          </w:p>
        </w:tc>
        <w:tc>
          <w:tcPr>
            <w:tcW w:w="5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16BA28" w14:textId="77777777" w:rsidR="00E710CF" w:rsidRPr="00E710CF" w:rsidRDefault="00E710CF" w:rsidP="00E710CF">
            <w:pPr>
              <w:spacing w:before="0" w:after="0" w:line="240" w:lineRule="auto"/>
              <w:jc w:val="center"/>
              <w:textAlignment w:val="baseline"/>
              <w:rPr>
                <w:rFonts w:ascii="Arial Narrow" w:eastAsia="Arial Narrow" w:hAnsi="Arial Narrow" w:cs="Arial Narrow"/>
                <w:b/>
                <w:sz w:val="20"/>
                <w:szCs w:val="20"/>
                <w:lang w:eastAsia="en-AU"/>
              </w:rPr>
            </w:pPr>
            <w:r w:rsidRPr="7D413406">
              <w:rPr>
                <w:rFonts w:ascii="Arial Narrow" w:eastAsia="Arial Narrow" w:hAnsi="Arial Narrow" w:cs="Arial Narrow"/>
                <w:b/>
                <w:sz w:val="20"/>
                <w:szCs w:val="20"/>
                <w:lang w:val="en-US" w:eastAsia="en-AU"/>
              </w:rPr>
              <w:t>N</w:t>
            </w:r>
            <w:r w:rsidRPr="7D413406">
              <w:rPr>
                <w:rFonts w:ascii="Arial Narrow" w:eastAsia="Arial Narrow" w:hAnsi="Arial Narrow" w:cs="Arial Narrow"/>
                <w:b/>
                <w:sz w:val="20"/>
                <w:szCs w:val="20"/>
                <w:lang w:eastAsia="en-AU"/>
              </w:rPr>
              <w:t> </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F05610" w14:textId="77777777" w:rsidR="00E710CF" w:rsidRPr="00E710CF" w:rsidRDefault="00E710CF" w:rsidP="00E710CF">
            <w:pPr>
              <w:spacing w:before="0" w:after="0" w:line="240" w:lineRule="auto"/>
              <w:jc w:val="center"/>
              <w:textAlignment w:val="baseline"/>
              <w:rPr>
                <w:rFonts w:ascii="Arial Narrow" w:eastAsia="Arial Narrow" w:hAnsi="Arial Narrow" w:cs="Arial Narrow"/>
                <w:b/>
                <w:sz w:val="20"/>
                <w:szCs w:val="20"/>
                <w:lang w:eastAsia="en-AU"/>
              </w:rPr>
            </w:pPr>
            <w:r w:rsidRPr="7D413406">
              <w:rPr>
                <w:rFonts w:ascii="Arial Narrow" w:eastAsia="Arial Narrow" w:hAnsi="Arial Narrow" w:cs="Arial Narrow"/>
                <w:b/>
                <w:sz w:val="20"/>
                <w:szCs w:val="20"/>
                <w:lang w:val="en-US" w:eastAsia="en-AU"/>
              </w:rPr>
              <w:t>Design</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22933C" w14:textId="77777777" w:rsidR="00E710CF" w:rsidRPr="00E710CF" w:rsidRDefault="00E710CF" w:rsidP="00E710CF">
            <w:pPr>
              <w:spacing w:before="0" w:after="0" w:line="240" w:lineRule="auto"/>
              <w:jc w:val="center"/>
              <w:textAlignment w:val="baseline"/>
              <w:rPr>
                <w:rFonts w:ascii="Arial Narrow" w:eastAsia="Arial Narrow" w:hAnsi="Arial Narrow" w:cs="Arial Narrow"/>
                <w:b/>
                <w:sz w:val="20"/>
                <w:szCs w:val="20"/>
                <w:lang w:eastAsia="en-AU"/>
              </w:rPr>
            </w:pPr>
            <w:r w:rsidRPr="7D413406">
              <w:rPr>
                <w:rFonts w:ascii="Arial Narrow" w:eastAsia="Arial Narrow" w:hAnsi="Arial Narrow" w:cs="Arial Narrow"/>
                <w:b/>
                <w:sz w:val="20"/>
                <w:szCs w:val="20"/>
                <w:lang w:val="en-US" w:eastAsia="en-AU"/>
              </w:rPr>
              <w:t>Duration</w:t>
            </w:r>
            <w:r w:rsidRPr="7D413406">
              <w:rPr>
                <w:rFonts w:ascii="Arial Narrow" w:eastAsia="Arial Narrow" w:hAnsi="Arial Narrow" w:cs="Arial Narrow"/>
                <w:b/>
                <w:sz w:val="20"/>
                <w:szCs w:val="20"/>
                <w:lang w:eastAsia="en-AU"/>
              </w:rPr>
              <w:t> </w:t>
            </w:r>
          </w:p>
        </w:tc>
        <w:tc>
          <w:tcPr>
            <w:tcW w:w="7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771C2C" w14:textId="77777777" w:rsidR="00E710CF" w:rsidRPr="00E710CF" w:rsidRDefault="00E710CF" w:rsidP="00E710CF">
            <w:pPr>
              <w:spacing w:before="0" w:after="0" w:line="240" w:lineRule="auto"/>
              <w:jc w:val="center"/>
              <w:textAlignment w:val="baseline"/>
              <w:rPr>
                <w:rFonts w:ascii="Arial Narrow" w:eastAsia="Arial Narrow" w:hAnsi="Arial Narrow" w:cs="Arial Narrow"/>
                <w:b/>
                <w:sz w:val="20"/>
                <w:szCs w:val="20"/>
                <w:lang w:eastAsia="en-AU"/>
              </w:rPr>
            </w:pPr>
            <w:r w:rsidRPr="7D413406">
              <w:rPr>
                <w:rFonts w:ascii="Arial Narrow" w:eastAsia="Arial Narrow" w:hAnsi="Arial Narrow" w:cs="Arial Narrow"/>
                <w:b/>
                <w:sz w:val="20"/>
                <w:szCs w:val="20"/>
                <w:lang w:val="en-US" w:eastAsia="en-AU"/>
              </w:rPr>
              <w:t>Risk of bias</w:t>
            </w:r>
            <w:r w:rsidRPr="7D413406">
              <w:rPr>
                <w:rFonts w:ascii="Arial Narrow" w:eastAsia="Arial Narrow" w:hAnsi="Arial Narrow" w:cs="Arial Narrow"/>
                <w:b/>
                <w:sz w:val="20"/>
                <w:szCs w:val="20"/>
                <w:lang w:eastAsia="en-AU"/>
              </w:rPr>
              <w:t> </w:t>
            </w:r>
          </w:p>
        </w:tc>
        <w:tc>
          <w:tcPr>
            <w:tcW w:w="2442" w:type="dxa"/>
            <w:gridSpan w:val="3"/>
            <w:tcBorders>
              <w:top w:val="single" w:sz="6" w:space="0" w:color="auto"/>
              <w:left w:val="single" w:sz="4" w:space="0" w:color="auto"/>
              <w:bottom w:val="single" w:sz="6" w:space="0" w:color="auto"/>
              <w:right w:val="single" w:sz="4" w:space="0" w:color="auto"/>
            </w:tcBorders>
            <w:shd w:val="clear" w:color="auto" w:fill="FFFFFF" w:themeFill="background1"/>
            <w:vAlign w:val="center"/>
            <w:hideMark/>
          </w:tcPr>
          <w:p w14:paraId="0A808061" w14:textId="77777777" w:rsidR="00E710CF" w:rsidRPr="00E710CF" w:rsidRDefault="00E710CF" w:rsidP="00E710CF">
            <w:pPr>
              <w:spacing w:before="0" w:after="0" w:line="240" w:lineRule="auto"/>
              <w:jc w:val="center"/>
              <w:textAlignment w:val="baseline"/>
              <w:rPr>
                <w:rFonts w:ascii="Arial Narrow" w:eastAsia="Arial Narrow" w:hAnsi="Arial Narrow" w:cs="Arial Narrow"/>
                <w:b/>
                <w:sz w:val="20"/>
                <w:szCs w:val="20"/>
                <w:lang w:val="en-US" w:eastAsia="en-AU"/>
              </w:rPr>
            </w:pPr>
            <w:r w:rsidRPr="7D413406">
              <w:rPr>
                <w:rFonts w:ascii="Arial Narrow" w:eastAsia="Arial Narrow" w:hAnsi="Arial Narrow" w:cs="Arial Narrow"/>
                <w:b/>
                <w:sz w:val="20"/>
                <w:szCs w:val="20"/>
                <w:lang w:val="en-US" w:eastAsia="en-AU"/>
              </w:rPr>
              <w:t>Patient population (ESG/LSG)</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C9CC25" w14:textId="77777777" w:rsidR="00E710CF" w:rsidRPr="00E710CF" w:rsidRDefault="00E710CF" w:rsidP="00E710CF">
            <w:pPr>
              <w:spacing w:before="0" w:after="0" w:line="240" w:lineRule="auto"/>
              <w:jc w:val="center"/>
              <w:textAlignment w:val="baseline"/>
              <w:rPr>
                <w:rFonts w:ascii="Arial Narrow" w:eastAsia="Arial Narrow" w:hAnsi="Arial Narrow" w:cs="Arial Narrow"/>
                <w:b/>
                <w:sz w:val="20"/>
                <w:szCs w:val="20"/>
                <w:lang w:eastAsia="en-AU"/>
              </w:rPr>
            </w:pPr>
            <w:r w:rsidRPr="7D413406">
              <w:rPr>
                <w:rFonts w:ascii="Arial Narrow" w:eastAsia="Arial Narrow" w:hAnsi="Arial Narrow" w:cs="Arial Narrow"/>
                <w:b/>
                <w:sz w:val="20"/>
                <w:szCs w:val="20"/>
                <w:lang w:val="en-US" w:eastAsia="en-AU"/>
              </w:rPr>
              <w:t>Outcome(s)</w:t>
            </w:r>
            <w:r w:rsidRPr="7D413406">
              <w:rPr>
                <w:rFonts w:ascii="Arial Narrow" w:eastAsia="Arial Narrow" w:hAnsi="Arial Narrow" w:cs="Arial Narrow"/>
                <w:b/>
                <w:sz w:val="20"/>
                <w:szCs w:val="20"/>
                <w:lang w:eastAsia="en-AU"/>
              </w:rPr>
              <w:t> </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A9AF83" w14:textId="159165D4" w:rsidR="00E710CF" w:rsidRPr="00E710CF" w:rsidRDefault="00E710CF" w:rsidP="00E710CF">
            <w:pPr>
              <w:spacing w:before="0" w:after="0" w:line="240" w:lineRule="auto"/>
              <w:jc w:val="center"/>
              <w:textAlignment w:val="baseline"/>
              <w:rPr>
                <w:rFonts w:ascii="Arial Narrow" w:eastAsia="Arial Narrow" w:hAnsi="Arial Narrow" w:cs="Arial Narrow"/>
                <w:b/>
                <w:sz w:val="20"/>
                <w:szCs w:val="20"/>
                <w:lang w:eastAsia="en-AU"/>
              </w:rPr>
            </w:pPr>
            <w:r w:rsidRPr="7D413406">
              <w:rPr>
                <w:rFonts w:ascii="Arial Narrow" w:eastAsia="Arial Narrow" w:hAnsi="Arial Narrow" w:cs="Arial Narrow"/>
                <w:b/>
                <w:sz w:val="20"/>
                <w:szCs w:val="20"/>
                <w:lang w:val="en-US" w:eastAsia="en-AU"/>
              </w:rPr>
              <w:t>Use in modelled evaluation</w:t>
            </w:r>
            <w:r w:rsidRPr="7D413406">
              <w:rPr>
                <w:rFonts w:ascii="Arial Narrow" w:eastAsia="Arial Narrow" w:hAnsi="Arial Narrow" w:cs="Arial Narrow"/>
                <w:b/>
                <w:sz w:val="20"/>
                <w:szCs w:val="20"/>
                <w:lang w:eastAsia="en-AU"/>
              </w:rPr>
              <w:t> </w:t>
            </w:r>
          </w:p>
        </w:tc>
      </w:tr>
      <w:tr w:rsidR="00136F73" w:rsidRPr="00E710CF" w14:paraId="4425ED5B" w14:textId="77777777" w:rsidTr="00ED651B">
        <w:trPr>
          <w:trHeight w:val="547"/>
        </w:trPr>
        <w:tc>
          <w:tcPr>
            <w:tcW w:w="924" w:type="dxa"/>
            <w:vMerge/>
            <w:tcBorders>
              <w:top w:val="nil"/>
              <w:left w:val="single" w:sz="4" w:space="0" w:color="auto"/>
              <w:bottom w:val="single" w:sz="4" w:space="0" w:color="auto"/>
              <w:right w:val="single" w:sz="4" w:space="0" w:color="auto"/>
            </w:tcBorders>
            <w:vAlign w:val="center"/>
            <w:hideMark/>
          </w:tcPr>
          <w:p w14:paraId="31CA6CF2" w14:textId="77777777" w:rsidR="00E710CF" w:rsidRPr="00E710CF" w:rsidRDefault="00E710CF" w:rsidP="00E710CF">
            <w:pPr>
              <w:spacing w:before="0" w:after="0" w:line="256" w:lineRule="auto"/>
              <w:rPr>
                <w:rFonts w:ascii="Segoe UI" w:eastAsia="Times New Roman" w:hAnsi="Segoe UI" w:cs="Segoe UI"/>
                <w:b/>
                <w:bCs/>
                <w:sz w:val="18"/>
                <w:szCs w:val="18"/>
                <w:lang w:eastAsia="en-AU"/>
              </w:rPr>
            </w:pPr>
          </w:p>
        </w:tc>
        <w:tc>
          <w:tcPr>
            <w:tcW w:w="594" w:type="dxa"/>
            <w:vMerge/>
            <w:tcBorders>
              <w:top w:val="nil"/>
              <w:left w:val="single" w:sz="4" w:space="0" w:color="auto"/>
              <w:bottom w:val="single" w:sz="4" w:space="0" w:color="auto"/>
              <w:right w:val="single" w:sz="4" w:space="0" w:color="auto"/>
            </w:tcBorders>
            <w:vAlign w:val="center"/>
            <w:hideMark/>
          </w:tcPr>
          <w:p w14:paraId="3DC24F43" w14:textId="77777777" w:rsidR="00E710CF" w:rsidRPr="00E710CF" w:rsidRDefault="00E710CF" w:rsidP="00E710CF">
            <w:pPr>
              <w:spacing w:before="0" w:after="0" w:line="256" w:lineRule="auto"/>
              <w:rPr>
                <w:rFonts w:ascii="Segoe UI" w:eastAsia="Times New Roman" w:hAnsi="Segoe UI" w:cs="Segoe UI"/>
                <w:b/>
                <w:bCs/>
                <w:sz w:val="18"/>
                <w:szCs w:val="18"/>
                <w:lang w:eastAsia="en-AU"/>
              </w:rPr>
            </w:pPr>
          </w:p>
        </w:tc>
        <w:tc>
          <w:tcPr>
            <w:tcW w:w="1035" w:type="dxa"/>
            <w:vMerge/>
            <w:tcBorders>
              <w:top w:val="nil"/>
              <w:left w:val="single" w:sz="4" w:space="0" w:color="auto"/>
              <w:bottom w:val="single" w:sz="4" w:space="0" w:color="auto"/>
              <w:right w:val="single" w:sz="4" w:space="0" w:color="auto"/>
            </w:tcBorders>
            <w:vAlign w:val="center"/>
            <w:hideMark/>
          </w:tcPr>
          <w:p w14:paraId="6267A4E4" w14:textId="77777777" w:rsidR="00E710CF" w:rsidRPr="00E710CF" w:rsidRDefault="00E710CF" w:rsidP="00E710CF">
            <w:pPr>
              <w:spacing w:before="0" w:after="0" w:line="256" w:lineRule="auto"/>
              <w:rPr>
                <w:rFonts w:ascii="Segoe UI" w:eastAsia="Times New Roman" w:hAnsi="Segoe UI" w:cs="Segoe UI"/>
                <w:b/>
                <w:bCs/>
                <w:sz w:val="18"/>
                <w:szCs w:val="18"/>
                <w:lang w:eastAsia="en-AU"/>
              </w:rPr>
            </w:pPr>
          </w:p>
        </w:tc>
        <w:tc>
          <w:tcPr>
            <w:tcW w:w="765" w:type="dxa"/>
            <w:vMerge/>
            <w:tcBorders>
              <w:top w:val="nil"/>
              <w:left w:val="single" w:sz="4" w:space="0" w:color="auto"/>
              <w:bottom w:val="single" w:sz="4" w:space="0" w:color="auto"/>
              <w:right w:val="single" w:sz="4" w:space="0" w:color="auto"/>
            </w:tcBorders>
            <w:vAlign w:val="center"/>
            <w:hideMark/>
          </w:tcPr>
          <w:p w14:paraId="3D2D99B7" w14:textId="77777777" w:rsidR="00E710CF" w:rsidRPr="00E710CF" w:rsidRDefault="00E710CF" w:rsidP="00E710CF">
            <w:pPr>
              <w:spacing w:before="0" w:after="0" w:line="256" w:lineRule="auto"/>
              <w:rPr>
                <w:rFonts w:ascii="Segoe UI" w:eastAsia="Times New Roman" w:hAnsi="Segoe UI" w:cs="Segoe UI"/>
                <w:b/>
                <w:bCs/>
                <w:sz w:val="18"/>
                <w:szCs w:val="18"/>
                <w:lang w:eastAsia="en-AU"/>
              </w:rPr>
            </w:pPr>
          </w:p>
        </w:tc>
        <w:tc>
          <w:tcPr>
            <w:tcW w:w="784" w:type="dxa"/>
            <w:vMerge/>
            <w:tcBorders>
              <w:top w:val="nil"/>
              <w:left w:val="single" w:sz="4" w:space="0" w:color="auto"/>
              <w:bottom w:val="single" w:sz="4" w:space="0" w:color="auto"/>
            </w:tcBorders>
            <w:vAlign w:val="center"/>
            <w:hideMark/>
          </w:tcPr>
          <w:p w14:paraId="196EE7FC" w14:textId="77777777" w:rsidR="00E710CF" w:rsidRPr="00E710CF" w:rsidRDefault="00E710CF" w:rsidP="00E710CF">
            <w:pPr>
              <w:spacing w:before="0" w:after="0" w:line="256" w:lineRule="auto"/>
              <w:rPr>
                <w:rFonts w:ascii="Segoe UI" w:eastAsia="Times New Roman" w:hAnsi="Segoe UI" w:cs="Segoe UI"/>
                <w:b/>
                <w:bCs/>
                <w:sz w:val="18"/>
                <w:szCs w:val="18"/>
                <w:lang w:eastAsia="en-AU"/>
              </w:rPr>
            </w:pPr>
          </w:p>
        </w:tc>
        <w:tc>
          <w:tcPr>
            <w:tcW w:w="795" w:type="dxa"/>
            <w:tcBorders>
              <w:top w:val="single" w:sz="6" w:space="0" w:color="auto"/>
              <w:left w:val="single" w:sz="4" w:space="0" w:color="auto"/>
              <w:bottom w:val="single" w:sz="6" w:space="0" w:color="auto"/>
              <w:right w:val="single" w:sz="6" w:space="0" w:color="auto"/>
            </w:tcBorders>
            <w:shd w:val="clear" w:color="auto" w:fill="FFFFFF" w:themeFill="background1"/>
            <w:vAlign w:val="center"/>
            <w:hideMark/>
          </w:tcPr>
          <w:p w14:paraId="4EC6749B" w14:textId="77777777" w:rsidR="00E710CF" w:rsidRPr="00E710CF" w:rsidRDefault="00E710CF" w:rsidP="00E710CF">
            <w:pPr>
              <w:spacing w:before="0" w:after="0" w:line="240" w:lineRule="auto"/>
              <w:jc w:val="center"/>
              <w:textAlignment w:val="baseline"/>
              <w:rPr>
                <w:rFonts w:ascii="Arial Narrow" w:eastAsia="Arial Narrow" w:hAnsi="Arial Narrow" w:cs="Arial Narrow"/>
                <w:b/>
                <w:sz w:val="20"/>
                <w:szCs w:val="20"/>
                <w:lang w:val="en-US" w:eastAsia="en-AU"/>
              </w:rPr>
            </w:pPr>
            <w:r w:rsidRPr="7D413406">
              <w:rPr>
                <w:rFonts w:ascii="Arial Narrow" w:eastAsia="Arial Narrow" w:hAnsi="Arial Narrow" w:cs="Arial Narrow"/>
                <w:b/>
                <w:sz w:val="20"/>
                <w:szCs w:val="20"/>
                <w:lang w:val="en-US" w:eastAsia="en-AU"/>
              </w:rPr>
              <w:t>mean age (years)</w:t>
            </w:r>
          </w:p>
        </w:tc>
        <w:tc>
          <w:tcPr>
            <w:tcW w:w="7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E7431C8" w14:textId="77777777" w:rsidR="00E710CF" w:rsidRPr="00E710CF" w:rsidRDefault="00E710CF" w:rsidP="00E710CF">
            <w:pPr>
              <w:spacing w:before="0" w:after="0" w:line="240" w:lineRule="auto"/>
              <w:jc w:val="center"/>
              <w:textAlignment w:val="baseline"/>
              <w:rPr>
                <w:rFonts w:ascii="Arial Narrow" w:eastAsia="Arial Narrow" w:hAnsi="Arial Narrow" w:cs="Arial Narrow"/>
                <w:b/>
                <w:sz w:val="20"/>
                <w:szCs w:val="20"/>
                <w:lang w:val="en-US" w:eastAsia="en-AU"/>
              </w:rPr>
            </w:pPr>
            <w:r w:rsidRPr="7D413406">
              <w:rPr>
                <w:rFonts w:ascii="Arial Narrow" w:eastAsia="Arial Narrow" w:hAnsi="Arial Narrow" w:cs="Arial Narrow"/>
                <w:b/>
                <w:sz w:val="20"/>
                <w:szCs w:val="20"/>
                <w:lang w:val="en-US" w:eastAsia="en-AU"/>
              </w:rPr>
              <w:t>female (%)</w:t>
            </w:r>
          </w:p>
        </w:tc>
        <w:tc>
          <w:tcPr>
            <w:tcW w:w="852" w:type="dxa"/>
            <w:tcBorders>
              <w:top w:val="single" w:sz="6" w:space="0" w:color="auto"/>
              <w:left w:val="single" w:sz="6" w:space="0" w:color="auto"/>
              <w:bottom w:val="single" w:sz="6" w:space="0" w:color="auto"/>
              <w:right w:val="single" w:sz="4" w:space="0" w:color="auto"/>
            </w:tcBorders>
            <w:shd w:val="clear" w:color="auto" w:fill="FFFFFF" w:themeFill="background1"/>
            <w:vAlign w:val="center"/>
            <w:hideMark/>
          </w:tcPr>
          <w:p w14:paraId="3AA68678" w14:textId="589CC3BC" w:rsidR="00E710CF" w:rsidRPr="00E710CF" w:rsidRDefault="006E6038" w:rsidP="00E710CF">
            <w:pPr>
              <w:spacing w:before="0" w:after="0" w:line="240" w:lineRule="auto"/>
              <w:jc w:val="center"/>
              <w:textAlignment w:val="baseline"/>
              <w:rPr>
                <w:rFonts w:ascii="Arial Narrow" w:eastAsia="Arial Narrow" w:hAnsi="Arial Narrow" w:cs="Arial Narrow"/>
                <w:b/>
                <w:sz w:val="20"/>
                <w:szCs w:val="20"/>
                <w:lang w:val="en-US" w:eastAsia="en-AU"/>
              </w:rPr>
            </w:pPr>
            <w:r>
              <w:rPr>
                <w:rFonts w:ascii="Arial Narrow" w:eastAsia="Arial Narrow" w:hAnsi="Arial Narrow" w:cs="Arial Narrow"/>
                <w:b/>
                <w:sz w:val="20"/>
                <w:szCs w:val="20"/>
                <w:lang w:val="en-US" w:eastAsia="en-AU"/>
              </w:rPr>
              <w:t xml:space="preserve">mean </w:t>
            </w:r>
            <w:r w:rsidR="2D7EDF77" w:rsidRPr="7D413406">
              <w:rPr>
                <w:rFonts w:ascii="Arial Narrow" w:eastAsia="Arial Narrow" w:hAnsi="Arial Narrow" w:cs="Arial Narrow"/>
                <w:b/>
                <w:sz w:val="20"/>
                <w:szCs w:val="20"/>
                <w:lang w:val="en-US" w:eastAsia="en-AU"/>
              </w:rPr>
              <w:t>BMI (kg/m</w:t>
            </w:r>
            <w:r w:rsidR="2D7EDF77" w:rsidRPr="7D413406">
              <w:rPr>
                <w:rFonts w:ascii="Arial Narrow" w:eastAsia="Arial Narrow" w:hAnsi="Arial Narrow" w:cs="Arial Narrow"/>
                <w:b/>
                <w:sz w:val="20"/>
                <w:szCs w:val="20"/>
                <w:vertAlign w:val="superscript"/>
                <w:lang w:val="en-US"/>
              </w:rPr>
              <w:t>2</w:t>
            </w:r>
            <w:r w:rsidR="2D7EDF77" w:rsidRPr="7D413406">
              <w:rPr>
                <w:rFonts w:ascii="Arial Narrow" w:eastAsia="Arial Narrow" w:hAnsi="Arial Narrow" w:cs="Arial Narrow"/>
                <w:b/>
                <w:sz w:val="20"/>
                <w:szCs w:val="20"/>
                <w:lang w:val="en-US" w:eastAsia="en-AU"/>
              </w:rPr>
              <w:t>)</w:t>
            </w:r>
          </w:p>
        </w:tc>
        <w:tc>
          <w:tcPr>
            <w:tcW w:w="1403" w:type="dxa"/>
            <w:vMerge/>
            <w:tcBorders>
              <w:top w:val="nil"/>
              <w:bottom w:val="single" w:sz="4" w:space="0" w:color="auto"/>
              <w:right w:val="single" w:sz="4" w:space="0" w:color="auto"/>
            </w:tcBorders>
            <w:vAlign w:val="center"/>
            <w:hideMark/>
          </w:tcPr>
          <w:p w14:paraId="21818801" w14:textId="77777777" w:rsidR="00E710CF" w:rsidRPr="00E710CF" w:rsidRDefault="00E710CF" w:rsidP="00E710CF">
            <w:pPr>
              <w:spacing w:before="0" w:after="0" w:line="256" w:lineRule="auto"/>
              <w:rPr>
                <w:rFonts w:ascii="Segoe UI" w:eastAsia="Times New Roman" w:hAnsi="Segoe UI" w:cs="Segoe UI"/>
                <w:b/>
                <w:bCs/>
                <w:sz w:val="18"/>
                <w:szCs w:val="18"/>
                <w:lang w:eastAsia="en-AU"/>
              </w:rPr>
            </w:pPr>
          </w:p>
        </w:tc>
        <w:tc>
          <w:tcPr>
            <w:tcW w:w="1068" w:type="dxa"/>
            <w:vMerge/>
            <w:tcBorders>
              <w:top w:val="nil"/>
              <w:left w:val="single" w:sz="4" w:space="0" w:color="auto"/>
              <w:bottom w:val="single" w:sz="4" w:space="0" w:color="auto"/>
              <w:right w:val="single" w:sz="4" w:space="0" w:color="auto"/>
            </w:tcBorders>
            <w:vAlign w:val="center"/>
            <w:hideMark/>
          </w:tcPr>
          <w:p w14:paraId="014B631D" w14:textId="77777777" w:rsidR="00E710CF" w:rsidRPr="00E710CF" w:rsidRDefault="00E710CF" w:rsidP="00E710CF">
            <w:pPr>
              <w:spacing w:before="0" w:after="0" w:line="256" w:lineRule="auto"/>
              <w:rPr>
                <w:rFonts w:ascii="Segoe UI" w:eastAsia="Times New Roman" w:hAnsi="Segoe UI" w:cs="Segoe UI"/>
                <w:b/>
                <w:bCs/>
                <w:sz w:val="18"/>
                <w:szCs w:val="18"/>
                <w:lang w:eastAsia="en-AU"/>
              </w:rPr>
            </w:pPr>
          </w:p>
        </w:tc>
      </w:tr>
      <w:tr w:rsidR="00E710CF" w:rsidRPr="00E710CF" w14:paraId="38A5A24B" w14:textId="77777777" w:rsidTr="2AA1CA0C">
        <w:trPr>
          <w:trHeight w:val="300"/>
        </w:trPr>
        <w:tc>
          <w:tcPr>
            <w:tcW w:w="9015" w:type="dxa"/>
            <w:gridSpan w:val="10"/>
            <w:tcBorders>
              <w:top w:val="single" w:sz="6" w:space="0" w:color="auto"/>
              <w:left w:val="single" w:sz="6" w:space="0" w:color="auto"/>
              <w:bottom w:val="single" w:sz="6" w:space="0" w:color="auto"/>
              <w:right w:val="single" w:sz="6" w:space="0" w:color="auto"/>
            </w:tcBorders>
            <w:vAlign w:val="center"/>
            <w:hideMark/>
          </w:tcPr>
          <w:p w14:paraId="7E0FA122" w14:textId="77777777" w:rsidR="00E710CF" w:rsidRPr="00E710CF" w:rsidRDefault="00E710CF" w:rsidP="00E710CF">
            <w:pPr>
              <w:spacing w:before="0" w:after="0" w:line="240" w:lineRule="auto"/>
              <w:textAlignment w:val="baseline"/>
              <w:rPr>
                <w:rFonts w:ascii="Arial Narrow" w:eastAsia="Arial Narrow" w:hAnsi="Arial Narrow" w:cs="Arial Narrow"/>
                <w:b/>
                <w:sz w:val="20"/>
                <w:szCs w:val="20"/>
                <w:lang w:eastAsia="en-AU"/>
              </w:rPr>
            </w:pPr>
            <w:r w:rsidRPr="7D413406">
              <w:rPr>
                <w:rFonts w:ascii="Arial Narrow" w:eastAsia="Arial Narrow" w:hAnsi="Arial Narrow" w:cs="Arial Narrow"/>
                <w:b/>
                <w:sz w:val="20"/>
                <w:szCs w:val="20"/>
                <w:lang w:eastAsia="en-AU"/>
              </w:rPr>
              <w:t>ESG vs LSG</w:t>
            </w:r>
          </w:p>
        </w:tc>
      </w:tr>
      <w:tr w:rsidR="00E710CF" w:rsidRPr="00E710CF" w14:paraId="5FCBA777" w14:textId="77777777" w:rsidTr="2AA1CA0C">
        <w:trPr>
          <w:trHeight w:val="300"/>
        </w:trPr>
        <w:tc>
          <w:tcPr>
            <w:tcW w:w="924" w:type="dxa"/>
            <w:tcBorders>
              <w:top w:val="single" w:sz="6" w:space="0" w:color="auto"/>
              <w:left w:val="single" w:sz="6" w:space="0" w:color="auto"/>
              <w:bottom w:val="single" w:sz="6" w:space="0" w:color="auto"/>
              <w:right w:val="single" w:sz="6" w:space="0" w:color="auto"/>
            </w:tcBorders>
            <w:vAlign w:val="center"/>
            <w:hideMark/>
          </w:tcPr>
          <w:p w14:paraId="454FE459" w14:textId="0ADB98AB" w:rsidR="00E710CF" w:rsidRPr="00E710CF" w:rsidRDefault="2D7EDF77" w:rsidP="0D77DCC5">
            <w:pPr>
              <w:spacing w:before="0" w:after="0" w:line="240" w:lineRule="auto"/>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Alqahtani 2022</w:t>
            </w:r>
            <w:bookmarkStart w:id="48" w:name="_Ref187070487"/>
            <w:r w:rsidR="00C4042E">
              <w:rPr>
                <w:rStyle w:val="FootnoteReference"/>
                <w:rFonts w:ascii="Arial Narrow" w:eastAsia="Arial Narrow" w:hAnsi="Arial Narrow" w:cs="Arial Narrow"/>
                <w:kern w:val="2"/>
                <w:sz w:val="20"/>
                <w:szCs w:val="20"/>
                <w14:ligatures w14:val="standardContextual"/>
              </w:rPr>
              <w:footnoteReference w:id="36"/>
            </w:r>
            <w:bookmarkEnd w:id="48"/>
            <w:r w:rsidRPr="7D413406">
              <w:rPr>
                <w:rFonts w:ascii="Arial Narrow" w:eastAsia="Arial Narrow" w:hAnsi="Arial Narrow" w:cs="Arial Narrow"/>
                <w:kern w:val="2"/>
                <w:sz w:val="20"/>
                <w:szCs w:val="20"/>
                <w14:ligatures w14:val="standardContextual"/>
              </w:rPr>
              <w:t xml:space="preserve"> </w:t>
            </w:r>
          </w:p>
        </w:tc>
        <w:tc>
          <w:tcPr>
            <w:tcW w:w="594" w:type="dxa"/>
            <w:tcBorders>
              <w:top w:val="single" w:sz="6" w:space="0" w:color="auto"/>
              <w:left w:val="single" w:sz="6" w:space="0" w:color="auto"/>
              <w:bottom w:val="single" w:sz="6" w:space="0" w:color="auto"/>
              <w:right w:val="single" w:sz="6" w:space="0" w:color="auto"/>
            </w:tcBorders>
            <w:vAlign w:val="center"/>
            <w:hideMark/>
          </w:tcPr>
          <w:p w14:paraId="24F800A7"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6,036</w:t>
            </w:r>
          </w:p>
        </w:tc>
        <w:tc>
          <w:tcPr>
            <w:tcW w:w="1035" w:type="dxa"/>
            <w:tcBorders>
              <w:top w:val="single" w:sz="6" w:space="0" w:color="auto"/>
              <w:left w:val="single" w:sz="6" w:space="0" w:color="auto"/>
              <w:bottom w:val="single" w:sz="6" w:space="0" w:color="auto"/>
              <w:right w:val="single" w:sz="6" w:space="0" w:color="auto"/>
            </w:tcBorders>
            <w:vAlign w:val="center"/>
            <w:hideMark/>
          </w:tcPr>
          <w:p w14:paraId="593DC3BC"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Retrospective propensity score-matched cohort</w:t>
            </w:r>
          </w:p>
        </w:tc>
        <w:tc>
          <w:tcPr>
            <w:tcW w:w="765" w:type="dxa"/>
            <w:tcBorders>
              <w:top w:val="single" w:sz="6" w:space="0" w:color="auto"/>
              <w:left w:val="single" w:sz="6" w:space="0" w:color="auto"/>
              <w:bottom w:val="single" w:sz="6" w:space="0" w:color="auto"/>
              <w:right w:val="single" w:sz="6" w:space="0" w:color="auto"/>
            </w:tcBorders>
            <w:vAlign w:val="center"/>
            <w:hideMark/>
          </w:tcPr>
          <w:p w14:paraId="318ADE90"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36 months</w:t>
            </w:r>
          </w:p>
        </w:tc>
        <w:tc>
          <w:tcPr>
            <w:tcW w:w="784" w:type="dxa"/>
            <w:tcBorders>
              <w:top w:val="single" w:sz="6" w:space="0" w:color="auto"/>
              <w:left w:val="single" w:sz="6" w:space="0" w:color="auto"/>
              <w:bottom w:val="single" w:sz="6" w:space="0" w:color="auto"/>
              <w:right w:val="single" w:sz="6" w:space="0" w:color="auto"/>
            </w:tcBorders>
            <w:vAlign w:val="center"/>
            <w:hideMark/>
          </w:tcPr>
          <w:p w14:paraId="3788F6EE" w14:textId="77777777" w:rsidR="00E710CF" w:rsidRPr="00C4042E" w:rsidRDefault="2D7EDF77" w:rsidP="7D413406">
            <w:pPr>
              <w:spacing w:before="0" w:after="0" w:line="240" w:lineRule="auto"/>
              <w:jc w:val="center"/>
              <w:textAlignment w:val="baseline"/>
              <w:rPr>
                <w:rFonts w:ascii="Arial Narrow" w:eastAsia="Arial Narrow" w:hAnsi="Arial Narrow" w:cs="Arial Narrow"/>
                <w:sz w:val="20"/>
                <w:szCs w:val="20"/>
              </w:rPr>
            </w:pPr>
            <w:r w:rsidRPr="7D413406">
              <w:rPr>
                <w:rFonts w:ascii="Arial Narrow" w:eastAsia="Arial Narrow" w:hAnsi="Arial Narrow" w:cs="Arial Narrow"/>
                <w:kern w:val="2"/>
                <w:sz w:val="20"/>
                <w:szCs w:val="20"/>
                <w14:ligatures w14:val="standardContextual"/>
              </w:rPr>
              <w:t>Moderate</w:t>
            </w:r>
          </w:p>
        </w:tc>
        <w:tc>
          <w:tcPr>
            <w:tcW w:w="795" w:type="dxa"/>
            <w:tcBorders>
              <w:top w:val="single" w:sz="6" w:space="0" w:color="auto"/>
              <w:left w:val="single" w:sz="6" w:space="0" w:color="auto"/>
              <w:bottom w:val="single" w:sz="6" w:space="0" w:color="auto"/>
              <w:right w:val="single" w:sz="6" w:space="0" w:color="auto"/>
            </w:tcBorders>
            <w:vAlign w:val="center"/>
            <w:hideMark/>
          </w:tcPr>
          <w:p w14:paraId="1C75E048" w14:textId="3D5EAA7F"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33.8/33.9</w:t>
            </w:r>
          </w:p>
        </w:tc>
        <w:tc>
          <w:tcPr>
            <w:tcW w:w="795" w:type="dxa"/>
            <w:tcBorders>
              <w:top w:val="single" w:sz="6" w:space="0" w:color="auto"/>
              <w:left w:val="single" w:sz="6" w:space="0" w:color="auto"/>
              <w:bottom w:val="single" w:sz="6" w:space="0" w:color="auto"/>
              <w:right w:val="single" w:sz="6" w:space="0" w:color="auto"/>
            </w:tcBorders>
            <w:vAlign w:val="center"/>
            <w:hideMark/>
          </w:tcPr>
          <w:p w14:paraId="7129D922"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sz w:val="20"/>
                <w:szCs w:val="20"/>
                <w:lang w:eastAsia="en-AU"/>
              </w:rPr>
              <w:t>89/89</w:t>
            </w:r>
          </w:p>
        </w:tc>
        <w:tc>
          <w:tcPr>
            <w:tcW w:w="852" w:type="dxa"/>
            <w:tcBorders>
              <w:top w:val="single" w:sz="6" w:space="0" w:color="auto"/>
              <w:left w:val="single" w:sz="6" w:space="0" w:color="auto"/>
              <w:bottom w:val="single" w:sz="6" w:space="0" w:color="auto"/>
              <w:right w:val="single" w:sz="6" w:space="0" w:color="auto"/>
            </w:tcBorders>
            <w:vAlign w:val="center"/>
            <w:hideMark/>
          </w:tcPr>
          <w:p w14:paraId="6D7BE948"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sz w:val="20"/>
                <w:szCs w:val="20"/>
                <w:lang w:eastAsia="en-AU"/>
              </w:rPr>
              <w:t>32.5/32.9</w:t>
            </w:r>
          </w:p>
        </w:tc>
        <w:tc>
          <w:tcPr>
            <w:tcW w:w="1403" w:type="dxa"/>
            <w:tcBorders>
              <w:top w:val="single" w:sz="6" w:space="0" w:color="auto"/>
              <w:left w:val="single" w:sz="6" w:space="0" w:color="auto"/>
              <w:bottom w:val="single" w:sz="6" w:space="0" w:color="auto"/>
              <w:right w:val="single" w:sz="6" w:space="0" w:color="auto"/>
            </w:tcBorders>
            <w:vAlign w:val="center"/>
            <w:hideMark/>
          </w:tcPr>
          <w:p w14:paraId="45B159C7" w14:textId="4D94D0E1" w:rsidR="00E710CF" w:rsidRPr="00E710CF" w:rsidRDefault="2D7EDF77" w:rsidP="00E710CF">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sz w:val="20"/>
                <w:szCs w:val="20"/>
                <w:lang w:eastAsia="en-AU"/>
              </w:rPr>
              <w:t xml:space="preserve">Durability, revision and conversion to bariatric surgery, obesity-related comorbidities (hypertension, type II diabetes), </w:t>
            </w:r>
            <w:r w:rsidR="04954A5C" w:rsidRPr="7D413406">
              <w:rPr>
                <w:rFonts w:ascii="Arial Narrow" w:eastAsia="Arial Narrow" w:hAnsi="Arial Narrow" w:cs="Arial Narrow"/>
                <w:sz w:val="20"/>
                <w:szCs w:val="20"/>
                <w:lang w:eastAsia="en-AU"/>
              </w:rPr>
              <w:t>AE</w:t>
            </w:r>
            <w:r w:rsidRPr="7D413406">
              <w:rPr>
                <w:rFonts w:ascii="Arial Narrow" w:eastAsia="Arial Narrow" w:hAnsi="Arial Narrow" w:cs="Arial Narrow"/>
                <w:sz w:val="20"/>
                <w:szCs w:val="20"/>
                <w:lang w:eastAsia="en-AU"/>
              </w:rPr>
              <w:t>s, visits to ambulatory clinic </w:t>
            </w:r>
          </w:p>
        </w:tc>
        <w:tc>
          <w:tcPr>
            <w:tcW w:w="1068" w:type="dxa"/>
            <w:tcBorders>
              <w:top w:val="single" w:sz="6" w:space="0" w:color="auto"/>
              <w:left w:val="single" w:sz="6" w:space="0" w:color="auto"/>
              <w:bottom w:val="single" w:sz="6" w:space="0" w:color="auto"/>
              <w:right w:val="single" w:sz="6" w:space="0" w:color="auto"/>
            </w:tcBorders>
            <w:vAlign w:val="center"/>
          </w:tcPr>
          <w:p w14:paraId="3FCE136A" w14:textId="5215C636" w:rsidR="00E710CF" w:rsidRPr="00E710CF" w:rsidRDefault="00FD71D4" w:rsidP="00D76EFB">
            <w:pPr>
              <w:spacing w:before="0" w:after="0" w:line="240" w:lineRule="auto"/>
              <w:jc w:val="center"/>
              <w:textAlignment w:val="baseline"/>
              <w:rPr>
                <w:rFonts w:ascii="Arial Narrow" w:eastAsia="Arial Narrow" w:hAnsi="Arial Narrow" w:cs="Arial Narrow"/>
                <w:sz w:val="20"/>
                <w:szCs w:val="20"/>
                <w:lang w:eastAsia="en-AU"/>
              </w:rPr>
            </w:pPr>
            <w:r>
              <w:rPr>
                <w:rFonts w:ascii="Arial Narrow" w:eastAsia="Arial Narrow" w:hAnsi="Arial Narrow" w:cs="Arial Narrow"/>
                <w:sz w:val="20"/>
                <w:szCs w:val="20"/>
                <w:lang w:eastAsia="en-AU"/>
              </w:rPr>
              <w:t>No</w:t>
            </w:r>
          </w:p>
        </w:tc>
      </w:tr>
      <w:tr w:rsidR="00E710CF" w:rsidRPr="00E710CF" w14:paraId="384FB2AA" w14:textId="77777777" w:rsidTr="2AA1CA0C">
        <w:trPr>
          <w:trHeight w:val="300"/>
        </w:trPr>
        <w:tc>
          <w:tcPr>
            <w:tcW w:w="924" w:type="dxa"/>
            <w:tcBorders>
              <w:top w:val="single" w:sz="6" w:space="0" w:color="auto"/>
              <w:left w:val="single" w:sz="6" w:space="0" w:color="auto"/>
              <w:bottom w:val="single" w:sz="6" w:space="0" w:color="auto"/>
              <w:right w:val="single" w:sz="6" w:space="0" w:color="auto"/>
            </w:tcBorders>
            <w:vAlign w:val="center"/>
            <w:hideMark/>
          </w:tcPr>
          <w:p w14:paraId="22E477E5" w14:textId="5861D06B" w:rsidR="00E710CF" w:rsidRPr="00E710CF" w:rsidRDefault="2D7EDF77" w:rsidP="0D77DCC5">
            <w:pPr>
              <w:spacing w:before="0" w:after="0" w:line="240" w:lineRule="auto"/>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Carr 2022</w:t>
            </w:r>
            <w:bookmarkStart w:id="49" w:name="_Ref187069132"/>
            <w:r w:rsidR="00337F85">
              <w:rPr>
                <w:rStyle w:val="FootnoteReference"/>
                <w:rFonts w:ascii="Arial Narrow" w:eastAsia="Arial Narrow" w:hAnsi="Arial Narrow" w:cs="Arial Narrow"/>
                <w:kern w:val="2"/>
                <w:sz w:val="20"/>
                <w:szCs w:val="20"/>
                <w14:ligatures w14:val="standardContextual"/>
              </w:rPr>
              <w:footnoteReference w:id="37"/>
            </w:r>
            <w:bookmarkEnd w:id="49"/>
          </w:p>
        </w:tc>
        <w:tc>
          <w:tcPr>
            <w:tcW w:w="594" w:type="dxa"/>
            <w:tcBorders>
              <w:top w:val="single" w:sz="6" w:space="0" w:color="auto"/>
              <w:left w:val="single" w:sz="6" w:space="0" w:color="auto"/>
              <w:bottom w:val="single" w:sz="6" w:space="0" w:color="auto"/>
              <w:right w:val="single" w:sz="6" w:space="0" w:color="auto"/>
            </w:tcBorders>
            <w:vAlign w:val="center"/>
            <w:hideMark/>
          </w:tcPr>
          <w:p w14:paraId="31D842BE"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61</w:t>
            </w:r>
          </w:p>
        </w:tc>
        <w:tc>
          <w:tcPr>
            <w:tcW w:w="1035" w:type="dxa"/>
            <w:tcBorders>
              <w:top w:val="single" w:sz="6" w:space="0" w:color="auto"/>
              <w:left w:val="single" w:sz="6" w:space="0" w:color="auto"/>
              <w:bottom w:val="single" w:sz="6" w:space="0" w:color="auto"/>
              <w:right w:val="single" w:sz="6" w:space="0" w:color="auto"/>
            </w:tcBorders>
            <w:vAlign w:val="center"/>
            <w:hideMark/>
          </w:tcPr>
          <w:p w14:paraId="50852F7D"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Prospective cohort</w:t>
            </w:r>
          </w:p>
        </w:tc>
        <w:tc>
          <w:tcPr>
            <w:tcW w:w="765" w:type="dxa"/>
            <w:tcBorders>
              <w:top w:val="single" w:sz="6" w:space="0" w:color="auto"/>
              <w:left w:val="single" w:sz="6" w:space="0" w:color="auto"/>
              <w:bottom w:val="single" w:sz="6" w:space="0" w:color="auto"/>
              <w:right w:val="single" w:sz="6" w:space="0" w:color="auto"/>
            </w:tcBorders>
            <w:vAlign w:val="center"/>
            <w:hideMark/>
          </w:tcPr>
          <w:p w14:paraId="207BBEA8"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12 months</w:t>
            </w:r>
          </w:p>
        </w:tc>
        <w:tc>
          <w:tcPr>
            <w:tcW w:w="784" w:type="dxa"/>
            <w:tcBorders>
              <w:top w:val="single" w:sz="6" w:space="0" w:color="auto"/>
              <w:left w:val="single" w:sz="6" w:space="0" w:color="auto"/>
              <w:bottom w:val="single" w:sz="6" w:space="0" w:color="auto"/>
              <w:right w:val="single" w:sz="6" w:space="0" w:color="auto"/>
            </w:tcBorders>
            <w:vAlign w:val="center"/>
            <w:hideMark/>
          </w:tcPr>
          <w:p w14:paraId="464DEA41" w14:textId="77777777" w:rsidR="00E710CF" w:rsidRPr="00C4042E" w:rsidRDefault="2D7EDF77" w:rsidP="7D413406">
            <w:pPr>
              <w:spacing w:before="0" w:after="0" w:line="240" w:lineRule="auto"/>
              <w:jc w:val="center"/>
              <w:textAlignment w:val="baseline"/>
              <w:rPr>
                <w:rFonts w:ascii="Arial Narrow" w:eastAsia="Arial Narrow" w:hAnsi="Arial Narrow" w:cs="Arial Narrow"/>
                <w:sz w:val="20"/>
                <w:szCs w:val="20"/>
              </w:rPr>
            </w:pPr>
            <w:r w:rsidRPr="7D413406">
              <w:rPr>
                <w:rFonts w:ascii="Arial Narrow" w:eastAsia="Arial Narrow" w:hAnsi="Arial Narrow" w:cs="Arial Narrow"/>
                <w:kern w:val="2"/>
                <w:sz w:val="20"/>
                <w:szCs w:val="20"/>
                <w14:ligatures w14:val="standardContextual"/>
              </w:rPr>
              <w:t>Moderate</w:t>
            </w:r>
          </w:p>
        </w:tc>
        <w:tc>
          <w:tcPr>
            <w:tcW w:w="795" w:type="dxa"/>
            <w:tcBorders>
              <w:top w:val="single" w:sz="6" w:space="0" w:color="auto"/>
              <w:left w:val="single" w:sz="6" w:space="0" w:color="auto"/>
              <w:bottom w:val="single" w:sz="6" w:space="0" w:color="auto"/>
              <w:right w:val="single" w:sz="6" w:space="0" w:color="auto"/>
            </w:tcBorders>
            <w:vAlign w:val="center"/>
            <w:hideMark/>
          </w:tcPr>
          <w:p w14:paraId="3620946F"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41.4/40.4</w:t>
            </w:r>
          </w:p>
        </w:tc>
        <w:tc>
          <w:tcPr>
            <w:tcW w:w="795" w:type="dxa"/>
            <w:tcBorders>
              <w:top w:val="single" w:sz="6" w:space="0" w:color="auto"/>
              <w:left w:val="single" w:sz="6" w:space="0" w:color="auto"/>
              <w:bottom w:val="single" w:sz="6" w:space="0" w:color="auto"/>
              <w:right w:val="single" w:sz="6" w:space="0" w:color="auto"/>
            </w:tcBorders>
            <w:vAlign w:val="center"/>
            <w:hideMark/>
          </w:tcPr>
          <w:p w14:paraId="1AEB317B"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sz w:val="20"/>
                <w:szCs w:val="20"/>
                <w:lang w:eastAsia="en-AU"/>
              </w:rPr>
              <w:t>81.2/84.4</w:t>
            </w:r>
          </w:p>
        </w:tc>
        <w:tc>
          <w:tcPr>
            <w:tcW w:w="852" w:type="dxa"/>
            <w:tcBorders>
              <w:top w:val="single" w:sz="6" w:space="0" w:color="auto"/>
              <w:left w:val="single" w:sz="6" w:space="0" w:color="auto"/>
              <w:bottom w:val="single" w:sz="6" w:space="0" w:color="auto"/>
              <w:right w:val="single" w:sz="6" w:space="0" w:color="auto"/>
            </w:tcBorders>
            <w:vAlign w:val="center"/>
            <w:hideMark/>
          </w:tcPr>
          <w:p w14:paraId="4BD5F647"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sz w:val="20"/>
                <w:szCs w:val="20"/>
                <w:lang w:eastAsia="en-AU"/>
              </w:rPr>
              <w:t>35.5/40.7</w:t>
            </w:r>
          </w:p>
        </w:tc>
        <w:tc>
          <w:tcPr>
            <w:tcW w:w="1403" w:type="dxa"/>
            <w:tcBorders>
              <w:top w:val="single" w:sz="6" w:space="0" w:color="auto"/>
              <w:left w:val="single" w:sz="6" w:space="0" w:color="auto"/>
              <w:bottom w:val="single" w:sz="6" w:space="0" w:color="auto"/>
              <w:right w:val="single" w:sz="6" w:space="0" w:color="auto"/>
            </w:tcBorders>
            <w:vAlign w:val="center"/>
            <w:hideMark/>
          </w:tcPr>
          <w:p w14:paraId="6A55DD47" w14:textId="155C73B3" w:rsidR="00E710CF" w:rsidRPr="00E710CF" w:rsidRDefault="2D7EDF77" w:rsidP="00E710CF">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sz w:val="20"/>
                <w:szCs w:val="20"/>
                <w:lang w:eastAsia="en-AU"/>
              </w:rPr>
              <w:t xml:space="preserve"> Patient-reported endpoints, </w:t>
            </w:r>
            <w:r w:rsidR="04954A5C" w:rsidRPr="7D413406">
              <w:rPr>
                <w:rFonts w:ascii="Arial Narrow" w:eastAsia="Arial Narrow" w:hAnsi="Arial Narrow" w:cs="Arial Narrow"/>
                <w:sz w:val="20"/>
                <w:szCs w:val="20"/>
                <w:lang w:eastAsia="en-AU"/>
              </w:rPr>
              <w:t>AE</w:t>
            </w:r>
            <w:r w:rsidRPr="7D413406">
              <w:rPr>
                <w:rFonts w:ascii="Arial Narrow" w:eastAsia="Arial Narrow" w:hAnsi="Arial Narrow" w:cs="Arial Narrow"/>
                <w:sz w:val="20"/>
                <w:szCs w:val="20"/>
                <w:lang w:eastAsia="en-AU"/>
              </w:rPr>
              <w:t>s, changes in GI symptoms</w:t>
            </w:r>
          </w:p>
        </w:tc>
        <w:tc>
          <w:tcPr>
            <w:tcW w:w="1068" w:type="dxa"/>
            <w:tcBorders>
              <w:top w:val="single" w:sz="6" w:space="0" w:color="auto"/>
              <w:left w:val="single" w:sz="6" w:space="0" w:color="auto"/>
              <w:bottom w:val="single" w:sz="6" w:space="0" w:color="auto"/>
              <w:right w:val="single" w:sz="6" w:space="0" w:color="auto"/>
            </w:tcBorders>
            <w:vAlign w:val="center"/>
          </w:tcPr>
          <w:p w14:paraId="7B16E4AD" w14:textId="5E622A4A" w:rsidR="00FD71D4" w:rsidRPr="00E710CF" w:rsidRDefault="00FD71D4" w:rsidP="00FD71D4">
            <w:pPr>
              <w:spacing w:before="0" w:after="0" w:line="240" w:lineRule="auto"/>
              <w:jc w:val="center"/>
              <w:textAlignment w:val="baseline"/>
              <w:rPr>
                <w:rFonts w:ascii="Arial Narrow" w:eastAsia="Arial Narrow" w:hAnsi="Arial Narrow" w:cs="Arial Narrow"/>
                <w:sz w:val="20"/>
                <w:szCs w:val="20"/>
                <w:lang w:eastAsia="en-AU"/>
              </w:rPr>
            </w:pPr>
            <w:r>
              <w:rPr>
                <w:rFonts w:ascii="Arial Narrow" w:eastAsia="Arial Narrow" w:hAnsi="Arial Narrow" w:cs="Arial Narrow"/>
                <w:sz w:val="20"/>
                <w:szCs w:val="20"/>
                <w:lang w:eastAsia="en-AU"/>
              </w:rPr>
              <w:t>No</w:t>
            </w:r>
          </w:p>
        </w:tc>
      </w:tr>
      <w:tr w:rsidR="00E710CF" w:rsidRPr="00E710CF" w14:paraId="114C6CE5" w14:textId="77777777" w:rsidTr="2AA1CA0C">
        <w:trPr>
          <w:trHeight w:val="300"/>
        </w:trPr>
        <w:tc>
          <w:tcPr>
            <w:tcW w:w="924" w:type="dxa"/>
            <w:tcBorders>
              <w:top w:val="single" w:sz="6" w:space="0" w:color="auto"/>
              <w:left w:val="single" w:sz="6" w:space="0" w:color="auto"/>
              <w:bottom w:val="single" w:sz="6" w:space="0" w:color="auto"/>
              <w:right w:val="single" w:sz="6" w:space="0" w:color="auto"/>
            </w:tcBorders>
            <w:vAlign w:val="center"/>
            <w:hideMark/>
          </w:tcPr>
          <w:p w14:paraId="6485FA4C" w14:textId="110A08E3" w:rsidR="00E710CF" w:rsidRPr="00E710CF" w:rsidRDefault="2D7EDF77" w:rsidP="0D77DCC5">
            <w:pPr>
              <w:spacing w:before="0" w:after="0" w:line="240" w:lineRule="auto"/>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Fayad 2019</w:t>
            </w:r>
            <w:bookmarkStart w:id="50" w:name="_Ref187068168"/>
            <w:r w:rsidR="00931BEA">
              <w:rPr>
                <w:rStyle w:val="FootnoteReference"/>
                <w:rFonts w:ascii="Arial Narrow" w:eastAsia="Arial Narrow" w:hAnsi="Arial Narrow" w:cs="Arial Narrow"/>
                <w:kern w:val="2"/>
                <w:sz w:val="20"/>
                <w:szCs w:val="20"/>
                <w14:ligatures w14:val="standardContextual"/>
              </w:rPr>
              <w:footnoteReference w:id="38"/>
            </w:r>
            <w:bookmarkEnd w:id="50"/>
            <w:r w:rsidRPr="7D413406">
              <w:rPr>
                <w:rFonts w:ascii="Arial Narrow" w:eastAsia="Arial Narrow" w:hAnsi="Arial Narrow" w:cs="Arial Narrow"/>
                <w:kern w:val="2"/>
                <w:sz w:val="20"/>
                <w:szCs w:val="20"/>
                <w14:ligatures w14:val="standardContextual"/>
              </w:rPr>
              <w:t xml:space="preserve"> </w:t>
            </w:r>
          </w:p>
        </w:tc>
        <w:tc>
          <w:tcPr>
            <w:tcW w:w="594" w:type="dxa"/>
            <w:tcBorders>
              <w:top w:val="single" w:sz="6" w:space="0" w:color="auto"/>
              <w:left w:val="single" w:sz="6" w:space="0" w:color="auto"/>
              <w:bottom w:val="single" w:sz="6" w:space="0" w:color="auto"/>
              <w:right w:val="single" w:sz="6" w:space="0" w:color="auto"/>
            </w:tcBorders>
            <w:vAlign w:val="center"/>
            <w:hideMark/>
          </w:tcPr>
          <w:p w14:paraId="02E02DF3" w14:textId="1843E96F"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18</w:t>
            </w:r>
            <w:r w:rsidR="04954A5C" w:rsidRPr="7D413406">
              <w:rPr>
                <w:rFonts w:ascii="Arial Narrow" w:eastAsia="Arial Narrow" w:hAnsi="Arial Narrow" w:cs="Arial Narrow"/>
                <w:kern w:val="2"/>
                <w:sz w:val="20"/>
                <w:szCs w:val="20"/>
                <w14:ligatures w14:val="standardContextual"/>
              </w:rPr>
              <w:t>,</w:t>
            </w:r>
            <w:r w:rsidRPr="7D413406">
              <w:rPr>
                <w:rFonts w:ascii="Arial Narrow" w:eastAsia="Arial Narrow" w:hAnsi="Arial Narrow" w:cs="Arial Narrow"/>
                <w:kern w:val="2"/>
                <w:sz w:val="20"/>
                <w:szCs w:val="20"/>
                <w14:ligatures w14:val="standardContextual"/>
              </w:rPr>
              <w:t>137</w:t>
            </w:r>
          </w:p>
        </w:tc>
        <w:tc>
          <w:tcPr>
            <w:tcW w:w="1035" w:type="dxa"/>
            <w:tcBorders>
              <w:top w:val="single" w:sz="6" w:space="0" w:color="auto"/>
              <w:left w:val="single" w:sz="6" w:space="0" w:color="auto"/>
              <w:bottom w:val="single" w:sz="6" w:space="0" w:color="auto"/>
              <w:right w:val="single" w:sz="6" w:space="0" w:color="auto"/>
            </w:tcBorders>
            <w:vAlign w:val="center"/>
            <w:hideMark/>
          </w:tcPr>
          <w:p w14:paraId="6D4F6BD0"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Retrospective propensity score-matched cohort</w:t>
            </w:r>
          </w:p>
        </w:tc>
        <w:tc>
          <w:tcPr>
            <w:tcW w:w="765" w:type="dxa"/>
            <w:tcBorders>
              <w:top w:val="single" w:sz="6" w:space="0" w:color="auto"/>
              <w:left w:val="single" w:sz="6" w:space="0" w:color="auto"/>
              <w:bottom w:val="single" w:sz="6" w:space="0" w:color="auto"/>
              <w:right w:val="single" w:sz="6" w:space="0" w:color="auto"/>
            </w:tcBorders>
            <w:vAlign w:val="center"/>
            <w:hideMark/>
          </w:tcPr>
          <w:p w14:paraId="1AE7EEAC"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6 months</w:t>
            </w:r>
          </w:p>
        </w:tc>
        <w:tc>
          <w:tcPr>
            <w:tcW w:w="784" w:type="dxa"/>
            <w:tcBorders>
              <w:top w:val="single" w:sz="6" w:space="0" w:color="auto"/>
              <w:left w:val="single" w:sz="6" w:space="0" w:color="auto"/>
              <w:bottom w:val="single" w:sz="6" w:space="0" w:color="auto"/>
              <w:right w:val="single" w:sz="6" w:space="0" w:color="auto"/>
            </w:tcBorders>
            <w:vAlign w:val="center"/>
            <w:hideMark/>
          </w:tcPr>
          <w:p w14:paraId="4EBBFA73" w14:textId="77777777" w:rsidR="00E710CF" w:rsidRPr="00C4042E" w:rsidRDefault="2D7EDF77" w:rsidP="7D413406">
            <w:pPr>
              <w:spacing w:before="0" w:after="0" w:line="240" w:lineRule="auto"/>
              <w:jc w:val="center"/>
              <w:textAlignment w:val="baseline"/>
              <w:rPr>
                <w:rFonts w:ascii="Arial Narrow" w:eastAsia="Arial Narrow" w:hAnsi="Arial Narrow" w:cs="Arial Narrow"/>
                <w:sz w:val="20"/>
                <w:szCs w:val="20"/>
              </w:rPr>
            </w:pPr>
            <w:r w:rsidRPr="7D413406">
              <w:rPr>
                <w:rFonts w:ascii="Arial Narrow" w:eastAsia="Arial Narrow" w:hAnsi="Arial Narrow" w:cs="Arial Narrow"/>
                <w:kern w:val="2"/>
                <w:sz w:val="20"/>
                <w:szCs w:val="20"/>
                <w14:ligatures w14:val="standardContextual"/>
              </w:rPr>
              <w:t>Moderate</w:t>
            </w:r>
          </w:p>
        </w:tc>
        <w:tc>
          <w:tcPr>
            <w:tcW w:w="795" w:type="dxa"/>
            <w:tcBorders>
              <w:top w:val="single" w:sz="6" w:space="0" w:color="auto"/>
              <w:left w:val="single" w:sz="6" w:space="0" w:color="auto"/>
              <w:bottom w:val="single" w:sz="6" w:space="0" w:color="auto"/>
              <w:right w:val="single" w:sz="6" w:space="0" w:color="auto"/>
            </w:tcBorders>
            <w:vAlign w:val="center"/>
            <w:hideMark/>
          </w:tcPr>
          <w:p w14:paraId="1C83EFF0"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vertAlign w:val="superscript"/>
                <w:lang w:eastAsia="en-AU"/>
              </w:rPr>
            </w:pPr>
            <w:r w:rsidRPr="7D413406">
              <w:rPr>
                <w:rFonts w:ascii="Arial Narrow" w:eastAsia="Arial Narrow" w:hAnsi="Arial Narrow" w:cs="Arial Narrow"/>
                <w:kern w:val="2"/>
                <w:sz w:val="20"/>
                <w:szCs w:val="20"/>
                <w14:ligatures w14:val="standardContextual"/>
              </w:rPr>
              <w:t>48/47</w:t>
            </w:r>
          </w:p>
        </w:tc>
        <w:tc>
          <w:tcPr>
            <w:tcW w:w="795" w:type="dxa"/>
            <w:tcBorders>
              <w:top w:val="single" w:sz="6" w:space="0" w:color="auto"/>
              <w:left w:val="single" w:sz="6" w:space="0" w:color="auto"/>
              <w:bottom w:val="single" w:sz="6" w:space="0" w:color="auto"/>
              <w:right w:val="single" w:sz="6" w:space="0" w:color="auto"/>
            </w:tcBorders>
            <w:vAlign w:val="center"/>
            <w:hideMark/>
          </w:tcPr>
          <w:p w14:paraId="0C987BB8"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sz w:val="20"/>
                <w:szCs w:val="20"/>
                <w:lang w:eastAsia="en-AU"/>
              </w:rPr>
              <w:t>57.4/71.1</w:t>
            </w:r>
          </w:p>
        </w:tc>
        <w:tc>
          <w:tcPr>
            <w:tcW w:w="852" w:type="dxa"/>
            <w:tcBorders>
              <w:top w:val="single" w:sz="6" w:space="0" w:color="auto"/>
              <w:left w:val="single" w:sz="6" w:space="0" w:color="auto"/>
              <w:bottom w:val="single" w:sz="6" w:space="0" w:color="auto"/>
              <w:right w:val="single" w:sz="6" w:space="0" w:color="auto"/>
            </w:tcBorders>
            <w:vAlign w:val="center"/>
            <w:hideMark/>
          </w:tcPr>
          <w:p w14:paraId="50CEF7CB" w14:textId="2814A4AD"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vertAlign w:val="superscript"/>
                <w:lang w:eastAsia="en-AU"/>
              </w:rPr>
            </w:pPr>
            <w:r w:rsidRPr="7D413406">
              <w:rPr>
                <w:rFonts w:ascii="Arial Narrow" w:eastAsia="Arial Narrow" w:hAnsi="Arial Narrow" w:cs="Arial Narrow"/>
                <w:sz w:val="20"/>
                <w:szCs w:val="20"/>
                <w:lang w:eastAsia="en-AU"/>
              </w:rPr>
              <w:t>43.1/44.1</w:t>
            </w:r>
          </w:p>
        </w:tc>
        <w:tc>
          <w:tcPr>
            <w:tcW w:w="1403" w:type="dxa"/>
            <w:tcBorders>
              <w:top w:val="single" w:sz="6" w:space="0" w:color="auto"/>
              <w:left w:val="single" w:sz="6" w:space="0" w:color="auto"/>
              <w:bottom w:val="single" w:sz="6" w:space="0" w:color="auto"/>
              <w:right w:val="single" w:sz="6" w:space="0" w:color="auto"/>
            </w:tcBorders>
            <w:vAlign w:val="center"/>
            <w:hideMark/>
          </w:tcPr>
          <w:p w14:paraId="2F04F832" w14:textId="77777777" w:rsidR="00E710CF" w:rsidRPr="00E710CF" w:rsidRDefault="00E710CF" w:rsidP="00E710CF">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sz w:val="20"/>
                <w:szCs w:val="20"/>
                <w:lang w:eastAsia="en-AU"/>
              </w:rPr>
              <w:t>Adverse events, new onsets of GORD </w:t>
            </w:r>
          </w:p>
        </w:tc>
        <w:tc>
          <w:tcPr>
            <w:tcW w:w="1068" w:type="dxa"/>
            <w:tcBorders>
              <w:top w:val="single" w:sz="6" w:space="0" w:color="auto"/>
              <w:left w:val="single" w:sz="6" w:space="0" w:color="auto"/>
              <w:bottom w:val="single" w:sz="6" w:space="0" w:color="auto"/>
              <w:right w:val="single" w:sz="6" w:space="0" w:color="auto"/>
            </w:tcBorders>
            <w:vAlign w:val="center"/>
          </w:tcPr>
          <w:p w14:paraId="6CB25AA5" w14:textId="6E136C66" w:rsidR="00E710CF" w:rsidRPr="00E710CF" w:rsidRDefault="00FD71D4" w:rsidP="00E710CF">
            <w:pPr>
              <w:spacing w:before="0" w:after="0" w:line="240" w:lineRule="auto"/>
              <w:jc w:val="center"/>
              <w:textAlignment w:val="baseline"/>
              <w:rPr>
                <w:rFonts w:ascii="Arial Narrow" w:eastAsia="Arial Narrow" w:hAnsi="Arial Narrow" w:cs="Arial Narrow"/>
                <w:sz w:val="20"/>
                <w:szCs w:val="20"/>
                <w:lang w:eastAsia="en-AU"/>
              </w:rPr>
            </w:pPr>
            <w:r>
              <w:rPr>
                <w:rFonts w:ascii="Arial Narrow" w:eastAsia="Arial Narrow" w:hAnsi="Arial Narrow" w:cs="Arial Narrow"/>
                <w:sz w:val="20"/>
                <w:szCs w:val="20"/>
                <w:lang w:eastAsia="en-AU"/>
              </w:rPr>
              <w:t>No</w:t>
            </w:r>
          </w:p>
        </w:tc>
      </w:tr>
      <w:tr w:rsidR="00E710CF" w:rsidRPr="00E710CF" w14:paraId="1C5FE9E1" w14:textId="77777777" w:rsidTr="2AA1CA0C">
        <w:trPr>
          <w:trHeight w:val="300"/>
        </w:trPr>
        <w:tc>
          <w:tcPr>
            <w:tcW w:w="924" w:type="dxa"/>
            <w:tcBorders>
              <w:top w:val="single" w:sz="6" w:space="0" w:color="auto"/>
              <w:left w:val="single" w:sz="6" w:space="0" w:color="auto"/>
              <w:bottom w:val="single" w:sz="6" w:space="0" w:color="auto"/>
              <w:right w:val="single" w:sz="6" w:space="0" w:color="auto"/>
            </w:tcBorders>
            <w:vAlign w:val="center"/>
            <w:hideMark/>
          </w:tcPr>
          <w:p w14:paraId="3BFA57E5" w14:textId="34C06AD0" w:rsidR="00E710CF" w:rsidRPr="00E710CF" w:rsidRDefault="2D7EDF77" w:rsidP="0D77DCC5">
            <w:pPr>
              <w:spacing w:before="0" w:after="0" w:line="240" w:lineRule="auto"/>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Fiorillo 2020</w:t>
            </w:r>
            <w:bookmarkStart w:id="51" w:name="_Ref187069109"/>
            <w:r w:rsidR="00742ACD">
              <w:rPr>
                <w:rStyle w:val="FootnoteReference"/>
                <w:rFonts w:ascii="Arial Narrow" w:eastAsia="Arial Narrow" w:hAnsi="Arial Narrow" w:cs="Arial Narrow"/>
                <w:kern w:val="2"/>
                <w:sz w:val="20"/>
                <w:szCs w:val="20"/>
                <w14:ligatures w14:val="standardContextual"/>
              </w:rPr>
              <w:footnoteReference w:id="39"/>
            </w:r>
            <w:bookmarkEnd w:id="51"/>
            <w:r w:rsidRPr="7D413406">
              <w:rPr>
                <w:rFonts w:ascii="Arial Narrow" w:eastAsia="Arial Narrow" w:hAnsi="Arial Narrow" w:cs="Arial Narrow"/>
                <w:kern w:val="2"/>
                <w:sz w:val="20"/>
                <w:szCs w:val="20"/>
                <w14:ligatures w14:val="standardContextual"/>
              </w:rPr>
              <w:t xml:space="preserve"> </w:t>
            </w:r>
          </w:p>
        </w:tc>
        <w:tc>
          <w:tcPr>
            <w:tcW w:w="594" w:type="dxa"/>
            <w:tcBorders>
              <w:top w:val="single" w:sz="6" w:space="0" w:color="auto"/>
              <w:left w:val="single" w:sz="6" w:space="0" w:color="auto"/>
              <w:bottom w:val="single" w:sz="6" w:space="0" w:color="auto"/>
              <w:right w:val="single" w:sz="6" w:space="0" w:color="auto"/>
            </w:tcBorders>
            <w:vAlign w:val="center"/>
            <w:hideMark/>
          </w:tcPr>
          <w:p w14:paraId="0E0AC9B5"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46</w:t>
            </w:r>
          </w:p>
        </w:tc>
        <w:tc>
          <w:tcPr>
            <w:tcW w:w="1035" w:type="dxa"/>
            <w:tcBorders>
              <w:top w:val="single" w:sz="6" w:space="0" w:color="auto"/>
              <w:left w:val="single" w:sz="6" w:space="0" w:color="auto"/>
              <w:bottom w:val="single" w:sz="6" w:space="0" w:color="auto"/>
              <w:right w:val="single" w:sz="6" w:space="0" w:color="auto"/>
            </w:tcBorders>
            <w:vAlign w:val="center"/>
            <w:hideMark/>
          </w:tcPr>
          <w:p w14:paraId="4EE8CC3E"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Retrospective propensity score-matched cohort</w:t>
            </w:r>
          </w:p>
        </w:tc>
        <w:tc>
          <w:tcPr>
            <w:tcW w:w="765" w:type="dxa"/>
            <w:tcBorders>
              <w:top w:val="single" w:sz="6" w:space="0" w:color="auto"/>
              <w:left w:val="single" w:sz="6" w:space="0" w:color="auto"/>
              <w:bottom w:val="single" w:sz="6" w:space="0" w:color="auto"/>
              <w:right w:val="single" w:sz="6" w:space="0" w:color="auto"/>
            </w:tcBorders>
            <w:vAlign w:val="center"/>
            <w:hideMark/>
          </w:tcPr>
          <w:p w14:paraId="53F035CC"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6 months</w:t>
            </w:r>
          </w:p>
        </w:tc>
        <w:tc>
          <w:tcPr>
            <w:tcW w:w="784" w:type="dxa"/>
            <w:tcBorders>
              <w:top w:val="single" w:sz="6" w:space="0" w:color="auto"/>
              <w:left w:val="single" w:sz="6" w:space="0" w:color="auto"/>
              <w:bottom w:val="single" w:sz="6" w:space="0" w:color="auto"/>
              <w:right w:val="single" w:sz="6" w:space="0" w:color="auto"/>
            </w:tcBorders>
            <w:vAlign w:val="center"/>
            <w:hideMark/>
          </w:tcPr>
          <w:p w14:paraId="414CB3B1" w14:textId="77777777" w:rsidR="00E710CF" w:rsidRPr="00C4042E" w:rsidRDefault="2D7EDF77" w:rsidP="7D413406">
            <w:pPr>
              <w:spacing w:before="0" w:after="0" w:line="240" w:lineRule="auto"/>
              <w:jc w:val="center"/>
              <w:textAlignment w:val="baseline"/>
              <w:rPr>
                <w:rFonts w:ascii="Arial Narrow" w:eastAsia="Arial Narrow" w:hAnsi="Arial Narrow" w:cs="Arial Narrow"/>
                <w:sz w:val="20"/>
                <w:szCs w:val="20"/>
              </w:rPr>
            </w:pPr>
            <w:r w:rsidRPr="7D413406">
              <w:rPr>
                <w:rFonts w:ascii="Arial Narrow" w:eastAsia="Arial Narrow" w:hAnsi="Arial Narrow" w:cs="Arial Narrow"/>
                <w:kern w:val="2"/>
                <w:sz w:val="20"/>
                <w:szCs w:val="20"/>
                <w14:ligatures w14:val="standardContextual"/>
              </w:rPr>
              <w:t>Moderate</w:t>
            </w:r>
          </w:p>
        </w:tc>
        <w:tc>
          <w:tcPr>
            <w:tcW w:w="795" w:type="dxa"/>
            <w:tcBorders>
              <w:top w:val="single" w:sz="6" w:space="0" w:color="auto"/>
              <w:left w:val="single" w:sz="6" w:space="0" w:color="auto"/>
              <w:bottom w:val="single" w:sz="6" w:space="0" w:color="auto"/>
              <w:right w:val="single" w:sz="6" w:space="0" w:color="auto"/>
            </w:tcBorders>
            <w:vAlign w:val="center"/>
            <w:hideMark/>
          </w:tcPr>
          <w:p w14:paraId="36966C50"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41/37</w:t>
            </w:r>
            <w:r w:rsidRPr="7D413406">
              <w:rPr>
                <w:rFonts w:ascii="Arial Narrow" w:eastAsia="Arial Narrow" w:hAnsi="Arial Narrow" w:cs="Arial Narrow"/>
                <w:kern w:val="2"/>
                <w:sz w:val="20"/>
                <w:szCs w:val="20"/>
                <w:vertAlign w:val="superscript"/>
                <w14:ligatures w14:val="standardContextual"/>
              </w:rPr>
              <w:t xml:space="preserve"> </w:t>
            </w:r>
          </w:p>
        </w:tc>
        <w:tc>
          <w:tcPr>
            <w:tcW w:w="795" w:type="dxa"/>
            <w:tcBorders>
              <w:top w:val="single" w:sz="6" w:space="0" w:color="auto"/>
              <w:left w:val="single" w:sz="6" w:space="0" w:color="auto"/>
              <w:bottom w:val="single" w:sz="6" w:space="0" w:color="auto"/>
              <w:right w:val="single" w:sz="6" w:space="0" w:color="auto"/>
            </w:tcBorders>
            <w:vAlign w:val="center"/>
            <w:hideMark/>
          </w:tcPr>
          <w:p w14:paraId="43C5F8D4"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sz w:val="20"/>
                <w:szCs w:val="20"/>
                <w:lang w:eastAsia="en-AU"/>
              </w:rPr>
              <w:t>69.6/73.9</w:t>
            </w:r>
          </w:p>
        </w:tc>
        <w:tc>
          <w:tcPr>
            <w:tcW w:w="852" w:type="dxa"/>
            <w:tcBorders>
              <w:top w:val="single" w:sz="6" w:space="0" w:color="auto"/>
              <w:left w:val="single" w:sz="6" w:space="0" w:color="auto"/>
              <w:bottom w:val="single" w:sz="6" w:space="0" w:color="auto"/>
              <w:right w:val="single" w:sz="6" w:space="0" w:color="auto"/>
            </w:tcBorders>
            <w:vAlign w:val="center"/>
            <w:hideMark/>
          </w:tcPr>
          <w:p w14:paraId="1CE7A699" w14:textId="7239F744"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vertAlign w:val="superscript"/>
                <w:lang w:eastAsia="en-AU"/>
              </w:rPr>
            </w:pPr>
            <w:r w:rsidRPr="7D413406">
              <w:rPr>
                <w:rFonts w:ascii="Arial Narrow" w:eastAsia="Arial Narrow" w:hAnsi="Arial Narrow" w:cs="Arial Narrow"/>
                <w:sz w:val="20"/>
                <w:szCs w:val="20"/>
                <w:lang w:eastAsia="en-AU"/>
              </w:rPr>
              <w:t>39.5/41</w:t>
            </w:r>
          </w:p>
        </w:tc>
        <w:tc>
          <w:tcPr>
            <w:tcW w:w="1403" w:type="dxa"/>
            <w:tcBorders>
              <w:top w:val="single" w:sz="6" w:space="0" w:color="auto"/>
              <w:left w:val="single" w:sz="6" w:space="0" w:color="auto"/>
              <w:bottom w:val="single" w:sz="6" w:space="0" w:color="auto"/>
              <w:right w:val="single" w:sz="6" w:space="0" w:color="auto"/>
            </w:tcBorders>
            <w:vAlign w:val="center"/>
            <w:hideMark/>
          </w:tcPr>
          <w:p w14:paraId="7DEEFD4A" w14:textId="362EDE2A" w:rsidR="00E710CF" w:rsidRPr="00E710CF" w:rsidRDefault="2D7EDF77" w:rsidP="00E710CF">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sz w:val="20"/>
                <w:szCs w:val="20"/>
                <w:lang w:eastAsia="en-AU"/>
              </w:rPr>
              <w:t>Obesity-related comorbidities (hypertension, type II diabetes), patient</w:t>
            </w:r>
            <w:r w:rsidR="2BCC9FE4" w:rsidRPr="7D413406">
              <w:rPr>
                <w:rFonts w:ascii="Arial Narrow" w:eastAsia="Arial Narrow" w:hAnsi="Arial Narrow" w:cs="Arial Narrow"/>
                <w:sz w:val="20"/>
                <w:szCs w:val="20"/>
                <w:lang w:eastAsia="en-AU"/>
              </w:rPr>
              <w:t>-</w:t>
            </w:r>
            <w:r w:rsidRPr="7D413406">
              <w:rPr>
                <w:rFonts w:ascii="Arial Narrow" w:eastAsia="Arial Narrow" w:hAnsi="Arial Narrow" w:cs="Arial Narrow"/>
                <w:sz w:val="20"/>
                <w:szCs w:val="20"/>
                <w:lang w:eastAsia="en-AU"/>
              </w:rPr>
              <w:t xml:space="preserve">related endpoints, </w:t>
            </w:r>
            <w:r w:rsidR="2BCC9FE4" w:rsidRPr="7D413406">
              <w:rPr>
                <w:rFonts w:ascii="Arial Narrow" w:eastAsia="Arial Narrow" w:hAnsi="Arial Narrow" w:cs="Arial Narrow"/>
                <w:sz w:val="20"/>
                <w:szCs w:val="20"/>
                <w:lang w:eastAsia="en-AU"/>
              </w:rPr>
              <w:t>AE</w:t>
            </w:r>
            <w:r w:rsidRPr="7D413406">
              <w:rPr>
                <w:rFonts w:ascii="Arial Narrow" w:eastAsia="Arial Narrow" w:hAnsi="Arial Narrow" w:cs="Arial Narrow"/>
                <w:sz w:val="20"/>
                <w:szCs w:val="20"/>
                <w:lang w:eastAsia="en-AU"/>
              </w:rPr>
              <w:t>s, new onsets of GORD</w:t>
            </w:r>
          </w:p>
        </w:tc>
        <w:tc>
          <w:tcPr>
            <w:tcW w:w="1068" w:type="dxa"/>
            <w:tcBorders>
              <w:top w:val="single" w:sz="6" w:space="0" w:color="auto"/>
              <w:left w:val="single" w:sz="6" w:space="0" w:color="auto"/>
              <w:bottom w:val="single" w:sz="6" w:space="0" w:color="auto"/>
              <w:right w:val="single" w:sz="6" w:space="0" w:color="auto"/>
            </w:tcBorders>
            <w:vAlign w:val="center"/>
            <w:hideMark/>
          </w:tcPr>
          <w:p w14:paraId="54780B8C" w14:textId="7B8BB09F" w:rsidR="00E710CF" w:rsidRPr="00E710CF" w:rsidRDefault="00FD71D4" w:rsidP="00E710CF">
            <w:pPr>
              <w:spacing w:before="0" w:after="0" w:line="240" w:lineRule="auto"/>
              <w:jc w:val="center"/>
              <w:textAlignment w:val="baseline"/>
              <w:rPr>
                <w:rFonts w:ascii="Arial Narrow" w:eastAsia="Arial Narrow" w:hAnsi="Arial Narrow" w:cs="Arial Narrow"/>
                <w:sz w:val="20"/>
                <w:szCs w:val="20"/>
                <w:lang w:eastAsia="en-AU"/>
              </w:rPr>
            </w:pPr>
            <w:r>
              <w:rPr>
                <w:rFonts w:ascii="Arial Narrow" w:eastAsia="Arial Narrow" w:hAnsi="Arial Narrow" w:cs="Arial Narrow"/>
                <w:sz w:val="20"/>
                <w:szCs w:val="20"/>
                <w:lang w:eastAsia="en-AU"/>
              </w:rPr>
              <w:t>No</w:t>
            </w:r>
            <w:r w:rsidR="00E710CF" w:rsidRPr="7D413406">
              <w:rPr>
                <w:rFonts w:ascii="Arial Narrow" w:eastAsia="Arial Narrow" w:hAnsi="Arial Narrow" w:cs="Arial Narrow"/>
                <w:sz w:val="20"/>
                <w:szCs w:val="20"/>
                <w:lang w:eastAsia="en-AU"/>
              </w:rPr>
              <w:t> </w:t>
            </w:r>
          </w:p>
        </w:tc>
      </w:tr>
      <w:tr w:rsidR="00E710CF" w:rsidRPr="00E710CF" w14:paraId="188A4B4A" w14:textId="77777777" w:rsidTr="2AA1CA0C">
        <w:trPr>
          <w:trHeight w:val="300"/>
        </w:trPr>
        <w:tc>
          <w:tcPr>
            <w:tcW w:w="924" w:type="dxa"/>
            <w:tcBorders>
              <w:top w:val="single" w:sz="6" w:space="0" w:color="auto"/>
              <w:left w:val="single" w:sz="6" w:space="0" w:color="auto"/>
              <w:bottom w:val="single" w:sz="6" w:space="0" w:color="auto"/>
              <w:right w:val="single" w:sz="6" w:space="0" w:color="auto"/>
            </w:tcBorders>
            <w:vAlign w:val="center"/>
            <w:hideMark/>
          </w:tcPr>
          <w:p w14:paraId="269C256C" w14:textId="0CA3E726" w:rsidR="00E710CF" w:rsidRPr="00E710CF" w:rsidRDefault="2D7EDF77" w:rsidP="0D77DCC5">
            <w:pPr>
              <w:spacing w:before="0" w:after="0" w:line="240" w:lineRule="auto"/>
              <w:textAlignment w:val="baseline"/>
              <w:rPr>
                <w:rFonts w:ascii="Arial Narrow" w:eastAsia="Arial Narrow" w:hAnsi="Arial Narrow" w:cs="Arial Narrow"/>
                <w:sz w:val="20"/>
                <w:szCs w:val="20"/>
                <w:lang w:val="en-US" w:eastAsia="en-AU"/>
              </w:rPr>
            </w:pPr>
            <w:r w:rsidRPr="7D413406">
              <w:rPr>
                <w:rFonts w:ascii="Arial Narrow" w:eastAsia="Arial Narrow" w:hAnsi="Arial Narrow" w:cs="Arial Narrow"/>
                <w:kern w:val="2"/>
                <w:sz w:val="20"/>
                <w:szCs w:val="20"/>
                <w14:ligatures w14:val="standardContextual"/>
              </w:rPr>
              <w:t>Lopez-Nava 2020</w:t>
            </w:r>
            <w:bookmarkStart w:id="52" w:name="_Ref187069145"/>
            <w:r w:rsidR="00D6729F">
              <w:rPr>
                <w:rStyle w:val="FootnoteReference"/>
                <w:rFonts w:ascii="Arial Narrow" w:eastAsia="Arial Narrow" w:hAnsi="Arial Narrow" w:cs="Arial Narrow"/>
                <w:kern w:val="2"/>
                <w:sz w:val="20"/>
                <w:szCs w:val="20"/>
                <w14:ligatures w14:val="standardContextual"/>
              </w:rPr>
              <w:footnoteReference w:id="40"/>
            </w:r>
            <w:bookmarkEnd w:id="52"/>
          </w:p>
        </w:tc>
        <w:tc>
          <w:tcPr>
            <w:tcW w:w="594" w:type="dxa"/>
            <w:tcBorders>
              <w:top w:val="single" w:sz="6" w:space="0" w:color="auto"/>
              <w:left w:val="single" w:sz="6" w:space="0" w:color="auto"/>
              <w:bottom w:val="single" w:sz="6" w:space="0" w:color="auto"/>
              <w:right w:val="single" w:sz="6" w:space="0" w:color="auto"/>
            </w:tcBorders>
            <w:vAlign w:val="center"/>
            <w:hideMark/>
          </w:tcPr>
          <w:p w14:paraId="4F545B0D"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24</w:t>
            </w:r>
          </w:p>
        </w:tc>
        <w:tc>
          <w:tcPr>
            <w:tcW w:w="1035" w:type="dxa"/>
            <w:tcBorders>
              <w:top w:val="single" w:sz="6" w:space="0" w:color="auto"/>
              <w:left w:val="single" w:sz="6" w:space="0" w:color="auto"/>
              <w:bottom w:val="single" w:sz="6" w:space="0" w:color="auto"/>
              <w:right w:val="single" w:sz="6" w:space="0" w:color="auto"/>
            </w:tcBorders>
            <w:vAlign w:val="center"/>
            <w:hideMark/>
          </w:tcPr>
          <w:p w14:paraId="7235F21D"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Prospective cohort</w:t>
            </w:r>
          </w:p>
        </w:tc>
        <w:tc>
          <w:tcPr>
            <w:tcW w:w="765" w:type="dxa"/>
            <w:tcBorders>
              <w:top w:val="single" w:sz="6" w:space="0" w:color="auto"/>
              <w:left w:val="single" w:sz="6" w:space="0" w:color="auto"/>
              <w:bottom w:val="single" w:sz="6" w:space="0" w:color="auto"/>
              <w:right w:val="single" w:sz="6" w:space="0" w:color="auto"/>
            </w:tcBorders>
            <w:vAlign w:val="center"/>
            <w:hideMark/>
          </w:tcPr>
          <w:p w14:paraId="1A962E0F"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6 months</w:t>
            </w:r>
          </w:p>
        </w:tc>
        <w:tc>
          <w:tcPr>
            <w:tcW w:w="784" w:type="dxa"/>
            <w:tcBorders>
              <w:top w:val="single" w:sz="6" w:space="0" w:color="auto"/>
              <w:left w:val="single" w:sz="6" w:space="0" w:color="auto"/>
              <w:bottom w:val="single" w:sz="6" w:space="0" w:color="auto"/>
              <w:right w:val="single" w:sz="6" w:space="0" w:color="auto"/>
            </w:tcBorders>
            <w:vAlign w:val="center"/>
            <w:hideMark/>
          </w:tcPr>
          <w:p w14:paraId="0E71C21B" w14:textId="77777777" w:rsidR="00E710CF" w:rsidRPr="00C4042E" w:rsidRDefault="2D7EDF77" w:rsidP="7D413406">
            <w:pPr>
              <w:spacing w:before="0" w:after="0" w:line="240" w:lineRule="auto"/>
              <w:jc w:val="center"/>
              <w:textAlignment w:val="baseline"/>
              <w:rPr>
                <w:rFonts w:ascii="Arial Narrow" w:eastAsia="Arial Narrow" w:hAnsi="Arial Narrow" w:cs="Arial Narrow"/>
                <w:sz w:val="20"/>
                <w:szCs w:val="20"/>
              </w:rPr>
            </w:pPr>
            <w:r w:rsidRPr="7D413406">
              <w:rPr>
                <w:rFonts w:ascii="Arial Narrow" w:eastAsia="Arial Narrow" w:hAnsi="Arial Narrow" w:cs="Arial Narrow"/>
                <w:kern w:val="2"/>
                <w:sz w:val="20"/>
                <w:szCs w:val="20"/>
                <w14:ligatures w14:val="standardContextual"/>
              </w:rPr>
              <w:t>Low</w:t>
            </w:r>
          </w:p>
        </w:tc>
        <w:tc>
          <w:tcPr>
            <w:tcW w:w="795" w:type="dxa"/>
            <w:tcBorders>
              <w:top w:val="single" w:sz="6" w:space="0" w:color="auto"/>
              <w:left w:val="single" w:sz="6" w:space="0" w:color="auto"/>
              <w:bottom w:val="single" w:sz="6" w:space="0" w:color="auto"/>
              <w:right w:val="single" w:sz="6" w:space="0" w:color="auto"/>
            </w:tcBorders>
            <w:vAlign w:val="center"/>
            <w:hideMark/>
          </w:tcPr>
          <w:p w14:paraId="3D303251"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49.3/50.5</w:t>
            </w:r>
          </w:p>
        </w:tc>
        <w:tc>
          <w:tcPr>
            <w:tcW w:w="795" w:type="dxa"/>
            <w:tcBorders>
              <w:top w:val="single" w:sz="6" w:space="0" w:color="auto"/>
              <w:left w:val="single" w:sz="6" w:space="0" w:color="auto"/>
              <w:bottom w:val="single" w:sz="6" w:space="0" w:color="auto"/>
              <w:right w:val="single" w:sz="6" w:space="0" w:color="auto"/>
            </w:tcBorders>
            <w:vAlign w:val="center"/>
            <w:hideMark/>
          </w:tcPr>
          <w:p w14:paraId="7D072337"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sz w:val="20"/>
                <w:szCs w:val="20"/>
                <w:lang w:eastAsia="en-AU"/>
              </w:rPr>
              <w:t>75/75</w:t>
            </w:r>
          </w:p>
        </w:tc>
        <w:tc>
          <w:tcPr>
            <w:tcW w:w="852" w:type="dxa"/>
            <w:tcBorders>
              <w:top w:val="single" w:sz="6" w:space="0" w:color="auto"/>
              <w:left w:val="single" w:sz="6" w:space="0" w:color="auto"/>
              <w:bottom w:val="single" w:sz="6" w:space="0" w:color="auto"/>
              <w:right w:val="single" w:sz="6" w:space="0" w:color="auto"/>
            </w:tcBorders>
            <w:vAlign w:val="center"/>
            <w:hideMark/>
          </w:tcPr>
          <w:p w14:paraId="15DEF45D"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sz w:val="20"/>
                <w:szCs w:val="20"/>
                <w:lang w:eastAsia="en-AU"/>
              </w:rPr>
              <w:t>38.3/39.2</w:t>
            </w:r>
          </w:p>
        </w:tc>
        <w:tc>
          <w:tcPr>
            <w:tcW w:w="1403" w:type="dxa"/>
            <w:tcBorders>
              <w:top w:val="single" w:sz="6" w:space="0" w:color="auto"/>
              <w:left w:val="single" w:sz="6" w:space="0" w:color="auto"/>
              <w:bottom w:val="single" w:sz="6" w:space="0" w:color="auto"/>
              <w:right w:val="single" w:sz="6" w:space="0" w:color="auto"/>
            </w:tcBorders>
            <w:vAlign w:val="center"/>
            <w:hideMark/>
          </w:tcPr>
          <w:p w14:paraId="25513F2C" w14:textId="5FD057E3" w:rsidR="00E710CF" w:rsidRPr="00E710CF" w:rsidRDefault="2BCC9FE4" w:rsidP="00E710CF">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sz w:val="20"/>
                <w:szCs w:val="20"/>
                <w:lang w:eastAsia="en-AU"/>
              </w:rPr>
              <w:t>AEs</w:t>
            </w:r>
          </w:p>
        </w:tc>
        <w:tc>
          <w:tcPr>
            <w:tcW w:w="1068" w:type="dxa"/>
            <w:tcBorders>
              <w:top w:val="single" w:sz="6" w:space="0" w:color="auto"/>
              <w:left w:val="single" w:sz="6" w:space="0" w:color="auto"/>
              <w:bottom w:val="single" w:sz="6" w:space="0" w:color="auto"/>
              <w:right w:val="single" w:sz="6" w:space="0" w:color="auto"/>
            </w:tcBorders>
            <w:vAlign w:val="center"/>
          </w:tcPr>
          <w:p w14:paraId="38F134FB" w14:textId="605F2E07" w:rsidR="00E710CF" w:rsidRPr="00E710CF" w:rsidRDefault="00FD71D4" w:rsidP="00E710CF">
            <w:pPr>
              <w:spacing w:before="0" w:after="0" w:line="240" w:lineRule="auto"/>
              <w:jc w:val="center"/>
              <w:textAlignment w:val="baseline"/>
              <w:rPr>
                <w:rFonts w:ascii="Arial Narrow" w:eastAsia="Arial Narrow" w:hAnsi="Arial Narrow" w:cs="Arial Narrow"/>
                <w:sz w:val="20"/>
                <w:szCs w:val="20"/>
                <w:lang w:eastAsia="en-AU"/>
              </w:rPr>
            </w:pPr>
            <w:r>
              <w:rPr>
                <w:rFonts w:ascii="Arial Narrow" w:eastAsia="Arial Narrow" w:hAnsi="Arial Narrow" w:cs="Arial Narrow"/>
                <w:sz w:val="20"/>
                <w:szCs w:val="20"/>
                <w:lang w:eastAsia="en-AU"/>
              </w:rPr>
              <w:t>No</w:t>
            </w:r>
          </w:p>
        </w:tc>
      </w:tr>
      <w:tr w:rsidR="00E710CF" w:rsidRPr="00E710CF" w14:paraId="4CA0A90F" w14:textId="77777777" w:rsidTr="2AA1CA0C">
        <w:trPr>
          <w:trHeight w:val="300"/>
        </w:trPr>
        <w:tc>
          <w:tcPr>
            <w:tcW w:w="924" w:type="dxa"/>
            <w:tcBorders>
              <w:top w:val="single" w:sz="6" w:space="0" w:color="auto"/>
              <w:left w:val="single" w:sz="6" w:space="0" w:color="auto"/>
              <w:bottom w:val="single" w:sz="6" w:space="0" w:color="auto"/>
              <w:right w:val="single" w:sz="6" w:space="0" w:color="auto"/>
            </w:tcBorders>
            <w:vAlign w:val="center"/>
            <w:hideMark/>
          </w:tcPr>
          <w:p w14:paraId="0C772203" w14:textId="46E9BB35" w:rsidR="00E710CF" w:rsidRPr="00E710CF" w:rsidRDefault="2D7EDF77" w:rsidP="0D77DCC5">
            <w:pPr>
              <w:spacing w:before="0" w:after="0" w:line="240" w:lineRule="auto"/>
              <w:textAlignment w:val="baseline"/>
              <w:rPr>
                <w:rFonts w:ascii="Arial Narrow" w:eastAsia="Arial Narrow" w:hAnsi="Arial Narrow" w:cs="Arial Narrow"/>
                <w:sz w:val="20"/>
                <w:szCs w:val="20"/>
                <w:lang w:val="en-US" w:eastAsia="en-AU"/>
              </w:rPr>
            </w:pPr>
            <w:r w:rsidRPr="7D413406">
              <w:rPr>
                <w:rFonts w:ascii="Arial Narrow" w:eastAsia="Arial Narrow" w:hAnsi="Arial Narrow" w:cs="Arial Narrow"/>
                <w:kern w:val="2"/>
                <w:sz w:val="20"/>
                <w:szCs w:val="20"/>
                <w14:ligatures w14:val="standardContextual"/>
              </w:rPr>
              <w:t>Lopez-Nava 2021</w:t>
            </w:r>
            <w:bookmarkStart w:id="53" w:name="_Ref187069121"/>
            <w:r w:rsidR="00D6729F">
              <w:rPr>
                <w:rStyle w:val="FootnoteReference"/>
                <w:rFonts w:ascii="Arial Narrow" w:eastAsia="Arial Narrow" w:hAnsi="Arial Narrow" w:cs="Arial Narrow"/>
                <w:kern w:val="2"/>
                <w:sz w:val="20"/>
                <w:szCs w:val="20"/>
                <w14:ligatures w14:val="standardContextual"/>
              </w:rPr>
              <w:footnoteReference w:id="41"/>
            </w:r>
            <w:bookmarkEnd w:id="53"/>
          </w:p>
        </w:tc>
        <w:tc>
          <w:tcPr>
            <w:tcW w:w="594" w:type="dxa"/>
            <w:tcBorders>
              <w:top w:val="single" w:sz="6" w:space="0" w:color="auto"/>
              <w:left w:val="single" w:sz="6" w:space="0" w:color="auto"/>
              <w:bottom w:val="single" w:sz="6" w:space="0" w:color="auto"/>
              <w:right w:val="single" w:sz="6" w:space="0" w:color="auto"/>
            </w:tcBorders>
            <w:vAlign w:val="center"/>
            <w:hideMark/>
          </w:tcPr>
          <w:p w14:paraId="5160958B"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260</w:t>
            </w:r>
          </w:p>
        </w:tc>
        <w:tc>
          <w:tcPr>
            <w:tcW w:w="1035" w:type="dxa"/>
            <w:tcBorders>
              <w:top w:val="single" w:sz="6" w:space="0" w:color="auto"/>
              <w:left w:val="single" w:sz="6" w:space="0" w:color="auto"/>
              <w:bottom w:val="single" w:sz="6" w:space="0" w:color="auto"/>
              <w:right w:val="single" w:sz="6" w:space="0" w:color="auto"/>
            </w:tcBorders>
            <w:vAlign w:val="center"/>
            <w:hideMark/>
          </w:tcPr>
          <w:p w14:paraId="0155E824"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Retrospective cohort</w:t>
            </w:r>
          </w:p>
        </w:tc>
        <w:tc>
          <w:tcPr>
            <w:tcW w:w="765" w:type="dxa"/>
            <w:tcBorders>
              <w:top w:val="single" w:sz="6" w:space="0" w:color="auto"/>
              <w:left w:val="single" w:sz="6" w:space="0" w:color="auto"/>
              <w:bottom w:val="single" w:sz="6" w:space="0" w:color="auto"/>
              <w:right w:val="single" w:sz="6" w:space="0" w:color="auto"/>
            </w:tcBorders>
            <w:vAlign w:val="center"/>
            <w:hideMark/>
          </w:tcPr>
          <w:p w14:paraId="57B75D1B"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24 months</w:t>
            </w:r>
          </w:p>
        </w:tc>
        <w:tc>
          <w:tcPr>
            <w:tcW w:w="784" w:type="dxa"/>
            <w:tcBorders>
              <w:top w:val="single" w:sz="6" w:space="0" w:color="auto"/>
              <w:left w:val="single" w:sz="6" w:space="0" w:color="auto"/>
              <w:bottom w:val="single" w:sz="6" w:space="0" w:color="auto"/>
              <w:right w:val="single" w:sz="6" w:space="0" w:color="auto"/>
            </w:tcBorders>
            <w:vAlign w:val="center"/>
            <w:hideMark/>
          </w:tcPr>
          <w:p w14:paraId="307BBF36" w14:textId="77777777" w:rsidR="00E710CF" w:rsidRPr="00C4042E" w:rsidRDefault="2D7EDF77" w:rsidP="7D413406">
            <w:pPr>
              <w:spacing w:before="0" w:after="0" w:line="240" w:lineRule="auto"/>
              <w:jc w:val="center"/>
              <w:textAlignment w:val="baseline"/>
              <w:rPr>
                <w:rFonts w:ascii="Arial Narrow" w:eastAsia="Arial Narrow" w:hAnsi="Arial Narrow" w:cs="Arial Narrow"/>
                <w:sz w:val="20"/>
                <w:szCs w:val="20"/>
              </w:rPr>
            </w:pPr>
            <w:r w:rsidRPr="7D413406">
              <w:rPr>
                <w:rFonts w:ascii="Arial Narrow" w:eastAsia="Arial Narrow" w:hAnsi="Arial Narrow" w:cs="Arial Narrow"/>
                <w:kern w:val="2"/>
                <w:sz w:val="20"/>
                <w:szCs w:val="20"/>
                <w14:ligatures w14:val="standardContextual"/>
              </w:rPr>
              <w:t>Moderate</w:t>
            </w:r>
          </w:p>
        </w:tc>
        <w:tc>
          <w:tcPr>
            <w:tcW w:w="795" w:type="dxa"/>
            <w:tcBorders>
              <w:top w:val="single" w:sz="6" w:space="0" w:color="auto"/>
              <w:left w:val="single" w:sz="6" w:space="0" w:color="auto"/>
              <w:bottom w:val="single" w:sz="6" w:space="0" w:color="auto"/>
              <w:right w:val="single" w:sz="6" w:space="0" w:color="auto"/>
            </w:tcBorders>
            <w:vAlign w:val="center"/>
            <w:hideMark/>
          </w:tcPr>
          <w:p w14:paraId="166336DD"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44.6/44.6</w:t>
            </w:r>
          </w:p>
        </w:tc>
        <w:tc>
          <w:tcPr>
            <w:tcW w:w="795" w:type="dxa"/>
            <w:tcBorders>
              <w:top w:val="single" w:sz="6" w:space="0" w:color="auto"/>
              <w:left w:val="single" w:sz="6" w:space="0" w:color="auto"/>
              <w:bottom w:val="single" w:sz="6" w:space="0" w:color="auto"/>
              <w:right w:val="single" w:sz="6" w:space="0" w:color="auto"/>
            </w:tcBorders>
            <w:vAlign w:val="center"/>
            <w:hideMark/>
          </w:tcPr>
          <w:p w14:paraId="773C7142"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sz w:val="20"/>
                <w:szCs w:val="20"/>
                <w:lang w:eastAsia="en-AU"/>
              </w:rPr>
              <w:t>71/59</w:t>
            </w:r>
          </w:p>
        </w:tc>
        <w:tc>
          <w:tcPr>
            <w:tcW w:w="852" w:type="dxa"/>
            <w:tcBorders>
              <w:top w:val="single" w:sz="6" w:space="0" w:color="auto"/>
              <w:left w:val="single" w:sz="6" w:space="0" w:color="auto"/>
              <w:bottom w:val="single" w:sz="6" w:space="0" w:color="auto"/>
              <w:right w:val="single" w:sz="6" w:space="0" w:color="auto"/>
            </w:tcBorders>
            <w:vAlign w:val="center"/>
            <w:hideMark/>
          </w:tcPr>
          <w:p w14:paraId="64D1DAEC"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sz w:val="20"/>
                <w:szCs w:val="20"/>
                <w:lang w:eastAsia="en-AU"/>
              </w:rPr>
              <w:t>39.4/40.1</w:t>
            </w:r>
          </w:p>
        </w:tc>
        <w:tc>
          <w:tcPr>
            <w:tcW w:w="1403" w:type="dxa"/>
            <w:tcBorders>
              <w:top w:val="single" w:sz="6" w:space="0" w:color="auto"/>
              <w:left w:val="single" w:sz="6" w:space="0" w:color="auto"/>
              <w:bottom w:val="single" w:sz="6" w:space="0" w:color="auto"/>
              <w:right w:val="single" w:sz="6" w:space="0" w:color="auto"/>
            </w:tcBorders>
            <w:vAlign w:val="center"/>
            <w:hideMark/>
          </w:tcPr>
          <w:p w14:paraId="61C889F1" w14:textId="04BD9E0D" w:rsidR="00E710CF" w:rsidRPr="00E710CF" w:rsidRDefault="2BCC9FE4" w:rsidP="00E710CF">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sz w:val="20"/>
                <w:szCs w:val="20"/>
                <w:lang w:eastAsia="en-AU"/>
              </w:rPr>
              <w:t>AEs</w:t>
            </w:r>
          </w:p>
        </w:tc>
        <w:tc>
          <w:tcPr>
            <w:tcW w:w="1068" w:type="dxa"/>
            <w:tcBorders>
              <w:top w:val="single" w:sz="6" w:space="0" w:color="auto"/>
              <w:left w:val="single" w:sz="6" w:space="0" w:color="auto"/>
              <w:bottom w:val="single" w:sz="6" w:space="0" w:color="auto"/>
              <w:right w:val="single" w:sz="6" w:space="0" w:color="auto"/>
            </w:tcBorders>
            <w:vAlign w:val="center"/>
          </w:tcPr>
          <w:p w14:paraId="6560C634" w14:textId="43A0AEE2" w:rsidR="00E710CF" w:rsidRPr="00E710CF" w:rsidRDefault="00FD71D4" w:rsidP="00E710CF">
            <w:pPr>
              <w:spacing w:before="0" w:after="0" w:line="240" w:lineRule="auto"/>
              <w:jc w:val="center"/>
              <w:textAlignment w:val="baseline"/>
              <w:rPr>
                <w:rFonts w:ascii="Arial Narrow" w:eastAsia="Arial Narrow" w:hAnsi="Arial Narrow" w:cs="Arial Narrow"/>
                <w:sz w:val="20"/>
                <w:szCs w:val="20"/>
                <w:lang w:eastAsia="en-AU"/>
              </w:rPr>
            </w:pPr>
            <w:r>
              <w:rPr>
                <w:rFonts w:ascii="Arial Narrow" w:eastAsia="Arial Narrow" w:hAnsi="Arial Narrow" w:cs="Arial Narrow"/>
                <w:sz w:val="20"/>
                <w:szCs w:val="20"/>
                <w:lang w:eastAsia="en-AU"/>
              </w:rPr>
              <w:t>No</w:t>
            </w:r>
          </w:p>
        </w:tc>
      </w:tr>
      <w:tr w:rsidR="00E710CF" w:rsidRPr="00E710CF" w14:paraId="165961ED" w14:textId="77777777" w:rsidTr="2AA1CA0C">
        <w:trPr>
          <w:trHeight w:val="300"/>
        </w:trPr>
        <w:tc>
          <w:tcPr>
            <w:tcW w:w="924" w:type="dxa"/>
            <w:tcBorders>
              <w:top w:val="single" w:sz="6" w:space="0" w:color="auto"/>
              <w:left w:val="single" w:sz="6" w:space="0" w:color="auto"/>
              <w:bottom w:val="single" w:sz="6" w:space="0" w:color="auto"/>
              <w:right w:val="single" w:sz="6" w:space="0" w:color="auto"/>
            </w:tcBorders>
            <w:vAlign w:val="center"/>
            <w:hideMark/>
          </w:tcPr>
          <w:p w14:paraId="4A827B11" w14:textId="66B6765C" w:rsidR="00E710CF" w:rsidRPr="00E710CF" w:rsidRDefault="2D7EDF77" w:rsidP="0D77DCC5">
            <w:pPr>
              <w:spacing w:before="0" w:after="0" w:line="240" w:lineRule="auto"/>
              <w:textAlignment w:val="baseline"/>
              <w:rPr>
                <w:rFonts w:ascii="Arial Narrow" w:eastAsia="Arial Narrow" w:hAnsi="Arial Narrow" w:cs="Arial Narrow"/>
                <w:sz w:val="20"/>
                <w:szCs w:val="20"/>
                <w:lang w:val="en-US" w:eastAsia="en-AU"/>
              </w:rPr>
            </w:pPr>
            <w:r w:rsidRPr="7D413406">
              <w:rPr>
                <w:rFonts w:ascii="Arial Narrow" w:eastAsia="Arial Narrow" w:hAnsi="Arial Narrow" w:cs="Arial Narrow"/>
                <w:kern w:val="2"/>
                <w:sz w:val="20"/>
                <w:szCs w:val="20"/>
                <w14:ligatures w14:val="standardContextual"/>
              </w:rPr>
              <w:t>Novikov 2018</w:t>
            </w:r>
            <w:bookmarkStart w:id="54" w:name="_Ref187069154"/>
            <w:r w:rsidR="001C30D0">
              <w:rPr>
                <w:rStyle w:val="FootnoteReference"/>
                <w:rFonts w:ascii="Arial Narrow" w:eastAsia="Arial Narrow" w:hAnsi="Arial Narrow" w:cs="Arial Narrow"/>
                <w:kern w:val="2"/>
                <w:sz w:val="20"/>
                <w:szCs w:val="20"/>
                <w14:ligatures w14:val="standardContextual"/>
              </w:rPr>
              <w:footnoteReference w:id="42"/>
            </w:r>
            <w:bookmarkEnd w:id="54"/>
          </w:p>
        </w:tc>
        <w:tc>
          <w:tcPr>
            <w:tcW w:w="594" w:type="dxa"/>
            <w:tcBorders>
              <w:top w:val="single" w:sz="6" w:space="0" w:color="auto"/>
              <w:left w:val="single" w:sz="6" w:space="0" w:color="auto"/>
              <w:bottom w:val="single" w:sz="6" w:space="0" w:color="auto"/>
              <w:right w:val="single" w:sz="6" w:space="0" w:color="auto"/>
            </w:tcBorders>
            <w:vAlign w:val="center"/>
            <w:hideMark/>
          </w:tcPr>
          <w:p w14:paraId="0AB8141F"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211</w:t>
            </w:r>
          </w:p>
        </w:tc>
        <w:tc>
          <w:tcPr>
            <w:tcW w:w="1035" w:type="dxa"/>
            <w:tcBorders>
              <w:top w:val="single" w:sz="6" w:space="0" w:color="auto"/>
              <w:left w:val="single" w:sz="6" w:space="0" w:color="auto"/>
              <w:bottom w:val="single" w:sz="6" w:space="0" w:color="auto"/>
              <w:right w:val="single" w:sz="6" w:space="0" w:color="auto"/>
            </w:tcBorders>
            <w:vAlign w:val="center"/>
            <w:hideMark/>
          </w:tcPr>
          <w:p w14:paraId="52E88DAD"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Retrospective cohort</w:t>
            </w:r>
          </w:p>
        </w:tc>
        <w:tc>
          <w:tcPr>
            <w:tcW w:w="765" w:type="dxa"/>
            <w:tcBorders>
              <w:top w:val="single" w:sz="6" w:space="0" w:color="auto"/>
              <w:left w:val="single" w:sz="6" w:space="0" w:color="auto"/>
              <w:bottom w:val="single" w:sz="6" w:space="0" w:color="auto"/>
              <w:right w:val="single" w:sz="6" w:space="0" w:color="auto"/>
            </w:tcBorders>
            <w:vAlign w:val="center"/>
            <w:hideMark/>
          </w:tcPr>
          <w:p w14:paraId="3E900A54"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12 months</w:t>
            </w:r>
          </w:p>
        </w:tc>
        <w:tc>
          <w:tcPr>
            <w:tcW w:w="784" w:type="dxa"/>
            <w:tcBorders>
              <w:top w:val="single" w:sz="6" w:space="0" w:color="auto"/>
              <w:left w:val="single" w:sz="6" w:space="0" w:color="auto"/>
              <w:bottom w:val="single" w:sz="6" w:space="0" w:color="auto"/>
              <w:right w:val="single" w:sz="6" w:space="0" w:color="auto"/>
            </w:tcBorders>
            <w:vAlign w:val="center"/>
            <w:hideMark/>
          </w:tcPr>
          <w:p w14:paraId="36E9023F" w14:textId="77777777" w:rsidR="00E710CF" w:rsidRPr="00C4042E" w:rsidRDefault="2D7EDF77" w:rsidP="7D413406">
            <w:pPr>
              <w:spacing w:before="0" w:after="0" w:line="240" w:lineRule="auto"/>
              <w:jc w:val="center"/>
              <w:textAlignment w:val="baseline"/>
              <w:rPr>
                <w:rFonts w:ascii="Arial Narrow" w:eastAsia="Arial Narrow" w:hAnsi="Arial Narrow" w:cs="Arial Narrow"/>
                <w:sz w:val="20"/>
                <w:szCs w:val="20"/>
              </w:rPr>
            </w:pPr>
            <w:r w:rsidRPr="7D413406">
              <w:rPr>
                <w:rFonts w:ascii="Arial Narrow" w:eastAsia="Arial Narrow" w:hAnsi="Arial Narrow" w:cs="Arial Narrow"/>
                <w:kern w:val="2"/>
                <w:sz w:val="20"/>
                <w:szCs w:val="20"/>
                <w14:ligatures w14:val="standardContextual"/>
              </w:rPr>
              <w:t>Low</w:t>
            </w:r>
          </w:p>
        </w:tc>
        <w:tc>
          <w:tcPr>
            <w:tcW w:w="795" w:type="dxa"/>
            <w:tcBorders>
              <w:top w:val="single" w:sz="6" w:space="0" w:color="auto"/>
              <w:left w:val="single" w:sz="6" w:space="0" w:color="auto"/>
              <w:bottom w:val="single" w:sz="6" w:space="0" w:color="auto"/>
              <w:right w:val="single" w:sz="6" w:space="0" w:color="auto"/>
            </w:tcBorders>
            <w:vAlign w:val="center"/>
            <w:hideMark/>
          </w:tcPr>
          <w:p w14:paraId="2407FA8A"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43.9/40.7</w:t>
            </w:r>
          </w:p>
        </w:tc>
        <w:tc>
          <w:tcPr>
            <w:tcW w:w="795" w:type="dxa"/>
            <w:tcBorders>
              <w:top w:val="single" w:sz="6" w:space="0" w:color="auto"/>
              <w:left w:val="single" w:sz="6" w:space="0" w:color="auto"/>
              <w:bottom w:val="single" w:sz="6" w:space="0" w:color="auto"/>
              <w:right w:val="single" w:sz="6" w:space="0" w:color="auto"/>
            </w:tcBorders>
            <w:vAlign w:val="center"/>
            <w:hideMark/>
          </w:tcPr>
          <w:p w14:paraId="612336D4"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sz w:val="20"/>
                <w:szCs w:val="20"/>
                <w:lang w:eastAsia="en-AU"/>
              </w:rPr>
              <w:t>68.1/78.3</w:t>
            </w:r>
          </w:p>
        </w:tc>
        <w:tc>
          <w:tcPr>
            <w:tcW w:w="852" w:type="dxa"/>
            <w:tcBorders>
              <w:top w:val="single" w:sz="6" w:space="0" w:color="auto"/>
              <w:left w:val="single" w:sz="6" w:space="0" w:color="auto"/>
              <w:bottom w:val="single" w:sz="6" w:space="0" w:color="auto"/>
              <w:right w:val="single" w:sz="6" w:space="0" w:color="auto"/>
            </w:tcBorders>
            <w:vAlign w:val="center"/>
            <w:hideMark/>
          </w:tcPr>
          <w:p w14:paraId="1EFB53C9"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sz w:val="20"/>
                <w:szCs w:val="20"/>
                <w:lang w:eastAsia="en-AU"/>
              </w:rPr>
              <w:t>38.6/47.2</w:t>
            </w:r>
          </w:p>
        </w:tc>
        <w:tc>
          <w:tcPr>
            <w:tcW w:w="1403" w:type="dxa"/>
            <w:tcBorders>
              <w:top w:val="single" w:sz="6" w:space="0" w:color="auto"/>
              <w:left w:val="single" w:sz="6" w:space="0" w:color="auto"/>
              <w:bottom w:val="single" w:sz="6" w:space="0" w:color="auto"/>
              <w:right w:val="single" w:sz="6" w:space="0" w:color="auto"/>
            </w:tcBorders>
            <w:vAlign w:val="center"/>
            <w:hideMark/>
          </w:tcPr>
          <w:p w14:paraId="2ACA07A9" w14:textId="03569BFE" w:rsidR="00E710CF" w:rsidRPr="00E710CF" w:rsidRDefault="2BCC9FE4" w:rsidP="00E710CF">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sz w:val="20"/>
                <w:szCs w:val="20"/>
                <w:lang w:eastAsia="en-AU"/>
              </w:rPr>
              <w:t>AE</w:t>
            </w:r>
            <w:r w:rsidR="2D7EDF77" w:rsidRPr="7D413406">
              <w:rPr>
                <w:rFonts w:ascii="Arial Narrow" w:eastAsia="Arial Narrow" w:hAnsi="Arial Narrow" w:cs="Arial Narrow"/>
                <w:sz w:val="20"/>
                <w:szCs w:val="20"/>
                <w:lang w:eastAsia="en-AU"/>
              </w:rPr>
              <w:t>s</w:t>
            </w:r>
          </w:p>
        </w:tc>
        <w:tc>
          <w:tcPr>
            <w:tcW w:w="1068" w:type="dxa"/>
            <w:tcBorders>
              <w:top w:val="single" w:sz="6" w:space="0" w:color="auto"/>
              <w:left w:val="single" w:sz="6" w:space="0" w:color="auto"/>
              <w:bottom w:val="single" w:sz="6" w:space="0" w:color="auto"/>
              <w:right w:val="single" w:sz="6" w:space="0" w:color="auto"/>
            </w:tcBorders>
            <w:vAlign w:val="center"/>
          </w:tcPr>
          <w:p w14:paraId="2394965E" w14:textId="74797929" w:rsidR="00E710CF" w:rsidRPr="00E710CF" w:rsidRDefault="00FD71D4" w:rsidP="00E710CF">
            <w:pPr>
              <w:spacing w:before="0" w:after="0" w:line="240" w:lineRule="auto"/>
              <w:jc w:val="center"/>
              <w:textAlignment w:val="baseline"/>
              <w:rPr>
                <w:rFonts w:ascii="Arial Narrow" w:eastAsia="Arial Narrow" w:hAnsi="Arial Narrow" w:cs="Arial Narrow"/>
                <w:sz w:val="20"/>
                <w:szCs w:val="20"/>
                <w:lang w:eastAsia="en-AU"/>
              </w:rPr>
            </w:pPr>
            <w:r>
              <w:rPr>
                <w:rFonts w:ascii="Arial Narrow" w:eastAsia="Arial Narrow" w:hAnsi="Arial Narrow" w:cs="Arial Narrow"/>
                <w:sz w:val="20"/>
                <w:szCs w:val="20"/>
                <w:lang w:eastAsia="en-AU"/>
              </w:rPr>
              <w:t>No</w:t>
            </w:r>
          </w:p>
        </w:tc>
      </w:tr>
      <w:tr w:rsidR="00E710CF" w:rsidRPr="00E710CF" w14:paraId="27462BB6" w14:textId="77777777" w:rsidTr="2AA1CA0C">
        <w:trPr>
          <w:trHeight w:val="300"/>
        </w:trPr>
        <w:tc>
          <w:tcPr>
            <w:tcW w:w="924" w:type="dxa"/>
            <w:tcBorders>
              <w:top w:val="single" w:sz="6" w:space="0" w:color="auto"/>
              <w:left w:val="single" w:sz="6" w:space="0" w:color="auto"/>
              <w:bottom w:val="single" w:sz="6" w:space="0" w:color="auto"/>
              <w:right w:val="single" w:sz="6" w:space="0" w:color="auto"/>
            </w:tcBorders>
            <w:vAlign w:val="center"/>
            <w:hideMark/>
          </w:tcPr>
          <w:p w14:paraId="7E0E8966" w14:textId="29619A90" w:rsidR="00E710CF" w:rsidRPr="00E710CF" w:rsidRDefault="2D7EDF77" w:rsidP="0D77DCC5">
            <w:pPr>
              <w:spacing w:before="0" w:after="0" w:line="240" w:lineRule="auto"/>
              <w:textAlignment w:val="baseline"/>
              <w:rPr>
                <w:rFonts w:ascii="Arial Narrow" w:eastAsia="Arial Narrow" w:hAnsi="Arial Narrow" w:cs="Arial Narrow"/>
                <w:sz w:val="20"/>
                <w:szCs w:val="20"/>
                <w:lang w:val="en-US" w:eastAsia="en-AU"/>
              </w:rPr>
            </w:pPr>
            <w:r w:rsidRPr="7D413406">
              <w:rPr>
                <w:rFonts w:ascii="Arial Narrow" w:eastAsia="Arial Narrow" w:hAnsi="Arial Narrow" w:cs="Arial Narrow"/>
                <w:kern w:val="2"/>
                <w:sz w:val="20"/>
                <w:szCs w:val="20"/>
                <w14:ligatures w14:val="standardContextual"/>
              </w:rPr>
              <w:t>Gudur 2023</w:t>
            </w:r>
            <w:bookmarkStart w:id="55" w:name="_Ref187069191"/>
            <w:r w:rsidR="00F57C96">
              <w:rPr>
                <w:rStyle w:val="FootnoteReference"/>
                <w:rFonts w:ascii="Arial Narrow" w:eastAsia="Arial Narrow" w:hAnsi="Arial Narrow" w:cs="Arial Narrow"/>
                <w:kern w:val="2"/>
                <w:sz w:val="20"/>
                <w:szCs w:val="20"/>
                <w14:ligatures w14:val="standardContextual"/>
              </w:rPr>
              <w:footnoteReference w:id="43"/>
            </w:r>
            <w:bookmarkEnd w:id="55"/>
          </w:p>
        </w:tc>
        <w:tc>
          <w:tcPr>
            <w:tcW w:w="594" w:type="dxa"/>
            <w:tcBorders>
              <w:top w:val="single" w:sz="6" w:space="0" w:color="auto"/>
              <w:left w:val="single" w:sz="6" w:space="0" w:color="auto"/>
              <w:bottom w:val="single" w:sz="6" w:space="0" w:color="auto"/>
              <w:right w:val="single" w:sz="6" w:space="0" w:color="auto"/>
            </w:tcBorders>
            <w:vAlign w:val="center"/>
            <w:hideMark/>
          </w:tcPr>
          <w:p w14:paraId="0EBA1920"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36,323</w:t>
            </w:r>
          </w:p>
        </w:tc>
        <w:tc>
          <w:tcPr>
            <w:tcW w:w="1035" w:type="dxa"/>
            <w:tcBorders>
              <w:top w:val="single" w:sz="6" w:space="0" w:color="auto"/>
              <w:left w:val="single" w:sz="6" w:space="0" w:color="auto"/>
              <w:bottom w:val="single" w:sz="6" w:space="0" w:color="auto"/>
              <w:right w:val="single" w:sz="6" w:space="0" w:color="auto"/>
            </w:tcBorders>
            <w:vAlign w:val="center"/>
            <w:hideMark/>
          </w:tcPr>
          <w:p w14:paraId="146298E6"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Retrospective propensity score-matched analysis</w:t>
            </w:r>
          </w:p>
        </w:tc>
        <w:tc>
          <w:tcPr>
            <w:tcW w:w="765" w:type="dxa"/>
            <w:tcBorders>
              <w:top w:val="single" w:sz="6" w:space="0" w:color="auto"/>
              <w:left w:val="single" w:sz="6" w:space="0" w:color="auto"/>
              <w:bottom w:val="single" w:sz="6" w:space="0" w:color="auto"/>
              <w:right w:val="single" w:sz="6" w:space="0" w:color="auto"/>
            </w:tcBorders>
            <w:vAlign w:val="center"/>
            <w:hideMark/>
          </w:tcPr>
          <w:p w14:paraId="259072D8"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30 days</w:t>
            </w:r>
          </w:p>
        </w:tc>
        <w:tc>
          <w:tcPr>
            <w:tcW w:w="784" w:type="dxa"/>
            <w:tcBorders>
              <w:top w:val="single" w:sz="6" w:space="0" w:color="auto"/>
              <w:left w:val="single" w:sz="6" w:space="0" w:color="auto"/>
              <w:bottom w:val="single" w:sz="6" w:space="0" w:color="auto"/>
              <w:right w:val="single" w:sz="6" w:space="0" w:color="auto"/>
            </w:tcBorders>
            <w:vAlign w:val="center"/>
            <w:hideMark/>
          </w:tcPr>
          <w:p w14:paraId="3192804B" w14:textId="77777777" w:rsidR="00E710CF" w:rsidRPr="00C4042E" w:rsidRDefault="2D7EDF77" w:rsidP="7D413406">
            <w:pPr>
              <w:spacing w:before="0" w:after="0" w:line="240" w:lineRule="auto"/>
              <w:jc w:val="center"/>
              <w:textAlignment w:val="baseline"/>
              <w:rPr>
                <w:rFonts w:ascii="Arial Narrow" w:eastAsia="Arial Narrow" w:hAnsi="Arial Narrow" w:cs="Arial Narrow"/>
                <w:sz w:val="20"/>
                <w:szCs w:val="20"/>
              </w:rPr>
            </w:pPr>
            <w:r w:rsidRPr="7D413406">
              <w:rPr>
                <w:rFonts w:ascii="Arial Narrow" w:eastAsia="Arial Narrow" w:hAnsi="Arial Narrow" w:cs="Arial Narrow"/>
                <w:kern w:val="2"/>
                <w:sz w:val="20"/>
                <w:szCs w:val="20"/>
                <w14:ligatures w14:val="standardContextual"/>
              </w:rPr>
              <w:t>High</w:t>
            </w:r>
          </w:p>
        </w:tc>
        <w:tc>
          <w:tcPr>
            <w:tcW w:w="795" w:type="dxa"/>
            <w:tcBorders>
              <w:top w:val="single" w:sz="6" w:space="0" w:color="auto"/>
              <w:left w:val="single" w:sz="6" w:space="0" w:color="auto"/>
              <w:bottom w:val="single" w:sz="6" w:space="0" w:color="auto"/>
              <w:right w:val="single" w:sz="6" w:space="0" w:color="auto"/>
            </w:tcBorders>
            <w:vAlign w:val="center"/>
            <w:hideMark/>
          </w:tcPr>
          <w:p w14:paraId="5C507D15"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47.5/44.9</w:t>
            </w:r>
          </w:p>
        </w:tc>
        <w:tc>
          <w:tcPr>
            <w:tcW w:w="795" w:type="dxa"/>
            <w:tcBorders>
              <w:top w:val="single" w:sz="6" w:space="0" w:color="auto"/>
              <w:left w:val="single" w:sz="6" w:space="0" w:color="auto"/>
              <w:bottom w:val="single" w:sz="6" w:space="0" w:color="auto"/>
              <w:right w:val="single" w:sz="6" w:space="0" w:color="auto"/>
            </w:tcBorders>
            <w:vAlign w:val="center"/>
            <w:hideMark/>
          </w:tcPr>
          <w:p w14:paraId="16DB858B"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sz w:val="20"/>
                <w:szCs w:val="20"/>
                <w:lang w:eastAsia="en-AU"/>
              </w:rPr>
              <w:t>84.5/82.3</w:t>
            </w:r>
          </w:p>
        </w:tc>
        <w:tc>
          <w:tcPr>
            <w:tcW w:w="852" w:type="dxa"/>
            <w:tcBorders>
              <w:top w:val="single" w:sz="6" w:space="0" w:color="auto"/>
              <w:left w:val="single" w:sz="6" w:space="0" w:color="auto"/>
              <w:bottom w:val="single" w:sz="6" w:space="0" w:color="auto"/>
              <w:right w:val="single" w:sz="6" w:space="0" w:color="auto"/>
            </w:tcBorders>
            <w:vAlign w:val="center"/>
            <w:hideMark/>
          </w:tcPr>
          <w:p w14:paraId="7E9EE315"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sz w:val="20"/>
                <w:szCs w:val="20"/>
                <w:lang w:eastAsia="en-AU"/>
              </w:rPr>
              <w:t>40.6/42.8</w:t>
            </w:r>
          </w:p>
        </w:tc>
        <w:tc>
          <w:tcPr>
            <w:tcW w:w="1403" w:type="dxa"/>
            <w:tcBorders>
              <w:top w:val="single" w:sz="6" w:space="0" w:color="auto"/>
              <w:left w:val="single" w:sz="6" w:space="0" w:color="auto"/>
              <w:bottom w:val="single" w:sz="6" w:space="0" w:color="auto"/>
              <w:right w:val="single" w:sz="6" w:space="0" w:color="auto"/>
            </w:tcBorders>
            <w:vAlign w:val="center"/>
            <w:hideMark/>
          </w:tcPr>
          <w:p w14:paraId="307AA8AC" w14:textId="25B1E555" w:rsidR="00E710CF" w:rsidRPr="00E710CF" w:rsidRDefault="2BCC9FE4" w:rsidP="00E710CF">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sz w:val="20"/>
                <w:szCs w:val="20"/>
                <w:lang w:eastAsia="en-AU"/>
              </w:rPr>
              <w:t>AE</w:t>
            </w:r>
            <w:r w:rsidR="2D7EDF77" w:rsidRPr="7D413406">
              <w:rPr>
                <w:rFonts w:ascii="Arial Narrow" w:eastAsia="Arial Narrow" w:hAnsi="Arial Narrow" w:cs="Arial Narrow"/>
                <w:sz w:val="20"/>
                <w:szCs w:val="20"/>
                <w:lang w:eastAsia="en-AU"/>
              </w:rPr>
              <w:t>s</w:t>
            </w:r>
          </w:p>
        </w:tc>
        <w:tc>
          <w:tcPr>
            <w:tcW w:w="1068" w:type="dxa"/>
            <w:tcBorders>
              <w:top w:val="single" w:sz="6" w:space="0" w:color="auto"/>
              <w:left w:val="single" w:sz="6" w:space="0" w:color="auto"/>
              <w:bottom w:val="single" w:sz="6" w:space="0" w:color="auto"/>
              <w:right w:val="single" w:sz="6" w:space="0" w:color="auto"/>
            </w:tcBorders>
            <w:vAlign w:val="center"/>
          </w:tcPr>
          <w:p w14:paraId="6CA594B1" w14:textId="31911EBF" w:rsidR="00E710CF" w:rsidRPr="00E710CF" w:rsidRDefault="00FD71D4" w:rsidP="00E710CF">
            <w:pPr>
              <w:spacing w:before="0" w:after="0" w:line="240" w:lineRule="auto"/>
              <w:jc w:val="center"/>
              <w:textAlignment w:val="baseline"/>
              <w:rPr>
                <w:rFonts w:ascii="Arial Narrow" w:eastAsia="Arial Narrow" w:hAnsi="Arial Narrow" w:cs="Arial Narrow"/>
                <w:sz w:val="20"/>
                <w:szCs w:val="20"/>
                <w:lang w:eastAsia="en-AU"/>
              </w:rPr>
            </w:pPr>
            <w:r>
              <w:rPr>
                <w:rFonts w:ascii="Arial Narrow" w:eastAsia="Arial Narrow" w:hAnsi="Arial Narrow" w:cs="Arial Narrow"/>
                <w:sz w:val="20"/>
                <w:szCs w:val="20"/>
                <w:lang w:eastAsia="en-AU"/>
              </w:rPr>
              <w:t>No</w:t>
            </w:r>
          </w:p>
        </w:tc>
      </w:tr>
      <w:tr w:rsidR="00E710CF" w:rsidRPr="00E710CF" w14:paraId="2141BED4" w14:textId="77777777" w:rsidTr="2AA1CA0C">
        <w:trPr>
          <w:trHeight w:val="300"/>
        </w:trPr>
        <w:tc>
          <w:tcPr>
            <w:tcW w:w="924" w:type="dxa"/>
            <w:tcBorders>
              <w:top w:val="single" w:sz="6" w:space="0" w:color="auto"/>
              <w:left w:val="single" w:sz="6" w:space="0" w:color="auto"/>
              <w:bottom w:val="single" w:sz="6" w:space="0" w:color="auto"/>
              <w:right w:val="single" w:sz="6" w:space="0" w:color="auto"/>
            </w:tcBorders>
            <w:vAlign w:val="center"/>
            <w:hideMark/>
          </w:tcPr>
          <w:p w14:paraId="4A079DB0" w14:textId="2E3CD75E" w:rsidR="00E710CF" w:rsidRPr="00E710CF" w:rsidRDefault="2D7EDF77" w:rsidP="2AA1CA0C">
            <w:pPr>
              <w:spacing w:before="0" w:after="0" w:line="240" w:lineRule="auto"/>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Gudur 2024</w:t>
            </w:r>
            <w:bookmarkStart w:id="56" w:name="_Ref187138513"/>
            <w:r w:rsidR="003014A4">
              <w:rPr>
                <w:rStyle w:val="FootnoteReference"/>
                <w:rFonts w:ascii="Arial Narrow" w:eastAsia="Arial Narrow" w:hAnsi="Arial Narrow" w:cs="Arial Narrow"/>
                <w:kern w:val="2"/>
                <w:sz w:val="20"/>
                <w:szCs w:val="20"/>
                <w14:ligatures w14:val="standardContextual"/>
              </w:rPr>
              <w:footnoteReference w:id="44"/>
            </w:r>
            <w:bookmarkEnd w:id="56"/>
          </w:p>
        </w:tc>
        <w:tc>
          <w:tcPr>
            <w:tcW w:w="594" w:type="dxa"/>
            <w:tcBorders>
              <w:top w:val="single" w:sz="6" w:space="0" w:color="auto"/>
              <w:left w:val="single" w:sz="6" w:space="0" w:color="auto"/>
              <w:bottom w:val="single" w:sz="6" w:space="0" w:color="auto"/>
              <w:right w:val="single" w:sz="6" w:space="0" w:color="auto"/>
            </w:tcBorders>
            <w:vAlign w:val="center"/>
            <w:hideMark/>
          </w:tcPr>
          <w:p w14:paraId="21394819"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151,448</w:t>
            </w:r>
          </w:p>
        </w:tc>
        <w:tc>
          <w:tcPr>
            <w:tcW w:w="1035" w:type="dxa"/>
            <w:tcBorders>
              <w:top w:val="single" w:sz="6" w:space="0" w:color="auto"/>
              <w:left w:val="single" w:sz="6" w:space="0" w:color="auto"/>
              <w:bottom w:val="single" w:sz="6" w:space="0" w:color="auto"/>
              <w:right w:val="single" w:sz="6" w:space="0" w:color="auto"/>
            </w:tcBorders>
            <w:vAlign w:val="center"/>
            <w:hideMark/>
          </w:tcPr>
          <w:p w14:paraId="2D8FB4C9"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Retrospective analysis</w:t>
            </w:r>
          </w:p>
        </w:tc>
        <w:tc>
          <w:tcPr>
            <w:tcW w:w="765" w:type="dxa"/>
            <w:tcBorders>
              <w:top w:val="single" w:sz="6" w:space="0" w:color="auto"/>
              <w:left w:val="single" w:sz="6" w:space="0" w:color="auto"/>
              <w:bottom w:val="single" w:sz="6" w:space="0" w:color="auto"/>
              <w:right w:val="single" w:sz="6" w:space="0" w:color="auto"/>
            </w:tcBorders>
            <w:vAlign w:val="center"/>
            <w:hideMark/>
          </w:tcPr>
          <w:p w14:paraId="7D17445B"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30 days</w:t>
            </w:r>
          </w:p>
        </w:tc>
        <w:tc>
          <w:tcPr>
            <w:tcW w:w="784" w:type="dxa"/>
            <w:tcBorders>
              <w:top w:val="single" w:sz="6" w:space="0" w:color="auto"/>
              <w:left w:val="single" w:sz="6" w:space="0" w:color="auto"/>
              <w:bottom w:val="single" w:sz="6" w:space="0" w:color="auto"/>
              <w:right w:val="single" w:sz="6" w:space="0" w:color="auto"/>
            </w:tcBorders>
            <w:vAlign w:val="center"/>
            <w:hideMark/>
          </w:tcPr>
          <w:p w14:paraId="00A63FE3" w14:textId="77777777" w:rsidR="00E710CF" w:rsidRPr="00C4042E" w:rsidRDefault="2D7EDF77" w:rsidP="7D413406">
            <w:pPr>
              <w:spacing w:before="0" w:after="0" w:line="240" w:lineRule="auto"/>
              <w:jc w:val="center"/>
              <w:textAlignment w:val="baseline"/>
              <w:rPr>
                <w:rFonts w:ascii="Arial Narrow" w:eastAsia="Arial Narrow" w:hAnsi="Arial Narrow" w:cs="Arial Narrow"/>
                <w:sz w:val="20"/>
                <w:szCs w:val="20"/>
              </w:rPr>
            </w:pPr>
            <w:r w:rsidRPr="7D413406">
              <w:rPr>
                <w:rFonts w:ascii="Arial Narrow" w:eastAsia="Arial Narrow" w:hAnsi="Arial Narrow" w:cs="Arial Narrow"/>
                <w:kern w:val="2"/>
                <w:sz w:val="20"/>
                <w:szCs w:val="20"/>
                <w14:ligatures w14:val="standardContextual"/>
              </w:rPr>
              <w:t>High</w:t>
            </w:r>
          </w:p>
        </w:tc>
        <w:tc>
          <w:tcPr>
            <w:tcW w:w="795" w:type="dxa"/>
            <w:tcBorders>
              <w:top w:val="single" w:sz="6" w:space="0" w:color="auto"/>
              <w:left w:val="single" w:sz="6" w:space="0" w:color="auto"/>
              <w:bottom w:val="single" w:sz="6" w:space="0" w:color="auto"/>
              <w:right w:val="single" w:sz="6" w:space="0" w:color="auto"/>
            </w:tcBorders>
            <w:vAlign w:val="center"/>
            <w:hideMark/>
          </w:tcPr>
          <w:p w14:paraId="04ED9F71"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kern w:val="2"/>
                <w:sz w:val="20"/>
                <w:szCs w:val="20"/>
                <w14:ligatures w14:val="standardContextual"/>
              </w:rPr>
              <w:t>44.0/41.7</w:t>
            </w:r>
          </w:p>
        </w:tc>
        <w:tc>
          <w:tcPr>
            <w:tcW w:w="795" w:type="dxa"/>
            <w:tcBorders>
              <w:top w:val="single" w:sz="6" w:space="0" w:color="auto"/>
              <w:left w:val="single" w:sz="6" w:space="0" w:color="auto"/>
              <w:bottom w:val="single" w:sz="6" w:space="0" w:color="auto"/>
              <w:right w:val="single" w:sz="6" w:space="0" w:color="auto"/>
            </w:tcBorders>
            <w:vAlign w:val="center"/>
            <w:hideMark/>
          </w:tcPr>
          <w:p w14:paraId="2B0A5977" w14:textId="77777777" w:rsidR="00E710CF" w:rsidRPr="00E710CF" w:rsidRDefault="2D7EDF77" w:rsidP="7D413406">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sz w:val="20"/>
                <w:szCs w:val="20"/>
                <w:lang w:eastAsia="en-AU"/>
              </w:rPr>
              <w:t>75/74.1</w:t>
            </w:r>
          </w:p>
        </w:tc>
        <w:tc>
          <w:tcPr>
            <w:tcW w:w="852" w:type="dxa"/>
            <w:tcBorders>
              <w:top w:val="single" w:sz="6" w:space="0" w:color="auto"/>
              <w:left w:val="single" w:sz="6" w:space="0" w:color="auto"/>
              <w:bottom w:val="single" w:sz="6" w:space="0" w:color="auto"/>
              <w:right w:val="single" w:sz="6" w:space="0" w:color="auto"/>
            </w:tcBorders>
            <w:vAlign w:val="center"/>
            <w:hideMark/>
          </w:tcPr>
          <w:p w14:paraId="4716FE08" w14:textId="77777777" w:rsidR="00E710CF" w:rsidRPr="00E710CF" w:rsidRDefault="2D7EDF77" w:rsidP="0D77DCC5">
            <w:pPr>
              <w:spacing w:before="0" w:after="0" w:line="240" w:lineRule="auto"/>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sz w:val="20"/>
                <w:szCs w:val="20"/>
                <w:lang w:eastAsia="en-AU"/>
              </w:rPr>
              <w:t>56.9/56.6</w:t>
            </w:r>
          </w:p>
        </w:tc>
        <w:tc>
          <w:tcPr>
            <w:tcW w:w="1403" w:type="dxa"/>
            <w:tcBorders>
              <w:top w:val="single" w:sz="6" w:space="0" w:color="auto"/>
              <w:left w:val="single" w:sz="6" w:space="0" w:color="auto"/>
              <w:bottom w:val="single" w:sz="6" w:space="0" w:color="auto"/>
              <w:right w:val="single" w:sz="6" w:space="0" w:color="auto"/>
            </w:tcBorders>
            <w:vAlign w:val="center"/>
            <w:hideMark/>
          </w:tcPr>
          <w:p w14:paraId="581C649D" w14:textId="366279F0" w:rsidR="00E710CF" w:rsidRPr="00E710CF" w:rsidRDefault="2BCC9FE4" w:rsidP="00E710CF">
            <w:pPr>
              <w:spacing w:before="0" w:after="0" w:line="240" w:lineRule="auto"/>
              <w:jc w:val="center"/>
              <w:textAlignment w:val="baseline"/>
              <w:rPr>
                <w:rFonts w:ascii="Arial Narrow" w:eastAsia="Arial Narrow" w:hAnsi="Arial Narrow" w:cs="Arial Narrow"/>
                <w:sz w:val="20"/>
                <w:szCs w:val="20"/>
                <w:lang w:eastAsia="en-AU"/>
              </w:rPr>
            </w:pPr>
            <w:r w:rsidRPr="7D413406">
              <w:rPr>
                <w:rFonts w:ascii="Arial Narrow" w:eastAsia="Arial Narrow" w:hAnsi="Arial Narrow" w:cs="Arial Narrow"/>
                <w:sz w:val="20"/>
                <w:szCs w:val="20"/>
                <w:lang w:eastAsia="en-AU"/>
              </w:rPr>
              <w:t>AE</w:t>
            </w:r>
            <w:r w:rsidR="2D7EDF77" w:rsidRPr="7D413406">
              <w:rPr>
                <w:rFonts w:ascii="Arial Narrow" w:eastAsia="Arial Narrow" w:hAnsi="Arial Narrow" w:cs="Arial Narrow"/>
                <w:sz w:val="20"/>
                <w:szCs w:val="20"/>
                <w:lang w:eastAsia="en-AU"/>
              </w:rPr>
              <w:t>s </w:t>
            </w:r>
          </w:p>
        </w:tc>
        <w:tc>
          <w:tcPr>
            <w:tcW w:w="1068" w:type="dxa"/>
            <w:tcBorders>
              <w:top w:val="single" w:sz="6" w:space="0" w:color="auto"/>
              <w:left w:val="single" w:sz="6" w:space="0" w:color="auto"/>
              <w:bottom w:val="single" w:sz="6" w:space="0" w:color="auto"/>
              <w:right w:val="single" w:sz="6" w:space="0" w:color="auto"/>
            </w:tcBorders>
            <w:vAlign w:val="center"/>
            <w:hideMark/>
          </w:tcPr>
          <w:p w14:paraId="544CCC2D" w14:textId="0F3EDC40" w:rsidR="00E710CF" w:rsidRPr="00E710CF" w:rsidRDefault="00FD71D4" w:rsidP="00E710CF">
            <w:pPr>
              <w:spacing w:before="0" w:after="0" w:line="240" w:lineRule="auto"/>
              <w:jc w:val="center"/>
              <w:textAlignment w:val="baseline"/>
              <w:rPr>
                <w:rFonts w:ascii="Arial Narrow" w:eastAsia="Arial Narrow" w:hAnsi="Arial Narrow" w:cs="Arial Narrow"/>
                <w:sz w:val="20"/>
                <w:szCs w:val="20"/>
                <w:lang w:eastAsia="en-AU"/>
              </w:rPr>
            </w:pPr>
            <w:r>
              <w:rPr>
                <w:rFonts w:ascii="Arial Narrow" w:eastAsia="Arial Narrow" w:hAnsi="Arial Narrow" w:cs="Arial Narrow"/>
                <w:sz w:val="20"/>
                <w:szCs w:val="20"/>
                <w:lang w:eastAsia="en-AU"/>
              </w:rPr>
              <w:t>No</w:t>
            </w:r>
            <w:r w:rsidR="00E710CF" w:rsidRPr="7D413406">
              <w:rPr>
                <w:rFonts w:ascii="Arial Narrow" w:eastAsia="Arial Narrow" w:hAnsi="Arial Narrow" w:cs="Arial Narrow"/>
                <w:sz w:val="20"/>
                <w:szCs w:val="20"/>
                <w:lang w:eastAsia="en-AU"/>
              </w:rPr>
              <w:t> </w:t>
            </w:r>
          </w:p>
        </w:tc>
      </w:tr>
    </w:tbl>
    <w:p w14:paraId="7BA9C00D" w14:textId="73307297" w:rsidR="007E115E" w:rsidRDefault="17B293B6" w:rsidP="006F1C35">
      <w:pPr>
        <w:pStyle w:val="TableFigureFooter"/>
        <w:rPr>
          <w:rFonts w:cs="Times New Roman"/>
          <w:b/>
          <w:sz w:val="20"/>
          <w:szCs w:val="20"/>
        </w:rPr>
      </w:pPr>
      <w:r w:rsidRPr="00D76EFB">
        <w:t>Abbreviations:</w:t>
      </w:r>
      <w:r w:rsidRPr="06D75A11">
        <w:t xml:space="preserve"> </w:t>
      </w:r>
      <w:r w:rsidRPr="00D76EFB">
        <w:t>AE</w:t>
      </w:r>
      <w:r w:rsidRPr="06D75A11">
        <w:t xml:space="preserve">: adverse event; </w:t>
      </w:r>
      <w:r w:rsidRPr="00D76EFB">
        <w:t>BMI</w:t>
      </w:r>
      <w:r w:rsidRPr="06D75A11">
        <w:t xml:space="preserve">: body mass index; </w:t>
      </w:r>
      <w:r w:rsidRPr="00D76EFB">
        <w:t>ESG</w:t>
      </w:r>
      <w:r w:rsidRPr="06D75A11">
        <w:t xml:space="preserve">: endoscopic sleeve </w:t>
      </w:r>
      <w:r w:rsidRPr="00D8552D">
        <w:t>gastroplasty</w:t>
      </w:r>
      <w:r w:rsidRPr="06D75A11">
        <w:t xml:space="preserve">; </w:t>
      </w:r>
      <w:r w:rsidR="39428167" w:rsidRPr="06790B79">
        <w:t>GORD: gastro-oesophageal reflux disease;</w:t>
      </w:r>
      <w:r w:rsidR="235907B6" w:rsidRPr="7F23462C">
        <w:t xml:space="preserve"> </w:t>
      </w:r>
      <w:r w:rsidR="235907B6" w:rsidRPr="2C88A423">
        <w:t>LSG: laparoscopic sleeve gastrectomy</w:t>
      </w:r>
      <w:r w:rsidR="235907B6" w:rsidRPr="79A5F5FB">
        <w:t>,</w:t>
      </w:r>
      <w:r w:rsidR="235907B6" w:rsidRPr="2C88A423">
        <w:t xml:space="preserve"> </w:t>
      </w:r>
      <w:r w:rsidRPr="00D76EFB">
        <w:t>NR</w:t>
      </w:r>
      <w:r w:rsidRPr="06D75A11">
        <w:t xml:space="preserve">: not reported; </w:t>
      </w:r>
      <w:r w:rsidRPr="00D76EFB">
        <w:t>PICO</w:t>
      </w:r>
      <w:r w:rsidRPr="06D75A11">
        <w:t xml:space="preserve">: population, intervention, comparator, outcome; </w:t>
      </w:r>
      <w:r w:rsidRPr="00D76EFB">
        <w:t>RCT</w:t>
      </w:r>
      <w:r w:rsidRPr="06D75A11">
        <w:t xml:space="preserve">: randomised controlled trial; </w:t>
      </w:r>
      <w:r w:rsidRPr="00D76EFB">
        <w:t>%</w:t>
      </w:r>
      <w:r w:rsidR="00C7489F" w:rsidRPr="00D76EFB">
        <w:t>EWL</w:t>
      </w:r>
      <w:r w:rsidR="00C7489F" w:rsidRPr="06D75A11">
        <w:t>: excess weight loss;</w:t>
      </w:r>
      <w:r w:rsidR="00C7489F">
        <w:t xml:space="preserve"> </w:t>
      </w:r>
      <w:r w:rsidRPr="00D76EFB">
        <w:t>%TBWL</w:t>
      </w:r>
      <w:r w:rsidRPr="06D75A11">
        <w:t>: % total body weight loss</w:t>
      </w:r>
      <w:r w:rsidR="00463D6A">
        <w:br/>
      </w:r>
      <w:r w:rsidR="00463D6A" w:rsidRPr="00820DB5">
        <w:t xml:space="preserve">Source: </w:t>
      </w:r>
      <w:r w:rsidR="00463D6A">
        <w:t>compiled during commentary</w:t>
      </w:r>
      <w:bookmarkStart w:id="57" w:name="_Ref184218038"/>
    </w:p>
    <w:p w14:paraId="1D7920A1" w14:textId="42AAE5B4" w:rsidR="004B3520" w:rsidRPr="004B3520" w:rsidRDefault="004B3520" w:rsidP="004E313E">
      <w:pPr>
        <w:pStyle w:val="Caption"/>
        <w:keepLines/>
      </w:pPr>
      <w:bookmarkStart w:id="58" w:name="_Ref202518089"/>
      <w:r>
        <w:t xml:space="preserve">Table </w:t>
      </w:r>
      <w:r w:rsidR="00707F6D">
        <w:fldChar w:fldCharType="begin"/>
      </w:r>
      <w:r w:rsidR="00707F6D">
        <w:instrText xml:space="preserve"> SEQ Table \* ARABIC </w:instrText>
      </w:r>
      <w:r w:rsidR="00707F6D">
        <w:fldChar w:fldCharType="separate"/>
      </w:r>
      <w:r w:rsidR="008F37D1">
        <w:rPr>
          <w:noProof/>
        </w:rPr>
        <w:t>12</w:t>
      </w:r>
      <w:r w:rsidR="00707F6D">
        <w:rPr>
          <w:noProof/>
        </w:rPr>
        <w:fldChar w:fldCharType="end"/>
      </w:r>
      <w:bookmarkEnd w:id="57"/>
      <w:bookmarkEnd w:id="58"/>
      <w:r>
        <w:t>: Key features of included evaluations, PICO 2 (ESG vs LSG)</w:t>
      </w:r>
    </w:p>
    <w:tbl>
      <w:tblPr>
        <w:tblpPr w:leftFromText="180" w:rightFromText="180" w:bottomFromText="160" w:vertAnchor="text" w:horzAnchor="margin" w:tblpY="166"/>
        <w:tblW w:w="90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5528"/>
        <w:gridCol w:w="2077"/>
      </w:tblGrid>
      <w:tr w:rsidR="00FD22A7" w14:paraId="5A267712" w14:textId="77777777" w:rsidTr="00C30ADD">
        <w:trPr>
          <w:trHeight w:val="300"/>
          <w:tblHeader/>
        </w:trPr>
        <w:tc>
          <w:tcPr>
            <w:tcW w:w="14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3F9655C" w14:textId="77777777" w:rsidR="00FD22A7" w:rsidRDefault="00FD22A7" w:rsidP="004E313E">
            <w:pPr>
              <w:keepNext/>
              <w:keepLines/>
              <w:spacing w:before="0" w:after="0" w:line="240" w:lineRule="auto"/>
              <w:rPr>
                <w:rFonts w:ascii="Arial Narrow" w:eastAsia="Arial Narrow" w:hAnsi="Arial Narrow" w:cs="Arial Narrow"/>
                <w:b/>
                <w:sz w:val="20"/>
                <w:szCs w:val="20"/>
              </w:rPr>
            </w:pPr>
            <w:r w:rsidRPr="7D413406">
              <w:rPr>
                <w:rFonts w:ascii="Arial Narrow" w:eastAsia="Arial Narrow" w:hAnsi="Arial Narrow" w:cs="Arial Narrow"/>
                <w:b/>
                <w:sz w:val="20"/>
                <w:szCs w:val="20"/>
              </w:rPr>
              <w:t>Evaluation type</w:t>
            </w:r>
          </w:p>
        </w:tc>
        <w:tc>
          <w:tcPr>
            <w:tcW w:w="552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1B25D8D" w14:textId="77777777" w:rsidR="00FD22A7" w:rsidRDefault="00FD22A7" w:rsidP="004E313E">
            <w:pPr>
              <w:keepNext/>
              <w:keepLines/>
              <w:spacing w:before="0" w:after="0" w:line="240" w:lineRule="auto"/>
              <w:rPr>
                <w:rFonts w:ascii="Arial Narrow" w:eastAsia="Arial Narrow" w:hAnsi="Arial Narrow" w:cs="Arial Narrow"/>
                <w:b/>
                <w:sz w:val="20"/>
                <w:szCs w:val="20"/>
                <w:lang w:eastAsia="en-AU"/>
              </w:rPr>
            </w:pPr>
            <w:r w:rsidRPr="7D413406">
              <w:rPr>
                <w:rFonts w:ascii="Arial Narrow" w:eastAsia="Arial Narrow" w:hAnsi="Arial Narrow" w:cs="Arial Narrow"/>
                <w:b/>
                <w:sz w:val="20"/>
                <w:szCs w:val="20"/>
                <w:lang w:eastAsia="en-AU"/>
              </w:rPr>
              <w:t>Included studies</w:t>
            </w:r>
          </w:p>
        </w:tc>
        <w:tc>
          <w:tcPr>
            <w:tcW w:w="207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2BBCFF9" w14:textId="77777777" w:rsidR="00FD22A7" w:rsidRDefault="00FD22A7" w:rsidP="004E313E">
            <w:pPr>
              <w:keepNext/>
              <w:keepLines/>
              <w:spacing w:before="0" w:after="0" w:line="240" w:lineRule="auto"/>
              <w:rPr>
                <w:rFonts w:ascii="Arial Narrow" w:eastAsia="Arial Narrow" w:hAnsi="Arial Narrow" w:cs="Arial Narrow"/>
                <w:b/>
                <w:sz w:val="20"/>
                <w:szCs w:val="20"/>
              </w:rPr>
            </w:pPr>
            <w:r w:rsidRPr="7D413406">
              <w:rPr>
                <w:rFonts w:ascii="Arial Narrow" w:eastAsia="Arial Narrow" w:hAnsi="Arial Narrow" w:cs="Arial Narrow"/>
                <w:b/>
                <w:sz w:val="20"/>
                <w:szCs w:val="20"/>
              </w:rPr>
              <w:t>Outcome</w:t>
            </w:r>
          </w:p>
        </w:tc>
      </w:tr>
      <w:tr w:rsidR="00FD22A7" w14:paraId="00D174AF" w14:textId="77777777" w:rsidTr="00C30ADD">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0B2D1CC" w14:textId="77777777" w:rsidR="00FD22A7" w:rsidRDefault="00FD22A7" w:rsidP="004E313E">
            <w:pPr>
              <w:keepNext/>
              <w:keepLines/>
              <w:spacing w:before="0" w:after="0" w:line="240" w:lineRule="auto"/>
              <w:rPr>
                <w:rFonts w:ascii="Arial Narrow" w:eastAsia="Arial Narrow" w:hAnsi="Arial Narrow" w:cs="Arial Narrow"/>
                <w:sz w:val="20"/>
                <w:szCs w:val="20"/>
              </w:rPr>
            </w:pPr>
            <w:r w:rsidRPr="7D413406">
              <w:rPr>
                <w:rFonts w:ascii="Arial Narrow" w:eastAsia="Arial Narrow" w:hAnsi="Arial Narrow" w:cs="Arial Narrow"/>
                <w:sz w:val="20"/>
                <w:szCs w:val="20"/>
              </w:rPr>
              <w:t>Meta</w:t>
            </w:r>
            <w:r>
              <w:rPr>
                <w:rFonts w:ascii="Arial Narrow" w:eastAsia="Arial Narrow" w:hAnsi="Arial Narrow" w:cs="Arial Narrow"/>
                <w:sz w:val="20"/>
                <w:szCs w:val="20"/>
              </w:rPr>
              <w:t>-</w:t>
            </w:r>
            <w:r w:rsidRPr="7D413406">
              <w:rPr>
                <w:rFonts w:ascii="Arial Narrow" w:eastAsia="Arial Narrow" w:hAnsi="Arial Narrow" w:cs="Arial Narrow"/>
                <w:sz w:val="20"/>
                <w:szCs w:val="20"/>
              </w:rPr>
              <w:t>analysis</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372733EF" w14:textId="77777777" w:rsidR="00FD22A7" w:rsidRDefault="00FD22A7" w:rsidP="004E313E">
            <w:pPr>
              <w:keepNext/>
              <w:keepLines/>
              <w:spacing w:before="0" w:after="0" w:line="240" w:lineRule="auto"/>
              <w:rPr>
                <w:rFonts w:ascii="Arial Narrow" w:eastAsia="Arial Narrow" w:hAnsi="Arial Narrow" w:cs="Arial Narrow"/>
                <w:sz w:val="20"/>
                <w:szCs w:val="20"/>
                <w:lang w:eastAsia="en-AU"/>
              </w:rPr>
            </w:pPr>
            <w:r w:rsidRPr="7D413406">
              <w:rPr>
                <w:rFonts w:ascii="Arial Narrow" w:eastAsia="Arial Narrow" w:hAnsi="Arial Narrow" w:cs="Arial Narrow"/>
                <w:sz w:val="20"/>
                <w:szCs w:val="20"/>
              </w:rPr>
              <w:t>Alqahtani 2022, Carr 2022, Fayad 2019, Fiorillo 2020 a, Lopez-Nava 2020, Lopez-Nava 2021, Novikov 2017</w:t>
            </w:r>
          </w:p>
        </w:tc>
        <w:tc>
          <w:tcPr>
            <w:tcW w:w="2077" w:type="dxa"/>
            <w:tcBorders>
              <w:top w:val="single" w:sz="6" w:space="0" w:color="auto"/>
              <w:left w:val="single" w:sz="6" w:space="0" w:color="auto"/>
              <w:bottom w:val="single" w:sz="6" w:space="0" w:color="auto"/>
              <w:right w:val="single" w:sz="6" w:space="0" w:color="auto"/>
            </w:tcBorders>
            <w:hideMark/>
          </w:tcPr>
          <w:p w14:paraId="760033D5" w14:textId="77777777" w:rsidR="00FD22A7" w:rsidRDefault="00FD22A7" w:rsidP="004E313E">
            <w:pPr>
              <w:keepNext/>
              <w:keepLines/>
              <w:spacing w:before="0" w:after="0" w:line="240" w:lineRule="auto"/>
              <w:rPr>
                <w:rFonts w:ascii="Arial Narrow" w:eastAsia="Arial Narrow" w:hAnsi="Arial Narrow" w:cs="Arial Narrow"/>
                <w:sz w:val="20"/>
                <w:szCs w:val="20"/>
                <w:lang w:eastAsia="en-AU"/>
              </w:rPr>
            </w:pPr>
            <w:r w:rsidRPr="7D413406">
              <w:rPr>
                <w:rFonts w:ascii="Arial Narrow" w:eastAsia="Arial Narrow" w:hAnsi="Arial Narrow" w:cs="Arial Narrow"/>
                <w:sz w:val="20"/>
                <w:szCs w:val="20"/>
              </w:rPr>
              <w:t>6 months %TBWL</w:t>
            </w:r>
          </w:p>
        </w:tc>
      </w:tr>
      <w:tr w:rsidR="00FD22A7" w14:paraId="642B57F5" w14:textId="77777777" w:rsidTr="00C30ADD">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tcPr>
          <w:p w14:paraId="7E760C40" w14:textId="77777777" w:rsidR="00FD22A7" w:rsidRDefault="00FD22A7" w:rsidP="004E313E">
            <w:pPr>
              <w:keepNext/>
              <w:keepLines/>
              <w:spacing w:before="0" w:after="0" w:line="240" w:lineRule="auto"/>
              <w:rPr>
                <w:rFonts w:ascii="Arial Narrow" w:eastAsia="Arial Narrow" w:hAnsi="Arial Narrow" w:cs="Arial Narrow"/>
                <w:sz w:val="20"/>
                <w:szCs w:val="20"/>
              </w:rPr>
            </w:pPr>
            <w:r w:rsidRPr="7D413406">
              <w:rPr>
                <w:rFonts w:ascii="Arial Narrow" w:eastAsia="Arial Narrow" w:hAnsi="Arial Narrow" w:cs="Arial Narrow"/>
                <w:sz w:val="20"/>
                <w:szCs w:val="20"/>
              </w:rPr>
              <w:t>Meta</w:t>
            </w:r>
            <w:r>
              <w:rPr>
                <w:rFonts w:ascii="Arial Narrow" w:eastAsia="Arial Narrow" w:hAnsi="Arial Narrow" w:cs="Arial Narrow"/>
                <w:sz w:val="20"/>
                <w:szCs w:val="20"/>
              </w:rPr>
              <w:t>-</w:t>
            </w:r>
            <w:r w:rsidRPr="7D413406">
              <w:rPr>
                <w:rFonts w:ascii="Arial Narrow" w:eastAsia="Arial Narrow" w:hAnsi="Arial Narrow" w:cs="Arial Narrow"/>
                <w:sz w:val="20"/>
                <w:szCs w:val="20"/>
              </w:rPr>
              <w:t>analysis</w:t>
            </w:r>
          </w:p>
        </w:tc>
        <w:tc>
          <w:tcPr>
            <w:tcW w:w="5528" w:type="dxa"/>
            <w:tcBorders>
              <w:top w:val="single" w:sz="6" w:space="0" w:color="auto"/>
              <w:left w:val="single" w:sz="6" w:space="0" w:color="auto"/>
              <w:bottom w:val="single" w:sz="6" w:space="0" w:color="auto"/>
              <w:right w:val="single" w:sz="6" w:space="0" w:color="auto"/>
            </w:tcBorders>
            <w:shd w:val="clear" w:color="auto" w:fill="auto"/>
          </w:tcPr>
          <w:p w14:paraId="11C0F9AD" w14:textId="77777777" w:rsidR="00FD22A7" w:rsidRPr="007D18A3" w:rsidRDefault="00FD22A7" w:rsidP="004E313E">
            <w:pPr>
              <w:keepNext/>
              <w:keepLines/>
              <w:spacing w:before="0" w:after="0" w:line="240" w:lineRule="auto"/>
              <w:rPr>
                <w:rFonts w:ascii="Arial Narrow" w:eastAsia="Arial Narrow" w:hAnsi="Arial Narrow" w:cs="Arial Narrow"/>
                <w:sz w:val="20"/>
                <w:szCs w:val="20"/>
                <w:lang w:val="fr-CH" w:eastAsia="en-AU"/>
              </w:rPr>
            </w:pPr>
            <w:r w:rsidRPr="7D413406">
              <w:rPr>
                <w:rFonts w:ascii="Arial Narrow" w:eastAsia="Arial Narrow" w:hAnsi="Arial Narrow" w:cs="Arial Narrow"/>
                <w:sz w:val="20"/>
                <w:szCs w:val="20"/>
                <w:lang w:val="fr-CH"/>
              </w:rPr>
              <w:t>Alqahtani 2022, Carr 2022, Lopez-Nava 2021, Novikov 2018</w:t>
            </w:r>
          </w:p>
        </w:tc>
        <w:tc>
          <w:tcPr>
            <w:tcW w:w="2077" w:type="dxa"/>
            <w:tcBorders>
              <w:top w:val="single" w:sz="6" w:space="0" w:color="auto"/>
              <w:left w:val="single" w:sz="6" w:space="0" w:color="auto"/>
              <w:bottom w:val="single" w:sz="6" w:space="0" w:color="auto"/>
              <w:right w:val="single" w:sz="6" w:space="0" w:color="auto"/>
            </w:tcBorders>
          </w:tcPr>
          <w:p w14:paraId="33371B9E" w14:textId="77777777" w:rsidR="00FD22A7" w:rsidRDefault="00FD22A7" w:rsidP="004E313E">
            <w:pPr>
              <w:keepNext/>
              <w:keepLines/>
              <w:spacing w:before="0" w:after="0" w:line="240" w:lineRule="auto"/>
              <w:rPr>
                <w:rFonts w:ascii="Arial Narrow" w:eastAsia="Arial Narrow" w:hAnsi="Arial Narrow" w:cs="Arial Narrow"/>
                <w:sz w:val="20"/>
                <w:szCs w:val="20"/>
                <w:lang w:eastAsia="en-AU"/>
              </w:rPr>
            </w:pPr>
            <w:r w:rsidRPr="7D413406">
              <w:rPr>
                <w:rFonts w:ascii="Arial Narrow" w:eastAsia="Arial Narrow" w:hAnsi="Arial Narrow" w:cs="Arial Narrow"/>
                <w:sz w:val="20"/>
                <w:szCs w:val="20"/>
              </w:rPr>
              <w:t>12 months %TBWL</w:t>
            </w:r>
          </w:p>
        </w:tc>
      </w:tr>
      <w:tr w:rsidR="00FD22A7" w14:paraId="0DFB9B10" w14:textId="77777777" w:rsidTr="00C30ADD">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DDA50DB" w14:textId="77777777" w:rsidR="00FD22A7" w:rsidRDefault="00FD22A7" w:rsidP="004E313E">
            <w:pPr>
              <w:keepNext/>
              <w:keepLines/>
              <w:spacing w:before="0" w:after="0" w:line="240" w:lineRule="auto"/>
              <w:rPr>
                <w:rFonts w:ascii="Arial Narrow" w:eastAsia="Arial Narrow" w:hAnsi="Arial Narrow" w:cs="Arial Narrow"/>
                <w:sz w:val="20"/>
                <w:szCs w:val="20"/>
              </w:rPr>
            </w:pPr>
            <w:r w:rsidRPr="7D413406">
              <w:rPr>
                <w:rFonts w:ascii="Arial Narrow" w:eastAsia="Arial Narrow" w:hAnsi="Arial Narrow" w:cs="Arial Narrow"/>
                <w:sz w:val="20"/>
                <w:szCs w:val="20"/>
              </w:rPr>
              <w:t>Meta</w:t>
            </w:r>
            <w:r>
              <w:rPr>
                <w:rFonts w:ascii="Arial Narrow" w:eastAsia="Arial Narrow" w:hAnsi="Arial Narrow" w:cs="Arial Narrow"/>
                <w:sz w:val="20"/>
                <w:szCs w:val="20"/>
              </w:rPr>
              <w:t>-</w:t>
            </w:r>
            <w:r w:rsidRPr="7D413406">
              <w:rPr>
                <w:rFonts w:ascii="Arial Narrow" w:eastAsia="Arial Narrow" w:hAnsi="Arial Narrow" w:cs="Arial Narrow"/>
                <w:sz w:val="20"/>
                <w:szCs w:val="20"/>
              </w:rPr>
              <w:t xml:space="preserve">analysis </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6B5CCF40" w14:textId="77777777" w:rsidR="00FD22A7" w:rsidRDefault="00FD22A7" w:rsidP="004E313E">
            <w:pPr>
              <w:keepNext/>
              <w:keepLines/>
              <w:spacing w:before="0" w:after="0" w:line="240" w:lineRule="auto"/>
              <w:rPr>
                <w:rFonts w:ascii="Arial Narrow" w:eastAsia="Arial Narrow" w:hAnsi="Arial Narrow" w:cs="Arial Narrow"/>
                <w:sz w:val="20"/>
                <w:szCs w:val="20"/>
                <w:lang w:eastAsia="en-AU"/>
              </w:rPr>
            </w:pPr>
            <w:r w:rsidRPr="7D413406">
              <w:rPr>
                <w:rFonts w:ascii="Arial Narrow" w:eastAsia="Arial Narrow" w:hAnsi="Arial Narrow" w:cs="Arial Narrow"/>
                <w:sz w:val="20"/>
                <w:szCs w:val="20"/>
              </w:rPr>
              <w:t>Alqahtani 2022, Carr 2022, Fiorillo 2020</w:t>
            </w:r>
          </w:p>
        </w:tc>
        <w:tc>
          <w:tcPr>
            <w:tcW w:w="2077" w:type="dxa"/>
            <w:tcBorders>
              <w:top w:val="single" w:sz="6" w:space="0" w:color="auto"/>
              <w:left w:val="single" w:sz="6" w:space="0" w:color="auto"/>
              <w:bottom w:val="single" w:sz="6" w:space="0" w:color="auto"/>
              <w:right w:val="single" w:sz="6" w:space="0" w:color="auto"/>
            </w:tcBorders>
            <w:hideMark/>
          </w:tcPr>
          <w:p w14:paraId="6287C774" w14:textId="77777777" w:rsidR="00FD22A7" w:rsidRDefault="00FD22A7" w:rsidP="004E313E">
            <w:pPr>
              <w:keepNext/>
              <w:keepLines/>
              <w:spacing w:before="0" w:after="0" w:line="240" w:lineRule="auto"/>
              <w:rPr>
                <w:rFonts w:ascii="Arial Narrow" w:eastAsia="Arial Narrow" w:hAnsi="Arial Narrow" w:cs="Arial Narrow"/>
                <w:sz w:val="20"/>
                <w:szCs w:val="20"/>
                <w:lang w:eastAsia="en-AU"/>
              </w:rPr>
            </w:pPr>
            <w:r w:rsidRPr="7D413406">
              <w:rPr>
                <w:rFonts w:ascii="Arial Narrow" w:eastAsia="Arial Narrow" w:hAnsi="Arial Narrow" w:cs="Arial Narrow"/>
                <w:sz w:val="20"/>
                <w:szCs w:val="20"/>
              </w:rPr>
              <w:t>6 months %EWL</w:t>
            </w:r>
          </w:p>
        </w:tc>
      </w:tr>
      <w:tr w:rsidR="00FD22A7" w14:paraId="133DF582" w14:textId="77777777" w:rsidTr="00C30ADD">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tcPr>
          <w:p w14:paraId="08787A33" w14:textId="77777777" w:rsidR="00FD22A7" w:rsidRDefault="00FD22A7" w:rsidP="004E313E">
            <w:pPr>
              <w:keepNext/>
              <w:keepLines/>
              <w:spacing w:before="0" w:after="0" w:line="240" w:lineRule="auto"/>
              <w:rPr>
                <w:rFonts w:ascii="Arial Narrow" w:eastAsia="Arial Narrow" w:hAnsi="Arial Narrow" w:cs="Arial Narrow"/>
                <w:sz w:val="20"/>
                <w:szCs w:val="20"/>
              </w:rPr>
            </w:pPr>
            <w:r w:rsidRPr="7D413406">
              <w:rPr>
                <w:rFonts w:ascii="Arial Narrow" w:eastAsia="Arial Narrow" w:hAnsi="Arial Narrow" w:cs="Arial Narrow"/>
                <w:sz w:val="20"/>
                <w:szCs w:val="20"/>
              </w:rPr>
              <w:t>Meta</w:t>
            </w:r>
            <w:r>
              <w:rPr>
                <w:rFonts w:ascii="Arial Narrow" w:eastAsia="Arial Narrow" w:hAnsi="Arial Narrow" w:cs="Arial Narrow"/>
                <w:sz w:val="20"/>
                <w:szCs w:val="20"/>
              </w:rPr>
              <w:t>-</w:t>
            </w:r>
            <w:r w:rsidRPr="7D413406">
              <w:rPr>
                <w:rFonts w:ascii="Arial Narrow" w:eastAsia="Arial Narrow" w:hAnsi="Arial Narrow" w:cs="Arial Narrow"/>
                <w:sz w:val="20"/>
                <w:szCs w:val="20"/>
              </w:rPr>
              <w:t>analysis</w:t>
            </w:r>
          </w:p>
        </w:tc>
        <w:tc>
          <w:tcPr>
            <w:tcW w:w="5528" w:type="dxa"/>
            <w:tcBorders>
              <w:top w:val="single" w:sz="6" w:space="0" w:color="auto"/>
              <w:left w:val="single" w:sz="6" w:space="0" w:color="auto"/>
              <w:bottom w:val="single" w:sz="6" w:space="0" w:color="auto"/>
              <w:right w:val="single" w:sz="6" w:space="0" w:color="auto"/>
            </w:tcBorders>
            <w:shd w:val="clear" w:color="auto" w:fill="auto"/>
          </w:tcPr>
          <w:p w14:paraId="10F4B1A6" w14:textId="77777777" w:rsidR="00FD22A7" w:rsidRDefault="00FD22A7" w:rsidP="004E313E">
            <w:pPr>
              <w:keepNext/>
              <w:keepLines/>
              <w:spacing w:before="0" w:after="0" w:line="240" w:lineRule="auto"/>
              <w:rPr>
                <w:rFonts w:ascii="Arial Narrow" w:eastAsia="Arial Narrow" w:hAnsi="Arial Narrow" w:cs="Arial Narrow"/>
                <w:sz w:val="20"/>
                <w:szCs w:val="20"/>
                <w:lang w:eastAsia="en-AU"/>
              </w:rPr>
            </w:pPr>
            <w:r w:rsidRPr="7D413406">
              <w:rPr>
                <w:rFonts w:ascii="Arial Narrow" w:eastAsia="Arial Narrow" w:hAnsi="Arial Narrow" w:cs="Arial Narrow"/>
                <w:sz w:val="20"/>
                <w:szCs w:val="20"/>
              </w:rPr>
              <w:t>Alqahtani 2022, Carr 2022</w:t>
            </w:r>
          </w:p>
        </w:tc>
        <w:tc>
          <w:tcPr>
            <w:tcW w:w="2077" w:type="dxa"/>
            <w:tcBorders>
              <w:top w:val="single" w:sz="6" w:space="0" w:color="auto"/>
              <w:left w:val="single" w:sz="6" w:space="0" w:color="auto"/>
              <w:bottom w:val="single" w:sz="6" w:space="0" w:color="auto"/>
              <w:right w:val="single" w:sz="6" w:space="0" w:color="auto"/>
            </w:tcBorders>
          </w:tcPr>
          <w:p w14:paraId="164FECD9" w14:textId="77777777" w:rsidR="00FD22A7" w:rsidRDefault="00FD22A7" w:rsidP="004E313E">
            <w:pPr>
              <w:keepNext/>
              <w:keepLines/>
              <w:spacing w:before="0" w:after="0" w:line="240" w:lineRule="auto"/>
              <w:rPr>
                <w:rFonts w:ascii="Arial Narrow" w:eastAsia="Arial Narrow" w:hAnsi="Arial Narrow" w:cs="Arial Narrow"/>
                <w:sz w:val="20"/>
                <w:szCs w:val="20"/>
                <w:lang w:eastAsia="en-AU"/>
              </w:rPr>
            </w:pPr>
            <w:r w:rsidRPr="7D413406">
              <w:rPr>
                <w:rFonts w:ascii="Arial Narrow" w:eastAsia="Arial Narrow" w:hAnsi="Arial Narrow" w:cs="Arial Narrow"/>
                <w:sz w:val="20"/>
                <w:szCs w:val="20"/>
              </w:rPr>
              <w:t>12 months %EWL</w:t>
            </w:r>
          </w:p>
        </w:tc>
      </w:tr>
      <w:tr w:rsidR="00FD22A7" w14:paraId="46A20219" w14:textId="77777777" w:rsidTr="00C30ADD">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tcPr>
          <w:p w14:paraId="4B004A4D" w14:textId="77777777" w:rsidR="00FD22A7" w:rsidRDefault="00FD22A7" w:rsidP="004E313E">
            <w:pPr>
              <w:keepNext/>
              <w:keepLines/>
              <w:spacing w:before="0" w:after="0" w:line="240" w:lineRule="auto"/>
              <w:rPr>
                <w:rFonts w:ascii="Arial Narrow" w:eastAsia="Arial Narrow" w:hAnsi="Arial Narrow" w:cs="Arial Narrow"/>
                <w:sz w:val="20"/>
                <w:szCs w:val="20"/>
              </w:rPr>
            </w:pPr>
            <w:r w:rsidRPr="7D413406">
              <w:rPr>
                <w:rFonts w:ascii="Arial Narrow" w:eastAsia="Arial Narrow" w:hAnsi="Arial Narrow" w:cs="Arial Narrow"/>
                <w:sz w:val="20"/>
                <w:szCs w:val="20"/>
              </w:rPr>
              <w:t>Meta</w:t>
            </w:r>
            <w:r>
              <w:rPr>
                <w:rFonts w:ascii="Arial Narrow" w:eastAsia="Arial Narrow" w:hAnsi="Arial Narrow" w:cs="Arial Narrow"/>
                <w:sz w:val="20"/>
                <w:szCs w:val="20"/>
              </w:rPr>
              <w:t>-</w:t>
            </w:r>
            <w:r w:rsidRPr="7D413406">
              <w:rPr>
                <w:rFonts w:ascii="Arial Narrow" w:eastAsia="Arial Narrow" w:hAnsi="Arial Narrow" w:cs="Arial Narrow"/>
                <w:sz w:val="20"/>
                <w:szCs w:val="20"/>
              </w:rPr>
              <w:t>analysis</w:t>
            </w:r>
          </w:p>
        </w:tc>
        <w:tc>
          <w:tcPr>
            <w:tcW w:w="5528" w:type="dxa"/>
            <w:tcBorders>
              <w:top w:val="single" w:sz="6" w:space="0" w:color="auto"/>
              <w:left w:val="single" w:sz="6" w:space="0" w:color="auto"/>
              <w:bottom w:val="single" w:sz="6" w:space="0" w:color="auto"/>
              <w:right w:val="single" w:sz="6" w:space="0" w:color="auto"/>
            </w:tcBorders>
            <w:shd w:val="clear" w:color="auto" w:fill="auto"/>
          </w:tcPr>
          <w:p w14:paraId="652F5026" w14:textId="77777777" w:rsidR="00FD22A7" w:rsidRDefault="00FD22A7" w:rsidP="004E313E">
            <w:pPr>
              <w:keepNext/>
              <w:keepLines/>
              <w:spacing w:before="0" w:after="0" w:line="240" w:lineRule="auto"/>
              <w:rPr>
                <w:rFonts w:ascii="Arial Narrow" w:eastAsia="Arial Narrow" w:hAnsi="Arial Narrow" w:cs="Arial Narrow"/>
                <w:sz w:val="20"/>
                <w:szCs w:val="20"/>
                <w:lang w:eastAsia="en-AU"/>
              </w:rPr>
            </w:pPr>
            <w:r w:rsidRPr="7D413406">
              <w:rPr>
                <w:rFonts w:ascii="Arial Narrow" w:eastAsia="Arial Narrow" w:hAnsi="Arial Narrow" w:cs="Arial Narrow"/>
                <w:sz w:val="20"/>
                <w:szCs w:val="20"/>
              </w:rPr>
              <w:t>Alqahtani 2022, Fiorillo 2020</w:t>
            </w:r>
          </w:p>
        </w:tc>
        <w:tc>
          <w:tcPr>
            <w:tcW w:w="2077" w:type="dxa"/>
            <w:tcBorders>
              <w:top w:val="single" w:sz="6" w:space="0" w:color="auto"/>
              <w:left w:val="single" w:sz="6" w:space="0" w:color="auto"/>
              <w:bottom w:val="single" w:sz="6" w:space="0" w:color="auto"/>
              <w:right w:val="single" w:sz="6" w:space="0" w:color="auto"/>
            </w:tcBorders>
          </w:tcPr>
          <w:p w14:paraId="6322BC63" w14:textId="77777777" w:rsidR="00FD22A7" w:rsidRDefault="00FD22A7" w:rsidP="004E313E">
            <w:pPr>
              <w:keepNext/>
              <w:keepLines/>
              <w:spacing w:before="0" w:after="0" w:line="240" w:lineRule="auto"/>
              <w:rPr>
                <w:rFonts w:ascii="Arial Narrow" w:eastAsia="Arial Narrow" w:hAnsi="Arial Narrow" w:cs="Arial Narrow"/>
                <w:sz w:val="20"/>
                <w:szCs w:val="20"/>
                <w:lang w:eastAsia="en-AU"/>
              </w:rPr>
            </w:pPr>
            <w:r w:rsidRPr="7D413406">
              <w:rPr>
                <w:rFonts w:ascii="Arial Narrow" w:eastAsia="Arial Narrow" w:hAnsi="Arial Narrow" w:cs="Arial Narrow"/>
                <w:sz w:val="20"/>
                <w:szCs w:val="20"/>
              </w:rPr>
              <w:t>Remission or improvement in hypertension</w:t>
            </w:r>
          </w:p>
        </w:tc>
      </w:tr>
      <w:tr w:rsidR="00FD22A7" w14:paraId="54696EDF" w14:textId="77777777" w:rsidTr="00C30ADD">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tcPr>
          <w:p w14:paraId="503754A5" w14:textId="77777777" w:rsidR="00FD22A7" w:rsidRDefault="00FD22A7" w:rsidP="004E313E">
            <w:pPr>
              <w:keepNext/>
              <w:keepLines/>
              <w:spacing w:before="0" w:after="0" w:line="240" w:lineRule="auto"/>
              <w:rPr>
                <w:rFonts w:ascii="Arial Narrow" w:eastAsia="Arial Narrow" w:hAnsi="Arial Narrow" w:cs="Arial Narrow"/>
                <w:sz w:val="20"/>
                <w:szCs w:val="20"/>
              </w:rPr>
            </w:pPr>
            <w:r w:rsidRPr="7D413406">
              <w:rPr>
                <w:rFonts w:ascii="Arial Narrow" w:eastAsia="Arial Narrow" w:hAnsi="Arial Narrow" w:cs="Arial Narrow"/>
                <w:sz w:val="20"/>
                <w:szCs w:val="20"/>
              </w:rPr>
              <w:t>Meta</w:t>
            </w:r>
            <w:r>
              <w:rPr>
                <w:rFonts w:ascii="Arial Narrow" w:eastAsia="Arial Narrow" w:hAnsi="Arial Narrow" w:cs="Arial Narrow"/>
                <w:sz w:val="20"/>
                <w:szCs w:val="20"/>
              </w:rPr>
              <w:t>-</w:t>
            </w:r>
            <w:r w:rsidRPr="7D413406">
              <w:rPr>
                <w:rFonts w:ascii="Arial Narrow" w:eastAsia="Arial Narrow" w:hAnsi="Arial Narrow" w:cs="Arial Narrow"/>
                <w:sz w:val="20"/>
                <w:szCs w:val="20"/>
              </w:rPr>
              <w:t>analysis</w:t>
            </w:r>
          </w:p>
        </w:tc>
        <w:tc>
          <w:tcPr>
            <w:tcW w:w="5528" w:type="dxa"/>
            <w:tcBorders>
              <w:top w:val="single" w:sz="6" w:space="0" w:color="auto"/>
              <w:left w:val="single" w:sz="6" w:space="0" w:color="auto"/>
              <w:bottom w:val="single" w:sz="6" w:space="0" w:color="auto"/>
              <w:right w:val="single" w:sz="6" w:space="0" w:color="auto"/>
            </w:tcBorders>
            <w:shd w:val="clear" w:color="auto" w:fill="auto"/>
          </w:tcPr>
          <w:p w14:paraId="75B7166E" w14:textId="77777777" w:rsidR="00FD22A7" w:rsidRDefault="00FD22A7" w:rsidP="004E313E">
            <w:pPr>
              <w:keepNext/>
              <w:keepLines/>
              <w:spacing w:before="0" w:after="0" w:line="240" w:lineRule="auto"/>
              <w:rPr>
                <w:rFonts w:ascii="Arial Narrow" w:eastAsia="Arial Narrow" w:hAnsi="Arial Narrow" w:cs="Arial Narrow"/>
                <w:sz w:val="20"/>
                <w:szCs w:val="20"/>
                <w:lang w:eastAsia="en-AU"/>
              </w:rPr>
            </w:pPr>
            <w:r w:rsidRPr="7D413406">
              <w:rPr>
                <w:rFonts w:ascii="Arial Narrow" w:eastAsia="Arial Narrow" w:hAnsi="Arial Narrow" w:cs="Arial Narrow"/>
                <w:sz w:val="20"/>
                <w:szCs w:val="20"/>
              </w:rPr>
              <w:t>Alqahtani 2022, Fiorillo 2020</w:t>
            </w:r>
          </w:p>
        </w:tc>
        <w:tc>
          <w:tcPr>
            <w:tcW w:w="2077" w:type="dxa"/>
            <w:tcBorders>
              <w:top w:val="single" w:sz="6" w:space="0" w:color="auto"/>
              <w:left w:val="single" w:sz="6" w:space="0" w:color="auto"/>
              <w:bottom w:val="single" w:sz="6" w:space="0" w:color="auto"/>
              <w:right w:val="single" w:sz="6" w:space="0" w:color="auto"/>
            </w:tcBorders>
          </w:tcPr>
          <w:p w14:paraId="0BE467A9" w14:textId="77777777" w:rsidR="00FD22A7" w:rsidRDefault="00FD22A7" w:rsidP="004E313E">
            <w:pPr>
              <w:keepNext/>
              <w:keepLines/>
              <w:spacing w:before="0" w:after="0" w:line="240" w:lineRule="auto"/>
              <w:rPr>
                <w:rFonts w:ascii="Arial Narrow" w:eastAsia="Arial Narrow" w:hAnsi="Arial Narrow" w:cs="Arial Narrow"/>
                <w:sz w:val="20"/>
                <w:szCs w:val="20"/>
                <w:lang w:eastAsia="en-AU"/>
              </w:rPr>
            </w:pPr>
            <w:r w:rsidRPr="7D413406">
              <w:rPr>
                <w:rFonts w:ascii="Arial Narrow" w:eastAsia="Arial Narrow" w:hAnsi="Arial Narrow" w:cs="Arial Narrow"/>
                <w:sz w:val="20"/>
                <w:szCs w:val="20"/>
              </w:rPr>
              <w:t>Remission or improvement in type II diabetes</w:t>
            </w:r>
          </w:p>
        </w:tc>
      </w:tr>
      <w:tr w:rsidR="00FD22A7" w14:paraId="017C37DF" w14:textId="77777777" w:rsidTr="00C30ADD">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tcPr>
          <w:p w14:paraId="6BCF4EDB" w14:textId="77777777" w:rsidR="00FD22A7" w:rsidRDefault="00FD22A7" w:rsidP="004E313E">
            <w:pPr>
              <w:keepNext/>
              <w:keepLines/>
              <w:spacing w:before="0" w:after="0" w:line="240" w:lineRule="auto"/>
              <w:rPr>
                <w:rFonts w:ascii="Arial Narrow" w:eastAsia="Arial Narrow" w:hAnsi="Arial Narrow" w:cs="Arial Narrow"/>
                <w:sz w:val="20"/>
                <w:szCs w:val="20"/>
              </w:rPr>
            </w:pPr>
            <w:r w:rsidRPr="7D413406">
              <w:rPr>
                <w:rFonts w:ascii="Arial Narrow" w:eastAsia="Arial Narrow" w:hAnsi="Arial Narrow" w:cs="Arial Narrow"/>
                <w:sz w:val="20"/>
                <w:szCs w:val="20"/>
              </w:rPr>
              <w:t>Meta</w:t>
            </w:r>
            <w:r>
              <w:rPr>
                <w:rFonts w:ascii="Arial Narrow" w:eastAsia="Arial Narrow" w:hAnsi="Arial Narrow" w:cs="Arial Narrow"/>
                <w:sz w:val="20"/>
                <w:szCs w:val="20"/>
              </w:rPr>
              <w:t>-</w:t>
            </w:r>
            <w:r w:rsidRPr="7D413406">
              <w:rPr>
                <w:rFonts w:ascii="Arial Narrow" w:eastAsia="Arial Narrow" w:hAnsi="Arial Narrow" w:cs="Arial Narrow"/>
                <w:sz w:val="20"/>
                <w:szCs w:val="20"/>
              </w:rPr>
              <w:t>analysis</w:t>
            </w:r>
          </w:p>
        </w:tc>
        <w:tc>
          <w:tcPr>
            <w:tcW w:w="5528" w:type="dxa"/>
            <w:tcBorders>
              <w:top w:val="single" w:sz="6" w:space="0" w:color="auto"/>
              <w:left w:val="single" w:sz="6" w:space="0" w:color="auto"/>
              <w:bottom w:val="single" w:sz="6" w:space="0" w:color="auto"/>
              <w:right w:val="single" w:sz="6" w:space="0" w:color="auto"/>
            </w:tcBorders>
            <w:shd w:val="clear" w:color="auto" w:fill="auto"/>
          </w:tcPr>
          <w:p w14:paraId="0B110C57" w14:textId="16A01B1B" w:rsidR="00FD22A7" w:rsidRDefault="00FD22A7" w:rsidP="004E313E">
            <w:pPr>
              <w:keepNext/>
              <w:keepLines/>
              <w:spacing w:before="0" w:after="0" w:line="240" w:lineRule="auto"/>
              <w:rPr>
                <w:rFonts w:ascii="Arial Narrow" w:eastAsia="Arial Narrow" w:hAnsi="Arial Narrow" w:cs="Arial Narrow"/>
                <w:sz w:val="20"/>
                <w:szCs w:val="20"/>
                <w:lang w:eastAsia="en-AU"/>
              </w:rPr>
            </w:pPr>
            <w:r w:rsidRPr="2AA1CA0C">
              <w:rPr>
                <w:rFonts w:ascii="Arial Narrow" w:eastAsia="Arial Narrow" w:hAnsi="Arial Narrow" w:cs="Arial Narrow"/>
                <w:sz w:val="20"/>
                <w:szCs w:val="20"/>
              </w:rPr>
              <w:t>Alqahtani 2022, Carr 2022, Fayad 2019, Fiorillo 2020 a, Lopez-Nava 2020, Lopez-Nava 2021, Novikov 2018, Gudur 2023, Gudur 2024</w:t>
            </w:r>
          </w:p>
        </w:tc>
        <w:tc>
          <w:tcPr>
            <w:tcW w:w="2077" w:type="dxa"/>
            <w:tcBorders>
              <w:top w:val="single" w:sz="6" w:space="0" w:color="auto"/>
              <w:left w:val="single" w:sz="6" w:space="0" w:color="auto"/>
              <w:bottom w:val="single" w:sz="6" w:space="0" w:color="auto"/>
              <w:right w:val="single" w:sz="6" w:space="0" w:color="auto"/>
            </w:tcBorders>
          </w:tcPr>
          <w:p w14:paraId="281324EC" w14:textId="77777777" w:rsidR="00FD22A7" w:rsidRDefault="00FD22A7" w:rsidP="004E313E">
            <w:pPr>
              <w:keepNext/>
              <w:keepLines/>
              <w:spacing w:before="0" w:after="0" w:line="240" w:lineRule="auto"/>
              <w:rPr>
                <w:rFonts w:ascii="Arial Narrow" w:eastAsia="Arial Narrow" w:hAnsi="Arial Narrow" w:cs="Arial Narrow"/>
                <w:sz w:val="20"/>
                <w:szCs w:val="20"/>
                <w:lang w:eastAsia="en-AU"/>
              </w:rPr>
            </w:pPr>
            <w:r w:rsidRPr="7D413406">
              <w:rPr>
                <w:rFonts w:ascii="Arial Narrow" w:eastAsia="Arial Narrow" w:hAnsi="Arial Narrow" w:cs="Arial Narrow"/>
                <w:sz w:val="20"/>
                <w:szCs w:val="20"/>
              </w:rPr>
              <w:t>Severe AEs</w:t>
            </w:r>
          </w:p>
        </w:tc>
      </w:tr>
      <w:tr w:rsidR="00FD22A7" w14:paraId="0F9220DA" w14:textId="77777777" w:rsidTr="00C30ADD">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tcPr>
          <w:p w14:paraId="15781A17" w14:textId="77777777" w:rsidR="00FD22A7" w:rsidRDefault="00FD22A7" w:rsidP="004E313E">
            <w:pPr>
              <w:keepNext/>
              <w:keepLines/>
              <w:spacing w:before="0" w:after="0" w:line="240" w:lineRule="auto"/>
              <w:rPr>
                <w:rFonts w:ascii="Arial Narrow" w:eastAsia="Arial Narrow" w:hAnsi="Arial Narrow" w:cs="Arial Narrow"/>
                <w:sz w:val="20"/>
                <w:szCs w:val="20"/>
              </w:rPr>
            </w:pPr>
            <w:r w:rsidRPr="7D413406">
              <w:rPr>
                <w:rFonts w:ascii="Arial Narrow" w:eastAsia="Arial Narrow" w:hAnsi="Arial Narrow" w:cs="Arial Narrow"/>
                <w:sz w:val="20"/>
                <w:szCs w:val="20"/>
              </w:rPr>
              <w:t>Meta</w:t>
            </w:r>
            <w:r>
              <w:rPr>
                <w:rFonts w:ascii="Arial Narrow" w:eastAsia="Arial Narrow" w:hAnsi="Arial Narrow" w:cs="Arial Narrow"/>
                <w:sz w:val="20"/>
                <w:szCs w:val="20"/>
              </w:rPr>
              <w:t>-</w:t>
            </w:r>
            <w:r w:rsidRPr="7D413406">
              <w:rPr>
                <w:rFonts w:ascii="Arial Narrow" w:eastAsia="Arial Narrow" w:hAnsi="Arial Narrow" w:cs="Arial Narrow"/>
                <w:sz w:val="20"/>
                <w:szCs w:val="20"/>
              </w:rPr>
              <w:t>analysis</w:t>
            </w:r>
          </w:p>
        </w:tc>
        <w:tc>
          <w:tcPr>
            <w:tcW w:w="5528" w:type="dxa"/>
            <w:tcBorders>
              <w:top w:val="single" w:sz="6" w:space="0" w:color="auto"/>
              <w:left w:val="single" w:sz="6" w:space="0" w:color="auto"/>
              <w:bottom w:val="single" w:sz="6" w:space="0" w:color="auto"/>
              <w:right w:val="single" w:sz="6" w:space="0" w:color="auto"/>
            </w:tcBorders>
            <w:shd w:val="clear" w:color="auto" w:fill="auto"/>
          </w:tcPr>
          <w:p w14:paraId="3B8DA10D" w14:textId="77777777" w:rsidR="00FD22A7" w:rsidRDefault="00FD22A7" w:rsidP="004E313E">
            <w:pPr>
              <w:keepNext/>
              <w:keepLines/>
              <w:spacing w:before="0" w:after="0" w:line="240" w:lineRule="auto"/>
              <w:rPr>
                <w:rFonts w:ascii="Arial Narrow" w:eastAsia="Arial Narrow" w:hAnsi="Arial Narrow" w:cs="Arial Narrow"/>
                <w:sz w:val="20"/>
                <w:szCs w:val="20"/>
                <w:lang w:eastAsia="en-AU"/>
              </w:rPr>
            </w:pPr>
            <w:r w:rsidRPr="7D413406">
              <w:rPr>
                <w:rFonts w:ascii="Arial Narrow" w:eastAsia="Arial Narrow" w:hAnsi="Arial Narrow" w:cs="Arial Narrow"/>
                <w:sz w:val="20"/>
                <w:szCs w:val="20"/>
              </w:rPr>
              <w:t>Alqahtani 2022, Carr 2022, Fayad 2019, Fiorillo 2020, Lopez-Nava 2020, Lopez-Nava 2021, Novikov 2018</w:t>
            </w:r>
          </w:p>
        </w:tc>
        <w:tc>
          <w:tcPr>
            <w:tcW w:w="2077" w:type="dxa"/>
            <w:tcBorders>
              <w:top w:val="single" w:sz="6" w:space="0" w:color="auto"/>
              <w:left w:val="single" w:sz="6" w:space="0" w:color="auto"/>
              <w:bottom w:val="single" w:sz="6" w:space="0" w:color="auto"/>
              <w:right w:val="single" w:sz="6" w:space="0" w:color="auto"/>
            </w:tcBorders>
          </w:tcPr>
          <w:p w14:paraId="436833A5" w14:textId="77777777" w:rsidR="00FD22A7" w:rsidRDefault="00FD22A7" w:rsidP="004E313E">
            <w:pPr>
              <w:keepNext/>
              <w:keepLines/>
              <w:spacing w:before="0" w:after="0" w:line="240" w:lineRule="auto"/>
              <w:rPr>
                <w:rFonts w:ascii="Arial Narrow" w:eastAsia="Arial Narrow" w:hAnsi="Arial Narrow" w:cs="Arial Narrow"/>
                <w:sz w:val="20"/>
                <w:szCs w:val="20"/>
                <w:lang w:eastAsia="en-AU"/>
              </w:rPr>
            </w:pPr>
            <w:r w:rsidRPr="7D413406">
              <w:rPr>
                <w:rFonts w:ascii="Arial Narrow" w:eastAsia="Arial Narrow" w:hAnsi="Arial Narrow" w:cs="Arial Narrow"/>
                <w:sz w:val="20"/>
                <w:szCs w:val="20"/>
              </w:rPr>
              <w:t>Severe AEs (excluding high</w:t>
            </w:r>
            <w:r>
              <w:rPr>
                <w:rFonts w:ascii="Arial Narrow" w:eastAsia="Arial Narrow" w:hAnsi="Arial Narrow" w:cs="Arial Narrow"/>
                <w:sz w:val="20"/>
                <w:szCs w:val="20"/>
              </w:rPr>
              <w:t>-</w:t>
            </w:r>
            <w:r w:rsidRPr="7D413406">
              <w:rPr>
                <w:rFonts w:ascii="Arial Narrow" w:eastAsia="Arial Narrow" w:hAnsi="Arial Narrow" w:cs="Arial Narrow"/>
                <w:sz w:val="20"/>
                <w:szCs w:val="20"/>
              </w:rPr>
              <w:t>risk studies)</w:t>
            </w:r>
          </w:p>
        </w:tc>
      </w:tr>
      <w:tr w:rsidR="00FD22A7" w14:paraId="354C889C" w14:textId="77777777" w:rsidTr="00C30ADD">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tcPr>
          <w:p w14:paraId="740311DA" w14:textId="77777777" w:rsidR="00FD22A7" w:rsidRDefault="00FD22A7" w:rsidP="004E313E">
            <w:pPr>
              <w:keepNext/>
              <w:keepLines/>
              <w:spacing w:before="0" w:after="0" w:line="240" w:lineRule="auto"/>
              <w:rPr>
                <w:rFonts w:ascii="Arial Narrow" w:eastAsia="Arial Narrow" w:hAnsi="Arial Narrow" w:cs="Arial Narrow"/>
                <w:sz w:val="20"/>
                <w:szCs w:val="20"/>
              </w:rPr>
            </w:pPr>
            <w:r w:rsidRPr="7D413406">
              <w:rPr>
                <w:rFonts w:ascii="Arial Narrow" w:eastAsia="Arial Narrow" w:hAnsi="Arial Narrow" w:cs="Arial Narrow"/>
                <w:sz w:val="20"/>
                <w:szCs w:val="20"/>
              </w:rPr>
              <w:t>Meta</w:t>
            </w:r>
            <w:r>
              <w:rPr>
                <w:rFonts w:ascii="Arial Narrow" w:eastAsia="Arial Narrow" w:hAnsi="Arial Narrow" w:cs="Arial Narrow"/>
                <w:sz w:val="20"/>
                <w:szCs w:val="20"/>
              </w:rPr>
              <w:t>-</w:t>
            </w:r>
            <w:r w:rsidRPr="7D413406">
              <w:rPr>
                <w:rFonts w:ascii="Arial Narrow" w:eastAsia="Arial Narrow" w:hAnsi="Arial Narrow" w:cs="Arial Narrow"/>
                <w:sz w:val="20"/>
                <w:szCs w:val="20"/>
              </w:rPr>
              <w:t>analysis</w:t>
            </w:r>
          </w:p>
        </w:tc>
        <w:tc>
          <w:tcPr>
            <w:tcW w:w="5528" w:type="dxa"/>
            <w:tcBorders>
              <w:top w:val="single" w:sz="6" w:space="0" w:color="auto"/>
              <w:left w:val="single" w:sz="6" w:space="0" w:color="auto"/>
              <w:bottom w:val="single" w:sz="6" w:space="0" w:color="auto"/>
              <w:right w:val="single" w:sz="6" w:space="0" w:color="auto"/>
            </w:tcBorders>
            <w:shd w:val="clear" w:color="auto" w:fill="auto"/>
          </w:tcPr>
          <w:p w14:paraId="34D0BD0D" w14:textId="77777777" w:rsidR="00FD22A7" w:rsidRDefault="00FD22A7" w:rsidP="004E313E">
            <w:pPr>
              <w:keepNext/>
              <w:keepLines/>
              <w:spacing w:before="0" w:after="0" w:line="240" w:lineRule="auto"/>
              <w:rPr>
                <w:rFonts w:ascii="Arial Narrow" w:eastAsia="Arial Narrow" w:hAnsi="Arial Narrow" w:cs="Arial Narrow"/>
                <w:sz w:val="20"/>
                <w:szCs w:val="20"/>
                <w:lang w:eastAsia="en-AU"/>
              </w:rPr>
            </w:pPr>
            <w:r w:rsidRPr="7D413406">
              <w:rPr>
                <w:rFonts w:ascii="Arial Narrow" w:eastAsia="Arial Narrow" w:hAnsi="Arial Narrow" w:cs="Arial Narrow"/>
                <w:sz w:val="20"/>
                <w:szCs w:val="20"/>
              </w:rPr>
              <w:t>Fayad 2019, Fiorillo 2020</w:t>
            </w:r>
          </w:p>
        </w:tc>
        <w:tc>
          <w:tcPr>
            <w:tcW w:w="2077" w:type="dxa"/>
            <w:tcBorders>
              <w:top w:val="single" w:sz="6" w:space="0" w:color="auto"/>
              <w:left w:val="single" w:sz="6" w:space="0" w:color="auto"/>
              <w:bottom w:val="single" w:sz="6" w:space="0" w:color="auto"/>
              <w:right w:val="single" w:sz="6" w:space="0" w:color="auto"/>
            </w:tcBorders>
          </w:tcPr>
          <w:p w14:paraId="46F16215" w14:textId="77777777" w:rsidR="00FD22A7" w:rsidRDefault="00FD22A7" w:rsidP="004E313E">
            <w:pPr>
              <w:keepNext/>
              <w:keepLines/>
              <w:spacing w:before="0" w:after="0" w:line="240" w:lineRule="auto"/>
              <w:rPr>
                <w:rFonts w:ascii="Arial Narrow" w:eastAsia="Arial Narrow" w:hAnsi="Arial Narrow" w:cs="Arial Narrow"/>
                <w:sz w:val="20"/>
                <w:szCs w:val="20"/>
                <w:lang w:eastAsia="en-AU"/>
              </w:rPr>
            </w:pPr>
            <w:r w:rsidRPr="7D413406">
              <w:rPr>
                <w:rFonts w:ascii="Arial Narrow" w:eastAsia="Arial Narrow" w:hAnsi="Arial Narrow" w:cs="Arial Narrow"/>
                <w:sz w:val="20"/>
                <w:szCs w:val="20"/>
              </w:rPr>
              <w:t>New onset GORD</w:t>
            </w:r>
          </w:p>
        </w:tc>
      </w:tr>
    </w:tbl>
    <w:p w14:paraId="685FE861" w14:textId="76E3E6AB" w:rsidR="00D7048D" w:rsidRPr="00280778" w:rsidRDefault="00D7048D" w:rsidP="004E313E">
      <w:pPr>
        <w:pStyle w:val="TableFigureFooter"/>
        <w:keepNext/>
        <w:keepLines/>
      </w:pPr>
      <w:bookmarkStart w:id="59" w:name="_Hlk68276176"/>
      <w:r w:rsidRPr="00280778">
        <w:t xml:space="preserve">Abbreviations: </w:t>
      </w:r>
      <w:r w:rsidR="00A556A0" w:rsidRPr="00280778">
        <w:t xml:space="preserve">AE: adverse event; </w:t>
      </w:r>
      <w:r w:rsidRPr="00280778">
        <w:t>ESG: endoscopic sleeve gastroplasty</w:t>
      </w:r>
      <w:r w:rsidR="34A4FD6E" w:rsidRPr="00280778">
        <w:t xml:space="preserve">, </w:t>
      </w:r>
      <w:r w:rsidRPr="00280778">
        <w:t xml:space="preserve">GORD: gastro-oesophageal reflux disease; </w:t>
      </w:r>
      <w:r w:rsidR="00FD22A7" w:rsidRPr="00280778">
        <w:t xml:space="preserve">LSG: laparoscopic sleeve gastrectomy, </w:t>
      </w:r>
      <w:r w:rsidR="3A610874" w:rsidRPr="00280778">
        <w:t>PICO: population, intervention, comparator, outcome</w:t>
      </w:r>
      <w:r w:rsidR="006B2625" w:rsidRPr="00280778">
        <w:t>;</w:t>
      </w:r>
      <w:r w:rsidR="7A00E0EC" w:rsidRPr="00280778">
        <w:t xml:space="preserve"> </w:t>
      </w:r>
      <w:r w:rsidR="00FD22A7" w:rsidRPr="00280778">
        <w:t xml:space="preserve">%EWL: excess weight loss, </w:t>
      </w:r>
      <w:r w:rsidR="7A00E0EC" w:rsidRPr="00280778">
        <w:t>%TBWL: % total body weight loss</w:t>
      </w:r>
      <w:r w:rsidRPr="00280778">
        <w:br/>
      </w:r>
      <w:r w:rsidR="00463D6A" w:rsidRPr="00280778">
        <w:t>Source: compiled during commentary</w:t>
      </w:r>
    </w:p>
    <w:p w14:paraId="4616417A" w14:textId="3592449D" w:rsidR="00FF686A" w:rsidRPr="00CA3875" w:rsidRDefault="003C71E6" w:rsidP="00CA3875">
      <w:pPr>
        <w:pStyle w:val="BodyText"/>
      </w:pPr>
      <w:r>
        <w:t>The commentary</w:t>
      </w:r>
      <w:r w:rsidR="00FF686A">
        <w:t xml:space="preserve"> consider</w:t>
      </w:r>
      <w:r>
        <w:t>ed</w:t>
      </w:r>
      <w:r w:rsidR="00FF686A">
        <w:t xml:space="preserve"> that these studies may be subject to bias</w:t>
      </w:r>
      <w:r w:rsidR="00F55835">
        <w:t xml:space="preserve">, due to </w:t>
      </w:r>
      <w:r w:rsidR="00FF686A">
        <w:t>large loss</w:t>
      </w:r>
      <w:r w:rsidR="0051059D">
        <w:t>es</w:t>
      </w:r>
      <w:r w:rsidR="00FF686A">
        <w:t xml:space="preserve"> to follow-up</w:t>
      </w:r>
      <w:r w:rsidR="008E15A9">
        <w:t>,</w:t>
      </w:r>
      <w:r w:rsidR="0001665F">
        <w:t xml:space="preserve"> combined with incomplete reporting of </w:t>
      </w:r>
      <w:r w:rsidR="0051059D">
        <w:t xml:space="preserve">reasons for </w:t>
      </w:r>
      <w:r w:rsidR="0001665F">
        <w:t>attrition</w:t>
      </w:r>
      <w:r w:rsidR="008E15A9">
        <w:t>,</w:t>
      </w:r>
      <w:r w:rsidR="0001665F">
        <w:t xml:space="preserve"> and the lack of strategies for handling missing data</w:t>
      </w:r>
      <w:r w:rsidR="00E34B0E">
        <w:t>.</w:t>
      </w:r>
    </w:p>
    <w:p w14:paraId="3B9FC2AD" w14:textId="32550A8A" w:rsidR="00772829" w:rsidRPr="00CE28E3" w:rsidRDefault="00772829" w:rsidP="00361335">
      <w:pPr>
        <w:pStyle w:val="Heading2"/>
        <w:numPr>
          <w:ilvl w:val="0"/>
          <w:numId w:val="26"/>
        </w:numPr>
        <w:ind w:hanging="720"/>
      </w:pPr>
      <w:bookmarkStart w:id="60" w:name="ColumnTitle_Table4"/>
      <w:bookmarkStart w:id="61" w:name="_Toc69491423"/>
      <w:bookmarkStart w:id="62" w:name="_Ref183535524"/>
      <w:bookmarkEnd w:id="59"/>
      <w:bookmarkEnd w:id="60"/>
      <w:r w:rsidRPr="00CE28E3">
        <w:t>Comparative safety</w:t>
      </w:r>
      <w:bookmarkEnd w:id="61"/>
      <w:bookmarkEnd w:id="62"/>
    </w:p>
    <w:p w14:paraId="0EC6EAB1" w14:textId="34941FCE" w:rsidR="000F3ADB" w:rsidRPr="000F3ADB" w:rsidRDefault="002A1672" w:rsidP="000F3ADB">
      <w:pPr>
        <w:pStyle w:val="BodyText"/>
      </w:pPr>
      <w:r>
        <w:t xml:space="preserve">The clinical evidence presented in the </w:t>
      </w:r>
      <w:r w:rsidR="00EF5235">
        <w:t xml:space="preserve">ADAR </w:t>
      </w:r>
      <w:r>
        <w:t>was primarily based on 1 RCT</w:t>
      </w:r>
      <w:r w:rsidR="703B261E">
        <w:t>, featuring a primary and crossover ESG group and a lifestyle modifications</w:t>
      </w:r>
      <w:r w:rsidR="00127B5A">
        <w:t>-</w:t>
      </w:r>
      <w:r w:rsidR="703B261E">
        <w:t>only group</w:t>
      </w:r>
      <w:r w:rsidR="00587696">
        <w:t>,</w:t>
      </w:r>
      <w:r w:rsidR="703B261E">
        <w:t xml:space="preserve"> </w:t>
      </w:r>
      <w:r w:rsidR="001F6A40">
        <w:t xml:space="preserve">and </w:t>
      </w:r>
      <w:r w:rsidR="000C52E4">
        <w:t>14 single</w:t>
      </w:r>
      <w:r w:rsidR="0051059D">
        <w:t>-</w:t>
      </w:r>
      <w:r w:rsidR="000C52E4">
        <w:t xml:space="preserve">arm studies </w:t>
      </w:r>
      <w:r w:rsidR="0051059D">
        <w:t xml:space="preserve">for </w:t>
      </w:r>
      <w:r w:rsidR="000C52E4">
        <w:t xml:space="preserve">PICO set 1 and </w:t>
      </w:r>
      <w:r w:rsidR="00503F7D">
        <w:t xml:space="preserve">9 </w:t>
      </w:r>
      <w:r w:rsidR="00961709">
        <w:t>non-randomised comparative</w:t>
      </w:r>
      <w:r w:rsidR="00503F7D">
        <w:t xml:space="preserve"> studies </w:t>
      </w:r>
      <w:r w:rsidR="000F3ADB" w:rsidRPr="000F3ADB">
        <w:t>for PICO set 2. Most of these studies also presented efficacy outcomes.</w:t>
      </w:r>
    </w:p>
    <w:p w14:paraId="4D28C246" w14:textId="26CABDDE" w:rsidR="43A7CA66" w:rsidRPr="00DC46A2" w:rsidRDefault="43A7CA66" w:rsidP="007D18A3">
      <w:pPr>
        <w:pStyle w:val="Heading3"/>
      </w:pPr>
      <w:r>
        <w:t>PICO 1:</w:t>
      </w:r>
      <w:r w:rsidR="00207122">
        <w:t xml:space="preserve"> ESG </w:t>
      </w:r>
      <w:r w:rsidR="31759D78">
        <w:t xml:space="preserve">+ lifestyle modifications </w:t>
      </w:r>
      <w:r w:rsidR="00207122">
        <w:t>vs lifestyle modifications</w:t>
      </w:r>
      <w:r w:rsidR="0CC1F3DA">
        <w:t xml:space="preserve"> alone</w:t>
      </w:r>
    </w:p>
    <w:p w14:paraId="7F74F828" w14:textId="017162A3" w:rsidR="020083A4" w:rsidRDefault="7D2F0288" w:rsidP="007D18A3">
      <w:pPr>
        <w:pStyle w:val="BodyText"/>
      </w:pPr>
      <w:r w:rsidRPr="2AA1CA0C">
        <w:rPr>
          <w:color w:val="000000" w:themeColor="text1"/>
        </w:rPr>
        <w:t>Reported outcomes for the ESG group</w:t>
      </w:r>
      <w:r w:rsidR="00847A0B" w:rsidRPr="2AA1CA0C">
        <w:rPr>
          <w:color w:val="000000" w:themeColor="text1"/>
        </w:rPr>
        <w:t xml:space="preserve"> in PICO </w:t>
      </w:r>
      <w:r w:rsidR="00C8591B" w:rsidRPr="2AA1CA0C">
        <w:rPr>
          <w:color w:val="000000" w:themeColor="text1"/>
        </w:rPr>
        <w:t>1</w:t>
      </w:r>
      <w:r w:rsidR="000D44F1" w:rsidRPr="2AA1CA0C">
        <w:rPr>
          <w:color w:val="000000" w:themeColor="text1"/>
        </w:rPr>
        <w:t xml:space="preserve"> </w:t>
      </w:r>
      <w:r w:rsidR="008921E4" w:rsidRPr="2AA1CA0C">
        <w:rPr>
          <w:color w:val="000000" w:themeColor="text1"/>
        </w:rPr>
        <w:t xml:space="preserve">(ESG vs </w:t>
      </w:r>
      <w:r w:rsidR="000F44FC" w:rsidRPr="2AA1CA0C">
        <w:rPr>
          <w:color w:val="000000" w:themeColor="text1"/>
        </w:rPr>
        <w:t xml:space="preserve">lifestyle modification) </w:t>
      </w:r>
      <w:r w:rsidRPr="2AA1CA0C">
        <w:rPr>
          <w:color w:val="000000" w:themeColor="text1"/>
        </w:rPr>
        <w:t>included AEs.</w:t>
      </w:r>
      <w:r w:rsidR="00106919" w:rsidRPr="2AA1CA0C">
        <w:rPr>
          <w:color w:val="000000" w:themeColor="text1"/>
        </w:rPr>
        <w:t xml:space="preserve"> </w:t>
      </w:r>
      <w:r w:rsidR="591FBE96" w:rsidRPr="2AA1CA0C">
        <w:rPr>
          <w:color w:val="000000" w:themeColor="text1"/>
        </w:rPr>
        <w:t xml:space="preserve">In the MERIT </w:t>
      </w:r>
      <w:r w:rsidR="00DD18E7" w:rsidRPr="2AA1CA0C">
        <w:rPr>
          <w:color w:val="000000" w:themeColor="text1"/>
        </w:rPr>
        <w:t>trial</w:t>
      </w:r>
      <w:r w:rsidR="591FBE96" w:rsidRPr="2AA1CA0C">
        <w:rPr>
          <w:color w:val="000000" w:themeColor="text1"/>
        </w:rPr>
        <w:t>,</w:t>
      </w:r>
      <w:r w:rsidR="005A3E7F" w:rsidRPr="2AA1CA0C">
        <w:rPr>
          <w:color w:val="000000" w:themeColor="text1"/>
        </w:rPr>
        <w:t xml:space="preserve"> 3 </w:t>
      </w:r>
      <w:r w:rsidR="00614D3E" w:rsidRPr="2AA1CA0C">
        <w:rPr>
          <w:color w:val="000000" w:themeColor="text1"/>
        </w:rPr>
        <w:t>participants</w:t>
      </w:r>
      <w:r w:rsidR="00047F6B" w:rsidRPr="2AA1CA0C">
        <w:rPr>
          <w:color w:val="000000" w:themeColor="text1"/>
        </w:rPr>
        <w:t xml:space="preserve"> </w:t>
      </w:r>
      <w:r w:rsidR="0017705C" w:rsidRPr="2AA1CA0C">
        <w:rPr>
          <w:color w:val="000000" w:themeColor="text1"/>
        </w:rPr>
        <w:t>(2%)</w:t>
      </w:r>
      <w:r w:rsidR="000D596C" w:rsidRPr="2AA1CA0C">
        <w:rPr>
          <w:color w:val="000000" w:themeColor="text1"/>
        </w:rPr>
        <w:t xml:space="preserve"> </w:t>
      </w:r>
      <w:r w:rsidR="0E4311F9" w:rsidRPr="2AA1CA0C">
        <w:rPr>
          <w:color w:val="000000" w:themeColor="text1"/>
        </w:rPr>
        <w:t xml:space="preserve">who </w:t>
      </w:r>
      <w:r w:rsidR="2D0D8B6C" w:rsidRPr="2AA1CA0C">
        <w:rPr>
          <w:color w:val="000000" w:themeColor="text1"/>
        </w:rPr>
        <w:t>received</w:t>
      </w:r>
      <w:r w:rsidR="0E4311F9" w:rsidRPr="2AA1CA0C">
        <w:rPr>
          <w:color w:val="000000" w:themeColor="text1"/>
        </w:rPr>
        <w:t xml:space="preserve"> an</w:t>
      </w:r>
      <w:r w:rsidR="000D596C" w:rsidRPr="2AA1CA0C">
        <w:rPr>
          <w:color w:val="000000" w:themeColor="text1"/>
        </w:rPr>
        <w:t xml:space="preserve"> ESG</w:t>
      </w:r>
      <w:r w:rsidR="00681AC0" w:rsidRPr="2AA1CA0C">
        <w:rPr>
          <w:color w:val="000000" w:themeColor="text1"/>
        </w:rPr>
        <w:t xml:space="preserve"> </w:t>
      </w:r>
      <w:r w:rsidR="71258C43" w:rsidRPr="2AA1CA0C">
        <w:rPr>
          <w:color w:val="000000" w:themeColor="text1"/>
        </w:rPr>
        <w:t xml:space="preserve">procedure </w:t>
      </w:r>
      <w:r w:rsidR="00681AC0" w:rsidRPr="2AA1CA0C">
        <w:t xml:space="preserve">had a device-related or procedure-related </w:t>
      </w:r>
      <w:r w:rsidR="69EE0001" w:rsidRPr="2AA1CA0C">
        <w:t xml:space="preserve">serious </w:t>
      </w:r>
      <w:r w:rsidR="00681AC0" w:rsidRPr="2AA1CA0C">
        <w:t xml:space="preserve">AE that met the criteria of grade 3 (requiring surgical, endoscopic, or radiological intervention) or higher on the Clavien-Dindo </w:t>
      </w:r>
      <w:r w:rsidR="008F5EBB" w:rsidRPr="2AA1CA0C">
        <w:t>class</w:t>
      </w:r>
      <w:r w:rsidR="00681AC0" w:rsidRPr="2AA1CA0C">
        <w:t>ification scale. These events included abdominal abscess managed endoscopically</w:t>
      </w:r>
      <w:r w:rsidR="000E1905" w:rsidRPr="2AA1CA0C">
        <w:t>,</w:t>
      </w:r>
      <w:r w:rsidR="00681AC0" w:rsidRPr="2AA1CA0C">
        <w:t xml:space="preserve"> upper gastrointestinal </w:t>
      </w:r>
      <w:r w:rsidR="00C21CD0" w:rsidRPr="2AA1CA0C">
        <w:t xml:space="preserve">(GI) </w:t>
      </w:r>
      <w:r w:rsidR="00681AC0" w:rsidRPr="2AA1CA0C">
        <w:t>bleed managed conservatively without transfusion</w:t>
      </w:r>
      <w:r w:rsidR="000E1905" w:rsidRPr="2AA1CA0C">
        <w:t>,</w:t>
      </w:r>
      <w:r w:rsidR="00681AC0" w:rsidRPr="2AA1CA0C">
        <w:t xml:space="preserve"> and </w:t>
      </w:r>
      <w:r w:rsidR="000E1905" w:rsidRPr="2AA1CA0C">
        <w:t>one</w:t>
      </w:r>
      <w:r w:rsidR="00681AC0" w:rsidRPr="2AA1CA0C">
        <w:t xml:space="preserve"> case of malnutrition requiring endoscopic reversal of the ESG</w:t>
      </w:r>
      <w:r w:rsidR="005756F8" w:rsidRPr="2AA1CA0C">
        <w:t>.</w:t>
      </w:r>
      <w:r w:rsidR="3D14B9B0" w:rsidRPr="2AA1CA0C">
        <w:t xml:space="preserve"> </w:t>
      </w:r>
      <w:r w:rsidR="00FE7E58" w:rsidRPr="2AA1CA0C">
        <w:t xml:space="preserve">Endoscopic reversal </w:t>
      </w:r>
      <w:r w:rsidR="00A837C7" w:rsidRPr="2AA1CA0C">
        <w:t>is only possible in certain cases</w:t>
      </w:r>
      <w:r w:rsidR="00306B74" w:rsidRPr="2AA1CA0C">
        <w:t xml:space="preserve"> of ESG</w:t>
      </w:r>
      <w:r w:rsidR="00684D60" w:rsidRPr="2AA1CA0C">
        <w:t xml:space="preserve">, </w:t>
      </w:r>
      <w:r w:rsidR="00FD068E" w:rsidRPr="2AA1CA0C">
        <w:t>particularly in early stages following surgery</w:t>
      </w:r>
      <w:r w:rsidR="00306B74" w:rsidRPr="2AA1CA0C">
        <w:t>.</w:t>
      </w:r>
      <w:r w:rsidR="3D14B9B0" w:rsidRPr="2AA1CA0C">
        <w:t xml:space="preserve"> </w:t>
      </w:r>
      <w:r w:rsidR="005756F8" w:rsidRPr="2AA1CA0C">
        <w:t>A</w:t>
      </w:r>
      <w:r w:rsidR="34FD6F91" w:rsidRPr="2AA1CA0C">
        <w:t>Es</w:t>
      </w:r>
      <w:r w:rsidR="00AD0AA2" w:rsidRPr="2AA1CA0C">
        <w:t xml:space="preserve"> were not reported </w:t>
      </w:r>
      <w:r w:rsidR="003B0581" w:rsidRPr="2AA1CA0C">
        <w:t xml:space="preserve">for </w:t>
      </w:r>
      <w:r w:rsidR="002814C8" w:rsidRPr="2AA1CA0C">
        <w:t xml:space="preserve">participants </w:t>
      </w:r>
      <w:r w:rsidR="528FA9D1" w:rsidRPr="2AA1CA0C">
        <w:t>undergoing</w:t>
      </w:r>
      <w:r w:rsidR="00E0496D" w:rsidRPr="2AA1CA0C">
        <w:t xml:space="preserve"> lifestyle modifications only</w:t>
      </w:r>
      <w:r w:rsidR="2798B6E4" w:rsidRPr="2AA1CA0C">
        <w:t>, with no comparison available between the intervention groups</w:t>
      </w:r>
      <w:r w:rsidR="3147D003" w:rsidRPr="2AA1CA0C">
        <w:t>.</w:t>
      </w:r>
      <w:r w:rsidR="00EA3074" w:rsidRPr="2AA1CA0C">
        <w:t xml:space="preserve"> </w:t>
      </w:r>
      <w:r w:rsidR="4B2161B9" w:rsidRPr="2AA1CA0C">
        <w:t xml:space="preserve">In the MERIT </w:t>
      </w:r>
      <w:r w:rsidR="00751E06" w:rsidRPr="2AA1CA0C">
        <w:t>trial</w:t>
      </w:r>
      <w:r w:rsidR="4B2161B9" w:rsidRPr="2AA1CA0C">
        <w:t xml:space="preserve">, </w:t>
      </w:r>
      <w:r w:rsidR="7A390DD3" w:rsidRPr="2AA1CA0C">
        <w:t>92% of participants in the primary and crossover ESG group reported a procedure</w:t>
      </w:r>
      <w:r w:rsidR="397B6B63" w:rsidRPr="2AA1CA0C">
        <w:t>-related AE</w:t>
      </w:r>
      <w:r w:rsidR="7A390DD3" w:rsidRPr="2AA1CA0C">
        <w:t xml:space="preserve">. </w:t>
      </w:r>
      <w:r w:rsidR="00905901" w:rsidRPr="2AA1CA0C">
        <w:t>Two-thirds (</w:t>
      </w:r>
      <w:r w:rsidR="2F58466B" w:rsidRPr="2AA1CA0C">
        <w:t>66%</w:t>
      </w:r>
      <w:r w:rsidR="00905901" w:rsidRPr="2AA1CA0C">
        <w:t>)</w:t>
      </w:r>
      <w:r w:rsidR="2F58466B" w:rsidRPr="2AA1CA0C">
        <w:t xml:space="preserve"> of such </w:t>
      </w:r>
      <w:r w:rsidR="3B48B668" w:rsidRPr="2AA1CA0C">
        <w:t>AEs</w:t>
      </w:r>
      <w:r w:rsidR="2F58466B" w:rsidRPr="2AA1CA0C">
        <w:t xml:space="preserve"> were identified to be accommodative </w:t>
      </w:r>
      <w:r w:rsidR="00C21CD0" w:rsidRPr="2AA1CA0C">
        <w:t xml:space="preserve">GI </w:t>
      </w:r>
      <w:r w:rsidR="2F58466B" w:rsidRPr="2AA1CA0C">
        <w:t>symptoms such as stomach upset, pain, nausea and vomiting</w:t>
      </w:r>
      <w:r w:rsidR="00CE7248" w:rsidRPr="2AA1CA0C">
        <w:t>.</w:t>
      </w:r>
      <w:r w:rsidRPr="2AA1CA0C">
        <w:rPr>
          <w:vertAlign w:val="superscript"/>
        </w:rPr>
        <w:fldChar w:fldCharType="begin"/>
      </w:r>
      <w:r w:rsidRPr="2AA1CA0C">
        <w:rPr>
          <w:vertAlign w:val="superscript"/>
        </w:rPr>
        <w:instrText xml:space="preserve"> NOTEREF _Ref187068871 \h  \* MERGEFORMAT </w:instrText>
      </w:r>
      <w:r w:rsidRPr="2AA1CA0C">
        <w:rPr>
          <w:vertAlign w:val="superscript"/>
        </w:rPr>
      </w:r>
      <w:r w:rsidRPr="2AA1CA0C">
        <w:rPr>
          <w:vertAlign w:val="superscript"/>
        </w:rPr>
        <w:fldChar w:fldCharType="separate"/>
      </w:r>
      <w:r w:rsidR="008F37D1">
        <w:rPr>
          <w:vertAlign w:val="superscript"/>
        </w:rPr>
        <w:t>20</w:t>
      </w:r>
      <w:r w:rsidRPr="2AA1CA0C">
        <w:rPr>
          <w:vertAlign w:val="superscript"/>
        </w:rPr>
        <w:fldChar w:fldCharType="end"/>
      </w:r>
      <w:r w:rsidR="0AB9143E" w:rsidRPr="2AA1CA0C">
        <w:t xml:space="preserve"> </w:t>
      </w:r>
      <w:r w:rsidR="2F58466B" w:rsidRPr="2AA1CA0C">
        <w:t xml:space="preserve"> Most were </w:t>
      </w:r>
      <w:r w:rsidR="2D4E7FDF" w:rsidRPr="2AA1CA0C">
        <w:t>resolved within one</w:t>
      </w:r>
      <w:r w:rsidR="00905901" w:rsidRPr="2AA1CA0C">
        <w:t xml:space="preserve"> </w:t>
      </w:r>
      <w:r w:rsidR="2D4E7FDF" w:rsidRPr="2AA1CA0C">
        <w:t>week post-procedure</w:t>
      </w:r>
      <w:r w:rsidR="00905901" w:rsidRPr="2AA1CA0C">
        <w:t>;</w:t>
      </w:r>
      <w:r w:rsidR="2D4E7FDF" w:rsidRPr="2AA1CA0C">
        <w:t xml:space="preserve"> however</w:t>
      </w:r>
      <w:r w:rsidR="008F13A1" w:rsidRPr="2AA1CA0C">
        <w:t>,</w:t>
      </w:r>
      <w:r w:rsidR="2D4E7FDF" w:rsidRPr="2AA1CA0C">
        <w:t xml:space="preserve"> 4% required subsequent hospitalisation</w:t>
      </w:r>
      <w:r w:rsidR="7EED6C67" w:rsidRPr="2AA1CA0C">
        <w:t>.</w:t>
      </w:r>
      <w:r w:rsidR="6C9F5F07" w:rsidRPr="2AA1CA0C">
        <w:t xml:space="preserve"> </w:t>
      </w:r>
      <w:r w:rsidR="020083A4" w:rsidRPr="2AA1CA0C">
        <w:t xml:space="preserve">Within </w:t>
      </w:r>
      <w:r w:rsidR="00905901" w:rsidRPr="2AA1CA0C">
        <w:t xml:space="preserve">the </w:t>
      </w:r>
      <w:r w:rsidR="020083A4" w:rsidRPr="2AA1CA0C">
        <w:t>included single</w:t>
      </w:r>
      <w:r w:rsidR="00905901" w:rsidRPr="2AA1CA0C">
        <w:t>-</w:t>
      </w:r>
      <w:r w:rsidR="020083A4" w:rsidRPr="2AA1CA0C">
        <w:t xml:space="preserve">arm studies, few serious </w:t>
      </w:r>
      <w:r w:rsidR="01B98EB7" w:rsidRPr="2AA1CA0C">
        <w:t>AEs</w:t>
      </w:r>
      <w:r w:rsidR="020083A4" w:rsidRPr="2AA1CA0C">
        <w:t xml:space="preserve"> were reported and no patient mortality due to ESG w</w:t>
      </w:r>
      <w:r w:rsidR="7CCC3A06" w:rsidRPr="2AA1CA0C">
        <w:t>as</w:t>
      </w:r>
      <w:r w:rsidR="020083A4" w:rsidRPr="2AA1CA0C">
        <w:t xml:space="preserve"> identified</w:t>
      </w:r>
      <w:r w:rsidR="00292637">
        <w:t>.</w:t>
      </w:r>
    </w:p>
    <w:p w14:paraId="1D3A57BE" w14:textId="7064E2BB" w:rsidR="063ED088" w:rsidRDefault="063ED088" w:rsidP="007D18A3">
      <w:pPr>
        <w:pStyle w:val="BodyText"/>
      </w:pPr>
      <w:r w:rsidRPr="2AA1CA0C">
        <w:t>Long</w:t>
      </w:r>
      <w:r w:rsidR="00B401A4" w:rsidRPr="2AA1CA0C">
        <w:t>-</w:t>
      </w:r>
      <w:r w:rsidRPr="2AA1CA0C">
        <w:t xml:space="preserve">term </w:t>
      </w:r>
      <w:r w:rsidR="7CB4C21B" w:rsidRPr="2AA1CA0C">
        <w:t>AEs</w:t>
      </w:r>
      <w:r w:rsidRPr="2AA1CA0C">
        <w:t xml:space="preserve"> were reported as a secondary safety outcome for PICO 1. </w:t>
      </w:r>
      <w:r w:rsidR="64BFCA05" w:rsidRPr="2AA1CA0C">
        <w:t>Long</w:t>
      </w:r>
      <w:r w:rsidR="00B401A4" w:rsidRPr="2AA1CA0C">
        <w:t>-</w:t>
      </w:r>
      <w:r w:rsidR="64BFCA05" w:rsidRPr="2AA1CA0C">
        <w:t>term</w:t>
      </w:r>
      <w:r w:rsidR="768553C9" w:rsidRPr="2AA1CA0C">
        <w:t xml:space="preserve"> (up to 5 years) AEs were investigated by one single</w:t>
      </w:r>
      <w:r w:rsidR="00B401A4" w:rsidRPr="2AA1CA0C">
        <w:t>-</w:t>
      </w:r>
      <w:r w:rsidR="768553C9" w:rsidRPr="2AA1CA0C">
        <w:t xml:space="preserve">arm study, with an overall rate of 1.3% moderate AEs </w:t>
      </w:r>
      <w:r w:rsidR="44941E0B" w:rsidRPr="2AA1CA0C">
        <w:t>identified</w:t>
      </w:r>
      <w:r w:rsidR="24317DA6" w:rsidRPr="2AA1CA0C">
        <w:t>, associated with overeating and dietary indiscretion. These included</w:t>
      </w:r>
      <w:r w:rsidR="44941E0B" w:rsidRPr="2AA1CA0C">
        <w:t xml:space="preserve"> upper left</w:t>
      </w:r>
      <w:r w:rsidR="00B401A4" w:rsidRPr="2AA1CA0C">
        <w:t>-</w:t>
      </w:r>
      <w:r w:rsidR="44941E0B" w:rsidRPr="2AA1CA0C">
        <w:t>quadrant pain</w:t>
      </w:r>
      <w:r w:rsidR="016D07CB" w:rsidRPr="2AA1CA0C">
        <w:t xml:space="preserve"> leading to ESG reversal</w:t>
      </w:r>
      <w:r w:rsidR="44941E0B" w:rsidRPr="2AA1CA0C">
        <w:t xml:space="preserve"> and </w:t>
      </w:r>
      <w:r w:rsidR="6A7C8FB3" w:rsidRPr="2AA1CA0C">
        <w:t>peri</w:t>
      </w:r>
      <w:r w:rsidR="00B401A4" w:rsidRPr="2AA1CA0C">
        <w:t>-</w:t>
      </w:r>
      <w:r w:rsidR="6A7C8FB3" w:rsidRPr="2AA1CA0C">
        <w:t>gastric</w:t>
      </w:r>
      <w:r w:rsidR="44941E0B" w:rsidRPr="2AA1CA0C">
        <w:t xml:space="preserve"> leak</w:t>
      </w:r>
      <w:r w:rsidR="00B401A4" w:rsidRPr="2AA1CA0C">
        <w:t>,</w:t>
      </w:r>
      <w:r w:rsidR="44941E0B" w:rsidRPr="2AA1CA0C">
        <w:t xml:space="preserve"> </w:t>
      </w:r>
      <w:r w:rsidR="3A70603D" w:rsidRPr="2AA1CA0C">
        <w:t>which was treated by antibiotics and percutaneous drainage</w:t>
      </w:r>
      <w:r w:rsidR="00CE7248" w:rsidRPr="2AA1CA0C">
        <w:t>.</w:t>
      </w:r>
      <w:r w:rsidR="00BE5FA2" w:rsidRPr="00D76EFB">
        <w:rPr>
          <w:vertAlign w:val="superscript"/>
        </w:rPr>
        <w:fldChar w:fldCharType="begin"/>
      </w:r>
      <w:r w:rsidR="00BE5FA2" w:rsidRPr="00D76EFB">
        <w:rPr>
          <w:vertAlign w:val="superscript"/>
        </w:rPr>
        <w:instrText xml:space="preserve"> NOTEREF _Ref187069073 \h </w:instrText>
      </w:r>
      <w:r w:rsidR="00BE5FA2" w:rsidRPr="00A87D94">
        <w:rPr>
          <w:vertAlign w:val="superscript"/>
        </w:rPr>
        <w:instrText xml:space="preserve"> </w:instrText>
      </w:r>
      <w:r w:rsidR="00BE5FA2">
        <w:rPr>
          <w:vertAlign w:val="superscript"/>
        </w:rPr>
        <w:instrText xml:space="preserve">\* MERGEFORMAT </w:instrText>
      </w:r>
      <w:r w:rsidR="00BE5FA2" w:rsidRPr="00D76EFB">
        <w:rPr>
          <w:vertAlign w:val="superscript"/>
        </w:rPr>
      </w:r>
      <w:r w:rsidR="00BE5FA2" w:rsidRPr="00D76EFB">
        <w:rPr>
          <w:vertAlign w:val="superscript"/>
        </w:rPr>
        <w:fldChar w:fldCharType="separate"/>
      </w:r>
      <w:r w:rsidR="008F37D1">
        <w:rPr>
          <w:vertAlign w:val="superscript"/>
        </w:rPr>
        <w:t>32</w:t>
      </w:r>
      <w:r w:rsidR="00BE5FA2" w:rsidRPr="00D76EFB">
        <w:rPr>
          <w:vertAlign w:val="superscript"/>
        </w:rPr>
        <w:fldChar w:fldCharType="end"/>
      </w:r>
      <w:r w:rsidR="3A70603D" w:rsidRPr="2AA1CA0C">
        <w:t xml:space="preserve"> </w:t>
      </w:r>
    </w:p>
    <w:p w14:paraId="2B56EBCB" w14:textId="1DD8E3D2" w:rsidR="005C4497" w:rsidRPr="00DE16ED" w:rsidRDefault="7003CE05" w:rsidP="007D18A3">
      <w:pPr>
        <w:pStyle w:val="BodyText"/>
      </w:pPr>
      <w:r w:rsidRPr="2AA1CA0C">
        <w:t>The applicant identif</w:t>
      </w:r>
      <w:r w:rsidR="00531FBD" w:rsidRPr="2AA1CA0C">
        <w:t>ies</w:t>
      </w:r>
      <w:r w:rsidRPr="2AA1CA0C">
        <w:t xml:space="preserve"> an inferior safety profile for ESG as compared to lifestyle modification alone</w:t>
      </w:r>
      <w:r w:rsidR="00531FBD" w:rsidRPr="2AA1CA0C">
        <w:t>,</w:t>
      </w:r>
      <w:r w:rsidRPr="2AA1CA0C">
        <w:t xml:space="preserve"> which is </w:t>
      </w:r>
      <w:r w:rsidR="54F23534" w:rsidRPr="2AA1CA0C">
        <w:t>attribut</w:t>
      </w:r>
      <w:r w:rsidR="00531FBD" w:rsidRPr="2AA1CA0C">
        <w:t>able</w:t>
      </w:r>
      <w:r w:rsidR="54F23534" w:rsidRPr="2AA1CA0C">
        <w:t xml:space="preserve"> to the surgical</w:t>
      </w:r>
      <w:r w:rsidR="00531FBD" w:rsidRPr="2AA1CA0C">
        <w:t>,</w:t>
      </w:r>
      <w:r w:rsidR="54F23534" w:rsidRPr="2AA1CA0C">
        <w:t xml:space="preserve"> more invasive nature of the intervention. </w:t>
      </w:r>
      <w:r w:rsidR="00061AAE" w:rsidRPr="2AA1CA0C">
        <w:t xml:space="preserve">The applicant </w:t>
      </w:r>
      <w:r w:rsidR="005321E6" w:rsidRPr="2AA1CA0C">
        <w:t xml:space="preserve">also </w:t>
      </w:r>
      <w:r w:rsidR="00061AAE" w:rsidRPr="2AA1CA0C">
        <w:t>identified that</w:t>
      </w:r>
      <w:r w:rsidR="00402098" w:rsidRPr="2AA1CA0C">
        <w:t>,</w:t>
      </w:r>
      <w:r w:rsidR="00061AAE" w:rsidRPr="2AA1CA0C">
        <w:t xml:space="preserve"> in the long term</w:t>
      </w:r>
      <w:r w:rsidR="00A50ACB" w:rsidRPr="2AA1CA0C">
        <w:t>,</w:t>
      </w:r>
      <w:r w:rsidR="00061AAE" w:rsidRPr="2AA1CA0C">
        <w:t xml:space="preserve"> safety may be non-inferior</w:t>
      </w:r>
      <w:r w:rsidR="00C95456" w:rsidRPr="2AA1CA0C">
        <w:t>. H</w:t>
      </w:r>
      <w:r w:rsidR="00235256" w:rsidRPr="2AA1CA0C">
        <w:t>owever</w:t>
      </w:r>
      <w:r w:rsidR="005321E6" w:rsidRPr="2AA1CA0C">
        <w:t>, a</w:t>
      </w:r>
      <w:r w:rsidR="54F23534" w:rsidRPr="2AA1CA0C">
        <w:t>lthough the rate of severe AEs for ESG is low, the qual</w:t>
      </w:r>
      <w:r w:rsidR="5374E2B2" w:rsidRPr="2AA1CA0C">
        <w:t>ity of evidence</w:t>
      </w:r>
      <w:r w:rsidR="00B56042" w:rsidRPr="2AA1CA0C">
        <w:t xml:space="preserve"> is </w:t>
      </w:r>
      <w:r w:rsidR="002A0AAC" w:rsidRPr="2AA1CA0C">
        <w:t>also</w:t>
      </w:r>
      <w:r w:rsidR="00B56042" w:rsidRPr="2AA1CA0C">
        <w:t xml:space="preserve"> low. </w:t>
      </w:r>
      <w:r w:rsidR="00C301DA" w:rsidRPr="2AA1CA0C">
        <w:t>Assessment of l</w:t>
      </w:r>
      <w:r w:rsidR="5374E2B2" w:rsidRPr="2AA1CA0C">
        <w:t>ong</w:t>
      </w:r>
      <w:r w:rsidR="00531FBD" w:rsidRPr="2AA1CA0C">
        <w:t>-</w:t>
      </w:r>
      <w:r w:rsidR="5374E2B2" w:rsidRPr="2AA1CA0C">
        <w:t xml:space="preserve">term </w:t>
      </w:r>
      <w:r w:rsidR="00531FBD" w:rsidRPr="2AA1CA0C">
        <w:t>AE</w:t>
      </w:r>
      <w:r w:rsidR="5374E2B2" w:rsidRPr="2AA1CA0C">
        <w:t>s</w:t>
      </w:r>
      <w:r w:rsidR="00481287" w:rsidRPr="2AA1CA0C">
        <w:t>,</w:t>
      </w:r>
      <w:r w:rsidR="5374E2B2" w:rsidRPr="2AA1CA0C">
        <w:t xml:space="preserve"> </w:t>
      </w:r>
      <w:r w:rsidR="00A41F26" w:rsidRPr="2AA1CA0C">
        <w:t>in particular</w:t>
      </w:r>
      <w:r w:rsidR="0044513E" w:rsidRPr="2AA1CA0C">
        <w:t>,</w:t>
      </w:r>
      <w:r w:rsidR="00A41F26" w:rsidRPr="2AA1CA0C">
        <w:t xml:space="preserve"> may suffer from attrition bias</w:t>
      </w:r>
      <w:r w:rsidR="005321E6" w:rsidRPr="2AA1CA0C">
        <w:t>.</w:t>
      </w:r>
      <w:r w:rsidR="5672C84A" w:rsidRPr="2AA1CA0C">
        <w:t xml:space="preserve"> </w:t>
      </w:r>
      <w:r w:rsidR="00034487" w:rsidRPr="2AA1CA0C">
        <w:t xml:space="preserve">Further, the safety of </w:t>
      </w:r>
      <w:r w:rsidR="00A623D7" w:rsidRPr="2AA1CA0C">
        <w:t>pharmacological</w:t>
      </w:r>
      <w:r w:rsidR="00034487" w:rsidRPr="2AA1CA0C">
        <w:t xml:space="preserve"> interventions</w:t>
      </w:r>
      <w:r w:rsidR="007D7687" w:rsidRPr="2AA1CA0C">
        <w:t xml:space="preserve"> was not investigated as initially recommended by PASC. </w:t>
      </w:r>
      <w:r w:rsidR="0096347C" w:rsidRPr="2AA1CA0C">
        <w:t xml:space="preserve">Expert opinion </w:t>
      </w:r>
      <w:r w:rsidR="00A623D7" w:rsidRPr="2AA1CA0C">
        <w:t>cited</w:t>
      </w:r>
      <w:r w:rsidR="0096347C" w:rsidRPr="2AA1CA0C">
        <w:t xml:space="preserve"> by the ADAR stated that </w:t>
      </w:r>
      <w:r w:rsidR="003E5BF1" w:rsidRPr="2AA1CA0C">
        <w:t>pharmacotherapies may have poor side</w:t>
      </w:r>
      <w:r w:rsidR="00995194" w:rsidRPr="2AA1CA0C">
        <w:t>-</w:t>
      </w:r>
      <w:r w:rsidR="003E5BF1" w:rsidRPr="2AA1CA0C">
        <w:t>effect profiles</w:t>
      </w:r>
      <w:r w:rsidR="00C00557" w:rsidRPr="2AA1CA0C">
        <w:t>, which was not investigated within the ADAR.</w:t>
      </w:r>
      <w:r w:rsidR="001620C2" w:rsidRPr="2AA1CA0C">
        <w:t xml:space="preserve"> The applicant</w:t>
      </w:r>
      <w:r w:rsidR="00CC541A" w:rsidRPr="2AA1CA0C">
        <w:t>’</w:t>
      </w:r>
      <w:r w:rsidR="001620C2" w:rsidRPr="2AA1CA0C">
        <w:t xml:space="preserve">s claim of </w:t>
      </w:r>
      <w:r w:rsidR="003C6BEC" w:rsidRPr="2AA1CA0C">
        <w:t>non-inferior long</w:t>
      </w:r>
      <w:r w:rsidR="00CC541A" w:rsidRPr="2AA1CA0C">
        <w:t>-</w:t>
      </w:r>
      <w:r w:rsidR="003C6BEC" w:rsidRPr="2AA1CA0C">
        <w:t xml:space="preserve">term safety of ESG compared to lifestyle modifications only </w:t>
      </w:r>
      <w:r w:rsidR="00AA552D" w:rsidRPr="2AA1CA0C">
        <w:t>is not well supported</w:t>
      </w:r>
      <w:r w:rsidR="000E4DB4" w:rsidRPr="2AA1CA0C">
        <w:t>,</w:t>
      </w:r>
      <w:r w:rsidR="00AA552D" w:rsidRPr="2AA1CA0C">
        <w:t xml:space="preserve"> due to low</w:t>
      </w:r>
      <w:r w:rsidR="000918F2" w:rsidRPr="2AA1CA0C">
        <w:t>-</w:t>
      </w:r>
      <w:r w:rsidR="00AA552D" w:rsidRPr="2AA1CA0C">
        <w:t>quality evidence and the lack of randomised long</w:t>
      </w:r>
      <w:r w:rsidR="000918F2" w:rsidRPr="2AA1CA0C">
        <w:t>-</w:t>
      </w:r>
      <w:r w:rsidR="00AA552D" w:rsidRPr="2AA1CA0C">
        <w:t xml:space="preserve">term studies to investigate </w:t>
      </w:r>
      <w:r w:rsidR="00473C7A" w:rsidRPr="2AA1CA0C">
        <w:t xml:space="preserve">patient </w:t>
      </w:r>
      <w:r w:rsidR="00AA552D" w:rsidRPr="2AA1CA0C">
        <w:t>outcomes.</w:t>
      </w:r>
    </w:p>
    <w:p w14:paraId="6507258C" w14:textId="797BFBD6" w:rsidR="1EB6A33B" w:rsidRPr="00DC46A2" w:rsidRDefault="008E4DF5" w:rsidP="007D18A3">
      <w:pPr>
        <w:pStyle w:val="Heading3"/>
      </w:pPr>
      <w:r w:rsidRPr="00DC46A2">
        <w:t>PICO 2:</w:t>
      </w:r>
      <w:r w:rsidR="00207122" w:rsidRPr="00207122">
        <w:t xml:space="preserve"> </w:t>
      </w:r>
      <w:r w:rsidR="00207122">
        <w:t>ESG vs LSG</w:t>
      </w:r>
    </w:p>
    <w:p w14:paraId="23EAE747" w14:textId="53DE4016" w:rsidR="00057BF8" w:rsidRDefault="001E0ADA" w:rsidP="00591232">
      <w:pPr>
        <w:pStyle w:val="BodyText"/>
      </w:pPr>
      <w:bookmarkStart w:id="63" w:name="_Ref184208894"/>
      <w:r>
        <w:t>For PICO set 2</w:t>
      </w:r>
      <w:r w:rsidR="00F12C52">
        <w:t xml:space="preserve">, AES are </w:t>
      </w:r>
      <w:r w:rsidR="00893ECD">
        <w:t>summar</w:t>
      </w:r>
      <w:r w:rsidR="00F12C52">
        <w:t xml:space="preserve">ised </w:t>
      </w:r>
      <w:r w:rsidR="00125CCC">
        <w:t>in</w:t>
      </w:r>
      <w:r w:rsidR="00724EF5">
        <w:t xml:space="preserve"> </w:t>
      </w:r>
      <w:r w:rsidR="00CC34AB">
        <w:fldChar w:fldCharType="begin"/>
      </w:r>
      <w:r w:rsidR="00CC34AB">
        <w:instrText xml:space="preserve"> REF _Ref184211089 \h </w:instrText>
      </w:r>
      <w:r w:rsidR="00CC34AB">
        <w:fldChar w:fldCharType="separate"/>
      </w:r>
      <w:r w:rsidR="008F37D1">
        <w:t xml:space="preserve">Table </w:t>
      </w:r>
      <w:r w:rsidR="008F37D1">
        <w:rPr>
          <w:noProof/>
        </w:rPr>
        <w:t>13</w:t>
      </w:r>
      <w:r w:rsidR="00CC34AB">
        <w:fldChar w:fldCharType="end"/>
      </w:r>
      <w:r w:rsidR="00851D86">
        <w:t xml:space="preserve">, </w:t>
      </w:r>
      <w:r w:rsidR="005813A8">
        <w:fldChar w:fldCharType="begin"/>
      </w:r>
      <w:r w:rsidR="005813A8">
        <w:instrText xml:space="preserve"> REF _Ref184211112 \h </w:instrText>
      </w:r>
      <w:r w:rsidR="005813A8">
        <w:fldChar w:fldCharType="separate"/>
      </w:r>
      <w:r w:rsidR="008F37D1">
        <w:t xml:space="preserve">Table </w:t>
      </w:r>
      <w:r w:rsidR="008F37D1">
        <w:rPr>
          <w:noProof/>
        </w:rPr>
        <w:t>14</w:t>
      </w:r>
      <w:r w:rsidR="005813A8">
        <w:fldChar w:fldCharType="end"/>
      </w:r>
      <w:r w:rsidR="00851D86">
        <w:t xml:space="preserve"> and </w:t>
      </w:r>
      <w:r w:rsidR="00851D86">
        <w:fldChar w:fldCharType="begin"/>
      </w:r>
      <w:r w:rsidR="00851D86">
        <w:instrText xml:space="preserve"> REF _Ref184211115 \h </w:instrText>
      </w:r>
      <w:r w:rsidR="00851D86">
        <w:fldChar w:fldCharType="separate"/>
      </w:r>
      <w:r w:rsidR="008F37D1">
        <w:t xml:space="preserve">Table </w:t>
      </w:r>
      <w:r w:rsidR="008F37D1">
        <w:rPr>
          <w:noProof/>
        </w:rPr>
        <w:t>15</w:t>
      </w:r>
      <w:r w:rsidR="00851D86">
        <w:fldChar w:fldCharType="end"/>
      </w:r>
      <w:r w:rsidR="00724EF5">
        <w:t>.</w:t>
      </w:r>
      <w:bookmarkEnd w:id="63"/>
    </w:p>
    <w:p w14:paraId="79F4FDAE" w14:textId="5A4B12BE" w:rsidR="00591232" w:rsidRDefault="00591232" w:rsidP="00591232">
      <w:pPr>
        <w:pStyle w:val="Caption"/>
      </w:pPr>
      <w:bookmarkStart w:id="64" w:name="_Ref184211089"/>
      <w:r>
        <w:t xml:space="preserve">Table </w:t>
      </w:r>
      <w:r w:rsidR="00792E05">
        <w:fldChar w:fldCharType="begin"/>
      </w:r>
      <w:r w:rsidR="00792E05">
        <w:instrText xml:space="preserve"> SEQ Table \* ARABIC </w:instrText>
      </w:r>
      <w:r w:rsidR="00792E05">
        <w:fldChar w:fldCharType="separate"/>
      </w:r>
      <w:r w:rsidR="008F37D1">
        <w:rPr>
          <w:noProof/>
        </w:rPr>
        <w:t>13</w:t>
      </w:r>
      <w:r w:rsidR="00792E05">
        <w:rPr>
          <w:noProof/>
        </w:rPr>
        <w:fldChar w:fldCharType="end"/>
      </w:r>
      <w:bookmarkEnd w:id="64"/>
      <w:r w:rsidR="00E002F8">
        <w:t>:</w:t>
      </w:r>
      <w:r>
        <w:t xml:space="preserve"> </w:t>
      </w:r>
      <w:r w:rsidRPr="00C248DE">
        <w:t>Summary of AEs and complications reported in the postoperative period for ESG and LSG across the included studies in PICO 2</w:t>
      </w:r>
    </w:p>
    <w:tbl>
      <w:tblPr>
        <w:tblStyle w:val="HTATableshaded"/>
        <w:tblW w:w="5000" w:type="pct"/>
        <w:tblLook w:val="04A0" w:firstRow="1" w:lastRow="0" w:firstColumn="1" w:lastColumn="0" w:noHBand="0" w:noVBand="1"/>
      </w:tblPr>
      <w:tblGrid>
        <w:gridCol w:w="1697"/>
        <w:gridCol w:w="2696"/>
        <w:gridCol w:w="2692"/>
        <w:gridCol w:w="1931"/>
      </w:tblGrid>
      <w:tr w:rsidR="006B7675" w:rsidRPr="000E2721" w14:paraId="41C2BBA0" w14:textId="77777777" w:rsidTr="2AA1CA0C">
        <w:trPr>
          <w:cnfStyle w:val="100000000000" w:firstRow="1" w:lastRow="0" w:firstColumn="0" w:lastColumn="0" w:oddVBand="0" w:evenVBand="0" w:oddHBand="0" w:evenHBand="0" w:firstRowFirstColumn="0" w:firstRowLastColumn="0" w:lastRowFirstColumn="0" w:lastRowLastColumn="0"/>
        </w:trPr>
        <w:tc>
          <w:tcPr>
            <w:tcW w:w="941" w:type="pct"/>
            <w:shd w:val="clear" w:color="auto" w:fill="auto"/>
          </w:tcPr>
          <w:p w14:paraId="6A027D1B" w14:textId="77777777" w:rsidR="00DE071D" w:rsidRPr="000E2721" w:rsidRDefault="00DE071D">
            <w:pPr>
              <w:pStyle w:val="TableH28pt"/>
              <w:rPr>
                <w:rFonts w:ascii="Arial Narrow" w:eastAsia="Arial Narrow" w:hAnsi="Arial Narrow" w:cs="Arial Narrow"/>
                <w:sz w:val="20"/>
              </w:rPr>
            </w:pPr>
            <w:r w:rsidRPr="7D413406">
              <w:rPr>
                <w:rFonts w:ascii="Arial Narrow" w:eastAsia="Arial Narrow" w:hAnsi="Arial Narrow" w:cs="Arial Narrow"/>
                <w:sz w:val="20"/>
              </w:rPr>
              <w:t>Trial ID</w:t>
            </w:r>
          </w:p>
        </w:tc>
        <w:tc>
          <w:tcPr>
            <w:tcW w:w="1495" w:type="pct"/>
            <w:shd w:val="clear" w:color="auto" w:fill="auto"/>
            <w:vAlign w:val="center"/>
          </w:tcPr>
          <w:p w14:paraId="7C86571C" w14:textId="790B2784" w:rsidR="00DE071D" w:rsidRPr="000E2721" w:rsidRDefault="00DE071D" w:rsidP="00D76EFB">
            <w:pPr>
              <w:pStyle w:val="TableH28pt"/>
              <w:jc w:val="center"/>
              <w:rPr>
                <w:rFonts w:ascii="Arial Narrow" w:eastAsia="Arial Narrow" w:hAnsi="Arial Narrow" w:cs="Arial Narrow"/>
                <w:sz w:val="20"/>
                <w:vertAlign w:val="superscript"/>
              </w:rPr>
            </w:pPr>
            <w:r w:rsidRPr="7D413406">
              <w:rPr>
                <w:rFonts w:ascii="Arial Narrow" w:eastAsia="Arial Narrow" w:hAnsi="Arial Narrow" w:cs="Arial Narrow"/>
                <w:sz w:val="20"/>
              </w:rPr>
              <w:t>Rate of AEs post</w:t>
            </w:r>
            <w:r w:rsidR="191D5BCB" w:rsidRPr="7D413406">
              <w:rPr>
                <w:rFonts w:ascii="Arial Narrow" w:eastAsia="Arial Narrow" w:hAnsi="Arial Narrow" w:cs="Arial Narrow"/>
                <w:sz w:val="20"/>
              </w:rPr>
              <w:t>-</w:t>
            </w:r>
            <w:r w:rsidRPr="7D413406">
              <w:rPr>
                <w:rFonts w:ascii="Arial Narrow" w:eastAsia="Arial Narrow" w:hAnsi="Arial Narrow" w:cs="Arial Narrow"/>
                <w:sz w:val="20"/>
              </w:rPr>
              <w:t>ESG n (%)</w:t>
            </w:r>
          </w:p>
        </w:tc>
        <w:tc>
          <w:tcPr>
            <w:tcW w:w="1493" w:type="pct"/>
            <w:shd w:val="clear" w:color="auto" w:fill="auto"/>
            <w:vAlign w:val="center"/>
          </w:tcPr>
          <w:p w14:paraId="48C8D95D" w14:textId="6559FE24" w:rsidR="00DE071D" w:rsidRPr="000E2721" w:rsidRDefault="00DE071D" w:rsidP="00D76EFB">
            <w:pPr>
              <w:pStyle w:val="TableH28pt"/>
              <w:jc w:val="center"/>
              <w:rPr>
                <w:rFonts w:ascii="Arial Narrow" w:eastAsia="Arial Narrow" w:hAnsi="Arial Narrow" w:cs="Arial Narrow"/>
                <w:sz w:val="20"/>
                <w:vertAlign w:val="superscript"/>
              </w:rPr>
            </w:pPr>
            <w:r w:rsidRPr="7D413406">
              <w:rPr>
                <w:rFonts w:ascii="Arial Narrow" w:eastAsia="Arial Narrow" w:hAnsi="Arial Narrow" w:cs="Arial Narrow"/>
                <w:sz w:val="20"/>
              </w:rPr>
              <w:t>Rate of AEs post</w:t>
            </w:r>
            <w:r w:rsidR="191D5BCB" w:rsidRPr="7D413406">
              <w:rPr>
                <w:rFonts w:ascii="Arial Narrow" w:eastAsia="Arial Narrow" w:hAnsi="Arial Narrow" w:cs="Arial Narrow"/>
                <w:sz w:val="20"/>
              </w:rPr>
              <w:t>-</w:t>
            </w:r>
            <w:r w:rsidRPr="7D413406">
              <w:rPr>
                <w:rFonts w:ascii="Arial Narrow" w:eastAsia="Arial Narrow" w:hAnsi="Arial Narrow" w:cs="Arial Narrow"/>
                <w:sz w:val="20"/>
              </w:rPr>
              <w:t>LSG/SG n (%)</w:t>
            </w:r>
          </w:p>
        </w:tc>
        <w:tc>
          <w:tcPr>
            <w:tcW w:w="1072" w:type="pct"/>
            <w:shd w:val="clear" w:color="auto" w:fill="auto"/>
            <w:vAlign w:val="center"/>
          </w:tcPr>
          <w:p w14:paraId="5C4798EE" w14:textId="77777777" w:rsidR="00DE071D" w:rsidRPr="000E2721" w:rsidRDefault="00DE071D" w:rsidP="00D76EFB">
            <w:pPr>
              <w:pStyle w:val="TableH28pt"/>
              <w:jc w:val="center"/>
              <w:rPr>
                <w:rFonts w:ascii="Arial Narrow" w:eastAsia="Arial Narrow" w:hAnsi="Arial Narrow" w:cs="Arial Narrow"/>
                <w:sz w:val="20"/>
              </w:rPr>
            </w:pPr>
            <w:r w:rsidRPr="7D413406">
              <w:rPr>
                <w:rFonts w:ascii="Arial Narrow" w:eastAsia="Arial Narrow" w:hAnsi="Arial Narrow" w:cs="Arial Narrow"/>
                <w:sz w:val="20"/>
              </w:rPr>
              <w:t>OR (95% CI)</w:t>
            </w:r>
          </w:p>
        </w:tc>
      </w:tr>
      <w:tr w:rsidR="006B7675" w:rsidRPr="000E2721" w14:paraId="3EAA7A48" w14:textId="77777777" w:rsidTr="2AA1CA0C">
        <w:tc>
          <w:tcPr>
            <w:tcW w:w="941" w:type="pct"/>
          </w:tcPr>
          <w:p w14:paraId="66A4C8CE" w14:textId="77777777" w:rsidR="00DE071D" w:rsidRPr="000E2721" w:rsidRDefault="00DE071D">
            <w:pPr>
              <w:pStyle w:val="Tabletext8pt"/>
              <w:rPr>
                <w:rFonts w:ascii="Arial Narrow" w:eastAsia="Arial Narrow" w:hAnsi="Arial Narrow" w:cs="Arial Narrow"/>
                <w:b/>
                <w:sz w:val="20"/>
                <w:szCs w:val="20"/>
              </w:rPr>
            </w:pPr>
            <w:r w:rsidRPr="7D413406">
              <w:rPr>
                <w:rFonts w:ascii="Arial Narrow" w:eastAsia="Arial Narrow" w:hAnsi="Arial Narrow" w:cs="Arial Narrow"/>
                <w:sz w:val="20"/>
                <w:szCs w:val="20"/>
              </w:rPr>
              <w:t xml:space="preserve">Alqahtani 2022 </w:t>
            </w:r>
          </w:p>
        </w:tc>
        <w:tc>
          <w:tcPr>
            <w:tcW w:w="1495" w:type="pct"/>
            <w:vAlign w:val="center"/>
          </w:tcPr>
          <w:p w14:paraId="5AB88550" w14:textId="77777777" w:rsidR="00DE071D" w:rsidRPr="000E2721" w:rsidRDefault="00DE071D"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14 (0.5)</w:t>
            </w:r>
          </w:p>
        </w:tc>
        <w:tc>
          <w:tcPr>
            <w:tcW w:w="1493" w:type="pct"/>
            <w:vAlign w:val="center"/>
          </w:tcPr>
          <w:p w14:paraId="73DF3F47" w14:textId="4DABE0EF" w:rsidR="00DE071D" w:rsidRPr="000E2721" w:rsidRDefault="00DE071D" w:rsidP="00D76EFB">
            <w:pPr>
              <w:pStyle w:val="Tabletext8pt"/>
              <w:jc w:val="center"/>
              <w:rPr>
                <w:rFonts w:ascii="Arial Narrow" w:eastAsia="Arial Narrow" w:hAnsi="Arial Narrow" w:cs="Arial Narrow"/>
                <w:sz w:val="20"/>
                <w:szCs w:val="20"/>
                <w:vertAlign w:val="superscript"/>
              </w:rPr>
            </w:pPr>
            <w:r w:rsidRPr="7D413406">
              <w:rPr>
                <w:rFonts w:ascii="Arial Narrow" w:eastAsia="Arial Narrow" w:hAnsi="Arial Narrow" w:cs="Arial Narrow"/>
                <w:sz w:val="20"/>
                <w:szCs w:val="20"/>
              </w:rPr>
              <w:t>10 (0.4)</w:t>
            </w:r>
          </w:p>
        </w:tc>
        <w:tc>
          <w:tcPr>
            <w:tcW w:w="1072" w:type="pct"/>
            <w:vAlign w:val="center"/>
          </w:tcPr>
          <w:p w14:paraId="568B723D" w14:textId="77777777" w:rsidR="00DE071D" w:rsidRPr="000E2721" w:rsidRDefault="00DE071D"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1.36 (0.60, 3.06)</w:t>
            </w:r>
          </w:p>
        </w:tc>
      </w:tr>
      <w:tr w:rsidR="006B7675" w:rsidRPr="000E2721" w14:paraId="36F6022D" w14:textId="77777777" w:rsidTr="2AA1CA0C">
        <w:tc>
          <w:tcPr>
            <w:tcW w:w="941" w:type="pct"/>
          </w:tcPr>
          <w:p w14:paraId="2D21FA1E" w14:textId="77777777" w:rsidR="00DE071D" w:rsidRPr="000E2721" w:rsidRDefault="00DE071D">
            <w:pPr>
              <w:pStyle w:val="Tabletext8pt"/>
              <w:rPr>
                <w:rFonts w:ascii="Arial Narrow" w:eastAsia="Arial Narrow" w:hAnsi="Arial Narrow" w:cs="Arial Narrow"/>
                <w:b/>
                <w:sz w:val="20"/>
                <w:szCs w:val="20"/>
              </w:rPr>
            </w:pPr>
            <w:r w:rsidRPr="7D413406">
              <w:rPr>
                <w:rFonts w:ascii="Arial Narrow" w:eastAsia="Arial Narrow" w:hAnsi="Arial Narrow" w:cs="Arial Narrow"/>
                <w:sz w:val="20"/>
                <w:szCs w:val="20"/>
              </w:rPr>
              <w:t>Carr 2022</w:t>
            </w:r>
          </w:p>
        </w:tc>
        <w:tc>
          <w:tcPr>
            <w:tcW w:w="1495" w:type="pct"/>
            <w:vAlign w:val="center"/>
          </w:tcPr>
          <w:p w14:paraId="0B852233" w14:textId="77777777" w:rsidR="00DE071D" w:rsidRPr="000E2721" w:rsidRDefault="00DE071D"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0</w:t>
            </w:r>
          </w:p>
        </w:tc>
        <w:tc>
          <w:tcPr>
            <w:tcW w:w="1493" w:type="pct"/>
            <w:vAlign w:val="center"/>
          </w:tcPr>
          <w:p w14:paraId="0D7DB514" w14:textId="77777777" w:rsidR="00DE071D" w:rsidRPr="000E2721" w:rsidRDefault="00DE071D"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1 (2.2)</w:t>
            </w:r>
          </w:p>
        </w:tc>
        <w:tc>
          <w:tcPr>
            <w:tcW w:w="1072" w:type="pct"/>
            <w:vAlign w:val="center"/>
          </w:tcPr>
          <w:p w14:paraId="2A987CBC" w14:textId="77777777" w:rsidR="00DE071D" w:rsidRPr="000E2721" w:rsidRDefault="00DE071D"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0.90 (0.03, 23.19)</w:t>
            </w:r>
          </w:p>
        </w:tc>
      </w:tr>
      <w:tr w:rsidR="006B7675" w:rsidRPr="000E2721" w14:paraId="6E30C87C" w14:textId="77777777" w:rsidTr="2AA1CA0C">
        <w:tc>
          <w:tcPr>
            <w:tcW w:w="941" w:type="pct"/>
          </w:tcPr>
          <w:p w14:paraId="16BE55F0" w14:textId="77777777" w:rsidR="00DE071D" w:rsidRPr="000E2721" w:rsidRDefault="00DE071D">
            <w:pPr>
              <w:pStyle w:val="Tabletext8pt"/>
              <w:rPr>
                <w:rFonts w:ascii="Arial Narrow" w:eastAsia="Arial Narrow" w:hAnsi="Arial Narrow" w:cs="Arial Narrow"/>
                <w:b/>
                <w:sz w:val="20"/>
                <w:szCs w:val="20"/>
                <w:vertAlign w:val="superscript"/>
              </w:rPr>
            </w:pPr>
            <w:r w:rsidRPr="7D413406">
              <w:rPr>
                <w:rFonts w:ascii="Arial Narrow" w:eastAsia="Arial Narrow" w:hAnsi="Arial Narrow" w:cs="Arial Narrow"/>
                <w:sz w:val="20"/>
                <w:szCs w:val="20"/>
              </w:rPr>
              <w:t xml:space="preserve">Fayad 2019 </w:t>
            </w:r>
          </w:p>
        </w:tc>
        <w:tc>
          <w:tcPr>
            <w:tcW w:w="1495" w:type="pct"/>
            <w:vAlign w:val="center"/>
          </w:tcPr>
          <w:p w14:paraId="1EF386A5" w14:textId="77777777" w:rsidR="00DE071D" w:rsidRPr="000E2721" w:rsidRDefault="00DE071D"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3 (5.2)</w:t>
            </w:r>
          </w:p>
        </w:tc>
        <w:tc>
          <w:tcPr>
            <w:tcW w:w="1493" w:type="pct"/>
            <w:vAlign w:val="center"/>
          </w:tcPr>
          <w:p w14:paraId="7F813317" w14:textId="77777777" w:rsidR="00DE071D" w:rsidRPr="000E2721" w:rsidRDefault="00DE071D"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14 (16.9)</w:t>
            </w:r>
          </w:p>
        </w:tc>
        <w:tc>
          <w:tcPr>
            <w:tcW w:w="1072" w:type="pct"/>
            <w:vAlign w:val="center"/>
          </w:tcPr>
          <w:p w14:paraId="1A9200AE" w14:textId="77777777" w:rsidR="00DE071D" w:rsidRPr="000E2721" w:rsidRDefault="00DE071D"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0.29 (0.08, 1.06)</w:t>
            </w:r>
          </w:p>
        </w:tc>
      </w:tr>
      <w:tr w:rsidR="006B7675" w:rsidRPr="000E2721" w14:paraId="3E3C0C1A" w14:textId="77777777" w:rsidTr="2AA1CA0C">
        <w:tc>
          <w:tcPr>
            <w:tcW w:w="941" w:type="pct"/>
          </w:tcPr>
          <w:p w14:paraId="60881C81" w14:textId="77777777" w:rsidR="00DE071D" w:rsidRPr="000E2721" w:rsidRDefault="00DE071D">
            <w:pPr>
              <w:pStyle w:val="Tabletext8pt"/>
              <w:rPr>
                <w:rFonts w:ascii="Arial Narrow" w:eastAsia="Arial Narrow" w:hAnsi="Arial Narrow" w:cs="Arial Narrow"/>
                <w:sz w:val="20"/>
                <w:szCs w:val="20"/>
                <w:vertAlign w:val="superscript"/>
              </w:rPr>
            </w:pPr>
            <w:r w:rsidRPr="7D413406">
              <w:rPr>
                <w:rFonts w:ascii="Arial Narrow" w:eastAsia="Arial Narrow" w:hAnsi="Arial Narrow" w:cs="Arial Narrow"/>
                <w:sz w:val="20"/>
                <w:szCs w:val="20"/>
              </w:rPr>
              <w:t xml:space="preserve">Fiorillo 2020 </w:t>
            </w:r>
            <w:r w:rsidRPr="7D413406">
              <w:rPr>
                <w:rFonts w:ascii="Arial Narrow" w:eastAsia="Arial Narrow" w:hAnsi="Arial Narrow" w:cs="Arial Narrow"/>
                <w:sz w:val="20"/>
                <w:szCs w:val="20"/>
                <w:vertAlign w:val="superscript"/>
              </w:rPr>
              <w:t>a</w:t>
            </w:r>
          </w:p>
        </w:tc>
        <w:tc>
          <w:tcPr>
            <w:tcW w:w="1495" w:type="pct"/>
            <w:vAlign w:val="center"/>
          </w:tcPr>
          <w:p w14:paraId="60BA6A96" w14:textId="77777777" w:rsidR="00DE071D" w:rsidRPr="000E2721" w:rsidRDefault="00DE071D"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0</w:t>
            </w:r>
          </w:p>
        </w:tc>
        <w:tc>
          <w:tcPr>
            <w:tcW w:w="1493" w:type="pct"/>
            <w:vAlign w:val="center"/>
          </w:tcPr>
          <w:p w14:paraId="6A97E1A5" w14:textId="55E1130E" w:rsidR="00DE071D" w:rsidRPr="000E2721" w:rsidRDefault="00DE071D"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2 (8.7)</w:t>
            </w:r>
          </w:p>
        </w:tc>
        <w:tc>
          <w:tcPr>
            <w:tcW w:w="1072" w:type="pct"/>
            <w:vAlign w:val="center"/>
          </w:tcPr>
          <w:p w14:paraId="5FB85905" w14:textId="77777777" w:rsidR="00DE071D" w:rsidRPr="000E2721" w:rsidRDefault="00DE071D"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0.18 (0.01, 4.03)</w:t>
            </w:r>
          </w:p>
        </w:tc>
      </w:tr>
      <w:tr w:rsidR="006B7675" w:rsidRPr="000E2721" w14:paraId="0147FCC5" w14:textId="77777777" w:rsidTr="2AA1CA0C">
        <w:tc>
          <w:tcPr>
            <w:tcW w:w="941" w:type="pct"/>
          </w:tcPr>
          <w:p w14:paraId="20A921E1" w14:textId="77777777" w:rsidR="00DE071D" w:rsidRPr="000E2721" w:rsidRDefault="00DE071D">
            <w:pPr>
              <w:pStyle w:val="Tabletext8pt"/>
              <w:rPr>
                <w:rFonts w:ascii="Arial Narrow" w:eastAsia="Arial Narrow" w:hAnsi="Arial Narrow" w:cs="Arial Narrow"/>
                <w:b/>
                <w:sz w:val="20"/>
                <w:szCs w:val="20"/>
              </w:rPr>
            </w:pPr>
            <w:r w:rsidRPr="7D413406">
              <w:rPr>
                <w:rFonts w:ascii="Arial Narrow" w:eastAsia="Arial Narrow" w:hAnsi="Arial Narrow" w:cs="Arial Narrow"/>
                <w:sz w:val="20"/>
                <w:szCs w:val="20"/>
              </w:rPr>
              <w:t>Lopez-Nava 2020</w:t>
            </w:r>
          </w:p>
        </w:tc>
        <w:tc>
          <w:tcPr>
            <w:tcW w:w="1495" w:type="pct"/>
            <w:vAlign w:val="center"/>
          </w:tcPr>
          <w:p w14:paraId="138585D0" w14:textId="77777777" w:rsidR="00DE071D" w:rsidRPr="000E2721" w:rsidRDefault="00DE071D"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0</w:t>
            </w:r>
          </w:p>
        </w:tc>
        <w:tc>
          <w:tcPr>
            <w:tcW w:w="1493" w:type="pct"/>
            <w:vAlign w:val="center"/>
          </w:tcPr>
          <w:p w14:paraId="046B4493" w14:textId="77777777" w:rsidR="00DE071D" w:rsidRPr="000E2721" w:rsidRDefault="00DE071D"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0</w:t>
            </w:r>
          </w:p>
        </w:tc>
        <w:tc>
          <w:tcPr>
            <w:tcW w:w="1072" w:type="pct"/>
            <w:vAlign w:val="center"/>
          </w:tcPr>
          <w:p w14:paraId="22325DDF" w14:textId="76333C07" w:rsidR="00DE071D" w:rsidRPr="000E2721" w:rsidRDefault="00DE071D"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Not estimable</w:t>
            </w:r>
          </w:p>
        </w:tc>
      </w:tr>
      <w:tr w:rsidR="006B7675" w:rsidRPr="000E2721" w14:paraId="286A926E" w14:textId="77777777" w:rsidTr="2AA1CA0C">
        <w:tc>
          <w:tcPr>
            <w:tcW w:w="941" w:type="pct"/>
          </w:tcPr>
          <w:p w14:paraId="41B8D35B" w14:textId="77777777" w:rsidR="00DE071D" w:rsidRPr="000E2721" w:rsidRDefault="00DE071D">
            <w:pPr>
              <w:pStyle w:val="Tabletext8pt"/>
              <w:rPr>
                <w:rFonts w:ascii="Arial Narrow" w:eastAsia="Arial Narrow" w:hAnsi="Arial Narrow" w:cs="Arial Narrow"/>
                <w:b/>
                <w:sz w:val="20"/>
                <w:szCs w:val="20"/>
              </w:rPr>
            </w:pPr>
            <w:r w:rsidRPr="7D413406">
              <w:rPr>
                <w:rFonts w:ascii="Arial Narrow" w:eastAsia="Arial Narrow" w:hAnsi="Arial Narrow" w:cs="Arial Narrow"/>
                <w:sz w:val="20"/>
                <w:szCs w:val="20"/>
              </w:rPr>
              <w:t>Lopez-Nava 2021</w:t>
            </w:r>
          </w:p>
        </w:tc>
        <w:tc>
          <w:tcPr>
            <w:tcW w:w="1495" w:type="pct"/>
            <w:vAlign w:val="center"/>
          </w:tcPr>
          <w:p w14:paraId="6A910FF7" w14:textId="77777777" w:rsidR="00DE071D" w:rsidRPr="000E2721" w:rsidRDefault="00DE071D"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1 (0.5)</w:t>
            </w:r>
          </w:p>
        </w:tc>
        <w:tc>
          <w:tcPr>
            <w:tcW w:w="1493" w:type="pct"/>
            <w:vAlign w:val="center"/>
          </w:tcPr>
          <w:p w14:paraId="5A1E6E17" w14:textId="77777777" w:rsidR="00DE071D" w:rsidRPr="000E2721" w:rsidRDefault="00DE071D" w:rsidP="00D76EFB">
            <w:pPr>
              <w:pStyle w:val="Tabletext8pt"/>
              <w:jc w:val="center"/>
              <w:rPr>
                <w:rFonts w:ascii="Arial Narrow" w:eastAsia="Arial Narrow" w:hAnsi="Arial Narrow" w:cs="Arial Narrow"/>
                <w:sz w:val="20"/>
                <w:szCs w:val="20"/>
                <w:vertAlign w:val="superscript"/>
              </w:rPr>
            </w:pPr>
            <w:r w:rsidRPr="7D413406">
              <w:rPr>
                <w:rFonts w:ascii="Arial Narrow" w:eastAsia="Arial Narrow" w:hAnsi="Arial Narrow" w:cs="Arial Narrow"/>
                <w:sz w:val="20"/>
                <w:szCs w:val="20"/>
              </w:rPr>
              <w:t>3 (4.9)</w:t>
            </w:r>
          </w:p>
        </w:tc>
        <w:tc>
          <w:tcPr>
            <w:tcW w:w="1072" w:type="pct"/>
            <w:vAlign w:val="center"/>
          </w:tcPr>
          <w:p w14:paraId="5C724FC1" w14:textId="77777777" w:rsidR="00DE071D" w:rsidRPr="000E2721" w:rsidRDefault="00DE071D"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0.10 (0.01, 0.96)</w:t>
            </w:r>
          </w:p>
        </w:tc>
      </w:tr>
      <w:tr w:rsidR="006B7675" w:rsidRPr="000E2721" w14:paraId="4A69FB16" w14:textId="77777777" w:rsidTr="2AA1CA0C">
        <w:tc>
          <w:tcPr>
            <w:tcW w:w="941" w:type="pct"/>
          </w:tcPr>
          <w:p w14:paraId="1B804E58" w14:textId="77777777" w:rsidR="00DE071D" w:rsidRPr="000E2721" w:rsidRDefault="00DE071D">
            <w:pPr>
              <w:pStyle w:val="Tabletext8pt"/>
              <w:rPr>
                <w:rFonts w:ascii="Arial Narrow" w:eastAsia="Arial Narrow" w:hAnsi="Arial Narrow" w:cs="Arial Narrow"/>
                <w:b/>
                <w:sz w:val="20"/>
                <w:szCs w:val="20"/>
              </w:rPr>
            </w:pPr>
            <w:r w:rsidRPr="7D413406">
              <w:rPr>
                <w:rFonts w:ascii="Arial Narrow" w:eastAsia="Arial Narrow" w:hAnsi="Arial Narrow" w:cs="Arial Narrow"/>
                <w:sz w:val="20"/>
                <w:szCs w:val="20"/>
              </w:rPr>
              <w:t>Novikov 2018</w:t>
            </w:r>
          </w:p>
        </w:tc>
        <w:tc>
          <w:tcPr>
            <w:tcW w:w="1495" w:type="pct"/>
            <w:vAlign w:val="center"/>
          </w:tcPr>
          <w:p w14:paraId="244A4B48" w14:textId="77777777" w:rsidR="00DE071D" w:rsidRPr="000E2721" w:rsidRDefault="00DE071D"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2 (2.2)</w:t>
            </w:r>
          </w:p>
        </w:tc>
        <w:tc>
          <w:tcPr>
            <w:tcW w:w="1493" w:type="pct"/>
            <w:vAlign w:val="center"/>
          </w:tcPr>
          <w:p w14:paraId="5136BD4E" w14:textId="77777777" w:rsidR="00DE071D" w:rsidRPr="000E2721" w:rsidRDefault="00DE071D"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11 (9.2)</w:t>
            </w:r>
          </w:p>
        </w:tc>
        <w:tc>
          <w:tcPr>
            <w:tcW w:w="1072" w:type="pct"/>
            <w:vAlign w:val="center"/>
          </w:tcPr>
          <w:p w14:paraId="3C09435C" w14:textId="77777777" w:rsidR="00DE071D" w:rsidRPr="000E2721" w:rsidRDefault="00DE071D"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0.22 (0.05, 1.03)</w:t>
            </w:r>
          </w:p>
        </w:tc>
      </w:tr>
      <w:tr w:rsidR="006B7675" w:rsidRPr="000E2721" w14:paraId="4E30B901" w14:textId="77777777" w:rsidTr="2AA1CA0C">
        <w:tc>
          <w:tcPr>
            <w:tcW w:w="941" w:type="pct"/>
          </w:tcPr>
          <w:p w14:paraId="5ED24C96" w14:textId="501DD230" w:rsidR="00DE071D" w:rsidRPr="000E2721" w:rsidRDefault="00DE071D" w:rsidP="2AA1CA0C">
            <w:pPr>
              <w:pStyle w:val="Tabletext8pt"/>
              <w:rPr>
                <w:rFonts w:ascii="Arial Narrow" w:eastAsia="Arial Narrow" w:hAnsi="Arial Narrow" w:cs="Arial Narrow"/>
                <w:sz w:val="20"/>
                <w:szCs w:val="20"/>
              </w:rPr>
            </w:pPr>
            <w:r w:rsidRPr="2AA1CA0C">
              <w:rPr>
                <w:rFonts w:ascii="Arial Narrow" w:eastAsia="Arial Narrow" w:hAnsi="Arial Narrow" w:cs="Arial Narrow"/>
                <w:sz w:val="20"/>
                <w:szCs w:val="20"/>
              </w:rPr>
              <w:t>Gudur 2023</w:t>
            </w:r>
          </w:p>
        </w:tc>
        <w:tc>
          <w:tcPr>
            <w:tcW w:w="1495" w:type="pct"/>
            <w:vAlign w:val="center"/>
          </w:tcPr>
          <w:p w14:paraId="44D10F47" w14:textId="77777777" w:rsidR="00DE071D" w:rsidRPr="000E2721" w:rsidRDefault="00DE071D"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86 (1.4)</w:t>
            </w:r>
          </w:p>
        </w:tc>
        <w:tc>
          <w:tcPr>
            <w:tcW w:w="1493" w:type="pct"/>
            <w:vAlign w:val="center"/>
          </w:tcPr>
          <w:p w14:paraId="2343E924" w14:textId="77777777" w:rsidR="00DE071D" w:rsidRPr="000E2721" w:rsidRDefault="00DE071D"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340 (1.1)</w:t>
            </w:r>
          </w:p>
        </w:tc>
        <w:tc>
          <w:tcPr>
            <w:tcW w:w="1072" w:type="pct"/>
            <w:vAlign w:val="center"/>
          </w:tcPr>
          <w:p w14:paraId="7F53D574" w14:textId="77777777" w:rsidR="00DE071D" w:rsidRPr="000E2721" w:rsidRDefault="00DE071D"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1.27 (1.00, 1.61)</w:t>
            </w:r>
          </w:p>
        </w:tc>
      </w:tr>
      <w:tr w:rsidR="006B7675" w:rsidRPr="000E2721" w14:paraId="2D4633C1" w14:textId="77777777" w:rsidTr="2AA1CA0C">
        <w:tc>
          <w:tcPr>
            <w:tcW w:w="941" w:type="pct"/>
          </w:tcPr>
          <w:p w14:paraId="3E362A90" w14:textId="6C3E9D57" w:rsidR="00DE071D" w:rsidRPr="000E2721" w:rsidRDefault="00DE071D" w:rsidP="2AA1CA0C">
            <w:pPr>
              <w:pStyle w:val="Tabletext8pt"/>
              <w:rPr>
                <w:rFonts w:ascii="Arial Narrow" w:eastAsia="Arial Narrow" w:hAnsi="Arial Narrow" w:cs="Arial Narrow"/>
                <w:sz w:val="20"/>
                <w:szCs w:val="20"/>
              </w:rPr>
            </w:pPr>
            <w:r w:rsidRPr="2AA1CA0C">
              <w:rPr>
                <w:rFonts w:ascii="Arial Narrow" w:eastAsia="Arial Narrow" w:hAnsi="Arial Narrow" w:cs="Arial Narrow"/>
                <w:sz w:val="20"/>
                <w:szCs w:val="20"/>
              </w:rPr>
              <w:t>Gudur 2024</w:t>
            </w:r>
          </w:p>
        </w:tc>
        <w:tc>
          <w:tcPr>
            <w:tcW w:w="1495" w:type="pct"/>
            <w:vAlign w:val="center"/>
          </w:tcPr>
          <w:p w14:paraId="3F0BAFED" w14:textId="77777777" w:rsidR="00DE071D" w:rsidRPr="000E2721" w:rsidRDefault="00DE071D"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15 (1.8)</w:t>
            </w:r>
          </w:p>
        </w:tc>
        <w:tc>
          <w:tcPr>
            <w:tcW w:w="1493" w:type="pct"/>
            <w:vAlign w:val="center"/>
          </w:tcPr>
          <w:p w14:paraId="3E68FA3A" w14:textId="77777777" w:rsidR="00DE071D" w:rsidRPr="000E2721" w:rsidRDefault="00DE071D"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2356 (1.6)</w:t>
            </w:r>
          </w:p>
        </w:tc>
        <w:tc>
          <w:tcPr>
            <w:tcW w:w="1072" w:type="pct"/>
            <w:vAlign w:val="center"/>
          </w:tcPr>
          <w:p w14:paraId="5C5468D2" w14:textId="77777777" w:rsidR="00DE071D" w:rsidRPr="000E2721" w:rsidRDefault="00DE071D"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1.18 (0.71, 1.98)</w:t>
            </w:r>
          </w:p>
        </w:tc>
      </w:tr>
      <w:tr w:rsidR="006B7675" w:rsidRPr="000E2721" w14:paraId="0CC42D9A" w14:textId="77777777" w:rsidTr="2AA1CA0C">
        <w:tc>
          <w:tcPr>
            <w:tcW w:w="941" w:type="pct"/>
          </w:tcPr>
          <w:p w14:paraId="793C496D" w14:textId="77777777" w:rsidR="00DE071D" w:rsidRPr="000E2721" w:rsidRDefault="00DE071D">
            <w:pPr>
              <w:pStyle w:val="Tabletext8pt"/>
              <w:rPr>
                <w:rFonts w:ascii="Arial Narrow" w:eastAsia="Arial Narrow" w:hAnsi="Arial Narrow" w:cs="Arial Narrow"/>
                <w:sz w:val="20"/>
                <w:szCs w:val="20"/>
              </w:rPr>
            </w:pPr>
            <w:r w:rsidRPr="7D413406">
              <w:rPr>
                <w:rFonts w:ascii="Arial Narrow" w:eastAsia="Arial Narrow" w:hAnsi="Arial Narrow" w:cs="Arial Narrow"/>
                <w:sz w:val="20"/>
                <w:szCs w:val="20"/>
              </w:rPr>
              <w:t xml:space="preserve">Total </w:t>
            </w:r>
          </w:p>
        </w:tc>
        <w:tc>
          <w:tcPr>
            <w:tcW w:w="1495" w:type="pct"/>
            <w:vAlign w:val="center"/>
          </w:tcPr>
          <w:p w14:paraId="18D9E465" w14:textId="77777777" w:rsidR="00DE071D" w:rsidRPr="000E2721" w:rsidRDefault="00DE071D"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w:t>
            </w:r>
          </w:p>
        </w:tc>
        <w:tc>
          <w:tcPr>
            <w:tcW w:w="1493" w:type="pct"/>
            <w:vAlign w:val="center"/>
          </w:tcPr>
          <w:p w14:paraId="7A1BABAA" w14:textId="77777777" w:rsidR="00DE071D" w:rsidRPr="000E2721" w:rsidRDefault="00DE071D"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w:t>
            </w:r>
          </w:p>
        </w:tc>
        <w:tc>
          <w:tcPr>
            <w:tcW w:w="1072" w:type="pct"/>
            <w:vAlign w:val="center"/>
          </w:tcPr>
          <w:p w14:paraId="129582B6" w14:textId="77777777" w:rsidR="00DE071D" w:rsidRPr="000E2721" w:rsidRDefault="00DE071D"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0.80 (0.48, 1.32)</w:t>
            </w:r>
          </w:p>
        </w:tc>
      </w:tr>
    </w:tbl>
    <w:p w14:paraId="365F2FF7" w14:textId="5D64C006" w:rsidR="00DE071D" w:rsidRPr="00127DF4" w:rsidRDefault="00DE071D" w:rsidP="00ED651B">
      <w:pPr>
        <w:pStyle w:val="TableFigureFooter"/>
      </w:pPr>
      <w:r w:rsidRPr="00D76EFB">
        <w:t>Abbreviations:</w:t>
      </w:r>
      <w:r w:rsidRPr="7D1DE0D9">
        <w:t xml:space="preserve"> </w:t>
      </w:r>
      <w:r w:rsidR="00E728B9" w:rsidRPr="00D76EFB">
        <w:t>AE</w:t>
      </w:r>
      <w:r w:rsidR="00E728B9">
        <w:t xml:space="preserve">: adverse event; </w:t>
      </w:r>
      <w:r w:rsidRPr="00D76EFB">
        <w:t>CI</w:t>
      </w:r>
      <w:r w:rsidRPr="7D1DE0D9">
        <w:t xml:space="preserve">: confidence interval; </w:t>
      </w:r>
      <w:r w:rsidRPr="00D76EFB">
        <w:t>ESG</w:t>
      </w:r>
      <w:r w:rsidRPr="7D1DE0D9">
        <w:t xml:space="preserve">: endoscopic sleeve gastroplasty; </w:t>
      </w:r>
      <w:r w:rsidRPr="00D76EFB">
        <w:t>LSG</w:t>
      </w:r>
      <w:r w:rsidRPr="7D1DE0D9">
        <w:t xml:space="preserve">: laparoscopic sleeve gastrectomy; </w:t>
      </w:r>
      <w:r w:rsidRPr="00D76EFB">
        <w:t>n</w:t>
      </w:r>
      <w:r w:rsidRPr="7D1DE0D9">
        <w:t xml:space="preserve">: number of patients; </w:t>
      </w:r>
      <w:r w:rsidRPr="00D76EFB">
        <w:t>OR</w:t>
      </w:r>
      <w:r w:rsidRPr="7D1DE0D9">
        <w:t>: odds ratio</w:t>
      </w:r>
    </w:p>
    <w:p w14:paraId="1CDF2326" w14:textId="7711F5AA" w:rsidR="00A30133" w:rsidRDefault="00670F3A" w:rsidP="00ED651B">
      <w:pPr>
        <w:pStyle w:val="TableFigureFooter"/>
      </w:pPr>
      <w:r w:rsidRPr="00D76EFB">
        <w:t xml:space="preserve">Notes: </w:t>
      </w:r>
      <w:r w:rsidR="00DE071D" w:rsidRPr="00D76EFB">
        <w:rPr>
          <w:vertAlign w:val="superscript"/>
        </w:rPr>
        <w:t>a</w:t>
      </w:r>
      <w:r w:rsidR="00DE071D" w:rsidRPr="10964B80">
        <w:rPr>
          <w:vertAlign w:val="superscript"/>
        </w:rPr>
        <w:t xml:space="preserve"> </w:t>
      </w:r>
      <w:r w:rsidR="00DE071D" w:rsidRPr="0D77DCC5">
        <w:t>Severity of AEs not specified</w:t>
      </w:r>
      <w:r w:rsidR="003007EB" w:rsidRPr="0D77DCC5">
        <w:t>;</w:t>
      </w:r>
      <w:r w:rsidR="00DE071D" w:rsidRPr="0D77DCC5">
        <w:t xml:space="preserve"> assume </w:t>
      </w:r>
      <w:r w:rsidR="003007EB" w:rsidRPr="0D77DCC5">
        <w:t xml:space="preserve">reported </w:t>
      </w:r>
      <w:r w:rsidR="00DE071D" w:rsidRPr="0D77DCC5">
        <w:t>AEs were severe only</w:t>
      </w:r>
      <w:r w:rsidR="1D1F6C85" w:rsidRPr="0D77DCC5">
        <w:t xml:space="preserve"> </w:t>
      </w:r>
    </w:p>
    <w:p w14:paraId="09D79AF2" w14:textId="1CED3992" w:rsidR="00A30133" w:rsidRDefault="1D1F6C85" w:rsidP="00ED651B">
      <w:pPr>
        <w:pStyle w:val="TableFigureFooter"/>
      </w:pPr>
      <w:r w:rsidRPr="3F9AD25B">
        <w:t xml:space="preserve">Source: </w:t>
      </w:r>
      <w:r w:rsidR="76051D74" w:rsidRPr="31F003CF">
        <w:t>Table 229 pg. 12</w:t>
      </w:r>
      <w:r w:rsidR="001D18BE">
        <w:t>4</w:t>
      </w:r>
      <w:r w:rsidR="76051D74" w:rsidRPr="31F003CF">
        <w:t xml:space="preserve"> from ADAR</w:t>
      </w:r>
      <w:r w:rsidR="56FD89E6" w:rsidRPr="31F003CF">
        <w:t xml:space="preserve">  </w:t>
      </w:r>
    </w:p>
    <w:p w14:paraId="2A4D9CC5" w14:textId="76E5B4E8" w:rsidR="00591232" w:rsidRDefault="00591232" w:rsidP="00591232">
      <w:pPr>
        <w:pStyle w:val="Caption"/>
      </w:pPr>
      <w:bookmarkStart w:id="65" w:name="_Ref184211112"/>
      <w:r>
        <w:t xml:space="preserve">Table </w:t>
      </w:r>
      <w:r w:rsidR="00707F6D">
        <w:fldChar w:fldCharType="begin"/>
      </w:r>
      <w:r w:rsidR="00707F6D">
        <w:instrText xml:space="preserve"> SEQ Table \* ARABIC </w:instrText>
      </w:r>
      <w:r w:rsidR="00707F6D">
        <w:fldChar w:fldCharType="separate"/>
      </w:r>
      <w:r w:rsidR="008F37D1">
        <w:rPr>
          <w:noProof/>
        </w:rPr>
        <w:t>14</w:t>
      </w:r>
      <w:r w:rsidR="00707F6D">
        <w:rPr>
          <w:noProof/>
        </w:rPr>
        <w:fldChar w:fldCharType="end"/>
      </w:r>
      <w:bookmarkEnd w:id="65"/>
      <w:r w:rsidR="00E002F8">
        <w:t>:</w:t>
      </w:r>
      <w:r>
        <w:t xml:space="preserve"> </w:t>
      </w:r>
      <w:r w:rsidRPr="00A76FF1">
        <w:t>New-onset GORD in ESG and LSG groups</w:t>
      </w:r>
    </w:p>
    <w:tbl>
      <w:tblPr>
        <w:tblStyle w:val="TableGrid"/>
        <w:tblW w:w="8926" w:type="dxa"/>
        <w:tblLook w:val="04A0" w:firstRow="1" w:lastRow="0" w:firstColumn="1" w:lastColumn="0" w:noHBand="0" w:noVBand="1"/>
      </w:tblPr>
      <w:tblGrid>
        <w:gridCol w:w="1555"/>
        <w:gridCol w:w="1417"/>
        <w:gridCol w:w="1276"/>
        <w:gridCol w:w="1276"/>
        <w:gridCol w:w="1417"/>
        <w:gridCol w:w="1985"/>
      </w:tblGrid>
      <w:tr w:rsidR="00386F52" w14:paraId="145A294B" w14:textId="2083FC9D" w:rsidTr="00D76EFB">
        <w:tc>
          <w:tcPr>
            <w:tcW w:w="1555" w:type="dxa"/>
            <w:shd w:val="clear" w:color="auto" w:fill="FFFFFF" w:themeFill="background1"/>
            <w:vAlign w:val="center"/>
          </w:tcPr>
          <w:p w14:paraId="5937F35B" w14:textId="48EDC176" w:rsidR="00386F52" w:rsidRPr="0013365E" w:rsidRDefault="00B102A0" w:rsidP="00B8716C">
            <w:pPr>
              <w:pStyle w:val="TableH28pt"/>
              <w:rPr>
                <w:rFonts w:ascii="Arial Narrow" w:eastAsia="Arial Narrow" w:hAnsi="Arial Narrow" w:cs="Arial Narrow"/>
                <w:sz w:val="20"/>
              </w:rPr>
            </w:pPr>
            <w:r w:rsidRPr="7D413406">
              <w:rPr>
                <w:rFonts w:ascii="Arial Narrow" w:eastAsia="Arial Narrow" w:hAnsi="Arial Narrow" w:cs="Arial Narrow"/>
                <w:sz w:val="20"/>
                <w:lang w:eastAsia="en-AU"/>
              </w:rPr>
              <w:t>Study</w:t>
            </w:r>
          </w:p>
        </w:tc>
        <w:tc>
          <w:tcPr>
            <w:tcW w:w="1417" w:type="dxa"/>
            <w:shd w:val="clear" w:color="auto" w:fill="FFFFFF" w:themeFill="background1"/>
            <w:vAlign w:val="center"/>
          </w:tcPr>
          <w:p w14:paraId="5064AD7B" w14:textId="6A551A47" w:rsidR="00577817" w:rsidRPr="0013365E" w:rsidRDefault="00577817" w:rsidP="00D76EFB">
            <w:pPr>
              <w:pStyle w:val="TableH28pt"/>
              <w:jc w:val="center"/>
              <w:rPr>
                <w:rFonts w:ascii="Arial Narrow" w:eastAsia="Arial Narrow" w:hAnsi="Arial Narrow" w:cs="Arial Narrow"/>
                <w:color w:val="000000" w:themeColor="text1"/>
                <w:sz w:val="20"/>
              </w:rPr>
            </w:pPr>
            <w:r w:rsidRPr="7D413406">
              <w:rPr>
                <w:rFonts w:ascii="Arial Narrow" w:eastAsia="Arial Narrow" w:hAnsi="Arial Narrow" w:cs="Arial Narrow"/>
                <w:sz w:val="20"/>
                <w:lang w:eastAsia="en-AU"/>
              </w:rPr>
              <w:t>ESG Events</w:t>
            </w:r>
          </w:p>
        </w:tc>
        <w:tc>
          <w:tcPr>
            <w:tcW w:w="1276" w:type="dxa"/>
            <w:shd w:val="clear" w:color="auto" w:fill="FFFFFF" w:themeFill="background1"/>
            <w:vAlign w:val="center"/>
          </w:tcPr>
          <w:p w14:paraId="527FC612" w14:textId="6CACFF10" w:rsidR="00386F52" w:rsidRPr="0013365E" w:rsidRDefault="00577817" w:rsidP="00D76EFB">
            <w:pPr>
              <w:pStyle w:val="TableH28pt"/>
              <w:jc w:val="center"/>
              <w:rPr>
                <w:rFonts w:ascii="Arial Narrow" w:eastAsia="Arial Narrow" w:hAnsi="Arial Narrow" w:cs="Arial Narrow"/>
                <w:sz w:val="20"/>
              </w:rPr>
            </w:pPr>
            <w:r w:rsidRPr="7D413406">
              <w:rPr>
                <w:rFonts w:ascii="Arial Narrow" w:eastAsia="Arial Narrow" w:hAnsi="Arial Narrow" w:cs="Arial Narrow"/>
                <w:sz w:val="20"/>
                <w:lang w:eastAsia="en-AU"/>
              </w:rPr>
              <w:t>ESG Total</w:t>
            </w:r>
          </w:p>
        </w:tc>
        <w:tc>
          <w:tcPr>
            <w:tcW w:w="1276" w:type="dxa"/>
            <w:shd w:val="clear" w:color="auto" w:fill="FFFFFF" w:themeFill="background1"/>
            <w:vAlign w:val="center"/>
          </w:tcPr>
          <w:p w14:paraId="0ADE7C7B" w14:textId="22856C69" w:rsidR="00386F52" w:rsidRPr="0013365E" w:rsidRDefault="00577817" w:rsidP="00D76EFB">
            <w:pPr>
              <w:pStyle w:val="TableH28pt"/>
              <w:jc w:val="center"/>
              <w:rPr>
                <w:rFonts w:ascii="Arial Narrow" w:eastAsia="Arial Narrow" w:hAnsi="Arial Narrow" w:cs="Arial Narrow"/>
                <w:sz w:val="20"/>
              </w:rPr>
            </w:pPr>
            <w:r w:rsidRPr="7D413406">
              <w:rPr>
                <w:rFonts w:ascii="Arial Narrow" w:eastAsia="Arial Narrow" w:hAnsi="Arial Narrow" w:cs="Arial Narrow"/>
                <w:sz w:val="20"/>
                <w:lang w:eastAsia="en-AU"/>
              </w:rPr>
              <w:t>LSG Events</w:t>
            </w:r>
          </w:p>
        </w:tc>
        <w:tc>
          <w:tcPr>
            <w:tcW w:w="1417" w:type="dxa"/>
            <w:shd w:val="clear" w:color="auto" w:fill="FFFFFF" w:themeFill="background1"/>
            <w:vAlign w:val="center"/>
          </w:tcPr>
          <w:p w14:paraId="0EF70C2C" w14:textId="6C3C9243" w:rsidR="00577817" w:rsidRPr="0013365E" w:rsidRDefault="00577817" w:rsidP="00D76EFB">
            <w:pPr>
              <w:pStyle w:val="TableH28pt"/>
              <w:jc w:val="center"/>
              <w:rPr>
                <w:rFonts w:ascii="Arial Narrow" w:eastAsia="Arial Narrow" w:hAnsi="Arial Narrow" w:cs="Arial Narrow"/>
                <w:color w:val="000000" w:themeColor="text1"/>
                <w:sz w:val="20"/>
              </w:rPr>
            </w:pPr>
            <w:r w:rsidRPr="7D413406">
              <w:rPr>
                <w:rFonts w:ascii="Arial Narrow" w:eastAsia="Arial Narrow" w:hAnsi="Arial Narrow" w:cs="Arial Narrow"/>
                <w:sz w:val="20"/>
                <w:lang w:eastAsia="en-AU"/>
              </w:rPr>
              <w:t>LSG Total</w:t>
            </w:r>
          </w:p>
        </w:tc>
        <w:tc>
          <w:tcPr>
            <w:tcW w:w="1985" w:type="dxa"/>
            <w:shd w:val="clear" w:color="auto" w:fill="FFFFFF" w:themeFill="background1"/>
            <w:vAlign w:val="center"/>
          </w:tcPr>
          <w:p w14:paraId="1E4341C7" w14:textId="162EC6A6" w:rsidR="00577817" w:rsidRPr="0013365E" w:rsidRDefault="00577817" w:rsidP="00D76EFB">
            <w:pPr>
              <w:pStyle w:val="TableH28pt"/>
              <w:jc w:val="center"/>
              <w:rPr>
                <w:rFonts w:ascii="Arial Narrow" w:eastAsia="Arial Narrow" w:hAnsi="Arial Narrow" w:cs="Arial Narrow"/>
                <w:color w:val="000000" w:themeColor="text1"/>
                <w:sz w:val="20"/>
              </w:rPr>
            </w:pPr>
            <w:r w:rsidRPr="7D413406">
              <w:rPr>
                <w:rFonts w:ascii="Arial Narrow" w:eastAsia="Arial Narrow" w:hAnsi="Arial Narrow" w:cs="Arial Narrow"/>
                <w:sz w:val="20"/>
                <w:lang w:eastAsia="en-AU"/>
              </w:rPr>
              <w:t>Odds Ratio (95% CI)</w:t>
            </w:r>
          </w:p>
        </w:tc>
      </w:tr>
      <w:tr w:rsidR="00386F52" w14:paraId="094FCE30" w14:textId="05021F62" w:rsidTr="00D76EFB">
        <w:tc>
          <w:tcPr>
            <w:tcW w:w="1555" w:type="dxa"/>
            <w:vAlign w:val="center"/>
          </w:tcPr>
          <w:p w14:paraId="61EED4F9" w14:textId="6D1276B8" w:rsidR="00386F52" w:rsidRPr="00202CD7" w:rsidRDefault="00B102A0" w:rsidP="00B8716C">
            <w:pPr>
              <w:pStyle w:val="Tabletext8pt"/>
              <w:rPr>
                <w:rFonts w:ascii="Arial Narrow" w:eastAsia="Arial Narrow" w:hAnsi="Arial Narrow" w:cs="Arial Narrow"/>
                <w:sz w:val="20"/>
                <w:szCs w:val="20"/>
              </w:rPr>
            </w:pPr>
            <w:r w:rsidRPr="7D413406">
              <w:rPr>
                <w:rFonts w:ascii="Arial Narrow" w:eastAsia="Arial Narrow" w:hAnsi="Arial Narrow" w:cs="Arial Narrow"/>
                <w:sz w:val="20"/>
                <w:szCs w:val="20"/>
              </w:rPr>
              <w:t>Fayad 2019</w:t>
            </w:r>
          </w:p>
        </w:tc>
        <w:tc>
          <w:tcPr>
            <w:tcW w:w="1417" w:type="dxa"/>
            <w:vAlign w:val="center"/>
          </w:tcPr>
          <w:p w14:paraId="5D4EA6AE" w14:textId="5DDDF9BD" w:rsidR="00577817" w:rsidRPr="00202CD7" w:rsidRDefault="00577817" w:rsidP="00D76EFB">
            <w:pPr>
              <w:pStyle w:val="Tabletext8pt"/>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sz w:val="20"/>
                <w:szCs w:val="20"/>
              </w:rPr>
              <w:t>1</w:t>
            </w:r>
          </w:p>
        </w:tc>
        <w:tc>
          <w:tcPr>
            <w:tcW w:w="1276" w:type="dxa"/>
            <w:vAlign w:val="center"/>
          </w:tcPr>
          <w:p w14:paraId="226D2D2D" w14:textId="3C045D75" w:rsidR="00386F52" w:rsidRPr="00202CD7" w:rsidRDefault="005B28BF"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52</w:t>
            </w:r>
          </w:p>
        </w:tc>
        <w:tc>
          <w:tcPr>
            <w:tcW w:w="1276" w:type="dxa"/>
            <w:vAlign w:val="center"/>
          </w:tcPr>
          <w:p w14:paraId="516ACD38" w14:textId="620AEE72" w:rsidR="00386F52" w:rsidRPr="00202CD7" w:rsidRDefault="005B28BF"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12</w:t>
            </w:r>
          </w:p>
        </w:tc>
        <w:tc>
          <w:tcPr>
            <w:tcW w:w="1417" w:type="dxa"/>
            <w:vAlign w:val="center"/>
          </w:tcPr>
          <w:p w14:paraId="0CBFD498" w14:textId="689C04B6" w:rsidR="00577817" w:rsidRPr="00202CD7" w:rsidRDefault="005B28BF"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83</w:t>
            </w:r>
          </w:p>
        </w:tc>
        <w:tc>
          <w:tcPr>
            <w:tcW w:w="1985" w:type="dxa"/>
            <w:vAlign w:val="center"/>
          </w:tcPr>
          <w:p w14:paraId="558B06F1" w14:textId="1353B9A7" w:rsidR="00577817" w:rsidRPr="00202CD7" w:rsidRDefault="005B28BF"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 xml:space="preserve">0.12 </w:t>
            </w:r>
            <w:r w:rsidR="003D5DB6" w:rsidRPr="7D413406">
              <w:rPr>
                <w:rFonts w:ascii="Arial Narrow" w:eastAsia="Arial Narrow" w:hAnsi="Arial Narrow" w:cs="Arial Narrow"/>
                <w:color w:val="000000" w:themeColor="text1"/>
                <w:sz w:val="20"/>
                <w:szCs w:val="20"/>
              </w:rPr>
              <w:t>(</w:t>
            </w:r>
            <w:r w:rsidRPr="7D413406">
              <w:rPr>
                <w:rFonts w:ascii="Arial Narrow" w:eastAsia="Arial Narrow" w:hAnsi="Arial Narrow" w:cs="Arial Narrow"/>
                <w:color w:val="000000" w:themeColor="text1"/>
                <w:sz w:val="20"/>
                <w:szCs w:val="20"/>
              </w:rPr>
              <w:t>0.01, 0.92</w:t>
            </w:r>
            <w:r w:rsidR="003D5DB6" w:rsidRPr="7D413406">
              <w:rPr>
                <w:rFonts w:ascii="Arial Narrow" w:eastAsia="Arial Narrow" w:hAnsi="Arial Narrow" w:cs="Arial Narrow"/>
                <w:color w:val="000000" w:themeColor="text1"/>
                <w:sz w:val="20"/>
                <w:szCs w:val="20"/>
              </w:rPr>
              <w:t>)</w:t>
            </w:r>
          </w:p>
        </w:tc>
      </w:tr>
      <w:tr w:rsidR="00386F52" w14:paraId="255F0B5A" w14:textId="681CAC0B" w:rsidTr="00D76EFB">
        <w:tc>
          <w:tcPr>
            <w:tcW w:w="1555" w:type="dxa"/>
            <w:vAlign w:val="center"/>
          </w:tcPr>
          <w:p w14:paraId="55A5D00B" w14:textId="5351B2D3" w:rsidR="00386F52" w:rsidRPr="00C47FE7" w:rsidRDefault="00B102A0" w:rsidP="00B8716C">
            <w:pPr>
              <w:pStyle w:val="Tabletext8pt"/>
              <w:rPr>
                <w:rFonts w:ascii="Arial Narrow" w:eastAsia="Arial Narrow" w:hAnsi="Arial Narrow" w:cs="Arial Narrow"/>
                <w:b/>
                <w:sz w:val="20"/>
                <w:szCs w:val="20"/>
              </w:rPr>
            </w:pPr>
            <w:r w:rsidRPr="7D413406">
              <w:rPr>
                <w:rFonts w:ascii="Arial Narrow" w:eastAsia="Arial Narrow" w:hAnsi="Arial Narrow" w:cs="Arial Narrow"/>
                <w:sz w:val="20"/>
                <w:szCs w:val="20"/>
              </w:rPr>
              <w:t>Fiorillo 2020</w:t>
            </w:r>
          </w:p>
        </w:tc>
        <w:tc>
          <w:tcPr>
            <w:tcW w:w="1417" w:type="dxa"/>
            <w:vAlign w:val="center"/>
          </w:tcPr>
          <w:p w14:paraId="400C2017" w14:textId="27C29E0E" w:rsidR="00577817" w:rsidRPr="00202CD7" w:rsidRDefault="00577817" w:rsidP="00D76EFB">
            <w:pPr>
              <w:pStyle w:val="Tabletext8pt"/>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sz w:val="20"/>
                <w:szCs w:val="20"/>
              </w:rPr>
              <w:t>0</w:t>
            </w:r>
          </w:p>
        </w:tc>
        <w:tc>
          <w:tcPr>
            <w:tcW w:w="1276" w:type="dxa"/>
            <w:vAlign w:val="center"/>
          </w:tcPr>
          <w:p w14:paraId="552B1035" w14:textId="0E82214E" w:rsidR="00386F52" w:rsidRPr="00202CD7" w:rsidRDefault="005B28BF"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23</w:t>
            </w:r>
          </w:p>
        </w:tc>
        <w:tc>
          <w:tcPr>
            <w:tcW w:w="1276" w:type="dxa"/>
            <w:vAlign w:val="center"/>
          </w:tcPr>
          <w:p w14:paraId="7019B5C4" w14:textId="586A6E78" w:rsidR="00386F52" w:rsidRPr="00202CD7" w:rsidRDefault="005B28BF"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7</w:t>
            </w:r>
          </w:p>
        </w:tc>
        <w:tc>
          <w:tcPr>
            <w:tcW w:w="1417" w:type="dxa"/>
            <w:vAlign w:val="center"/>
          </w:tcPr>
          <w:p w14:paraId="4A14368D" w14:textId="446DB24D" w:rsidR="00577817" w:rsidRPr="00202CD7" w:rsidRDefault="005B28BF"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23</w:t>
            </w:r>
          </w:p>
        </w:tc>
        <w:tc>
          <w:tcPr>
            <w:tcW w:w="1985" w:type="dxa"/>
            <w:vAlign w:val="center"/>
          </w:tcPr>
          <w:p w14:paraId="17D66C6B" w14:textId="7EB623BE" w:rsidR="00577817" w:rsidRPr="00202CD7" w:rsidRDefault="005B28BF"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 xml:space="preserve">0.05 </w:t>
            </w:r>
            <w:r w:rsidR="003D5DB6" w:rsidRPr="7D413406">
              <w:rPr>
                <w:rFonts w:ascii="Arial Narrow" w:eastAsia="Arial Narrow" w:hAnsi="Arial Narrow" w:cs="Arial Narrow"/>
                <w:color w:val="000000" w:themeColor="text1"/>
                <w:sz w:val="20"/>
                <w:szCs w:val="20"/>
              </w:rPr>
              <w:t>(</w:t>
            </w:r>
            <w:r w:rsidRPr="7D413406">
              <w:rPr>
                <w:rFonts w:ascii="Arial Narrow" w:eastAsia="Arial Narrow" w:hAnsi="Arial Narrow" w:cs="Arial Narrow"/>
                <w:color w:val="000000" w:themeColor="text1"/>
                <w:sz w:val="20"/>
                <w:szCs w:val="20"/>
              </w:rPr>
              <w:t>0.00, 0.88</w:t>
            </w:r>
            <w:r w:rsidR="003D5DB6" w:rsidRPr="7D413406">
              <w:rPr>
                <w:rFonts w:ascii="Arial Narrow" w:eastAsia="Arial Narrow" w:hAnsi="Arial Narrow" w:cs="Arial Narrow"/>
                <w:color w:val="000000" w:themeColor="text1"/>
                <w:sz w:val="20"/>
                <w:szCs w:val="20"/>
              </w:rPr>
              <w:t>)</w:t>
            </w:r>
          </w:p>
        </w:tc>
      </w:tr>
      <w:tr w:rsidR="00386F52" w14:paraId="2A13D553" w14:textId="357BA177" w:rsidTr="00D76EFB">
        <w:tc>
          <w:tcPr>
            <w:tcW w:w="1555" w:type="dxa"/>
            <w:vAlign w:val="center"/>
          </w:tcPr>
          <w:p w14:paraId="4A434BF1" w14:textId="634C3C9A" w:rsidR="00386F52" w:rsidRPr="00C47FE7" w:rsidRDefault="00EC4841" w:rsidP="00B8716C">
            <w:pPr>
              <w:pStyle w:val="Tabletext8pt"/>
              <w:rPr>
                <w:rFonts w:ascii="Arial Narrow" w:eastAsia="Arial Narrow" w:hAnsi="Arial Narrow" w:cs="Arial Narrow"/>
                <w:b/>
                <w:sz w:val="20"/>
                <w:szCs w:val="20"/>
              </w:rPr>
            </w:pPr>
            <w:r w:rsidRPr="7D413406">
              <w:rPr>
                <w:rFonts w:ascii="Arial Narrow" w:eastAsia="Arial Narrow" w:hAnsi="Arial Narrow" w:cs="Arial Narrow"/>
                <w:sz w:val="20"/>
                <w:szCs w:val="20"/>
              </w:rPr>
              <w:t>Overall</w:t>
            </w:r>
          </w:p>
        </w:tc>
        <w:tc>
          <w:tcPr>
            <w:tcW w:w="1417" w:type="dxa"/>
            <w:vAlign w:val="center"/>
          </w:tcPr>
          <w:p w14:paraId="1FA793B2" w14:textId="7036431E" w:rsidR="00577817" w:rsidRPr="00C47FE7" w:rsidRDefault="00577817" w:rsidP="00D76EFB">
            <w:pPr>
              <w:pStyle w:val="Tabletext8pt"/>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sz w:val="20"/>
                <w:szCs w:val="20"/>
              </w:rPr>
              <w:t>1</w:t>
            </w:r>
          </w:p>
        </w:tc>
        <w:tc>
          <w:tcPr>
            <w:tcW w:w="1276" w:type="dxa"/>
            <w:vAlign w:val="center"/>
          </w:tcPr>
          <w:p w14:paraId="12C54B00" w14:textId="314471F9" w:rsidR="00386F52" w:rsidRPr="00C47FE7" w:rsidRDefault="005B28BF"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75</w:t>
            </w:r>
          </w:p>
        </w:tc>
        <w:tc>
          <w:tcPr>
            <w:tcW w:w="1276" w:type="dxa"/>
            <w:vAlign w:val="center"/>
          </w:tcPr>
          <w:p w14:paraId="35DAE870" w14:textId="061CD062" w:rsidR="00386F52" w:rsidRPr="00C47FE7" w:rsidRDefault="005B28BF"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19</w:t>
            </w:r>
          </w:p>
        </w:tc>
        <w:tc>
          <w:tcPr>
            <w:tcW w:w="1417" w:type="dxa"/>
            <w:vAlign w:val="center"/>
          </w:tcPr>
          <w:p w14:paraId="002B5140" w14:textId="3F5E1B4D" w:rsidR="00577817" w:rsidRPr="00C47FE7" w:rsidRDefault="005B28BF"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106</w:t>
            </w:r>
          </w:p>
        </w:tc>
        <w:tc>
          <w:tcPr>
            <w:tcW w:w="1985" w:type="dxa"/>
            <w:vAlign w:val="center"/>
          </w:tcPr>
          <w:p w14:paraId="6DBB5474" w14:textId="67331F4C" w:rsidR="00577817" w:rsidRPr="00C47FE7" w:rsidRDefault="005B28BF" w:rsidP="00D76EFB">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 xml:space="preserve">0.09 </w:t>
            </w:r>
            <w:r w:rsidR="003D5DB6" w:rsidRPr="7D413406">
              <w:rPr>
                <w:rFonts w:ascii="Arial Narrow" w:eastAsia="Arial Narrow" w:hAnsi="Arial Narrow" w:cs="Arial Narrow"/>
                <w:color w:val="000000" w:themeColor="text1"/>
                <w:sz w:val="20"/>
                <w:szCs w:val="20"/>
              </w:rPr>
              <w:t>(</w:t>
            </w:r>
            <w:r w:rsidRPr="7D413406">
              <w:rPr>
                <w:rFonts w:ascii="Arial Narrow" w:eastAsia="Arial Narrow" w:hAnsi="Arial Narrow" w:cs="Arial Narrow"/>
                <w:color w:val="000000" w:themeColor="text1"/>
                <w:sz w:val="20"/>
                <w:szCs w:val="20"/>
              </w:rPr>
              <w:t>0.02, 0.47</w:t>
            </w:r>
            <w:r w:rsidR="003D5DB6" w:rsidRPr="7D413406">
              <w:rPr>
                <w:rFonts w:ascii="Arial Narrow" w:eastAsia="Arial Narrow" w:hAnsi="Arial Narrow" w:cs="Arial Narrow"/>
                <w:color w:val="000000" w:themeColor="text1"/>
                <w:sz w:val="20"/>
                <w:szCs w:val="20"/>
              </w:rPr>
              <w:t>)</w:t>
            </w:r>
          </w:p>
        </w:tc>
      </w:tr>
    </w:tbl>
    <w:p w14:paraId="4A59ECBC" w14:textId="2AA86E28" w:rsidR="0027566E" w:rsidRDefault="00486F64" w:rsidP="00ED651B">
      <w:pPr>
        <w:pStyle w:val="TableFigureFooter"/>
        <w:rPr>
          <w:rStyle w:val="eop"/>
          <w:rFonts w:cs="Segoe UI"/>
        </w:rPr>
      </w:pPr>
      <w:r w:rsidRPr="00D76EFB">
        <w:rPr>
          <w:rFonts w:eastAsia="Arial Narrow"/>
        </w:rPr>
        <w:t>Abbreviations:</w:t>
      </w:r>
      <w:r w:rsidRPr="10964B80">
        <w:rPr>
          <w:rFonts w:eastAsia="Arial Narrow"/>
        </w:rPr>
        <w:t xml:space="preserve"> </w:t>
      </w:r>
      <w:r w:rsidR="000E4E70" w:rsidRPr="00D76EFB">
        <w:rPr>
          <w:rFonts w:eastAsia="Arial Narrow"/>
        </w:rPr>
        <w:t>CI</w:t>
      </w:r>
      <w:r w:rsidR="000E4E70" w:rsidRPr="10964B80">
        <w:rPr>
          <w:rFonts w:eastAsia="Arial Narrow"/>
        </w:rPr>
        <w:t xml:space="preserve">: confidence interval; </w:t>
      </w:r>
      <w:r w:rsidR="00D665B2" w:rsidRPr="00D76EFB">
        <w:rPr>
          <w:rFonts w:eastAsia="Arial Narrow"/>
        </w:rPr>
        <w:t>ESG</w:t>
      </w:r>
      <w:r w:rsidR="00D665B2" w:rsidRPr="10964B80">
        <w:rPr>
          <w:rFonts w:eastAsia="Arial Narrow"/>
        </w:rPr>
        <w:t xml:space="preserve">: endoscopic sleeve gastroplasty; </w:t>
      </w:r>
      <w:r w:rsidR="00D665B2" w:rsidRPr="00D76EFB">
        <w:rPr>
          <w:rFonts w:eastAsia="Arial Narrow"/>
        </w:rPr>
        <w:t>GORD</w:t>
      </w:r>
      <w:r w:rsidR="00D665B2" w:rsidRPr="10964B80">
        <w:rPr>
          <w:rFonts w:eastAsia="Arial Narrow"/>
        </w:rPr>
        <w:t xml:space="preserve">: gastro-oesophageal reflux disease; </w:t>
      </w:r>
      <w:r w:rsidR="00D665B2" w:rsidRPr="00D76EFB">
        <w:rPr>
          <w:rFonts w:eastAsia="Arial Narrow"/>
        </w:rPr>
        <w:t>LSG</w:t>
      </w:r>
      <w:r w:rsidR="00D665B2" w:rsidRPr="10964B80">
        <w:rPr>
          <w:rFonts w:eastAsia="Arial Narrow"/>
        </w:rPr>
        <w:t>: laparoscopic sleeve gastrectomy</w:t>
      </w:r>
      <w:r w:rsidR="2881D45A" w:rsidRPr="10964B80">
        <w:rPr>
          <w:rFonts w:eastAsia="Arial Narrow"/>
        </w:rPr>
        <w:t xml:space="preserve"> </w:t>
      </w:r>
    </w:p>
    <w:p w14:paraId="546D16D7" w14:textId="375B1FA2" w:rsidR="0027566E" w:rsidRDefault="2881D45A" w:rsidP="00ED651B">
      <w:pPr>
        <w:pStyle w:val="TableFigureFooter"/>
        <w:rPr>
          <w:rStyle w:val="eop"/>
          <w:rFonts w:cs="Segoe UI"/>
        </w:rPr>
      </w:pPr>
      <w:r w:rsidRPr="00D76EFB">
        <w:rPr>
          <w:rStyle w:val="normaltextrun"/>
          <w:rFonts w:cs="Segoe UI"/>
          <w:szCs w:val="18"/>
        </w:rPr>
        <w:t>Source:</w:t>
      </w:r>
      <w:r w:rsidR="052E9674" w:rsidRPr="31F003CF">
        <w:rPr>
          <w:rStyle w:val="normaltextrun"/>
          <w:rFonts w:cs="Segoe UI"/>
          <w:szCs w:val="18"/>
        </w:rPr>
        <w:t xml:space="preserve"> Figure 223 pg. </w:t>
      </w:r>
      <w:r w:rsidR="00BD29F7">
        <w:rPr>
          <w:rStyle w:val="normaltextrun"/>
          <w:rFonts w:cs="Segoe UI"/>
          <w:szCs w:val="18"/>
        </w:rPr>
        <w:t>114</w:t>
      </w:r>
      <w:r w:rsidR="052E9674" w:rsidRPr="31F003CF">
        <w:rPr>
          <w:rStyle w:val="normaltextrun"/>
          <w:rFonts w:cs="Segoe UI"/>
          <w:szCs w:val="18"/>
        </w:rPr>
        <w:t xml:space="preserve"> </w:t>
      </w:r>
      <w:r w:rsidR="00BD29F7">
        <w:rPr>
          <w:rStyle w:val="normaltextrun"/>
          <w:rFonts w:cs="Segoe UI"/>
          <w:szCs w:val="18"/>
        </w:rPr>
        <w:t>f</w:t>
      </w:r>
      <w:r w:rsidR="052E9674" w:rsidRPr="31F003CF">
        <w:rPr>
          <w:rStyle w:val="normaltextrun"/>
          <w:rFonts w:cs="Segoe UI"/>
          <w:szCs w:val="18"/>
        </w:rPr>
        <w:t>rom</w:t>
      </w:r>
      <w:r w:rsidRPr="00D76EFB">
        <w:rPr>
          <w:rStyle w:val="normaltextrun"/>
          <w:rFonts w:cs="Segoe UI"/>
          <w:szCs w:val="18"/>
        </w:rPr>
        <w:t xml:space="preserve"> </w:t>
      </w:r>
      <w:r w:rsidR="22FFC7E8" w:rsidRPr="31F003CF">
        <w:rPr>
          <w:rStyle w:val="normaltextrun"/>
          <w:rFonts w:cs="Segoe UI"/>
          <w:szCs w:val="18"/>
        </w:rPr>
        <w:t xml:space="preserve">ADAR </w:t>
      </w:r>
      <w:r w:rsidRPr="31F003CF">
        <w:rPr>
          <w:rStyle w:val="normaltextrun"/>
          <w:rFonts w:cs="Segoe UI"/>
        </w:rPr>
        <w:t> </w:t>
      </w:r>
    </w:p>
    <w:p w14:paraId="15EA1F53" w14:textId="5087F430" w:rsidR="00591232" w:rsidRDefault="00591232" w:rsidP="00591232">
      <w:pPr>
        <w:pStyle w:val="Caption"/>
      </w:pPr>
      <w:bookmarkStart w:id="66" w:name="_Ref184211115"/>
      <w:r>
        <w:t xml:space="preserve">Table </w:t>
      </w:r>
      <w:r w:rsidR="00707F6D">
        <w:fldChar w:fldCharType="begin"/>
      </w:r>
      <w:r w:rsidR="00707F6D">
        <w:instrText xml:space="preserve"> SEQ Table \* ARABIC </w:instrText>
      </w:r>
      <w:r w:rsidR="00707F6D">
        <w:fldChar w:fldCharType="separate"/>
      </w:r>
      <w:r w:rsidR="008F37D1">
        <w:rPr>
          <w:noProof/>
        </w:rPr>
        <w:t>15</w:t>
      </w:r>
      <w:r w:rsidR="00707F6D">
        <w:rPr>
          <w:noProof/>
        </w:rPr>
        <w:fldChar w:fldCharType="end"/>
      </w:r>
      <w:bookmarkEnd w:id="66"/>
      <w:r w:rsidR="00E002F8">
        <w:t>:</w:t>
      </w:r>
      <w:r>
        <w:t xml:space="preserve"> </w:t>
      </w:r>
      <w:r w:rsidRPr="00BE577A">
        <w:t>Grade analysis of AE outcomes for ESG compared to LSG for people with obesity who are eligible for bariatric surgery</w:t>
      </w:r>
    </w:p>
    <w:tbl>
      <w:tblPr>
        <w:tblW w:w="4947" w:type="pct"/>
        <w:tblCellMar>
          <w:top w:w="75" w:type="dxa"/>
          <w:left w:w="75" w:type="dxa"/>
          <w:bottom w:w="75" w:type="dxa"/>
          <w:right w:w="75" w:type="dxa"/>
        </w:tblCellMar>
        <w:tblLook w:val="04A0" w:firstRow="1" w:lastRow="0" w:firstColumn="1" w:lastColumn="0" w:noHBand="0" w:noVBand="1"/>
      </w:tblPr>
      <w:tblGrid>
        <w:gridCol w:w="993"/>
        <w:gridCol w:w="719"/>
        <w:gridCol w:w="838"/>
        <w:gridCol w:w="881"/>
        <w:gridCol w:w="922"/>
        <w:gridCol w:w="970"/>
        <w:gridCol w:w="3597"/>
      </w:tblGrid>
      <w:tr w:rsidR="00371512" w:rsidRPr="00832E5A" w14:paraId="3D8C03C4" w14:textId="77777777" w:rsidTr="2AA1CA0C">
        <w:trPr>
          <w:cantSplit/>
          <w:tblHeader/>
        </w:trPr>
        <w:tc>
          <w:tcPr>
            <w:tcW w:w="556" w:type="pct"/>
            <w:vMerge w:val="restart"/>
            <w:tcBorders>
              <w:top w:val="single" w:sz="4" w:space="0" w:color="auto"/>
              <w:left w:val="single" w:sz="4" w:space="0" w:color="auto"/>
              <w:right w:val="single" w:sz="6" w:space="0" w:color="EFEFEF"/>
            </w:tcBorders>
            <w:shd w:val="clear" w:color="auto" w:fill="3271AA"/>
            <w:vAlign w:val="bottom"/>
            <w:hideMark/>
          </w:tcPr>
          <w:p w14:paraId="57E68F62" w14:textId="77777777" w:rsidR="0027566E" w:rsidRPr="00832E5A" w:rsidRDefault="0027566E" w:rsidP="00D45CFA">
            <w:pPr>
              <w:spacing w:before="0" w:after="0" w:line="240" w:lineRule="auto"/>
              <w:jc w:val="center"/>
              <w:rPr>
                <w:rFonts w:ascii="Arial Narrow" w:eastAsia="Times New Roman" w:hAnsi="Arial Narrow" w:cs="Times New Roman"/>
                <w:color w:val="FFFFFF"/>
                <w:sz w:val="16"/>
                <w:szCs w:val="16"/>
                <w:lang w:val="en-US"/>
              </w:rPr>
            </w:pPr>
            <w:r w:rsidRPr="00832E5A">
              <w:rPr>
                <w:rFonts w:ascii="Arial Narrow" w:eastAsia="Times New Roman" w:hAnsi="Arial Narrow" w:cs="Times New Roman"/>
                <w:color w:val="FFFFFF"/>
                <w:sz w:val="16"/>
                <w:szCs w:val="16"/>
                <w:lang w:val="en-US"/>
              </w:rPr>
              <w:t>Outcomes</w:t>
            </w:r>
          </w:p>
        </w:tc>
        <w:tc>
          <w:tcPr>
            <w:tcW w:w="873" w:type="pct"/>
            <w:gridSpan w:val="2"/>
            <w:tcBorders>
              <w:top w:val="single" w:sz="4" w:space="0" w:color="auto"/>
              <w:right w:val="single" w:sz="6" w:space="0" w:color="EFEFEF"/>
            </w:tcBorders>
            <w:shd w:val="clear" w:color="auto" w:fill="E0E0E0"/>
            <w:vAlign w:val="bottom"/>
            <w:hideMark/>
          </w:tcPr>
          <w:p w14:paraId="43177F70" w14:textId="77777777" w:rsidR="0027566E" w:rsidRPr="00832E5A" w:rsidRDefault="0027566E" w:rsidP="00D45CFA">
            <w:pPr>
              <w:spacing w:before="0" w:after="0" w:line="240" w:lineRule="auto"/>
              <w:jc w:val="center"/>
              <w:rPr>
                <w:rFonts w:ascii="Arial Narrow" w:eastAsia="Times New Roman" w:hAnsi="Arial Narrow" w:cs="Times New Roman"/>
                <w:b/>
                <w:bCs/>
                <w:sz w:val="16"/>
                <w:szCs w:val="16"/>
                <w:lang w:val="en-US"/>
              </w:rPr>
            </w:pPr>
            <w:r w:rsidRPr="00832E5A">
              <w:rPr>
                <w:rFonts w:ascii="Arial Narrow" w:eastAsia="Times New Roman" w:hAnsi="Arial Narrow" w:cs="Times New Roman"/>
                <w:b/>
                <w:bCs/>
                <w:sz w:val="16"/>
                <w:szCs w:val="16"/>
                <w:lang w:val="en-US"/>
              </w:rPr>
              <w:t>Anticipated absolute effects</w:t>
            </w:r>
            <w:r w:rsidRPr="00832E5A">
              <w:rPr>
                <w:rFonts w:ascii="Arial Narrow" w:eastAsia="Times New Roman" w:hAnsi="Arial Narrow" w:cs="Times New Roman"/>
                <w:b/>
                <w:bCs/>
                <w:sz w:val="16"/>
                <w:szCs w:val="16"/>
                <w:vertAlign w:val="superscript"/>
                <w:lang w:val="en-US"/>
              </w:rPr>
              <w:t>*</w:t>
            </w:r>
            <w:r w:rsidRPr="00832E5A">
              <w:rPr>
                <w:rFonts w:ascii="Arial Narrow" w:eastAsia="Times New Roman" w:hAnsi="Arial Narrow" w:cs="Times New Roman"/>
                <w:b/>
                <w:bCs/>
                <w:sz w:val="16"/>
                <w:szCs w:val="16"/>
                <w:lang w:val="en-US"/>
              </w:rPr>
              <w:t xml:space="preserve"> </w:t>
            </w:r>
            <w:r w:rsidRPr="00832E5A">
              <w:rPr>
                <w:rFonts w:ascii="Arial Narrow" w:eastAsia="Times New Roman" w:hAnsi="Arial Narrow" w:cs="Times New Roman"/>
                <w:sz w:val="16"/>
                <w:szCs w:val="16"/>
                <w:lang w:val="en-US"/>
              </w:rPr>
              <w:t>(95% CI)</w:t>
            </w:r>
          </w:p>
        </w:tc>
        <w:tc>
          <w:tcPr>
            <w:tcW w:w="494" w:type="pct"/>
            <w:vMerge w:val="restart"/>
            <w:tcBorders>
              <w:top w:val="single" w:sz="4" w:space="0" w:color="auto"/>
              <w:right w:val="single" w:sz="6" w:space="0" w:color="EFEFEF"/>
            </w:tcBorders>
            <w:shd w:val="clear" w:color="auto" w:fill="3271AA"/>
            <w:vAlign w:val="bottom"/>
            <w:hideMark/>
          </w:tcPr>
          <w:p w14:paraId="7780C78C" w14:textId="77777777" w:rsidR="0027566E" w:rsidRPr="00832E5A" w:rsidRDefault="0027566E" w:rsidP="00D45CFA">
            <w:pPr>
              <w:spacing w:before="0" w:after="0" w:line="240" w:lineRule="auto"/>
              <w:jc w:val="center"/>
              <w:rPr>
                <w:rFonts w:ascii="Arial Narrow" w:eastAsia="Times New Roman" w:hAnsi="Arial Narrow" w:cs="Times New Roman"/>
                <w:color w:val="FFFFFF"/>
                <w:sz w:val="16"/>
                <w:szCs w:val="16"/>
                <w:lang w:val="en-US"/>
              </w:rPr>
            </w:pPr>
            <w:r w:rsidRPr="00832E5A">
              <w:rPr>
                <w:rFonts w:ascii="Arial Narrow" w:eastAsia="Times New Roman" w:hAnsi="Arial Narrow" w:cs="Times New Roman"/>
                <w:color w:val="FFFFFF"/>
                <w:sz w:val="16"/>
                <w:szCs w:val="16"/>
                <w:lang w:val="en-US"/>
              </w:rPr>
              <w:t>Relative effect</w:t>
            </w:r>
            <w:r w:rsidRPr="00832E5A">
              <w:rPr>
                <w:rFonts w:ascii="Arial Narrow" w:eastAsia="Times New Roman" w:hAnsi="Arial Narrow" w:cs="Times New Roman"/>
                <w:color w:val="FFFFFF"/>
                <w:sz w:val="16"/>
                <w:szCs w:val="16"/>
                <w:lang w:val="en-US"/>
              </w:rPr>
              <w:br/>
              <w:t>(95% CI)</w:t>
            </w:r>
          </w:p>
        </w:tc>
        <w:tc>
          <w:tcPr>
            <w:tcW w:w="517" w:type="pct"/>
            <w:vMerge w:val="restart"/>
            <w:tcBorders>
              <w:top w:val="single" w:sz="4" w:space="0" w:color="auto"/>
              <w:right w:val="single" w:sz="6" w:space="0" w:color="EFEFEF"/>
            </w:tcBorders>
            <w:shd w:val="clear" w:color="auto" w:fill="3271AA"/>
            <w:vAlign w:val="bottom"/>
            <w:hideMark/>
          </w:tcPr>
          <w:p w14:paraId="22743A3A" w14:textId="77777777" w:rsidR="0027566E" w:rsidRPr="00832E5A" w:rsidRDefault="0027566E" w:rsidP="00D45CFA">
            <w:pPr>
              <w:spacing w:before="0" w:after="0" w:line="240" w:lineRule="auto"/>
              <w:jc w:val="center"/>
              <w:rPr>
                <w:rFonts w:ascii="Arial Narrow" w:eastAsia="Times New Roman" w:hAnsi="Arial Narrow" w:cs="Times New Roman"/>
                <w:color w:val="FFFFFF"/>
                <w:sz w:val="16"/>
                <w:szCs w:val="16"/>
                <w:lang w:val="en-US"/>
              </w:rPr>
            </w:pPr>
            <w:r w:rsidRPr="00832E5A">
              <w:rPr>
                <w:rFonts w:ascii="Arial Narrow" w:eastAsia="Times New Roman" w:hAnsi="Arial Narrow" w:cs="Times New Roman"/>
                <w:color w:val="FFFFFF"/>
                <w:sz w:val="16"/>
                <w:szCs w:val="16"/>
                <w:lang w:val="en-US"/>
              </w:rPr>
              <w:t>№ of participants</w:t>
            </w:r>
            <w:r w:rsidRPr="00832E5A">
              <w:rPr>
                <w:rFonts w:ascii="Arial Narrow" w:eastAsia="Times New Roman" w:hAnsi="Arial Narrow" w:cs="Times New Roman"/>
                <w:color w:val="FFFFFF"/>
                <w:sz w:val="16"/>
                <w:szCs w:val="16"/>
                <w:lang w:val="en-US"/>
              </w:rPr>
              <w:br/>
              <w:t>(studies)</w:t>
            </w:r>
          </w:p>
        </w:tc>
        <w:tc>
          <w:tcPr>
            <w:tcW w:w="544" w:type="pct"/>
            <w:vMerge w:val="restart"/>
            <w:tcBorders>
              <w:top w:val="single" w:sz="4" w:space="0" w:color="auto"/>
              <w:right w:val="single" w:sz="6" w:space="0" w:color="EFEFEF"/>
            </w:tcBorders>
            <w:shd w:val="clear" w:color="auto" w:fill="3271AA"/>
            <w:vAlign w:val="bottom"/>
            <w:hideMark/>
          </w:tcPr>
          <w:p w14:paraId="5FEA79FE" w14:textId="77777777" w:rsidR="0027566E" w:rsidRPr="00832E5A" w:rsidRDefault="0027566E" w:rsidP="00D45CFA">
            <w:pPr>
              <w:spacing w:before="0" w:after="0" w:line="240" w:lineRule="auto"/>
              <w:jc w:val="center"/>
              <w:rPr>
                <w:rFonts w:ascii="Arial Narrow" w:eastAsia="Times New Roman" w:hAnsi="Arial Narrow" w:cs="Times New Roman"/>
                <w:color w:val="FFFFFF"/>
                <w:sz w:val="16"/>
                <w:szCs w:val="16"/>
                <w:lang w:val="en-US"/>
              </w:rPr>
            </w:pPr>
            <w:r w:rsidRPr="00832E5A">
              <w:rPr>
                <w:rFonts w:ascii="Arial Narrow" w:eastAsia="Times New Roman" w:hAnsi="Arial Narrow" w:cs="Times New Roman"/>
                <w:color w:val="FFFFFF"/>
                <w:sz w:val="16"/>
                <w:szCs w:val="16"/>
                <w:lang w:val="en-US"/>
              </w:rPr>
              <w:t>Certainty of the evidence</w:t>
            </w:r>
            <w:r w:rsidRPr="00832E5A">
              <w:rPr>
                <w:rFonts w:ascii="Arial Narrow" w:eastAsia="Times New Roman" w:hAnsi="Arial Narrow" w:cs="Times New Roman"/>
                <w:color w:val="FFFFFF"/>
                <w:sz w:val="16"/>
                <w:szCs w:val="16"/>
                <w:lang w:val="en-US"/>
              </w:rPr>
              <w:br/>
              <w:t>(GRADE)</w:t>
            </w:r>
          </w:p>
        </w:tc>
        <w:tc>
          <w:tcPr>
            <w:tcW w:w="2016" w:type="pct"/>
            <w:vMerge w:val="restart"/>
            <w:tcBorders>
              <w:top w:val="single" w:sz="4" w:space="0" w:color="auto"/>
              <w:right w:val="single" w:sz="4" w:space="0" w:color="auto"/>
            </w:tcBorders>
            <w:shd w:val="clear" w:color="auto" w:fill="3271AA"/>
            <w:vAlign w:val="bottom"/>
            <w:hideMark/>
          </w:tcPr>
          <w:p w14:paraId="4156E495" w14:textId="77777777" w:rsidR="0027566E" w:rsidRPr="00832E5A" w:rsidRDefault="0027566E" w:rsidP="00D45CFA">
            <w:pPr>
              <w:spacing w:before="0" w:after="0" w:line="240" w:lineRule="auto"/>
              <w:jc w:val="center"/>
              <w:rPr>
                <w:rFonts w:ascii="Arial Narrow" w:eastAsia="Times New Roman" w:hAnsi="Arial Narrow" w:cs="Times New Roman"/>
                <w:color w:val="FFFFFF"/>
                <w:sz w:val="16"/>
                <w:szCs w:val="16"/>
                <w:lang w:val="en-US"/>
              </w:rPr>
            </w:pPr>
            <w:r w:rsidRPr="00832E5A">
              <w:rPr>
                <w:rFonts w:ascii="Arial Narrow" w:eastAsia="Times New Roman" w:hAnsi="Arial Narrow" w:cs="Times New Roman"/>
                <w:color w:val="FFFFFF"/>
                <w:sz w:val="16"/>
                <w:szCs w:val="16"/>
                <w:lang w:val="en-US"/>
              </w:rPr>
              <w:t>Comments</w:t>
            </w:r>
          </w:p>
        </w:tc>
      </w:tr>
      <w:tr w:rsidR="001F08FF" w:rsidRPr="00832E5A" w14:paraId="47FB1CBE" w14:textId="77777777" w:rsidTr="2AA1CA0C">
        <w:trPr>
          <w:cantSplit/>
          <w:tblHeader/>
        </w:trPr>
        <w:tc>
          <w:tcPr>
            <w:tcW w:w="556" w:type="pct"/>
            <w:vMerge/>
            <w:vAlign w:val="center"/>
            <w:hideMark/>
          </w:tcPr>
          <w:p w14:paraId="3F7955AA" w14:textId="77777777" w:rsidR="0027566E" w:rsidRPr="00832E5A" w:rsidRDefault="0027566E" w:rsidP="00D45CFA">
            <w:pPr>
              <w:rPr>
                <w:rFonts w:ascii="Arial Narrow" w:eastAsia="MS Mincho" w:hAnsi="Arial Narrow" w:cs="Arial"/>
                <w:color w:val="FFFFFF"/>
                <w:sz w:val="16"/>
                <w:szCs w:val="16"/>
              </w:rPr>
            </w:pPr>
          </w:p>
        </w:tc>
        <w:tc>
          <w:tcPr>
            <w:tcW w:w="403" w:type="pct"/>
            <w:tcBorders>
              <w:top w:val="single" w:sz="6" w:space="0" w:color="EFEFEF"/>
              <w:right w:val="single" w:sz="6" w:space="0" w:color="EFEFEF"/>
            </w:tcBorders>
            <w:shd w:val="clear" w:color="auto" w:fill="E0E0E0"/>
            <w:vAlign w:val="bottom"/>
            <w:hideMark/>
          </w:tcPr>
          <w:p w14:paraId="2CD81DF8" w14:textId="77777777" w:rsidR="0027566E" w:rsidRPr="00832E5A" w:rsidRDefault="0027566E" w:rsidP="00D45CFA">
            <w:pPr>
              <w:spacing w:before="0" w:after="0" w:line="240" w:lineRule="auto"/>
              <w:jc w:val="center"/>
              <w:rPr>
                <w:rFonts w:ascii="Arial Narrow" w:eastAsia="MS Mincho" w:hAnsi="Arial Narrow" w:cs="Times New Roman"/>
                <w:b/>
                <w:bCs/>
                <w:sz w:val="16"/>
                <w:szCs w:val="16"/>
                <w:lang w:eastAsia="en-AU"/>
                <w14:ligatures w14:val="standardContextual"/>
              </w:rPr>
            </w:pPr>
            <w:r w:rsidRPr="00832E5A">
              <w:rPr>
                <w:rFonts w:ascii="Arial Narrow" w:eastAsia="MS Mincho" w:hAnsi="Arial Narrow" w:cs="Times New Roman"/>
                <w:b/>
                <w:bCs/>
                <w:sz w:val="16"/>
                <w:szCs w:val="16"/>
                <w:lang w:eastAsia="en-AU"/>
                <w14:ligatures w14:val="standardContextual"/>
              </w:rPr>
              <w:t>Risk with LSG</w:t>
            </w:r>
          </w:p>
        </w:tc>
        <w:tc>
          <w:tcPr>
            <w:tcW w:w="470" w:type="pct"/>
            <w:tcBorders>
              <w:top w:val="single" w:sz="6" w:space="0" w:color="EFEFEF"/>
              <w:right w:val="single" w:sz="6" w:space="0" w:color="EFEFEF"/>
            </w:tcBorders>
            <w:shd w:val="clear" w:color="auto" w:fill="E0E0E0"/>
            <w:vAlign w:val="bottom"/>
            <w:hideMark/>
          </w:tcPr>
          <w:p w14:paraId="7A028A4F" w14:textId="77777777" w:rsidR="0027566E" w:rsidRPr="00832E5A" w:rsidRDefault="0027566E" w:rsidP="00D45CFA">
            <w:pPr>
              <w:spacing w:before="0" w:after="0" w:line="240" w:lineRule="auto"/>
              <w:jc w:val="center"/>
              <w:rPr>
                <w:rFonts w:ascii="Arial Narrow" w:eastAsia="MS Mincho" w:hAnsi="Arial Narrow" w:cs="Times New Roman"/>
                <w:b/>
                <w:bCs/>
                <w:sz w:val="16"/>
                <w:szCs w:val="16"/>
                <w:lang w:eastAsia="en-AU"/>
                <w14:ligatures w14:val="standardContextual"/>
              </w:rPr>
            </w:pPr>
            <w:r w:rsidRPr="00832E5A">
              <w:rPr>
                <w:rFonts w:ascii="Arial Narrow" w:eastAsia="MS Mincho" w:hAnsi="Arial Narrow" w:cs="Times New Roman"/>
                <w:b/>
                <w:bCs/>
                <w:sz w:val="16"/>
                <w:szCs w:val="16"/>
                <w:lang w:eastAsia="en-AU"/>
                <w14:ligatures w14:val="standardContextual"/>
              </w:rPr>
              <w:t xml:space="preserve">Risk with ESG </w:t>
            </w:r>
          </w:p>
        </w:tc>
        <w:tc>
          <w:tcPr>
            <w:tcW w:w="494" w:type="pct"/>
            <w:vMerge/>
            <w:vAlign w:val="center"/>
            <w:hideMark/>
          </w:tcPr>
          <w:p w14:paraId="4E80E306" w14:textId="77777777" w:rsidR="0027566E" w:rsidRPr="00832E5A" w:rsidRDefault="0027566E" w:rsidP="00D45CFA">
            <w:pPr>
              <w:rPr>
                <w:rFonts w:ascii="Arial Narrow" w:eastAsia="MS Mincho" w:hAnsi="Arial Narrow" w:cs="Arial"/>
                <w:color w:val="FFFFFF"/>
                <w:sz w:val="16"/>
                <w:szCs w:val="16"/>
              </w:rPr>
            </w:pPr>
          </w:p>
        </w:tc>
        <w:tc>
          <w:tcPr>
            <w:tcW w:w="517" w:type="pct"/>
            <w:vMerge/>
            <w:vAlign w:val="center"/>
            <w:hideMark/>
          </w:tcPr>
          <w:p w14:paraId="41922D6E" w14:textId="77777777" w:rsidR="0027566E" w:rsidRPr="00832E5A" w:rsidRDefault="0027566E" w:rsidP="00D45CFA">
            <w:pPr>
              <w:rPr>
                <w:rFonts w:ascii="Arial Narrow" w:eastAsia="MS Mincho" w:hAnsi="Arial Narrow" w:cs="Arial"/>
                <w:color w:val="FFFFFF"/>
                <w:sz w:val="16"/>
                <w:szCs w:val="16"/>
              </w:rPr>
            </w:pPr>
          </w:p>
        </w:tc>
        <w:tc>
          <w:tcPr>
            <w:tcW w:w="544" w:type="pct"/>
            <w:vMerge/>
            <w:vAlign w:val="center"/>
            <w:hideMark/>
          </w:tcPr>
          <w:p w14:paraId="1FE59D0B" w14:textId="77777777" w:rsidR="0027566E" w:rsidRPr="00832E5A" w:rsidRDefault="0027566E" w:rsidP="00D45CFA">
            <w:pPr>
              <w:rPr>
                <w:rFonts w:ascii="Arial Narrow" w:eastAsia="MS Mincho" w:hAnsi="Arial Narrow" w:cs="Arial"/>
                <w:color w:val="FFFFFF"/>
                <w:sz w:val="16"/>
                <w:szCs w:val="16"/>
              </w:rPr>
            </w:pPr>
          </w:p>
        </w:tc>
        <w:tc>
          <w:tcPr>
            <w:tcW w:w="2016" w:type="pct"/>
            <w:vMerge/>
            <w:vAlign w:val="center"/>
            <w:hideMark/>
          </w:tcPr>
          <w:p w14:paraId="46C67ECB" w14:textId="77777777" w:rsidR="0027566E" w:rsidRPr="00832E5A" w:rsidRDefault="0027566E" w:rsidP="00D45CFA">
            <w:pPr>
              <w:rPr>
                <w:rFonts w:ascii="Arial Narrow" w:eastAsia="MS Mincho" w:hAnsi="Arial Narrow" w:cs="Arial"/>
                <w:color w:val="FFFFFF"/>
                <w:sz w:val="16"/>
                <w:szCs w:val="16"/>
              </w:rPr>
            </w:pPr>
          </w:p>
        </w:tc>
      </w:tr>
      <w:tr w:rsidR="00371512" w:rsidRPr="00832E5A" w14:paraId="00F32D78" w14:textId="77777777" w:rsidTr="2AA1CA0C">
        <w:trPr>
          <w:cantSplit/>
        </w:trPr>
        <w:tc>
          <w:tcPr>
            <w:tcW w:w="556" w:type="pct"/>
            <w:tcBorders>
              <w:top w:val="single" w:sz="6" w:space="0" w:color="000000" w:themeColor="text1"/>
              <w:left w:val="single" w:sz="4" w:space="0" w:color="auto"/>
              <w:bottom w:val="single" w:sz="4" w:space="0" w:color="auto"/>
              <w:right w:val="nil"/>
            </w:tcBorders>
            <w:vAlign w:val="center"/>
            <w:hideMark/>
          </w:tcPr>
          <w:p w14:paraId="078A8D8D" w14:textId="2AB9D613" w:rsidR="0027566E" w:rsidRPr="007D18A3" w:rsidRDefault="0027566E" w:rsidP="00D45CFA">
            <w:pPr>
              <w:jc w:val="center"/>
              <w:rPr>
                <w:rFonts w:ascii="Arial Narrow" w:eastAsia="Times New Roman" w:hAnsi="Arial Narrow" w:cs="Arial"/>
                <w:sz w:val="18"/>
                <w:szCs w:val="18"/>
              </w:rPr>
            </w:pPr>
            <w:r w:rsidRPr="0D77DCC5">
              <w:rPr>
                <w:rFonts w:ascii="Arial Narrow" w:eastAsia="Calibri" w:hAnsi="Arial Narrow" w:cs="Arial"/>
                <w:sz w:val="18"/>
                <w:szCs w:val="18"/>
              </w:rPr>
              <w:t xml:space="preserve">Rate of severe </w:t>
            </w:r>
            <w:r w:rsidR="00C81C24" w:rsidRPr="0D77DCC5">
              <w:rPr>
                <w:rFonts w:ascii="Arial Narrow" w:eastAsia="Calibri" w:hAnsi="Arial Narrow" w:cs="Arial"/>
                <w:sz w:val="18"/>
                <w:szCs w:val="18"/>
              </w:rPr>
              <w:t>AE</w:t>
            </w:r>
            <w:r w:rsidRPr="0D77DCC5">
              <w:rPr>
                <w:rFonts w:ascii="Arial Narrow" w:eastAsia="Calibri" w:hAnsi="Arial Narrow" w:cs="Arial"/>
                <w:sz w:val="18"/>
                <w:szCs w:val="18"/>
              </w:rPr>
              <w:t xml:space="preserve">s </w:t>
            </w:r>
          </w:p>
        </w:tc>
        <w:tc>
          <w:tcPr>
            <w:tcW w:w="403" w:type="pct"/>
            <w:tcBorders>
              <w:top w:val="single" w:sz="6" w:space="0" w:color="000000" w:themeColor="text1"/>
              <w:left w:val="nil"/>
              <w:bottom w:val="single" w:sz="4" w:space="0" w:color="auto"/>
              <w:right w:val="nil"/>
            </w:tcBorders>
            <w:shd w:val="clear" w:color="auto" w:fill="ECECEC"/>
            <w:vAlign w:val="center"/>
            <w:hideMark/>
          </w:tcPr>
          <w:p w14:paraId="69651C9B" w14:textId="77777777" w:rsidR="0027566E" w:rsidRPr="007D18A3" w:rsidRDefault="0027566E" w:rsidP="007D18A3">
            <w:pPr>
              <w:jc w:val="center"/>
              <w:rPr>
                <w:rFonts w:ascii="Arial Narrow" w:eastAsia="Times New Roman" w:hAnsi="Arial Narrow" w:cs="Arial"/>
                <w:sz w:val="18"/>
                <w:szCs w:val="18"/>
              </w:rPr>
            </w:pPr>
            <w:r w:rsidRPr="007D18A3">
              <w:rPr>
                <w:rFonts w:ascii="Arial Narrow" w:eastAsia="Times New Roman" w:hAnsi="Arial Narrow" w:cs="Arial"/>
                <w:sz w:val="18"/>
                <w:szCs w:val="18"/>
              </w:rPr>
              <w:t>15 per 1,000</w:t>
            </w:r>
          </w:p>
        </w:tc>
        <w:tc>
          <w:tcPr>
            <w:tcW w:w="470" w:type="pct"/>
            <w:tcBorders>
              <w:top w:val="single" w:sz="6" w:space="0" w:color="000000" w:themeColor="text1"/>
              <w:left w:val="nil"/>
              <w:bottom w:val="single" w:sz="4" w:space="0" w:color="auto"/>
              <w:right w:val="nil"/>
            </w:tcBorders>
            <w:shd w:val="clear" w:color="auto" w:fill="EBEBEB"/>
            <w:vAlign w:val="center"/>
            <w:hideMark/>
          </w:tcPr>
          <w:p w14:paraId="670763F6" w14:textId="77777777" w:rsidR="0027566E" w:rsidRPr="007D18A3" w:rsidRDefault="0027566E" w:rsidP="00844152">
            <w:pPr>
              <w:jc w:val="center"/>
              <w:rPr>
                <w:rFonts w:ascii="Arial Narrow" w:eastAsia="Times New Roman" w:hAnsi="Arial Narrow" w:cs="Arial"/>
                <w:sz w:val="18"/>
                <w:szCs w:val="18"/>
              </w:rPr>
            </w:pPr>
            <w:r w:rsidRPr="007D18A3">
              <w:rPr>
                <w:rFonts w:ascii="Arial Narrow" w:eastAsia="Calibri" w:hAnsi="Arial Narrow" w:cs="Arial"/>
                <w:b/>
                <w:bCs/>
                <w:sz w:val="18"/>
                <w:szCs w:val="18"/>
              </w:rPr>
              <w:t>12 per 1,000</w:t>
            </w:r>
            <w:r w:rsidRPr="007D18A3">
              <w:rPr>
                <w:rFonts w:ascii="Arial Narrow" w:eastAsia="Times New Roman" w:hAnsi="Arial Narrow" w:cs="Arial"/>
                <w:sz w:val="18"/>
                <w:szCs w:val="18"/>
              </w:rPr>
              <w:br/>
            </w:r>
            <w:r w:rsidRPr="007D18A3">
              <w:rPr>
                <w:rFonts w:ascii="Arial Narrow" w:eastAsia="Calibri" w:hAnsi="Arial Narrow" w:cs="Arial"/>
                <w:sz w:val="18"/>
                <w:szCs w:val="18"/>
              </w:rPr>
              <w:t>(7 to 20)</w:t>
            </w:r>
          </w:p>
        </w:tc>
        <w:tc>
          <w:tcPr>
            <w:tcW w:w="494" w:type="pct"/>
            <w:tcBorders>
              <w:top w:val="single" w:sz="6" w:space="0" w:color="000000" w:themeColor="text1"/>
              <w:left w:val="nil"/>
              <w:bottom w:val="single" w:sz="4" w:space="0" w:color="auto"/>
              <w:right w:val="nil"/>
            </w:tcBorders>
            <w:vAlign w:val="center"/>
            <w:hideMark/>
          </w:tcPr>
          <w:p w14:paraId="2192C5A9" w14:textId="77777777" w:rsidR="0027566E" w:rsidRPr="007D18A3" w:rsidRDefault="0027566E" w:rsidP="00844152">
            <w:pPr>
              <w:jc w:val="center"/>
              <w:rPr>
                <w:rFonts w:ascii="Arial Narrow" w:eastAsia="Times New Roman" w:hAnsi="Arial Narrow" w:cs="Arial"/>
                <w:sz w:val="18"/>
                <w:szCs w:val="18"/>
              </w:rPr>
            </w:pPr>
            <w:r w:rsidRPr="007D18A3">
              <w:rPr>
                <w:rFonts w:ascii="Arial Narrow" w:eastAsia="Times New Roman" w:hAnsi="Arial Narrow" w:cs="Arial"/>
                <w:b/>
                <w:bCs/>
                <w:sz w:val="18"/>
                <w:szCs w:val="18"/>
              </w:rPr>
              <w:t>OR 0.80</w:t>
            </w:r>
            <w:r w:rsidRPr="007D18A3">
              <w:rPr>
                <w:rFonts w:ascii="Arial Narrow" w:eastAsia="Times New Roman" w:hAnsi="Arial Narrow" w:cs="Arial"/>
                <w:sz w:val="18"/>
                <w:szCs w:val="18"/>
              </w:rPr>
              <w:br/>
            </w:r>
            <w:r w:rsidRPr="007D18A3">
              <w:rPr>
                <w:rFonts w:ascii="Arial Narrow" w:eastAsia="Calibri" w:hAnsi="Arial Narrow" w:cs="Arial"/>
                <w:sz w:val="18"/>
                <w:szCs w:val="18"/>
              </w:rPr>
              <w:t>(0.48 to 1.32)</w:t>
            </w:r>
          </w:p>
        </w:tc>
        <w:tc>
          <w:tcPr>
            <w:tcW w:w="517" w:type="pct"/>
            <w:tcBorders>
              <w:top w:val="single" w:sz="6" w:space="0" w:color="000000" w:themeColor="text1"/>
              <w:left w:val="nil"/>
              <w:bottom w:val="single" w:sz="4" w:space="0" w:color="auto"/>
              <w:right w:val="nil"/>
            </w:tcBorders>
            <w:vAlign w:val="center"/>
            <w:hideMark/>
          </w:tcPr>
          <w:p w14:paraId="16B5B073" w14:textId="5D28EC6E" w:rsidR="0027566E" w:rsidRPr="007D18A3" w:rsidRDefault="0027566E" w:rsidP="00844152">
            <w:pPr>
              <w:jc w:val="center"/>
              <w:rPr>
                <w:rFonts w:ascii="Arial Narrow" w:eastAsia="Times New Roman" w:hAnsi="Arial Narrow" w:cs="Arial"/>
                <w:sz w:val="18"/>
                <w:szCs w:val="18"/>
              </w:rPr>
            </w:pPr>
            <w:r w:rsidRPr="0D77DCC5">
              <w:rPr>
                <w:rFonts w:ascii="Arial Narrow" w:eastAsia="Times New Roman" w:hAnsi="Arial Narrow" w:cs="Arial"/>
                <w:sz w:val="18"/>
                <w:szCs w:val="18"/>
              </w:rPr>
              <w:t>194</w:t>
            </w:r>
            <w:r w:rsidR="00C81C24" w:rsidRPr="0D77DCC5">
              <w:rPr>
                <w:rFonts w:ascii="Arial Narrow" w:eastAsia="Times New Roman" w:hAnsi="Arial Narrow" w:cs="Arial"/>
                <w:sz w:val="18"/>
                <w:szCs w:val="18"/>
              </w:rPr>
              <w:t>,</w:t>
            </w:r>
            <w:r w:rsidRPr="0D77DCC5">
              <w:rPr>
                <w:rFonts w:ascii="Arial Narrow" w:eastAsia="Times New Roman" w:hAnsi="Arial Narrow" w:cs="Arial"/>
                <w:sz w:val="18"/>
                <w:szCs w:val="18"/>
              </w:rPr>
              <w:t>126</w:t>
            </w:r>
            <w:r>
              <w:br/>
            </w:r>
            <w:r w:rsidRPr="0D77DCC5">
              <w:rPr>
                <w:rFonts w:ascii="Arial Narrow" w:eastAsia="Times New Roman" w:hAnsi="Arial Narrow" w:cs="Arial"/>
                <w:sz w:val="18"/>
                <w:szCs w:val="18"/>
              </w:rPr>
              <w:t>(9 non-randomised studies)</w:t>
            </w:r>
          </w:p>
        </w:tc>
        <w:tc>
          <w:tcPr>
            <w:tcW w:w="544" w:type="pct"/>
            <w:tcBorders>
              <w:top w:val="single" w:sz="6" w:space="0" w:color="000000" w:themeColor="text1"/>
              <w:left w:val="nil"/>
              <w:bottom w:val="single" w:sz="4" w:space="0" w:color="auto"/>
              <w:right w:val="nil"/>
            </w:tcBorders>
            <w:vAlign w:val="center"/>
            <w:hideMark/>
          </w:tcPr>
          <w:p w14:paraId="533EED44" w14:textId="276469F8" w:rsidR="0027566E" w:rsidRPr="007D18A3" w:rsidRDefault="0027566E" w:rsidP="00844152">
            <w:pPr>
              <w:jc w:val="center"/>
              <w:rPr>
                <w:rFonts w:ascii="Arial Narrow" w:eastAsia="Times New Roman" w:hAnsi="Arial Narrow" w:cs="Arial"/>
                <w:sz w:val="18"/>
                <w:szCs w:val="18"/>
                <w:vertAlign w:val="superscript"/>
              </w:rPr>
            </w:pPr>
            <w:r w:rsidRPr="007D18A3">
              <w:rPr>
                <w:rFonts w:ascii="Cambria Math" w:eastAsia="Times New Roman" w:hAnsi="Cambria Math" w:cs="Cambria Math"/>
                <w:sz w:val="18"/>
                <w:szCs w:val="18"/>
              </w:rPr>
              <w:t>⨁⨁◯◯</w:t>
            </w:r>
            <w:r>
              <w:br/>
            </w:r>
            <w:r w:rsidRPr="007D18A3">
              <w:rPr>
                <w:rFonts w:ascii="Arial Narrow" w:eastAsia="Times New Roman" w:hAnsi="Arial Narrow" w:cs="Arial"/>
                <w:sz w:val="18"/>
                <w:szCs w:val="18"/>
              </w:rPr>
              <w:t>Low</w:t>
            </w:r>
          </w:p>
        </w:tc>
        <w:tc>
          <w:tcPr>
            <w:tcW w:w="2016" w:type="pct"/>
            <w:tcBorders>
              <w:top w:val="single" w:sz="6" w:space="0" w:color="000000" w:themeColor="text1"/>
              <w:left w:val="nil"/>
              <w:bottom w:val="single" w:sz="4" w:space="0" w:color="auto"/>
              <w:right w:val="single" w:sz="4" w:space="0" w:color="auto"/>
            </w:tcBorders>
            <w:vAlign w:val="center"/>
            <w:hideMark/>
          </w:tcPr>
          <w:p w14:paraId="30211A1A" w14:textId="5D08E5ED" w:rsidR="0027566E" w:rsidRPr="007D18A3" w:rsidRDefault="0027566E" w:rsidP="2AA1CA0C">
            <w:pPr>
              <w:jc w:val="center"/>
              <w:rPr>
                <w:rFonts w:ascii="Arial Narrow" w:eastAsia="Times New Roman" w:hAnsi="Arial Narrow" w:cs="Arial"/>
                <w:sz w:val="18"/>
                <w:szCs w:val="18"/>
              </w:rPr>
            </w:pPr>
            <w:r w:rsidRPr="2AA1CA0C">
              <w:rPr>
                <w:rFonts w:ascii="Arial Narrow" w:eastAsia="Times New Roman" w:hAnsi="Arial Narrow" w:cs="Arial"/>
                <w:sz w:val="18"/>
                <w:szCs w:val="18"/>
              </w:rPr>
              <w:t xml:space="preserve">ESG is likely to reduce the rate of severe </w:t>
            </w:r>
            <w:r w:rsidR="00C81C24" w:rsidRPr="2AA1CA0C">
              <w:rPr>
                <w:rFonts w:ascii="Arial Narrow" w:eastAsia="Times New Roman" w:hAnsi="Arial Narrow" w:cs="Arial"/>
                <w:sz w:val="18"/>
                <w:szCs w:val="18"/>
              </w:rPr>
              <w:t>AE</w:t>
            </w:r>
            <w:r w:rsidRPr="2AA1CA0C">
              <w:rPr>
                <w:rFonts w:ascii="Arial Narrow" w:eastAsia="Times New Roman" w:hAnsi="Arial Narrow" w:cs="Arial"/>
                <w:sz w:val="18"/>
                <w:szCs w:val="18"/>
              </w:rPr>
              <w:t xml:space="preserve">s compared to LSG but the evidence is uncertain. This analysis includes </w:t>
            </w:r>
            <w:r w:rsidR="00C81C24" w:rsidRPr="2AA1CA0C">
              <w:rPr>
                <w:rFonts w:ascii="Arial Narrow" w:eastAsia="Times New Roman" w:hAnsi="Arial Narrow" w:cs="Arial"/>
                <w:sz w:val="18"/>
                <w:szCs w:val="18"/>
              </w:rPr>
              <w:t xml:space="preserve">2 </w:t>
            </w:r>
            <w:r w:rsidRPr="2AA1CA0C">
              <w:rPr>
                <w:rFonts w:ascii="Arial Narrow" w:eastAsia="Times New Roman" w:hAnsi="Arial Narrow" w:cs="Arial"/>
                <w:sz w:val="18"/>
                <w:szCs w:val="18"/>
              </w:rPr>
              <w:t xml:space="preserve">studies </w:t>
            </w:r>
            <w:r w:rsidR="00C81C24" w:rsidRPr="2AA1CA0C">
              <w:rPr>
                <w:rFonts w:ascii="Arial Narrow" w:eastAsia="Times New Roman" w:hAnsi="Arial Narrow" w:cs="Arial"/>
                <w:sz w:val="18"/>
                <w:szCs w:val="18"/>
              </w:rPr>
              <w:t xml:space="preserve">that </w:t>
            </w:r>
            <w:r w:rsidRPr="2AA1CA0C">
              <w:rPr>
                <w:rFonts w:ascii="Arial Narrow" w:eastAsia="Times New Roman" w:hAnsi="Arial Narrow" w:cs="Arial"/>
                <w:sz w:val="18"/>
                <w:szCs w:val="18"/>
              </w:rPr>
              <w:t xml:space="preserve">have a high risk of bias. Exclusion of these </w:t>
            </w:r>
            <w:r w:rsidR="00C81C24" w:rsidRPr="2AA1CA0C">
              <w:rPr>
                <w:rFonts w:ascii="Arial Narrow" w:eastAsia="Times New Roman" w:hAnsi="Arial Narrow" w:cs="Arial"/>
                <w:sz w:val="18"/>
                <w:szCs w:val="18"/>
              </w:rPr>
              <w:t xml:space="preserve">2 </w:t>
            </w:r>
            <w:r w:rsidRPr="2AA1CA0C">
              <w:rPr>
                <w:rFonts w:ascii="Arial Narrow" w:eastAsia="Times New Roman" w:hAnsi="Arial Narrow" w:cs="Arial"/>
                <w:sz w:val="18"/>
                <w:szCs w:val="18"/>
              </w:rPr>
              <w:t>high</w:t>
            </w:r>
            <w:r w:rsidR="00C81C24" w:rsidRPr="2AA1CA0C">
              <w:rPr>
                <w:rFonts w:ascii="Arial Narrow" w:eastAsia="Times New Roman" w:hAnsi="Arial Narrow" w:cs="Arial"/>
                <w:sz w:val="18"/>
                <w:szCs w:val="18"/>
              </w:rPr>
              <w:t>-</w:t>
            </w:r>
            <w:r w:rsidRPr="2AA1CA0C">
              <w:rPr>
                <w:rFonts w:ascii="Arial Narrow" w:eastAsia="Times New Roman" w:hAnsi="Arial Narrow" w:cs="Arial"/>
                <w:sz w:val="18"/>
                <w:szCs w:val="18"/>
              </w:rPr>
              <w:t>risk studies</w:t>
            </w:r>
            <w:r w:rsidR="00C81C24" w:rsidRPr="2AA1CA0C">
              <w:rPr>
                <w:rFonts w:ascii="Arial Narrow" w:eastAsia="Times New Roman" w:hAnsi="Arial Narrow" w:cs="Arial"/>
                <w:sz w:val="18"/>
                <w:szCs w:val="18"/>
              </w:rPr>
              <w:t xml:space="preserve"> further</w:t>
            </w:r>
            <w:r w:rsidRPr="2AA1CA0C">
              <w:rPr>
                <w:rFonts w:ascii="Arial Narrow" w:eastAsia="Times New Roman" w:hAnsi="Arial Narrow" w:cs="Arial"/>
                <w:sz w:val="18"/>
                <w:szCs w:val="18"/>
              </w:rPr>
              <w:t xml:space="preserve"> reduces the rate of severe </w:t>
            </w:r>
            <w:r w:rsidR="00C81C24" w:rsidRPr="2AA1CA0C">
              <w:rPr>
                <w:rFonts w:ascii="Arial Narrow" w:eastAsia="Times New Roman" w:hAnsi="Arial Narrow" w:cs="Arial"/>
                <w:sz w:val="18"/>
                <w:szCs w:val="18"/>
              </w:rPr>
              <w:t>AEs</w:t>
            </w:r>
            <w:r w:rsidRPr="2AA1CA0C">
              <w:rPr>
                <w:rFonts w:ascii="Arial Narrow" w:eastAsia="Times New Roman" w:hAnsi="Arial Narrow" w:cs="Arial"/>
                <w:sz w:val="18"/>
                <w:szCs w:val="18"/>
              </w:rPr>
              <w:t xml:space="preserve">. </w:t>
            </w:r>
          </w:p>
        </w:tc>
      </w:tr>
    </w:tbl>
    <w:p w14:paraId="240DDB67" w14:textId="74707474" w:rsidR="00A32F4C" w:rsidRPr="007D18A3" w:rsidRDefault="00A32F4C" w:rsidP="00ED651B">
      <w:pPr>
        <w:pStyle w:val="TableFigureFooter"/>
      </w:pPr>
      <w:r w:rsidRPr="00D76EFB">
        <w:t>Abbreviations:</w:t>
      </w:r>
      <w:r w:rsidRPr="53468D8C">
        <w:t xml:space="preserve"> </w:t>
      </w:r>
      <w:r w:rsidR="00643F66" w:rsidRPr="00D76EFB">
        <w:t>AE</w:t>
      </w:r>
      <w:r w:rsidR="00643F66" w:rsidRPr="00851D86">
        <w:t xml:space="preserve">: adverse event; </w:t>
      </w:r>
      <w:r w:rsidRPr="00D76EFB">
        <w:t>CI</w:t>
      </w:r>
      <w:r w:rsidRPr="0D77DCC5">
        <w:t xml:space="preserve">: confidence interval; </w:t>
      </w:r>
      <w:r w:rsidRPr="00D76EFB">
        <w:t>ESG</w:t>
      </w:r>
      <w:r w:rsidRPr="0D77DCC5">
        <w:t xml:space="preserve">: endoscopic sleeve gastroplasty; </w:t>
      </w:r>
      <w:r w:rsidRPr="00D76EFB">
        <w:t>GORD</w:t>
      </w:r>
      <w:r w:rsidRPr="0D77DCC5">
        <w:t xml:space="preserve">: gastro-oesophageal reflux disease; </w:t>
      </w:r>
      <w:r w:rsidRPr="00D76EFB">
        <w:t>LSG</w:t>
      </w:r>
      <w:r w:rsidRPr="0D77DCC5">
        <w:t xml:space="preserve">: laparoscopic sleeve gastrectomy; </w:t>
      </w:r>
      <w:r w:rsidR="00DE2483" w:rsidRPr="00D76EFB">
        <w:t>OR</w:t>
      </w:r>
      <w:r w:rsidR="00DE2483" w:rsidRPr="0D77DCC5">
        <w:t>: odds ratio</w:t>
      </w:r>
    </w:p>
    <w:p w14:paraId="49EE8421" w14:textId="0DEEBAB6" w:rsidR="00DE2483" w:rsidRPr="00E96D71" w:rsidRDefault="00643F66" w:rsidP="00ED651B">
      <w:pPr>
        <w:pStyle w:val="TableFigureFooter"/>
      </w:pPr>
      <w:r w:rsidRPr="00D76EFB">
        <w:t>Note</w:t>
      </w:r>
      <w:r w:rsidRPr="0D77DCC5">
        <w:t xml:space="preserve">: </w:t>
      </w:r>
      <w:r w:rsidR="00A32F4C" w:rsidRPr="00D76EFB">
        <w:t>*</w:t>
      </w:r>
      <w:r w:rsidR="00A32F4C" w:rsidRPr="0D77DCC5">
        <w:t>The risk in the intervention group (</w:t>
      </w:r>
      <w:r w:rsidR="00C81C24" w:rsidRPr="0D77DCC5">
        <w:t xml:space="preserve">plus </w:t>
      </w:r>
      <w:r w:rsidR="00A32F4C" w:rsidRPr="0D77DCC5">
        <w:t xml:space="preserve">95% </w:t>
      </w:r>
      <w:r w:rsidRPr="0D77DCC5">
        <w:t>CI</w:t>
      </w:r>
      <w:r w:rsidR="00A32F4C" w:rsidRPr="0D77DCC5">
        <w:t>) is based on the assumed risk in the comparison group and the relative effect of the intervention (</w:t>
      </w:r>
      <w:r w:rsidRPr="0D77DCC5">
        <w:t>plus</w:t>
      </w:r>
      <w:r w:rsidR="00A32F4C" w:rsidRPr="0D77DCC5">
        <w:t xml:space="preserve"> 95% CI).</w:t>
      </w:r>
      <w:r w:rsidR="74DC3E25" w:rsidRPr="31F003CF">
        <w:t xml:space="preserve"> </w:t>
      </w:r>
      <w:r>
        <w:br/>
      </w:r>
      <w:r w:rsidR="74DC3E25" w:rsidRPr="31F003CF">
        <w:t xml:space="preserve">Source:  Table 5.9 </w:t>
      </w:r>
      <w:r w:rsidR="4C022C29" w:rsidRPr="31F003CF">
        <w:t>appendix pg. 2</w:t>
      </w:r>
      <w:r w:rsidR="007A6606">
        <w:t>3</w:t>
      </w:r>
      <w:r w:rsidR="4C022C29" w:rsidRPr="31F003CF">
        <w:t>6 of ADAR</w:t>
      </w:r>
      <w:r w:rsidR="00F90945">
        <w:t>.</w:t>
      </w:r>
      <w:r w:rsidR="74DC3E25" w:rsidRPr="31F003CF">
        <w:t xml:space="preserve">  </w:t>
      </w:r>
    </w:p>
    <w:p w14:paraId="06EB3398" w14:textId="56DAAC47" w:rsidR="00AAF094" w:rsidRPr="00AB6166" w:rsidRDefault="07D20AC7" w:rsidP="00AB6166">
      <w:pPr>
        <w:pStyle w:val="BodyText"/>
      </w:pPr>
      <w:r w:rsidRPr="2AA1CA0C">
        <w:t xml:space="preserve">Nine non-randomised </w:t>
      </w:r>
      <w:r w:rsidR="2D616CA3" w:rsidRPr="2AA1CA0C">
        <w:t xml:space="preserve">studies reported safety data </w:t>
      </w:r>
      <w:r w:rsidR="00A47EFB" w:rsidRPr="2AA1CA0C">
        <w:t xml:space="preserve">for </w:t>
      </w:r>
      <w:r w:rsidR="2D616CA3" w:rsidRPr="2AA1CA0C">
        <w:t>both ESG and LSG procedures</w:t>
      </w:r>
      <w:r w:rsidR="00292637" w:rsidRPr="2AA1CA0C">
        <w:t>.</w:t>
      </w:r>
      <w:r w:rsidR="00D0140C" w:rsidRPr="2AA1CA0C">
        <w:t xml:space="preserve"> </w:t>
      </w:r>
      <w:r w:rsidR="003F0E2D" w:rsidRPr="2AA1CA0C">
        <w:t xml:space="preserve">These </w:t>
      </w:r>
      <w:r w:rsidR="0C8541BD" w:rsidRPr="2AA1CA0C">
        <w:t xml:space="preserve">studies utilised methods of </w:t>
      </w:r>
      <w:r w:rsidR="003F0E2D" w:rsidRPr="2AA1CA0C">
        <w:t xml:space="preserve">AE </w:t>
      </w:r>
      <w:r w:rsidR="008F5EBB" w:rsidRPr="2AA1CA0C">
        <w:t>class</w:t>
      </w:r>
      <w:r w:rsidR="0C8541BD" w:rsidRPr="2AA1CA0C">
        <w:t>ification including Clavien</w:t>
      </w:r>
      <w:r w:rsidR="002542C9" w:rsidRPr="2AA1CA0C">
        <w:t>-</w:t>
      </w:r>
      <w:r w:rsidR="0C8541BD" w:rsidRPr="2AA1CA0C">
        <w:t>Dindo and the Na</w:t>
      </w:r>
      <w:r w:rsidR="623EE152" w:rsidRPr="2AA1CA0C">
        <w:t xml:space="preserve">tional Institute of Health </w:t>
      </w:r>
      <w:r w:rsidR="008F5EBB" w:rsidRPr="2AA1CA0C">
        <w:t>class</w:t>
      </w:r>
      <w:r w:rsidR="623EE152" w:rsidRPr="2AA1CA0C">
        <w:t>ification scales. Rates of AEs in</w:t>
      </w:r>
      <w:r w:rsidR="5547C048" w:rsidRPr="2AA1CA0C">
        <w:t xml:space="preserve"> ESG patients</w:t>
      </w:r>
      <w:r w:rsidR="623EE152" w:rsidRPr="2AA1CA0C">
        <w:t xml:space="preserve"> ranged from 0</w:t>
      </w:r>
      <w:r w:rsidR="00E61B23" w:rsidRPr="2AA1CA0C">
        <w:t>–</w:t>
      </w:r>
      <w:r w:rsidR="623EE152" w:rsidRPr="2AA1CA0C">
        <w:t>5.2%</w:t>
      </w:r>
      <w:r w:rsidR="18DC57F7" w:rsidRPr="2AA1CA0C">
        <w:t>, whil</w:t>
      </w:r>
      <w:r w:rsidR="00E61B23" w:rsidRPr="2AA1CA0C">
        <w:t xml:space="preserve">e </w:t>
      </w:r>
      <w:r w:rsidR="18DC57F7" w:rsidRPr="2AA1CA0C">
        <w:t>rates of AEs in those treated with LSG ranged from 0</w:t>
      </w:r>
      <w:r w:rsidR="00E61B23" w:rsidRPr="2AA1CA0C">
        <w:t>–</w:t>
      </w:r>
      <w:r w:rsidR="18DC57F7" w:rsidRPr="2AA1CA0C">
        <w:t>16.9%.</w:t>
      </w:r>
      <w:r w:rsidR="042B5127" w:rsidRPr="2AA1CA0C">
        <w:t xml:space="preserve"> </w:t>
      </w:r>
      <w:r w:rsidR="34EF225F" w:rsidRPr="2AA1CA0C">
        <w:t xml:space="preserve">Reported AEs for ESG patients included bleeding, </w:t>
      </w:r>
      <w:r w:rsidR="3FC792E4" w:rsidRPr="2AA1CA0C">
        <w:t>peri</w:t>
      </w:r>
      <w:r w:rsidR="00E61B23" w:rsidRPr="2AA1CA0C">
        <w:t>-</w:t>
      </w:r>
      <w:r w:rsidR="3FC792E4" w:rsidRPr="2AA1CA0C">
        <w:t>gastric</w:t>
      </w:r>
      <w:r w:rsidR="34EF225F" w:rsidRPr="2AA1CA0C">
        <w:t xml:space="preserve"> coll</w:t>
      </w:r>
      <w:r w:rsidR="55132E21" w:rsidRPr="2AA1CA0C">
        <w:t>ection</w:t>
      </w:r>
      <w:r w:rsidR="5C5EA7B4" w:rsidRPr="2AA1CA0C">
        <w:t xml:space="preserve"> and leaks</w:t>
      </w:r>
      <w:r w:rsidR="0022385C" w:rsidRPr="2AA1CA0C">
        <w:t>. I</w:t>
      </w:r>
      <w:r w:rsidR="2D182070" w:rsidRPr="2AA1CA0C">
        <w:t>n LSG</w:t>
      </w:r>
      <w:r w:rsidR="0022385C" w:rsidRPr="2AA1CA0C">
        <w:t xml:space="preserve"> patients</w:t>
      </w:r>
      <w:r w:rsidR="2D182070" w:rsidRPr="2AA1CA0C">
        <w:t xml:space="preserve">, </w:t>
      </w:r>
      <w:r w:rsidR="0CFFA95E" w:rsidRPr="2AA1CA0C">
        <w:t xml:space="preserve">these were observed in addition to pancreatitis and jaundice, </w:t>
      </w:r>
      <w:r w:rsidR="22ECC84A" w:rsidRPr="2AA1CA0C">
        <w:t>wound dehiscence, pulmonary embolism</w:t>
      </w:r>
      <w:r w:rsidR="5E6DAF88" w:rsidRPr="2AA1CA0C">
        <w:t xml:space="preserve"> and vein thrombosis</w:t>
      </w:r>
      <w:r w:rsidR="22ECC84A" w:rsidRPr="2AA1CA0C">
        <w:t xml:space="preserve">, respiratory failure, </w:t>
      </w:r>
      <w:r w:rsidR="2DB86FCA" w:rsidRPr="2AA1CA0C">
        <w:t>postoperative ileus</w:t>
      </w:r>
      <w:r w:rsidR="259AAAF9" w:rsidRPr="2AA1CA0C">
        <w:t xml:space="preserve"> and </w:t>
      </w:r>
      <w:r w:rsidR="2DB86FCA" w:rsidRPr="2AA1CA0C">
        <w:t xml:space="preserve">wound and urinary tract infection. </w:t>
      </w:r>
    </w:p>
    <w:p w14:paraId="4DEF1125" w14:textId="6C93CE2D" w:rsidR="07901421" w:rsidRPr="00AB6166" w:rsidRDefault="07901421" w:rsidP="00AB6166">
      <w:pPr>
        <w:pStyle w:val="BodyText"/>
      </w:pPr>
      <w:r w:rsidRPr="2AA1CA0C">
        <w:t>Meta</w:t>
      </w:r>
      <w:r w:rsidR="0022385C" w:rsidRPr="2AA1CA0C">
        <w:t>-</w:t>
      </w:r>
      <w:r w:rsidRPr="2AA1CA0C">
        <w:t xml:space="preserve">analysis of </w:t>
      </w:r>
      <w:r w:rsidR="21A82B00" w:rsidRPr="2AA1CA0C">
        <w:t xml:space="preserve">the </w:t>
      </w:r>
      <w:r w:rsidR="0022385C" w:rsidRPr="2AA1CA0C">
        <w:t xml:space="preserve">9 </w:t>
      </w:r>
      <w:r w:rsidR="21A82B00" w:rsidRPr="2AA1CA0C">
        <w:t xml:space="preserve">studies revealed a lower </w:t>
      </w:r>
      <w:r w:rsidR="00C7C926" w:rsidRPr="2AA1CA0C">
        <w:t xml:space="preserve">rate </w:t>
      </w:r>
      <w:r w:rsidR="0022385C" w:rsidRPr="2AA1CA0C">
        <w:t xml:space="preserve">of severe AEs </w:t>
      </w:r>
      <w:r w:rsidR="00C7C926" w:rsidRPr="2AA1CA0C">
        <w:t xml:space="preserve">and </w:t>
      </w:r>
      <w:r w:rsidR="0022385C" w:rsidRPr="2AA1CA0C">
        <w:t xml:space="preserve">a lower </w:t>
      </w:r>
      <w:r w:rsidR="21A82B00" w:rsidRPr="2AA1CA0C">
        <w:t>total mean di</w:t>
      </w:r>
      <w:r w:rsidR="6FE2CD69" w:rsidRPr="2AA1CA0C">
        <w:t xml:space="preserve">fference </w:t>
      </w:r>
      <w:r w:rsidR="00AB026A" w:rsidRPr="2AA1CA0C">
        <w:t xml:space="preserve">for </w:t>
      </w:r>
      <w:r w:rsidR="6603DBDA" w:rsidRPr="2AA1CA0C">
        <w:t>severe AEs</w:t>
      </w:r>
      <w:r w:rsidR="6FE2CD69" w:rsidRPr="2AA1CA0C">
        <w:t xml:space="preserve"> for the ESG group </w:t>
      </w:r>
      <w:r w:rsidR="3983046C" w:rsidRPr="2AA1CA0C">
        <w:t>as compared to LSG</w:t>
      </w:r>
      <w:r w:rsidR="00AB026A" w:rsidRPr="2AA1CA0C">
        <w:t>,</w:t>
      </w:r>
      <w:r w:rsidR="76F6CF47" w:rsidRPr="2AA1CA0C">
        <w:t xml:space="preserve"> favour</w:t>
      </w:r>
      <w:r w:rsidR="00BD0034" w:rsidRPr="2AA1CA0C">
        <w:t>ing</w:t>
      </w:r>
      <w:r w:rsidR="76F6CF47" w:rsidRPr="2AA1CA0C">
        <w:t xml:space="preserve"> ESG wi</w:t>
      </w:r>
      <w:r w:rsidR="66045614" w:rsidRPr="2AA1CA0C">
        <w:t>t</w:t>
      </w:r>
      <w:r w:rsidR="76F6CF47" w:rsidRPr="2AA1CA0C">
        <w:t xml:space="preserve">h a non-significant </w:t>
      </w:r>
      <w:r w:rsidR="0EDED6AD" w:rsidRPr="2AA1CA0C">
        <w:t>odds ratio of 0.80 (95% CI: 0.48, 1.32)</w:t>
      </w:r>
      <w:r w:rsidR="50EBBDAE" w:rsidRPr="2AA1CA0C">
        <w:t xml:space="preserve">. The applicant </w:t>
      </w:r>
      <w:r w:rsidR="009D0C14" w:rsidRPr="2AA1CA0C">
        <w:t xml:space="preserve">stated </w:t>
      </w:r>
      <w:r w:rsidR="50EBBDAE" w:rsidRPr="2AA1CA0C">
        <w:t xml:space="preserve">that the non-significant results could be attributed to </w:t>
      </w:r>
      <w:r w:rsidR="009D0C14" w:rsidRPr="2AA1CA0C">
        <w:t xml:space="preserve">2 </w:t>
      </w:r>
      <w:r w:rsidR="50EBBDAE" w:rsidRPr="2AA1CA0C">
        <w:t xml:space="preserve">studies with a high risk of bias that identified </w:t>
      </w:r>
      <w:r w:rsidR="3C61E4F9" w:rsidRPr="2AA1CA0C">
        <w:t>higher rates of severe AEs within ESG groups</w:t>
      </w:r>
      <w:r w:rsidR="005D4D17" w:rsidRPr="2AA1CA0C">
        <w:t>.</w:t>
      </w:r>
      <w:r w:rsidR="00500F61" w:rsidRPr="00D76EFB">
        <w:rPr>
          <w:vertAlign w:val="superscript"/>
        </w:rPr>
        <w:fldChar w:fldCharType="begin"/>
      </w:r>
      <w:r w:rsidR="00500F61" w:rsidRPr="00D76EFB">
        <w:rPr>
          <w:vertAlign w:val="superscript"/>
        </w:rPr>
        <w:instrText xml:space="preserve"> NOTEREF _Ref187069191 \h </w:instrText>
      </w:r>
      <w:r w:rsidR="00500F61">
        <w:rPr>
          <w:vertAlign w:val="superscript"/>
        </w:rPr>
        <w:instrText xml:space="preserve"> \* MERGEFORMAT </w:instrText>
      </w:r>
      <w:r w:rsidR="00500F61" w:rsidRPr="00D76EFB">
        <w:rPr>
          <w:vertAlign w:val="superscript"/>
        </w:rPr>
      </w:r>
      <w:r w:rsidR="00500F61" w:rsidRPr="00D76EFB">
        <w:rPr>
          <w:vertAlign w:val="superscript"/>
        </w:rPr>
        <w:fldChar w:fldCharType="separate"/>
      </w:r>
      <w:r w:rsidR="008F37D1">
        <w:rPr>
          <w:vertAlign w:val="superscript"/>
        </w:rPr>
        <w:t>42</w:t>
      </w:r>
      <w:r w:rsidR="00500F61" w:rsidRPr="00D76EFB">
        <w:rPr>
          <w:vertAlign w:val="superscript"/>
        </w:rPr>
        <w:fldChar w:fldCharType="end"/>
      </w:r>
      <w:r w:rsidR="00500F61" w:rsidRPr="2AA1CA0C">
        <w:rPr>
          <w:vertAlign w:val="superscript"/>
        </w:rPr>
        <w:t xml:space="preserve">, </w:t>
      </w:r>
      <w:r w:rsidR="00500F61" w:rsidRPr="00D76EFB">
        <w:rPr>
          <w:vertAlign w:val="superscript"/>
        </w:rPr>
        <w:fldChar w:fldCharType="begin"/>
      </w:r>
      <w:r w:rsidR="00500F61" w:rsidRPr="00D76EFB">
        <w:rPr>
          <w:vertAlign w:val="superscript"/>
        </w:rPr>
        <w:instrText xml:space="preserve"> NOTEREF _Ref187138513 \h </w:instrText>
      </w:r>
      <w:r w:rsidR="00500F61">
        <w:rPr>
          <w:vertAlign w:val="superscript"/>
        </w:rPr>
        <w:instrText xml:space="preserve"> \* MERGEFORMAT </w:instrText>
      </w:r>
      <w:r w:rsidR="00500F61" w:rsidRPr="00D76EFB">
        <w:rPr>
          <w:vertAlign w:val="superscript"/>
        </w:rPr>
      </w:r>
      <w:r w:rsidR="00500F61" w:rsidRPr="00D76EFB">
        <w:rPr>
          <w:vertAlign w:val="superscript"/>
        </w:rPr>
        <w:fldChar w:fldCharType="separate"/>
      </w:r>
      <w:r w:rsidR="008F37D1">
        <w:rPr>
          <w:vertAlign w:val="superscript"/>
        </w:rPr>
        <w:t>43</w:t>
      </w:r>
      <w:r w:rsidR="00500F61" w:rsidRPr="00D76EFB">
        <w:rPr>
          <w:vertAlign w:val="superscript"/>
        </w:rPr>
        <w:fldChar w:fldCharType="end"/>
      </w:r>
      <w:r w:rsidR="3C61E4F9" w:rsidRPr="2AA1CA0C">
        <w:t xml:space="preserve"> The applicant further </w:t>
      </w:r>
      <w:r w:rsidR="00C71E12" w:rsidRPr="2AA1CA0C">
        <w:t xml:space="preserve">stated </w:t>
      </w:r>
      <w:r w:rsidR="3C61E4F9" w:rsidRPr="2AA1CA0C">
        <w:t>that such findings could be explained by</w:t>
      </w:r>
      <w:r w:rsidR="6EB2EF9F" w:rsidRPr="2AA1CA0C">
        <w:t xml:space="preserve"> less experienced proceduralists for the ESG groups and </w:t>
      </w:r>
      <w:r w:rsidR="71AD9504" w:rsidRPr="2AA1CA0C">
        <w:t xml:space="preserve">potentially lower thresholds for readmission and reintervention. </w:t>
      </w:r>
      <w:r w:rsidR="71187F9C" w:rsidRPr="2AA1CA0C">
        <w:t>The short-term nature of the study was also criticised, with patients only followed for 30 days post-operation</w:t>
      </w:r>
      <w:r w:rsidR="00EF3FF5" w:rsidRPr="2AA1CA0C">
        <w:t>.</w:t>
      </w:r>
      <w:r w:rsidR="71187F9C" w:rsidRPr="2AA1CA0C">
        <w:t xml:space="preserve"> </w:t>
      </w:r>
      <w:r w:rsidR="00EF3FF5" w:rsidRPr="2AA1CA0C">
        <w:t>S</w:t>
      </w:r>
      <w:r w:rsidR="71187F9C" w:rsidRPr="2AA1CA0C">
        <w:t xml:space="preserve">ome AEs possibly arising </w:t>
      </w:r>
      <w:r w:rsidR="2890C20B" w:rsidRPr="2AA1CA0C">
        <w:t xml:space="preserve">following ESG </w:t>
      </w:r>
      <w:r w:rsidR="00654783" w:rsidRPr="2AA1CA0C">
        <w:t xml:space="preserve">or </w:t>
      </w:r>
      <w:r w:rsidR="2890C20B" w:rsidRPr="2AA1CA0C">
        <w:t>LSG procedures</w:t>
      </w:r>
      <w:r w:rsidR="00A70BD0" w:rsidRPr="2AA1CA0C">
        <w:t xml:space="preserve"> could occur after</w:t>
      </w:r>
      <w:r w:rsidR="743C0693" w:rsidRPr="2AA1CA0C">
        <w:t xml:space="preserve"> this period. However, the effect estimate indicates that ESG is </w:t>
      </w:r>
      <w:r w:rsidR="0631EC7D" w:rsidRPr="2AA1CA0C">
        <w:t>superior in safety to LSG, with an estimated 60% reduction in risk of AEs for ESG patients</w:t>
      </w:r>
      <w:r w:rsidR="3A664179" w:rsidRPr="2AA1CA0C">
        <w:t xml:space="preserve"> when the </w:t>
      </w:r>
      <w:r w:rsidR="006505CF" w:rsidRPr="2AA1CA0C">
        <w:t xml:space="preserve">2 </w:t>
      </w:r>
      <w:r w:rsidR="3A664179" w:rsidRPr="2AA1CA0C">
        <w:t xml:space="preserve">studies with a high risk of bias were removed from </w:t>
      </w:r>
      <w:r w:rsidR="00DB56AC" w:rsidRPr="2AA1CA0C">
        <w:t xml:space="preserve">the </w:t>
      </w:r>
      <w:r w:rsidR="3A664179" w:rsidRPr="2AA1CA0C">
        <w:t>analysis</w:t>
      </w:r>
      <w:r w:rsidR="0631EC7D" w:rsidRPr="2AA1CA0C">
        <w:t>.</w:t>
      </w:r>
    </w:p>
    <w:p w14:paraId="71144124" w14:textId="7E431B93" w:rsidR="724BD604" w:rsidRPr="00AB6166" w:rsidRDefault="7CE58C3E" w:rsidP="00AB6166">
      <w:pPr>
        <w:pStyle w:val="BodyText"/>
      </w:pPr>
      <w:r>
        <w:t>As a secondary safety endpoint, rates of gastroesophageal reflux disorder (GORD)</w:t>
      </w:r>
      <w:r w:rsidR="3E6A3928">
        <w:t>, visits to ambulatory clinics and changes to GI symptoms</w:t>
      </w:r>
      <w:r w:rsidR="007F104D">
        <w:t xml:space="preserve"> were recorded</w:t>
      </w:r>
      <w:r w:rsidR="3E6A3928">
        <w:t xml:space="preserve">. One study investigated the rates and reasons for </w:t>
      </w:r>
      <w:r w:rsidR="55582B0F">
        <w:t>visiting an ambulatory clinic among ESG and LSG patients, with 32% (</w:t>
      </w:r>
      <w:r w:rsidR="754DCA99">
        <w:t>95% CI 29</w:t>
      </w:r>
      <w:r w:rsidR="001D4EE9">
        <w:t xml:space="preserve"> to </w:t>
      </w:r>
      <w:r w:rsidR="754DCA99">
        <w:t>34) of ESG patients and 18% (95% CI 15</w:t>
      </w:r>
      <w:r w:rsidR="00E35093">
        <w:t xml:space="preserve"> to </w:t>
      </w:r>
      <w:r w:rsidR="754DCA99">
        <w:t xml:space="preserve">20) of LSG patients </w:t>
      </w:r>
      <w:r w:rsidR="0B3B3A19">
        <w:t>seeking additional treatment following discharge</w:t>
      </w:r>
      <w:r w:rsidR="003F292B">
        <w:t>.</w:t>
      </w:r>
      <w:r w:rsidR="00884916" w:rsidRPr="00D76EFB">
        <w:rPr>
          <w:vertAlign w:val="superscript"/>
        </w:rPr>
        <w:fldChar w:fldCharType="begin"/>
      </w:r>
      <w:r w:rsidR="00884916" w:rsidRPr="00D76EFB">
        <w:rPr>
          <w:vertAlign w:val="superscript"/>
        </w:rPr>
        <w:instrText xml:space="preserve"> NOTEREF _Ref187068959 \h </w:instrText>
      </w:r>
      <w:r w:rsidR="00884916" w:rsidRPr="00A87D94">
        <w:rPr>
          <w:vertAlign w:val="superscript"/>
        </w:rPr>
        <w:instrText xml:space="preserve"> </w:instrText>
      </w:r>
      <w:r w:rsidR="00884916">
        <w:rPr>
          <w:vertAlign w:val="superscript"/>
        </w:rPr>
        <w:instrText xml:space="preserve">\* MERGEFORMAT </w:instrText>
      </w:r>
      <w:r w:rsidR="00884916" w:rsidRPr="00D76EFB">
        <w:rPr>
          <w:vertAlign w:val="superscript"/>
        </w:rPr>
      </w:r>
      <w:r w:rsidR="00884916" w:rsidRPr="00D76EFB">
        <w:rPr>
          <w:vertAlign w:val="superscript"/>
        </w:rPr>
        <w:fldChar w:fldCharType="separate"/>
      </w:r>
      <w:r w:rsidR="008F37D1">
        <w:rPr>
          <w:vertAlign w:val="superscript"/>
        </w:rPr>
        <w:t>27</w:t>
      </w:r>
      <w:r w:rsidR="00884916" w:rsidRPr="00D76EFB">
        <w:rPr>
          <w:vertAlign w:val="superscript"/>
        </w:rPr>
        <w:fldChar w:fldCharType="end"/>
      </w:r>
      <w:r w:rsidR="0B3B3A19">
        <w:t xml:space="preserve"> No changes in GI symptoms were id</w:t>
      </w:r>
      <w:r w:rsidR="0B25F4CC">
        <w:t xml:space="preserve">entified within ESG or LSG groups from baseline to </w:t>
      </w:r>
      <w:r w:rsidR="09FA7D2E">
        <w:t>6 or 12</w:t>
      </w:r>
      <w:r w:rsidR="00C21CD0">
        <w:t xml:space="preserve"> </w:t>
      </w:r>
      <w:r w:rsidR="09FA7D2E">
        <w:t>months</w:t>
      </w:r>
      <w:r w:rsidR="0B25F4CC">
        <w:t xml:space="preserve"> post-procedure</w:t>
      </w:r>
      <w:r w:rsidR="003F292B">
        <w:t>.</w:t>
      </w:r>
      <w:r w:rsidR="00884916" w:rsidRPr="00D76EFB">
        <w:rPr>
          <w:vertAlign w:val="superscript"/>
        </w:rPr>
        <w:fldChar w:fldCharType="begin"/>
      </w:r>
      <w:r w:rsidR="00884916" w:rsidRPr="00D76EFB">
        <w:rPr>
          <w:vertAlign w:val="superscript"/>
        </w:rPr>
        <w:instrText xml:space="preserve"> NOTEREF _Ref187069132 \h </w:instrText>
      </w:r>
      <w:r w:rsidR="00884916" w:rsidRPr="00A87D94">
        <w:rPr>
          <w:vertAlign w:val="superscript"/>
        </w:rPr>
        <w:instrText xml:space="preserve"> </w:instrText>
      </w:r>
      <w:r w:rsidR="00884916">
        <w:rPr>
          <w:vertAlign w:val="superscript"/>
        </w:rPr>
        <w:instrText xml:space="preserve">\* MERGEFORMAT </w:instrText>
      </w:r>
      <w:r w:rsidR="00884916" w:rsidRPr="00D76EFB">
        <w:rPr>
          <w:vertAlign w:val="superscript"/>
        </w:rPr>
      </w:r>
      <w:r w:rsidR="00884916" w:rsidRPr="00D76EFB">
        <w:rPr>
          <w:vertAlign w:val="superscript"/>
        </w:rPr>
        <w:fldChar w:fldCharType="separate"/>
      </w:r>
      <w:r w:rsidR="008F37D1">
        <w:rPr>
          <w:vertAlign w:val="superscript"/>
        </w:rPr>
        <w:t>36</w:t>
      </w:r>
      <w:r w:rsidR="00884916" w:rsidRPr="00D76EFB">
        <w:rPr>
          <w:vertAlign w:val="superscript"/>
        </w:rPr>
        <w:fldChar w:fldCharType="end"/>
      </w:r>
      <w:r w:rsidR="0B25F4CC">
        <w:t xml:space="preserve"> Higher rates of post-surgical GORD were </w:t>
      </w:r>
      <w:r w:rsidR="02E9B382">
        <w:t>identified in LSG patients compared to ESG</w:t>
      </w:r>
      <w:r w:rsidR="6A584210">
        <w:t xml:space="preserve"> patients</w:t>
      </w:r>
      <w:r w:rsidR="00A52793">
        <w:t>,</w:t>
      </w:r>
      <w:r w:rsidR="6A584210">
        <w:t xml:space="preserve"> as identified in </w:t>
      </w:r>
      <w:r w:rsidR="00A52793">
        <w:t xml:space="preserve">2 </w:t>
      </w:r>
      <w:r w:rsidR="6A584210">
        <w:t>studies (OR 0.09; CI 0.02</w:t>
      </w:r>
      <w:r w:rsidR="00A52793">
        <w:t xml:space="preserve"> to </w:t>
      </w:r>
      <w:r w:rsidR="6A584210">
        <w:t>0.46, p</w:t>
      </w:r>
      <w:r w:rsidR="00A52793">
        <w:t> </w:t>
      </w:r>
      <w:r w:rsidR="6A584210">
        <w:t>=</w:t>
      </w:r>
      <w:r w:rsidR="00A52793">
        <w:t> </w:t>
      </w:r>
      <w:r w:rsidR="6A584210">
        <w:t>0.004)</w:t>
      </w:r>
      <w:r w:rsidR="003F292B">
        <w:t>.</w:t>
      </w:r>
      <w:r w:rsidR="00884916" w:rsidRPr="00D76EFB">
        <w:rPr>
          <w:vertAlign w:val="superscript"/>
        </w:rPr>
        <w:fldChar w:fldCharType="begin"/>
      </w:r>
      <w:r w:rsidR="00884916" w:rsidRPr="00D76EFB">
        <w:rPr>
          <w:vertAlign w:val="superscript"/>
        </w:rPr>
        <w:instrText xml:space="preserve"> NOTEREF _Ref187068168 \h </w:instrText>
      </w:r>
      <w:r w:rsidR="00884916" w:rsidRPr="00A87D94">
        <w:rPr>
          <w:vertAlign w:val="superscript"/>
        </w:rPr>
        <w:instrText xml:space="preserve"> </w:instrText>
      </w:r>
      <w:r w:rsidR="00884916">
        <w:rPr>
          <w:vertAlign w:val="superscript"/>
        </w:rPr>
        <w:instrText xml:space="preserve">\* MERGEFORMAT </w:instrText>
      </w:r>
      <w:r w:rsidR="00884916" w:rsidRPr="00D76EFB">
        <w:rPr>
          <w:vertAlign w:val="superscript"/>
        </w:rPr>
      </w:r>
      <w:r w:rsidR="00884916" w:rsidRPr="00D76EFB">
        <w:rPr>
          <w:vertAlign w:val="superscript"/>
        </w:rPr>
        <w:fldChar w:fldCharType="separate"/>
      </w:r>
      <w:r w:rsidR="008F37D1">
        <w:rPr>
          <w:vertAlign w:val="superscript"/>
        </w:rPr>
        <w:t>37</w:t>
      </w:r>
      <w:r w:rsidR="00884916" w:rsidRPr="00D76EFB">
        <w:rPr>
          <w:vertAlign w:val="superscript"/>
        </w:rPr>
        <w:fldChar w:fldCharType="end"/>
      </w:r>
      <w:r w:rsidR="00884916" w:rsidRPr="00D76EFB">
        <w:rPr>
          <w:vertAlign w:val="superscript"/>
        </w:rPr>
        <w:t xml:space="preserve">, </w:t>
      </w:r>
      <w:r w:rsidR="00884916" w:rsidRPr="00D76EFB">
        <w:rPr>
          <w:vertAlign w:val="superscript"/>
        </w:rPr>
        <w:fldChar w:fldCharType="begin"/>
      </w:r>
      <w:r w:rsidR="00884916" w:rsidRPr="00D76EFB">
        <w:rPr>
          <w:vertAlign w:val="superscript"/>
        </w:rPr>
        <w:instrText xml:space="preserve"> NOTEREF _Ref187069109 \h </w:instrText>
      </w:r>
      <w:r w:rsidR="00884916" w:rsidRPr="00A87D94">
        <w:rPr>
          <w:vertAlign w:val="superscript"/>
        </w:rPr>
        <w:instrText xml:space="preserve"> </w:instrText>
      </w:r>
      <w:r w:rsidR="00884916">
        <w:rPr>
          <w:vertAlign w:val="superscript"/>
        </w:rPr>
        <w:instrText xml:space="preserve">\* MERGEFORMAT </w:instrText>
      </w:r>
      <w:r w:rsidR="00884916" w:rsidRPr="00D76EFB">
        <w:rPr>
          <w:vertAlign w:val="superscript"/>
        </w:rPr>
      </w:r>
      <w:r w:rsidR="00884916" w:rsidRPr="00D76EFB">
        <w:rPr>
          <w:vertAlign w:val="superscript"/>
        </w:rPr>
        <w:fldChar w:fldCharType="separate"/>
      </w:r>
      <w:r w:rsidR="008F37D1">
        <w:rPr>
          <w:vertAlign w:val="superscript"/>
        </w:rPr>
        <w:t>38</w:t>
      </w:r>
      <w:r w:rsidR="00884916" w:rsidRPr="00D76EFB">
        <w:rPr>
          <w:vertAlign w:val="superscript"/>
        </w:rPr>
        <w:fldChar w:fldCharType="end"/>
      </w:r>
    </w:p>
    <w:p w14:paraId="581185C4" w14:textId="5EEEEA00" w:rsidR="08163330" w:rsidRPr="00AB6166" w:rsidRDefault="12B58974" w:rsidP="00AB6166">
      <w:pPr>
        <w:pStyle w:val="BodyText"/>
      </w:pPr>
      <w:r w:rsidRPr="2AA1CA0C">
        <w:t xml:space="preserve">Both ESG and LSG had relatively low </w:t>
      </w:r>
      <w:r w:rsidR="6E9A50F8" w:rsidRPr="2AA1CA0C">
        <w:t xml:space="preserve">rates of </w:t>
      </w:r>
      <w:r w:rsidRPr="2AA1CA0C">
        <w:t>severe AE</w:t>
      </w:r>
      <w:r w:rsidR="6E9A50F8" w:rsidRPr="2AA1CA0C">
        <w:t>s</w:t>
      </w:r>
      <w:r w:rsidRPr="2AA1CA0C">
        <w:t xml:space="preserve">. </w:t>
      </w:r>
      <w:r w:rsidR="03D0A926" w:rsidRPr="2AA1CA0C">
        <w:t>S</w:t>
      </w:r>
      <w:r w:rsidR="023F1F58" w:rsidRPr="2AA1CA0C">
        <w:t xml:space="preserve">mall patient populations were identified in </w:t>
      </w:r>
      <w:r w:rsidR="245C0BB6" w:rsidRPr="2AA1CA0C">
        <w:t xml:space="preserve">6 </w:t>
      </w:r>
      <w:r w:rsidR="023F1F58" w:rsidRPr="2AA1CA0C">
        <w:t xml:space="preserve">of the </w:t>
      </w:r>
      <w:r w:rsidR="245C0BB6" w:rsidRPr="2AA1CA0C">
        <w:t xml:space="preserve">9 </w:t>
      </w:r>
      <w:r w:rsidR="023F1F58" w:rsidRPr="2AA1CA0C">
        <w:t xml:space="preserve">included studies, </w:t>
      </w:r>
      <w:r w:rsidR="245C0BB6" w:rsidRPr="2AA1CA0C">
        <w:t>which</w:t>
      </w:r>
      <w:r w:rsidR="023F1F58" w:rsidRPr="2AA1CA0C">
        <w:t xml:space="preserve"> impact</w:t>
      </w:r>
      <w:r w:rsidR="245C0BB6" w:rsidRPr="2AA1CA0C">
        <w:t>ed</w:t>
      </w:r>
      <w:r w:rsidR="22312320" w:rsidRPr="2AA1CA0C">
        <w:t xml:space="preserve"> the results of </w:t>
      </w:r>
      <w:r w:rsidR="245C0BB6" w:rsidRPr="2AA1CA0C">
        <w:t xml:space="preserve">the </w:t>
      </w:r>
      <w:r w:rsidR="22312320" w:rsidRPr="2AA1CA0C">
        <w:t>meta</w:t>
      </w:r>
      <w:r w:rsidR="597B150D" w:rsidRPr="2AA1CA0C">
        <w:t>-</w:t>
      </w:r>
      <w:r w:rsidR="22312320" w:rsidRPr="2AA1CA0C">
        <w:t>analyses. Alt</w:t>
      </w:r>
      <w:r w:rsidR="1802DE32" w:rsidRPr="2AA1CA0C">
        <w:t>hough the applicant suggest</w:t>
      </w:r>
      <w:r w:rsidR="245C0BB6" w:rsidRPr="2AA1CA0C">
        <w:t>s</w:t>
      </w:r>
      <w:r w:rsidR="1802DE32" w:rsidRPr="2AA1CA0C">
        <w:t xml:space="preserve"> a superior safety profile for ESG, the lack of quality randomised studies, small populations, </w:t>
      </w:r>
      <w:r w:rsidR="245C0BB6" w:rsidRPr="2AA1CA0C">
        <w:t xml:space="preserve">the </w:t>
      </w:r>
      <w:r w:rsidR="1802DE32" w:rsidRPr="2AA1CA0C">
        <w:t xml:space="preserve">lack of </w:t>
      </w:r>
      <w:r w:rsidR="6894004B" w:rsidRPr="2AA1CA0C">
        <w:t>long-term</w:t>
      </w:r>
      <w:r w:rsidR="1802DE32" w:rsidRPr="2AA1CA0C">
        <w:t xml:space="preserve"> safety data and the decision to exclude </w:t>
      </w:r>
      <w:r w:rsidR="245C0BB6" w:rsidRPr="2AA1CA0C">
        <w:t xml:space="preserve">2 </w:t>
      </w:r>
      <w:r w:rsidR="1802DE32" w:rsidRPr="2AA1CA0C">
        <w:t xml:space="preserve">studies favouring LSG </w:t>
      </w:r>
      <w:r w:rsidR="4B9D8C3C" w:rsidRPr="2AA1CA0C">
        <w:t xml:space="preserve">should be considered when considering </w:t>
      </w:r>
      <w:r w:rsidR="2BBF1E06" w:rsidRPr="2AA1CA0C">
        <w:t xml:space="preserve">the </w:t>
      </w:r>
      <w:r w:rsidR="4B9D8C3C" w:rsidRPr="2AA1CA0C">
        <w:t>conclusions made in the report</w:t>
      </w:r>
      <w:r w:rsidR="003F292B" w:rsidRPr="2AA1CA0C">
        <w:t>.</w:t>
      </w:r>
      <w:r w:rsidR="00500F61" w:rsidRPr="00D76EFB">
        <w:rPr>
          <w:vertAlign w:val="superscript"/>
        </w:rPr>
        <w:fldChar w:fldCharType="begin"/>
      </w:r>
      <w:r w:rsidR="00500F61" w:rsidRPr="00D76EFB">
        <w:rPr>
          <w:vertAlign w:val="superscript"/>
        </w:rPr>
        <w:instrText xml:space="preserve"> NOTEREF _Ref187069191 \h  \* MERGEFORMAT </w:instrText>
      </w:r>
      <w:r w:rsidR="00500F61" w:rsidRPr="00D76EFB">
        <w:rPr>
          <w:vertAlign w:val="superscript"/>
        </w:rPr>
      </w:r>
      <w:r w:rsidR="00500F61" w:rsidRPr="00D76EFB">
        <w:rPr>
          <w:vertAlign w:val="superscript"/>
        </w:rPr>
        <w:fldChar w:fldCharType="separate"/>
      </w:r>
      <w:r w:rsidR="008F37D1">
        <w:rPr>
          <w:vertAlign w:val="superscript"/>
        </w:rPr>
        <w:t>42</w:t>
      </w:r>
      <w:r w:rsidR="00500F61" w:rsidRPr="00D76EFB">
        <w:rPr>
          <w:vertAlign w:val="superscript"/>
        </w:rPr>
        <w:fldChar w:fldCharType="end"/>
      </w:r>
      <w:r w:rsidR="00500F61" w:rsidRPr="2AA1CA0C">
        <w:rPr>
          <w:vertAlign w:val="superscript"/>
        </w:rPr>
        <w:t xml:space="preserve">, </w:t>
      </w:r>
      <w:r w:rsidR="00500F61" w:rsidRPr="00D76EFB">
        <w:rPr>
          <w:vertAlign w:val="superscript"/>
        </w:rPr>
        <w:fldChar w:fldCharType="begin"/>
      </w:r>
      <w:r w:rsidR="00500F61" w:rsidRPr="00D76EFB">
        <w:rPr>
          <w:vertAlign w:val="superscript"/>
        </w:rPr>
        <w:instrText xml:space="preserve"> NOTEREF _Ref187138513 \h  \* MERGEFORMAT </w:instrText>
      </w:r>
      <w:r w:rsidR="00500F61" w:rsidRPr="00D76EFB">
        <w:rPr>
          <w:vertAlign w:val="superscript"/>
        </w:rPr>
      </w:r>
      <w:r w:rsidR="00500F61" w:rsidRPr="00D76EFB">
        <w:rPr>
          <w:vertAlign w:val="superscript"/>
        </w:rPr>
        <w:fldChar w:fldCharType="separate"/>
      </w:r>
      <w:r w:rsidR="008F37D1">
        <w:rPr>
          <w:vertAlign w:val="superscript"/>
        </w:rPr>
        <w:t>43</w:t>
      </w:r>
      <w:r w:rsidR="00500F61" w:rsidRPr="00D76EFB">
        <w:rPr>
          <w:vertAlign w:val="superscript"/>
        </w:rPr>
        <w:fldChar w:fldCharType="end"/>
      </w:r>
      <w:r w:rsidR="355DE424" w:rsidRPr="2AA1CA0C">
        <w:t xml:space="preserve"> </w:t>
      </w:r>
      <w:r w:rsidR="008918A5" w:rsidRPr="2AA1CA0C">
        <w:t>Based on the applicant</w:t>
      </w:r>
      <w:r w:rsidR="00635914" w:rsidRPr="2AA1CA0C">
        <w:t>’</w:t>
      </w:r>
      <w:r w:rsidR="008918A5" w:rsidRPr="2AA1CA0C">
        <w:t xml:space="preserve">s claim that </w:t>
      </w:r>
      <w:r w:rsidR="00D011F2" w:rsidRPr="2AA1CA0C">
        <w:t xml:space="preserve">ESG possesses a superior safety profile to </w:t>
      </w:r>
      <w:r w:rsidR="00935709" w:rsidRPr="2AA1CA0C">
        <w:t xml:space="preserve">LSG, the available evidence suggests </w:t>
      </w:r>
      <w:r w:rsidR="00387D42" w:rsidRPr="2AA1CA0C">
        <w:t>that there are several caveats to such findings that have not been taken into consideration</w:t>
      </w:r>
      <w:r w:rsidR="004D0CF9" w:rsidRPr="2AA1CA0C">
        <w:t>,</w:t>
      </w:r>
      <w:r w:rsidR="00387D42" w:rsidRPr="2AA1CA0C">
        <w:t xml:space="preserve"> such as </w:t>
      </w:r>
      <w:r w:rsidR="00295BA4" w:rsidRPr="2AA1CA0C">
        <w:t>the lack of long</w:t>
      </w:r>
      <w:r w:rsidR="004D0CF9" w:rsidRPr="2AA1CA0C">
        <w:t>-</w:t>
      </w:r>
      <w:r w:rsidR="00295BA4" w:rsidRPr="2AA1CA0C">
        <w:t xml:space="preserve">term safety data and </w:t>
      </w:r>
      <w:r w:rsidR="00C91856" w:rsidRPr="2AA1CA0C">
        <w:t xml:space="preserve">poor </w:t>
      </w:r>
      <w:r w:rsidR="00295BA4" w:rsidRPr="2AA1CA0C">
        <w:t>study quality</w:t>
      </w:r>
      <w:r w:rsidR="003F16EF" w:rsidRPr="2AA1CA0C">
        <w:t>,</w:t>
      </w:r>
      <w:r w:rsidR="00B643C1" w:rsidRPr="2AA1CA0C">
        <w:t xml:space="preserve"> indicating that the statement is </w:t>
      </w:r>
      <w:r w:rsidR="00003338" w:rsidRPr="2AA1CA0C">
        <w:t>not well supported.</w:t>
      </w:r>
    </w:p>
    <w:p w14:paraId="3717AA01" w14:textId="74F21DC3" w:rsidR="00772829" w:rsidRPr="00CE28E3" w:rsidRDefault="00772829" w:rsidP="00361335">
      <w:pPr>
        <w:pStyle w:val="Heading2"/>
        <w:numPr>
          <w:ilvl w:val="0"/>
          <w:numId w:val="26"/>
        </w:numPr>
        <w:ind w:hanging="720"/>
      </w:pPr>
      <w:bookmarkStart w:id="67" w:name="_Toc69491424"/>
      <w:bookmarkStart w:id="68" w:name="_Ref183530574"/>
      <w:bookmarkStart w:id="69" w:name="_Ref183530628"/>
      <w:bookmarkStart w:id="70" w:name="_Ref183530643"/>
      <w:bookmarkStart w:id="71" w:name="_Ref183535507"/>
      <w:r w:rsidRPr="00CE28E3">
        <w:t>Comparative effectiveness</w:t>
      </w:r>
      <w:bookmarkEnd w:id="67"/>
      <w:bookmarkEnd w:id="68"/>
      <w:bookmarkEnd w:id="69"/>
      <w:bookmarkEnd w:id="70"/>
      <w:bookmarkEnd w:id="71"/>
    </w:p>
    <w:p w14:paraId="69BE0414" w14:textId="4F71EAC8" w:rsidR="00C366EC" w:rsidRPr="00DC46A2" w:rsidRDefault="3A062ECC" w:rsidP="007D18A3">
      <w:pPr>
        <w:pStyle w:val="Heading3"/>
      </w:pPr>
      <w:r>
        <w:t xml:space="preserve">PICO </w:t>
      </w:r>
      <w:r w:rsidR="00A23298">
        <w:t xml:space="preserve">set </w:t>
      </w:r>
      <w:r>
        <w:t>1:</w:t>
      </w:r>
      <w:r w:rsidR="3EC39D83">
        <w:t xml:space="preserve"> ESG vs </w:t>
      </w:r>
      <w:r w:rsidR="00912CB5">
        <w:t>l</w:t>
      </w:r>
      <w:r w:rsidR="3EC39D83">
        <w:t xml:space="preserve">ifestyle </w:t>
      </w:r>
      <w:r w:rsidR="00912CB5">
        <w:t>m</w:t>
      </w:r>
      <w:r w:rsidR="3EC39D83">
        <w:t>odifications</w:t>
      </w:r>
    </w:p>
    <w:p w14:paraId="0DD050E4" w14:textId="7802B057" w:rsidR="3A062ECC" w:rsidRPr="00DC46A2" w:rsidRDefault="3A062ECC" w:rsidP="007D18A3">
      <w:pPr>
        <w:pStyle w:val="Heading4"/>
      </w:pPr>
      <w:r w:rsidRPr="00DC46A2">
        <w:t>%TBWL</w:t>
      </w:r>
    </w:p>
    <w:p w14:paraId="1697BE56" w14:textId="45A5A7E8" w:rsidR="00161A7D" w:rsidRDefault="00912CB5" w:rsidP="007D18A3">
      <w:r w:rsidRPr="2AA1CA0C">
        <w:t xml:space="preserve">The </w:t>
      </w:r>
      <w:r w:rsidR="00826945" w:rsidRPr="2AA1CA0C">
        <w:t xml:space="preserve">primary outcome of </w:t>
      </w:r>
      <w:r w:rsidR="5F056463" w:rsidRPr="2AA1CA0C">
        <w:t xml:space="preserve">%TBWL was reported within the ADAR </w:t>
      </w:r>
      <w:r w:rsidR="00826945" w:rsidRPr="2AA1CA0C">
        <w:t xml:space="preserve">on </w:t>
      </w:r>
      <w:r w:rsidR="5F056463" w:rsidRPr="2AA1CA0C">
        <w:t xml:space="preserve">the </w:t>
      </w:r>
      <w:r w:rsidR="29A850A8" w:rsidRPr="2AA1CA0C">
        <w:t>recommendation</w:t>
      </w:r>
      <w:r w:rsidR="5F056463" w:rsidRPr="2AA1CA0C">
        <w:t xml:space="preserve"> of </w:t>
      </w:r>
      <w:r w:rsidR="00826945" w:rsidRPr="2AA1CA0C">
        <w:t xml:space="preserve">the </w:t>
      </w:r>
      <w:r w:rsidR="5F056463" w:rsidRPr="2AA1CA0C">
        <w:t xml:space="preserve">current literature and </w:t>
      </w:r>
      <w:r w:rsidR="06677BC7" w:rsidRPr="2AA1CA0C">
        <w:t>consulted</w:t>
      </w:r>
      <w:r w:rsidR="5F056463" w:rsidRPr="2AA1CA0C">
        <w:t xml:space="preserve"> physicians. </w:t>
      </w:r>
      <w:r w:rsidR="6DA6D7D5" w:rsidRPr="2AA1CA0C">
        <w:t xml:space="preserve">A meta-analysis </w:t>
      </w:r>
      <w:r w:rsidR="7AEB2049" w:rsidRPr="2AA1CA0C">
        <w:t xml:space="preserve">was conducted </w:t>
      </w:r>
      <w:r w:rsidR="4AD068D9" w:rsidRPr="2AA1CA0C">
        <w:t>by the ADAR</w:t>
      </w:r>
      <w:r w:rsidR="7AEB2049" w:rsidRPr="2AA1CA0C">
        <w:t xml:space="preserve"> </w:t>
      </w:r>
      <w:r w:rsidR="6DA6D7D5" w:rsidRPr="2AA1CA0C">
        <w:t xml:space="preserve">featuring </w:t>
      </w:r>
      <w:r w:rsidR="45A564FF" w:rsidRPr="2AA1CA0C">
        <w:t>1</w:t>
      </w:r>
      <w:r w:rsidR="6DA6D7D5" w:rsidRPr="2AA1CA0C">
        <w:t xml:space="preserve"> RCT</w:t>
      </w:r>
      <w:r w:rsidR="03B10ED2" w:rsidRPr="2AA1CA0C">
        <w:t xml:space="preserve"> and </w:t>
      </w:r>
      <w:r w:rsidR="38B0F14C" w:rsidRPr="2AA1CA0C">
        <w:t>12</w:t>
      </w:r>
      <w:r w:rsidR="6DA6D7D5" w:rsidRPr="2AA1CA0C">
        <w:t xml:space="preserve"> single</w:t>
      </w:r>
      <w:r w:rsidR="00012AB8" w:rsidRPr="2AA1CA0C">
        <w:t>-</w:t>
      </w:r>
      <w:r w:rsidR="6DA6D7D5" w:rsidRPr="2AA1CA0C">
        <w:t>arm</w:t>
      </w:r>
      <w:r w:rsidR="00012AB8" w:rsidRPr="2AA1CA0C">
        <w:t xml:space="preserve"> studies.</w:t>
      </w:r>
      <w:r w:rsidR="6DA6D7D5" w:rsidRPr="2AA1CA0C">
        <w:t xml:space="preserve"> </w:t>
      </w:r>
      <w:r w:rsidR="4E93B12C" w:rsidRPr="2AA1CA0C">
        <w:t>Meta-analysis results identified a</w:t>
      </w:r>
      <w:r w:rsidR="574D07CC" w:rsidRPr="2AA1CA0C">
        <w:t xml:space="preserve"> pooled mean %TBWL at 12 months </w:t>
      </w:r>
      <w:r w:rsidR="00CB2454" w:rsidRPr="2AA1CA0C">
        <w:t>of 18% (</w:t>
      </w:r>
      <w:r w:rsidR="00CB2454" w:rsidRPr="2AA1CA0C">
        <w:rPr>
          <w:rFonts w:eastAsia="Montserrat" w:cs="Montserrat"/>
          <w:color w:val="000000" w:themeColor="text1"/>
        </w:rPr>
        <w:t>95% CI: 18%</w:t>
      </w:r>
      <w:r w:rsidR="00CD3A81" w:rsidRPr="2AA1CA0C">
        <w:rPr>
          <w:rFonts w:eastAsia="Montserrat" w:cs="Montserrat"/>
          <w:color w:val="000000" w:themeColor="text1"/>
        </w:rPr>
        <w:t xml:space="preserve"> to </w:t>
      </w:r>
      <w:r w:rsidR="00CB2454" w:rsidRPr="2AA1CA0C">
        <w:rPr>
          <w:rFonts w:eastAsia="Montserrat" w:cs="Montserrat"/>
          <w:color w:val="000000" w:themeColor="text1"/>
        </w:rPr>
        <w:t>19%)</w:t>
      </w:r>
      <w:r w:rsidR="00CB2454" w:rsidRPr="2AA1CA0C">
        <w:t xml:space="preserve"> </w:t>
      </w:r>
      <w:r w:rsidR="574D07CC" w:rsidRPr="2AA1CA0C">
        <w:t>using a common effect</w:t>
      </w:r>
      <w:r w:rsidR="00CD3A81" w:rsidRPr="2AA1CA0C">
        <w:t>s</w:t>
      </w:r>
      <w:r w:rsidR="574D07CC" w:rsidRPr="2AA1CA0C">
        <w:t xml:space="preserve"> model </w:t>
      </w:r>
      <w:r w:rsidR="0E5C6207" w:rsidRPr="2AA1CA0C">
        <w:t>and</w:t>
      </w:r>
      <w:r w:rsidR="424B94CF" w:rsidRPr="2AA1CA0C">
        <w:t xml:space="preserve"> 17% (95% CI 16%</w:t>
      </w:r>
      <w:r w:rsidR="00CD3A81" w:rsidRPr="2AA1CA0C">
        <w:t xml:space="preserve"> to </w:t>
      </w:r>
      <w:r w:rsidR="424B94CF" w:rsidRPr="2AA1CA0C">
        <w:t>18%) using a random effects model</w:t>
      </w:r>
      <w:r w:rsidR="00411F90" w:rsidRPr="2AA1CA0C">
        <w:t xml:space="preserve"> (</w:t>
      </w:r>
      <w:r>
        <w:fldChar w:fldCharType="begin"/>
      </w:r>
      <w:r>
        <w:instrText xml:space="preserve"> REF _Ref184211251 \h </w:instrText>
      </w:r>
      <w:r>
        <w:fldChar w:fldCharType="separate"/>
      </w:r>
      <w:r w:rsidR="008F37D1">
        <w:t xml:space="preserve">Table </w:t>
      </w:r>
      <w:r w:rsidR="008F37D1">
        <w:rPr>
          <w:noProof/>
        </w:rPr>
        <w:t>16</w:t>
      </w:r>
      <w:r>
        <w:fldChar w:fldCharType="end"/>
      </w:r>
      <w:r w:rsidR="00FB72BD" w:rsidRPr="2AA1CA0C">
        <w:t xml:space="preserve">, </w:t>
      </w:r>
      <w:r>
        <w:fldChar w:fldCharType="begin"/>
      </w:r>
      <w:r>
        <w:instrText xml:space="preserve"> REF _Ref184211254 \h </w:instrText>
      </w:r>
      <w:r>
        <w:fldChar w:fldCharType="separate"/>
      </w:r>
      <w:r w:rsidR="008F37D1">
        <w:t xml:space="preserve">Table </w:t>
      </w:r>
      <w:r w:rsidR="008F37D1">
        <w:rPr>
          <w:noProof/>
        </w:rPr>
        <w:t>17</w:t>
      </w:r>
      <w:r>
        <w:fldChar w:fldCharType="end"/>
      </w:r>
      <w:r w:rsidR="00411F90" w:rsidRPr="2AA1CA0C">
        <w:t>).</w:t>
      </w:r>
      <w:r w:rsidR="32100B31" w:rsidRPr="2AA1CA0C">
        <w:t>Th</w:t>
      </w:r>
      <w:r w:rsidR="009D0792" w:rsidRPr="2AA1CA0C">
        <w:t>is commentary report</w:t>
      </w:r>
      <w:r w:rsidR="32100B31" w:rsidRPr="2AA1CA0C">
        <w:t xml:space="preserve"> identified that the random effects model may be more relevant</w:t>
      </w:r>
      <w:r w:rsidR="00CD3A81" w:rsidRPr="2AA1CA0C">
        <w:t>,</w:t>
      </w:r>
      <w:r w:rsidR="32100B31" w:rsidRPr="2AA1CA0C">
        <w:t xml:space="preserve"> to account for variability in patient </w:t>
      </w:r>
      <w:r w:rsidR="3E2CE2ED" w:rsidRPr="2AA1CA0C">
        <w:t>characteristics</w:t>
      </w:r>
      <w:r w:rsidR="32100B31" w:rsidRPr="2AA1CA0C">
        <w:t xml:space="preserve"> including baseline BMI, gender representation and </w:t>
      </w:r>
      <w:r w:rsidR="1C161CAE" w:rsidRPr="2AA1CA0C">
        <w:t xml:space="preserve">other factors </w:t>
      </w:r>
      <w:r w:rsidR="00CD3A81" w:rsidRPr="2AA1CA0C">
        <w:t xml:space="preserve">such as </w:t>
      </w:r>
      <w:r w:rsidR="1C161CAE" w:rsidRPr="2AA1CA0C">
        <w:t xml:space="preserve">study design. </w:t>
      </w:r>
      <w:r w:rsidR="424B94CF" w:rsidRPr="2AA1CA0C">
        <w:t xml:space="preserve">No comparison </w:t>
      </w:r>
      <w:r w:rsidR="59B118AF" w:rsidRPr="2AA1CA0C">
        <w:t>between l</w:t>
      </w:r>
      <w:r w:rsidR="424B94CF" w:rsidRPr="2AA1CA0C">
        <w:t>i</w:t>
      </w:r>
      <w:r w:rsidR="59B118AF" w:rsidRPr="2AA1CA0C">
        <w:t>festyle modification alone and ESG is available</w:t>
      </w:r>
      <w:r w:rsidR="424B94CF" w:rsidRPr="2AA1CA0C">
        <w:t xml:space="preserve"> </w:t>
      </w:r>
      <w:r w:rsidR="4565B09F" w:rsidRPr="2AA1CA0C">
        <w:t>within meta-analysed results</w:t>
      </w:r>
      <w:r w:rsidR="00322943" w:rsidRPr="2AA1CA0C">
        <w:t>,</w:t>
      </w:r>
      <w:r w:rsidR="3993F04A" w:rsidRPr="2AA1CA0C">
        <w:t xml:space="preserve"> due to the inclusion of single-arm studies</w:t>
      </w:r>
      <w:r w:rsidR="00D162F4" w:rsidRPr="2AA1CA0C">
        <w:t>. T</w:t>
      </w:r>
      <w:r w:rsidR="3A3BBE92" w:rsidRPr="2AA1CA0C">
        <w:t>his also</w:t>
      </w:r>
      <w:r w:rsidR="78971ED3" w:rsidRPr="2AA1CA0C">
        <w:t xml:space="preserve"> contribut</w:t>
      </w:r>
      <w:r w:rsidR="00D162F4" w:rsidRPr="2AA1CA0C">
        <w:t>es</w:t>
      </w:r>
      <w:r w:rsidR="78971ED3" w:rsidRPr="2AA1CA0C">
        <w:t xml:space="preserve"> to the high </w:t>
      </w:r>
      <w:r w:rsidR="6164618F" w:rsidRPr="2AA1CA0C">
        <w:t xml:space="preserve">meta-analysis </w:t>
      </w:r>
      <w:r w:rsidR="78971ED3" w:rsidRPr="2AA1CA0C">
        <w:t>heterogeneity at 97%</w:t>
      </w:r>
      <w:r w:rsidR="2D5B22FF" w:rsidRPr="2AA1CA0C">
        <w:t xml:space="preserve"> I</w:t>
      </w:r>
      <w:r w:rsidR="2D5B22FF" w:rsidRPr="2AA1CA0C">
        <w:rPr>
          <w:vertAlign w:val="superscript"/>
        </w:rPr>
        <w:t>2</w:t>
      </w:r>
      <w:r w:rsidR="0BAE78A1" w:rsidRPr="2AA1CA0C">
        <w:t>.</w:t>
      </w:r>
      <w:r w:rsidR="00CB2454" w:rsidRPr="2AA1CA0C">
        <w:t xml:space="preserve"> </w:t>
      </w:r>
      <w:r w:rsidR="107B0F82" w:rsidRPr="2AA1CA0C">
        <w:t>Meta-analysis findings reveal</w:t>
      </w:r>
      <w:r w:rsidR="2671A103" w:rsidRPr="2AA1CA0C">
        <w:t xml:space="preserve"> </w:t>
      </w:r>
      <w:r w:rsidR="00E075CE" w:rsidRPr="2AA1CA0C">
        <w:t>statistically</w:t>
      </w:r>
      <w:r w:rsidR="00B769C2" w:rsidRPr="2AA1CA0C">
        <w:t xml:space="preserve"> </w:t>
      </w:r>
      <w:r w:rsidR="2671A103" w:rsidRPr="2AA1CA0C">
        <w:t xml:space="preserve">significant </w:t>
      </w:r>
      <w:r w:rsidR="3141E088" w:rsidRPr="2AA1CA0C">
        <w:t>weight loss</w:t>
      </w:r>
      <w:r w:rsidR="2671A103" w:rsidRPr="2AA1CA0C">
        <w:t xml:space="preserve"> </w:t>
      </w:r>
      <w:r w:rsidR="7E94FF87" w:rsidRPr="2AA1CA0C">
        <w:t>among</w:t>
      </w:r>
      <w:r w:rsidR="2671A103" w:rsidRPr="2AA1CA0C">
        <w:t xml:space="preserve"> ES</w:t>
      </w:r>
      <w:r w:rsidR="6B5F0181" w:rsidRPr="2AA1CA0C">
        <w:t>G</w:t>
      </w:r>
      <w:r w:rsidR="2671A103" w:rsidRPr="2AA1CA0C">
        <w:t xml:space="preserve"> patients</w:t>
      </w:r>
      <w:r w:rsidR="005873C3" w:rsidRPr="2AA1CA0C">
        <w:t>. T</w:t>
      </w:r>
      <w:r w:rsidR="2671A103" w:rsidRPr="2AA1CA0C">
        <w:t>he ADAR</w:t>
      </w:r>
      <w:r w:rsidR="1A9E8AEF" w:rsidRPr="2AA1CA0C">
        <w:t xml:space="preserve"> not</w:t>
      </w:r>
      <w:r w:rsidR="005873C3" w:rsidRPr="2AA1CA0C">
        <w:t>e</w:t>
      </w:r>
      <w:r w:rsidR="00C14F4D" w:rsidRPr="2AA1CA0C">
        <w:t>d</w:t>
      </w:r>
      <w:r w:rsidR="2671A103" w:rsidRPr="2AA1CA0C">
        <w:t xml:space="preserve"> that observational studies ident</w:t>
      </w:r>
      <w:r w:rsidR="30A3AF90" w:rsidRPr="2AA1CA0C">
        <w:t xml:space="preserve">ified </w:t>
      </w:r>
      <w:r w:rsidR="002F5FFF" w:rsidRPr="2AA1CA0C">
        <w:t xml:space="preserve">a </w:t>
      </w:r>
      <w:r w:rsidR="30A3AF90" w:rsidRPr="2AA1CA0C">
        <w:t>higher %TBWL than</w:t>
      </w:r>
      <w:r w:rsidR="005873C3" w:rsidRPr="2AA1CA0C">
        <w:t xml:space="preserve"> </w:t>
      </w:r>
      <w:r w:rsidR="30A3AF90" w:rsidRPr="2AA1CA0C">
        <w:t xml:space="preserve">the MERIT </w:t>
      </w:r>
      <w:r w:rsidR="00DD18E7" w:rsidRPr="2AA1CA0C">
        <w:t>trial</w:t>
      </w:r>
      <w:r w:rsidR="30A3AF90" w:rsidRPr="2AA1CA0C">
        <w:t xml:space="preserve">. </w:t>
      </w:r>
      <w:r w:rsidR="2671A103" w:rsidRPr="2AA1CA0C">
        <w:t xml:space="preserve">Within the MERIT </w:t>
      </w:r>
      <w:r w:rsidR="00DD18E7" w:rsidRPr="2AA1CA0C">
        <w:t>trial</w:t>
      </w:r>
      <w:r w:rsidR="2671A103" w:rsidRPr="2AA1CA0C">
        <w:t xml:space="preserve">, </w:t>
      </w:r>
      <w:r w:rsidR="15558DF0" w:rsidRPr="2AA1CA0C">
        <w:t xml:space="preserve">mean %TBWL for the primary ESG group was 13.6%, compared to 0.8% for the lifestyle </w:t>
      </w:r>
      <w:r w:rsidR="0505E3DA" w:rsidRPr="2AA1CA0C">
        <w:t>intervention</w:t>
      </w:r>
      <w:r w:rsidR="0062400F" w:rsidRPr="2AA1CA0C">
        <w:t>-</w:t>
      </w:r>
      <w:r w:rsidR="15558DF0" w:rsidRPr="2AA1CA0C">
        <w:t xml:space="preserve">only group. </w:t>
      </w:r>
      <w:r w:rsidR="102EFC9F" w:rsidRPr="2AA1CA0C">
        <w:t>After adjusting for age, sex, type 2 diabetes, hypertension and baseline BMI in a</w:t>
      </w:r>
      <w:r w:rsidR="798A1B49" w:rsidRPr="2AA1CA0C">
        <w:t xml:space="preserve"> modified intention-to-treat (</w:t>
      </w:r>
      <w:r w:rsidR="102EFC9F" w:rsidRPr="2AA1CA0C">
        <w:t>mITT</w:t>
      </w:r>
      <w:r w:rsidR="358BAA5E" w:rsidRPr="2AA1CA0C">
        <w:t>)</w:t>
      </w:r>
      <w:r w:rsidR="102EFC9F" w:rsidRPr="2AA1CA0C">
        <w:t xml:space="preserve"> analysis with mixed-effects models</w:t>
      </w:r>
      <w:r w:rsidR="00720AFD" w:rsidRPr="2AA1CA0C">
        <w:t>,</w:t>
      </w:r>
      <w:r w:rsidR="5163E6F0" w:rsidRPr="2AA1CA0C">
        <w:t xml:space="preserve"> participants in the ESG group had a mean difference of 12.6% (10</w:t>
      </w:r>
      <w:r w:rsidR="70245DA7" w:rsidRPr="2AA1CA0C">
        <w:t>.7</w:t>
      </w:r>
      <w:r w:rsidR="002D617D" w:rsidRPr="2AA1CA0C">
        <w:t xml:space="preserve"> to </w:t>
      </w:r>
      <w:r w:rsidR="5163E6F0" w:rsidRPr="2AA1CA0C">
        <w:t>14</w:t>
      </w:r>
      <w:r w:rsidR="3F91A1C6" w:rsidRPr="2AA1CA0C">
        <w:t>.5</w:t>
      </w:r>
      <w:r w:rsidR="33D934E7" w:rsidRPr="2AA1CA0C">
        <w:t xml:space="preserve"> CI</w:t>
      </w:r>
      <w:r w:rsidR="5163E6F0" w:rsidRPr="2AA1CA0C">
        <w:t>) TBWL at 52 weeks</w:t>
      </w:r>
      <w:r w:rsidR="00160EEF" w:rsidRPr="2AA1CA0C">
        <w:t xml:space="preserve"> (1 year)</w:t>
      </w:r>
      <w:r w:rsidR="5163E6F0" w:rsidRPr="2AA1CA0C">
        <w:t xml:space="preserve"> compared to the lifestyle</w:t>
      </w:r>
      <w:r w:rsidR="34E2C0DE" w:rsidRPr="2AA1CA0C">
        <w:t xml:space="preserve"> </w:t>
      </w:r>
      <w:r w:rsidR="5163E6F0" w:rsidRPr="2AA1CA0C">
        <w:t>group</w:t>
      </w:r>
      <w:r w:rsidR="635C2088" w:rsidRPr="2AA1CA0C">
        <w:t xml:space="preserve"> (p&lt;0.0001 using last observation carried forward </w:t>
      </w:r>
      <w:r w:rsidR="002761ED" w:rsidRPr="2AA1CA0C">
        <w:t xml:space="preserve">(LOCF) </w:t>
      </w:r>
      <w:r w:rsidR="635C2088" w:rsidRPr="2AA1CA0C">
        <w:t xml:space="preserve">and </w:t>
      </w:r>
      <w:r w:rsidR="00A91C15" w:rsidRPr="2AA1CA0C">
        <w:t>p</w:t>
      </w:r>
      <w:r w:rsidR="635C2088" w:rsidRPr="2AA1CA0C">
        <w:t>&lt;0.0001 using mixed-model imputations for missing data)</w:t>
      </w:r>
      <w:r w:rsidR="001405E8" w:rsidRPr="2AA1CA0C">
        <w:t>.</w:t>
      </w:r>
      <w:r w:rsidRPr="2AA1CA0C">
        <w:rPr>
          <w:vertAlign w:val="superscript"/>
        </w:rPr>
        <w:fldChar w:fldCharType="begin"/>
      </w:r>
      <w:r w:rsidRPr="2AA1CA0C">
        <w:rPr>
          <w:vertAlign w:val="superscript"/>
        </w:rPr>
        <w:instrText xml:space="preserve"> NOTEREF _Ref187068871 \h  \* MERGEFORMAT </w:instrText>
      </w:r>
      <w:r w:rsidRPr="2AA1CA0C">
        <w:rPr>
          <w:vertAlign w:val="superscript"/>
        </w:rPr>
      </w:r>
      <w:r w:rsidRPr="2AA1CA0C">
        <w:rPr>
          <w:vertAlign w:val="superscript"/>
        </w:rPr>
        <w:fldChar w:fldCharType="separate"/>
      </w:r>
      <w:r w:rsidR="008F37D1">
        <w:rPr>
          <w:vertAlign w:val="superscript"/>
        </w:rPr>
        <w:t>20</w:t>
      </w:r>
      <w:r w:rsidRPr="2AA1CA0C">
        <w:rPr>
          <w:vertAlign w:val="superscript"/>
        </w:rPr>
        <w:fldChar w:fldCharType="end"/>
      </w:r>
      <w:r w:rsidR="4C6EF0EF" w:rsidRPr="2AA1CA0C">
        <w:t xml:space="preserve"> </w:t>
      </w:r>
      <w:r w:rsidR="29610CDA" w:rsidRPr="2AA1CA0C">
        <w:t xml:space="preserve">At 104 weeks, participants in the primary ESG group maintained a </w:t>
      </w:r>
      <w:r w:rsidR="2A350744" w:rsidRPr="2AA1CA0C">
        <w:t>%</w:t>
      </w:r>
      <w:r w:rsidR="29610CDA" w:rsidRPr="2AA1CA0C">
        <w:t xml:space="preserve">TBWL of 11.4% </w:t>
      </w:r>
      <w:r w:rsidR="18DF63C7" w:rsidRPr="2AA1CA0C">
        <w:t>(SD 8.4</w:t>
      </w:r>
      <w:r w:rsidR="00579B2F" w:rsidRPr="2AA1CA0C">
        <w:t>%</w:t>
      </w:r>
      <w:r w:rsidR="18DF63C7" w:rsidRPr="2AA1CA0C">
        <w:t>)</w:t>
      </w:r>
      <w:r w:rsidR="0F6C6E02" w:rsidRPr="2AA1CA0C">
        <w:t xml:space="preserve"> within MERIT</w:t>
      </w:r>
      <w:r w:rsidR="001405E8" w:rsidRPr="2AA1CA0C">
        <w:t>.</w:t>
      </w:r>
      <w:r w:rsidRPr="2AA1CA0C">
        <w:rPr>
          <w:vertAlign w:val="superscript"/>
        </w:rPr>
        <w:fldChar w:fldCharType="begin"/>
      </w:r>
      <w:r w:rsidRPr="2AA1CA0C">
        <w:rPr>
          <w:vertAlign w:val="superscript"/>
        </w:rPr>
        <w:instrText xml:space="preserve"> NOTEREF _Ref187068871 \h  \* MERGEFORMAT </w:instrText>
      </w:r>
      <w:r w:rsidRPr="2AA1CA0C">
        <w:rPr>
          <w:vertAlign w:val="superscript"/>
        </w:rPr>
      </w:r>
      <w:r w:rsidRPr="2AA1CA0C">
        <w:rPr>
          <w:vertAlign w:val="superscript"/>
        </w:rPr>
        <w:fldChar w:fldCharType="separate"/>
      </w:r>
      <w:r w:rsidR="008F37D1">
        <w:rPr>
          <w:vertAlign w:val="superscript"/>
        </w:rPr>
        <w:t>20</w:t>
      </w:r>
      <w:r w:rsidRPr="2AA1CA0C">
        <w:rPr>
          <w:vertAlign w:val="superscript"/>
        </w:rPr>
        <w:fldChar w:fldCharType="end"/>
      </w:r>
      <w:r w:rsidR="0F6C6E02" w:rsidRPr="2AA1CA0C">
        <w:t xml:space="preserve"> </w:t>
      </w:r>
      <w:r w:rsidR="20D7EEE4" w:rsidRPr="2AA1CA0C">
        <w:t>The ADAR state</w:t>
      </w:r>
      <w:r w:rsidR="00744D84" w:rsidRPr="2AA1CA0C">
        <w:t>d</w:t>
      </w:r>
      <w:r w:rsidR="20D7EEE4" w:rsidRPr="2AA1CA0C">
        <w:t xml:space="preserve"> that consulted </w:t>
      </w:r>
      <w:r w:rsidR="75435F3E" w:rsidRPr="2AA1CA0C">
        <w:t>clinicians</w:t>
      </w:r>
      <w:r w:rsidR="20D7EEE4" w:rsidRPr="2AA1CA0C">
        <w:t xml:space="preserve"> believe</w:t>
      </w:r>
      <w:r w:rsidR="00744D84" w:rsidRPr="2AA1CA0C">
        <w:t>d</w:t>
      </w:r>
      <w:r w:rsidR="20D7EEE4" w:rsidRPr="2AA1CA0C">
        <w:t xml:space="preserve"> that the efficacy of ESG was </w:t>
      </w:r>
      <w:r w:rsidR="10FDAAB6" w:rsidRPr="2AA1CA0C">
        <w:t>likely</w:t>
      </w:r>
      <w:r w:rsidR="20D7EEE4" w:rsidRPr="2AA1CA0C">
        <w:t xml:space="preserve"> underestimated in </w:t>
      </w:r>
      <w:r w:rsidR="003538D4" w:rsidRPr="2AA1CA0C">
        <w:t xml:space="preserve">the </w:t>
      </w:r>
      <w:r w:rsidR="20D7EEE4" w:rsidRPr="2AA1CA0C">
        <w:t xml:space="preserve">MERIT </w:t>
      </w:r>
      <w:r w:rsidR="00744D84" w:rsidRPr="2AA1CA0C">
        <w:t xml:space="preserve">trial </w:t>
      </w:r>
      <w:r w:rsidR="20D7EEE4" w:rsidRPr="2AA1CA0C">
        <w:t xml:space="preserve">due to </w:t>
      </w:r>
      <w:r w:rsidR="66289DE5" w:rsidRPr="2AA1CA0C">
        <w:t xml:space="preserve">trial design. The </w:t>
      </w:r>
      <w:r w:rsidR="547DABB8" w:rsidRPr="2AA1CA0C">
        <w:t>ADAR</w:t>
      </w:r>
      <w:r w:rsidR="66289DE5" w:rsidRPr="2AA1CA0C">
        <w:t xml:space="preserve"> also suggests that patients may have been incentivised to gain weight when nearing the 52</w:t>
      </w:r>
      <w:r w:rsidR="53ED0B13" w:rsidRPr="2AA1CA0C">
        <w:t>-</w:t>
      </w:r>
      <w:r w:rsidR="66289DE5" w:rsidRPr="2AA1CA0C">
        <w:t xml:space="preserve">week </w:t>
      </w:r>
      <w:r w:rsidR="04DE2796" w:rsidRPr="2AA1CA0C">
        <w:t>follow</w:t>
      </w:r>
      <w:r w:rsidR="66289DE5" w:rsidRPr="2AA1CA0C">
        <w:t xml:space="preserve">-up to qualify for retightening procedures </w:t>
      </w:r>
      <w:r w:rsidR="7660D6D7" w:rsidRPr="2AA1CA0C">
        <w:t>to induce</w:t>
      </w:r>
      <w:r w:rsidR="29E15DC2" w:rsidRPr="2AA1CA0C">
        <w:t xml:space="preserve"> further weight loss</w:t>
      </w:r>
      <w:r w:rsidR="003743DD" w:rsidRPr="2AA1CA0C">
        <w:t xml:space="preserve"> (</w:t>
      </w:r>
      <w:r w:rsidR="5529AC89" w:rsidRPr="2AA1CA0C">
        <w:t xml:space="preserve">no evidence </w:t>
      </w:r>
      <w:r w:rsidR="002070B2" w:rsidRPr="2AA1CA0C">
        <w:t>was presented</w:t>
      </w:r>
      <w:r w:rsidR="5529AC89" w:rsidRPr="2AA1CA0C">
        <w:t xml:space="preserve"> to substantiate this claim</w:t>
      </w:r>
      <w:r w:rsidR="003743DD" w:rsidRPr="2AA1CA0C">
        <w:t>)</w:t>
      </w:r>
      <w:r w:rsidR="66289DE5" w:rsidRPr="2AA1CA0C">
        <w:t xml:space="preserve">. </w:t>
      </w:r>
      <w:r w:rsidR="15EBCF72" w:rsidRPr="2AA1CA0C">
        <w:t xml:space="preserve">It </w:t>
      </w:r>
      <w:r w:rsidR="003743DD" w:rsidRPr="2AA1CA0C">
        <w:t>further</w:t>
      </w:r>
      <w:r w:rsidR="15EBCF72" w:rsidRPr="2AA1CA0C">
        <w:t xml:space="preserve"> suggest</w:t>
      </w:r>
      <w:r w:rsidR="003743DD" w:rsidRPr="2AA1CA0C">
        <w:t>s</w:t>
      </w:r>
      <w:r w:rsidR="15EBCF72" w:rsidRPr="2AA1CA0C">
        <w:t xml:space="preserve"> that less experienced proceduralists may have completed </w:t>
      </w:r>
      <w:r w:rsidR="003743DD" w:rsidRPr="2AA1CA0C">
        <w:t xml:space="preserve">the </w:t>
      </w:r>
      <w:r w:rsidR="15EBCF72" w:rsidRPr="2AA1CA0C">
        <w:t xml:space="preserve">ESG procedures in MERIT, reducing the overall efficacy of the procedure due to surgeon inexperience. </w:t>
      </w:r>
    </w:p>
    <w:p w14:paraId="3E6F9371" w14:textId="1D00F2D6" w:rsidR="3A062ECC" w:rsidRPr="00DC46A2" w:rsidRDefault="3A062ECC" w:rsidP="007D18A3">
      <w:pPr>
        <w:pStyle w:val="Heading4"/>
      </w:pPr>
      <w:r w:rsidRPr="00DC46A2">
        <w:t>%EWL</w:t>
      </w:r>
    </w:p>
    <w:p w14:paraId="1B3408EA" w14:textId="742B79BE" w:rsidR="610F4D30" w:rsidRPr="00061322" w:rsidRDefault="00325AD4" w:rsidP="007D18A3">
      <w:r>
        <w:t xml:space="preserve">The primary outcome of </w:t>
      </w:r>
      <w:r w:rsidR="00BA030D">
        <w:t>per cent excess weight loss (</w:t>
      </w:r>
      <w:r>
        <w:t>%EWL</w:t>
      </w:r>
      <w:r w:rsidR="00BA030D">
        <w:t>)</w:t>
      </w:r>
      <w:r w:rsidR="62076171">
        <w:t xml:space="preserve">, defined by the ADAR as </w:t>
      </w:r>
      <w:r w:rsidR="7D12109A">
        <w:t>excess weight over a BMI of 25 kg/m²</w:t>
      </w:r>
      <w:r w:rsidR="002A3050">
        <w:t xml:space="preserve">, </w:t>
      </w:r>
      <w:r w:rsidR="610F4D30">
        <w:t xml:space="preserve">was presented in the MERIT trial. Within this RCT, %EWL at 52 weeks was 49.2% (SD 32.0) for the ESG </w:t>
      </w:r>
      <w:r w:rsidR="695945D9">
        <w:t>group and 3.2% (SD 18.6) for the lifestyle modification</w:t>
      </w:r>
      <w:r w:rsidR="00685F79">
        <w:t>-</w:t>
      </w:r>
      <w:r w:rsidR="695945D9">
        <w:t>only group</w:t>
      </w:r>
      <w:r w:rsidR="002F3604">
        <w:t>.</w:t>
      </w:r>
      <w:r w:rsidR="00AD34D6" w:rsidRPr="00D76EFB">
        <w:rPr>
          <w:vertAlign w:val="superscript"/>
        </w:rPr>
        <w:fldChar w:fldCharType="begin"/>
      </w:r>
      <w:r w:rsidR="00AD34D6" w:rsidRPr="00D76EFB">
        <w:rPr>
          <w:vertAlign w:val="superscript"/>
        </w:rPr>
        <w:instrText xml:space="preserve"> NOTEREF _Ref187068871 \h </w:instrText>
      </w:r>
      <w:r w:rsidR="00AD34D6">
        <w:rPr>
          <w:vertAlign w:val="superscript"/>
        </w:rPr>
        <w:instrText xml:space="preserve"> \* MERGEFORMAT </w:instrText>
      </w:r>
      <w:r w:rsidR="00AD34D6" w:rsidRPr="00D76EFB">
        <w:rPr>
          <w:vertAlign w:val="superscript"/>
        </w:rPr>
      </w:r>
      <w:r w:rsidR="00AD34D6" w:rsidRPr="00D76EFB">
        <w:rPr>
          <w:vertAlign w:val="superscript"/>
        </w:rPr>
        <w:fldChar w:fldCharType="separate"/>
      </w:r>
      <w:r w:rsidR="008F37D1">
        <w:rPr>
          <w:vertAlign w:val="superscript"/>
        </w:rPr>
        <w:t>20</w:t>
      </w:r>
      <w:r w:rsidR="00AD34D6" w:rsidRPr="00D76EFB">
        <w:rPr>
          <w:vertAlign w:val="superscript"/>
        </w:rPr>
        <w:fldChar w:fldCharType="end"/>
      </w:r>
      <w:r w:rsidR="00354129">
        <w:rPr>
          <w:vertAlign w:val="superscript"/>
        </w:rPr>
        <w:t xml:space="preserve"> </w:t>
      </w:r>
      <w:r w:rsidR="7467631D">
        <w:t>In a modified ITT analysis with mixed effects model, participants in the ESG group had a mean difference of 44.7% (95% CI 37</w:t>
      </w:r>
      <w:r w:rsidR="3924238E">
        <w:t>.</w:t>
      </w:r>
      <w:r w:rsidR="7467631D">
        <w:t>5</w:t>
      </w:r>
      <w:r w:rsidR="00685F79">
        <w:t xml:space="preserve"> to </w:t>
      </w:r>
      <w:r w:rsidR="7467631D">
        <w:t>51</w:t>
      </w:r>
      <w:r w:rsidR="33CB42D2">
        <w:t>.</w:t>
      </w:r>
      <w:r w:rsidR="7467631D">
        <w:t>9)</w:t>
      </w:r>
      <w:r w:rsidR="00685F79">
        <w:t>,</w:t>
      </w:r>
      <w:r w:rsidR="3F43E8FF">
        <w:t xml:space="preserve"> compared to the control group (p&lt;0.0001 using </w:t>
      </w:r>
      <w:r w:rsidR="004052C6">
        <w:t>LOCF</w:t>
      </w:r>
      <w:r w:rsidR="3F43E8FF">
        <w:t xml:space="preserve"> and </w:t>
      </w:r>
      <w:r w:rsidR="00685F79">
        <w:t>p</w:t>
      </w:r>
      <w:r w:rsidR="3F43E8FF">
        <w:t>&lt;0.0001 using mixed-model imputations for missing data)</w:t>
      </w:r>
      <w:r w:rsidR="002F3604">
        <w:t>.</w:t>
      </w:r>
      <w:r w:rsidR="00AD34D6" w:rsidRPr="00D76EFB">
        <w:rPr>
          <w:vertAlign w:val="superscript"/>
        </w:rPr>
        <w:fldChar w:fldCharType="begin"/>
      </w:r>
      <w:r w:rsidR="00AD34D6" w:rsidRPr="00D76EFB">
        <w:rPr>
          <w:vertAlign w:val="superscript"/>
        </w:rPr>
        <w:instrText xml:space="preserve"> NOTEREF _Ref187068871 \h </w:instrText>
      </w:r>
      <w:r w:rsidR="00AD34D6">
        <w:rPr>
          <w:vertAlign w:val="superscript"/>
        </w:rPr>
        <w:instrText xml:space="preserve"> \* MERGEFORMAT </w:instrText>
      </w:r>
      <w:r w:rsidR="00AD34D6" w:rsidRPr="00D76EFB">
        <w:rPr>
          <w:vertAlign w:val="superscript"/>
        </w:rPr>
      </w:r>
      <w:r w:rsidR="00AD34D6" w:rsidRPr="00D76EFB">
        <w:rPr>
          <w:vertAlign w:val="superscript"/>
        </w:rPr>
        <w:fldChar w:fldCharType="separate"/>
      </w:r>
      <w:r w:rsidR="008F37D1">
        <w:rPr>
          <w:vertAlign w:val="superscript"/>
        </w:rPr>
        <w:t>20</w:t>
      </w:r>
      <w:r w:rsidR="00AD34D6" w:rsidRPr="00D76EFB">
        <w:rPr>
          <w:vertAlign w:val="superscript"/>
        </w:rPr>
        <w:fldChar w:fldCharType="end"/>
      </w:r>
      <w:r w:rsidR="3F43E8FF">
        <w:t xml:space="preserve"> </w:t>
      </w:r>
      <w:r w:rsidR="00685F79">
        <w:t>O</w:t>
      </w:r>
      <w:r w:rsidR="3F43E8FF">
        <w:t>f participants in the ESG group</w:t>
      </w:r>
      <w:r w:rsidR="00685F79">
        <w:t>, 77%</w:t>
      </w:r>
      <w:r w:rsidR="3F43E8FF">
        <w:t xml:space="preserve"> </w:t>
      </w:r>
      <w:r w:rsidR="73D45702">
        <w:t>achieved</w:t>
      </w:r>
      <w:r w:rsidR="3F43E8FF">
        <w:t xml:space="preserve"> </w:t>
      </w:r>
      <w:r w:rsidR="00685F79">
        <w:t>&gt;</w:t>
      </w:r>
      <w:r w:rsidR="3F43E8FF">
        <w:t>25%</w:t>
      </w:r>
      <w:r w:rsidR="427A9292">
        <w:t xml:space="preserve"> EWL a</w:t>
      </w:r>
      <w:r w:rsidR="7B18515F">
        <w:t>t</w:t>
      </w:r>
      <w:r w:rsidR="427A9292">
        <w:t xml:space="preserve"> 52 weeks</w:t>
      </w:r>
      <w:r w:rsidR="009510F4">
        <w:t>—</w:t>
      </w:r>
      <w:r w:rsidR="283EBFFD">
        <w:t>reaching</w:t>
      </w:r>
      <w:r w:rsidR="427A9292">
        <w:t xml:space="preserve"> </w:t>
      </w:r>
      <w:r w:rsidR="21AFBEB3">
        <w:t>T</w:t>
      </w:r>
      <w:r w:rsidR="427A9292">
        <w:t>he</w:t>
      </w:r>
      <w:r w:rsidR="6F68D13F">
        <w:t xml:space="preserve"> American Society for Gastrointestinal Endoscopy (</w:t>
      </w:r>
      <w:r w:rsidR="427A9292">
        <w:t>ASGE</w:t>
      </w:r>
      <w:r w:rsidR="74DF5625">
        <w:t>)</w:t>
      </w:r>
      <w:r w:rsidR="427A9292">
        <w:t xml:space="preserve"> and </w:t>
      </w:r>
      <w:r w:rsidR="6B950879">
        <w:t xml:space="preserve">The American Society for Metabolic and </w:t>
      </w:r>
      <w:r w:rsidR="7C0CFF2E">
        <w:t>Bariatric</w:t>
      </w:r>
      <w:r w:rsidR="6B950879">
        <w:t xml:space="preserve"> Surgery (</w:t>
      </w:r>
      <w:r w:rsidR="427A9292">
        <w:t>ASMBS</w:t>
      </w:r>
      <w:r w:rsidR="5C594D79">
        <w:t>)</w:t>
      </w:r>
      <w:r w:rsidR="427A9292">
        <w:t xml:space="preserve"> Task </w:t>
      </w:r>
      <w:r w:rsidR="2E26CBC6">
        <w:t>Force</w:t>
      </w:r>
      <w:r w:rsidR="427A9292">
        <w:t xml:space="preserve"> on Endoscopic Bariatric Therapy minimum threshold</w:t>
      </w:r>
      <w:r w:rsidR="58AE933F">
        <w:t xml:space="preserve"> recommendations</w:t>
      </w:r>
      <w:r w:rsidR="009510F4">
        <w:t>—</w:t>
      </w:r>
      <w:r w:rsidR="58AE933F">
        <w:t>compared to 12% of those in the control group</w:t>
      </w:r>
      <w:r w:rsidR="002F3604">
        <w:t>.</w:t>
      </w:r>
      <w:r w:rsidR="00A434D2" w:rsidRPr="00B618F5">
        <w:rPr>
          <w:vertAlign w:val="superscript"/>
        </w:rPr>
        <w:fldChar w:fldCharType="begin"/>
      </w:r>
      <w:r w:rsidR="00A434D2" w:rsidRPr="00B618F5">
        <w:rPr>
          <w:vertAlign w:val="superscript"/>
        </w:rPr>
        <w:instrText xml:space="preserve"> NOTEREF _Ref187068871 \h </w:instrText>
      </w:r>
      <w:r w:rsidR="00A434D2">
        <w:rPr>
          <w:vertAlign w:val="superscript"/>
        </w:rPr>
        <w:instrText xml:space="preserve"> \* MERGEFORMAT </w:instrText>
      </w:r>
      <w:r w:rsidR="00A434D2" w:rsidRPr="00B618F5">
        <w:rPr>
          <w:vertAlign w:val="superscript"/>
        </w:rPr>
      </w:r>
      <w:r w:rsidR="00A434D2" w:rsidRPr="00B618F5">
        <w:rPr>
          <w:vertAlign w:val="superscript"/>
        </w:rPr>
        <w:fldChar w:fldCharType="separate"/>
      </w:r>
      <w:r w:rsidR="008F37D1">
        <w:rPr>
          <w:vertAlign w:val="superscript"/>
        </w:rPr>
        <w:t>20</w:t>
      </w:r>
      <w:r w:rsidR="00A434D2" w:rsidRPr="00B618F5">
        <w:rPr>
          <w:vertAlign w:val="superscript"/>
        </w:rPr>
        <w:fldChar w:fldCharType="end"/>
      </w:r>
      <w:r w:rsidR="00D93CF2">
        <w:rPr>
          <w:vertAlign w:val="superscript"/>
        </w:rPr>
        <w:t xml:space="preserve"> </w:t>
      </w:r>
      <w:r w:rsidR="003430BC">
        <w:t>H</w:t>
      </w:r>
      <w:r w:rsidR="4CDBF50F">
        <w:t xml:space="preserve">owever, </w:t>
      </w:r>
      <w:r w:rsidR="00735B08">
        <w:t>the commentary</w:t>
      </w:r>
      <w:r w:rsidR="4CDBF50F">
        <w:t xml:space="preserve"> noted that patients were censored from some analyses when they failed to maintain a weight loss of </w:t>
      </w:r>
      <w:r w:rsidR="003430BC">
        <w:t>≥</w:t>
      </w:r>
      <w:r w:rsidR="4CDBF50F">
        <w:t>25% EWL</w:t>
      </w:r>
      <w:r w:rsidR="58AE933F">
        <w:t xml:space="preserve">. </w:t>
      </w:r>
      <w:r w:rsidR="234912BA">
        <w:t xml:space="preserve">A meta-analysis </w:t>
      </w:r>
      <w:r w:rsidR="06C85989">
        <w:t xml:space="preserve">conducted by the ADAR, </w:t>
      </w:r>
      <w:r w:rsidR="234912BA">
        <w:t xml:space="preserve">including the MERIT </w:t>
      </w:r>
      <w:r w:rsidR="00DD18E7">
        <w:t>trial</w:t>
      </w:r>
      <w:r w:rsidR="234912BA">
        <w:t xml:space="preserve">, </w:t>
      </w:r>
      <w:r w:rsidR="003430BC">
        <w:t xml:space="preserve">3 </w:t>
      </w:r>
      <w:r w:rsidR="16CEF263">
        <w:t>single</w:t>
      </w:r>
      <w:r w:rsidR="003430BC">
        <w:t>-</w:t>
      </w:r>
      <w:r w:rsidR="16CEF263">
        <w:t xml:space="preserve">arm studies and </w:t>
      </w:r>
      <w:r w:rsidR="003430BC">
        <w:t xml:space="preserve">6 </w:t>
      </w:r>
      <w:r w:rsidR="16CEF263">
        <w:t>studies from an included systematic review</w:t>
      </w:r>
      <w:r w:rsidR="003430BC">
        <w:t>,</w:t>
      </w:r>
      <w:r w:rsidR="16CEF263">
        <w:t xml:space="preserve"> revealed </w:t>
      </w:r>
      <w:r w:rsidR="003430BC">
        <w:t xml:space="preserve">that </w:t>
      </w:r>
      <w:r w:rsidR="16CEF263">
        <w:t xml:space="preserve">the total pooled mean %EWL was </w:t>
      </w:r>
      <w:r w:rsidR="7A0A0943">
        <w:t>57% for both common and random effects models (95% CI 56%</w:t>
      </w:r>
      <w:r w:rsidR="003430BC">
        <w:t xml:space="preserve"> to </w:t>
      </w:r>
      <w:r w:rsidR="7A0A0943">
        <w:t>57% and 52%</w:t>
      </w:r>
      <w:r w:rsidR="003430BC">
        <w:t xml:space="preserve"> to </w:t>
      </w:r>
      <w:r w:rsidR="7A0A0943">
        <w:t>61%, respectively)</w:t>
      </w:r>
      <w:r w:rsidR="2F1ED9E6">
        <w:t xml:space="preserve"> </w:t>
      </w:r>
      <w:r w:rsidR="003430BC">
        <w:t>(</w:t>
      </w:r>
      <w:r w:rsidR="006B5215">
        <w:fldChar w:fldCharType="begin"/>
      </w:r>
      <w:r w:rsidR="006B5215">
        <w:instrText xml:space="preserve"> REF _Ref184211251 \h </w:instrText>
      </w:r>
      <w:r w:rsidR="006B5215">
        <w:fldChar w:fldCharType="separate"/>
      </w:r>
      <w:r w:rsidR="008F37D1">
        <w:t xml:space="preserve">Table </w:t>
      </w:r>
      <w:r w:rsidR="008F37D1">
        <w:rPr>
          <w:noProof/>
        </w:rPr>
        <w:t>16</w:t>
      </w:r>
      <w:r w:rsidR="006B5215">
        <w:fldChar w:fldCharType="end"/>
      </w:r>
      <w:r w:rsidR="00502AF5">
        <w:t xml:space="preserve">; </w:t>
      </w:r>
      <w:r w:rsidR="006B5215">
        <w:fldChar w:fldCharType="begin"/>
      </w:r>
      <w:r w:rsidR="006B5215">
        <w:instrText xml:space="preserve"> REF _Ref184211254 \h </w:instrText>
      </w:r>
      <w:r w:rsidR="006B5215">
        <w:fldChar w:fldCharType="separate"/>
      </w:r>
      <w:r w:rsidR="008F37D1">
        <w:t xml:space="preserve">Table </w:t>
      </w:r>
      <w:r w:rsidR="008F37D1">
        <w:rPr>
          <w:noProof/>
        </w:rPr>
        <w:t>17</w:t>
      </w:r>
      <w:r w:rsidR="006B5215">
        <w:fldChar w:fldCharType="end"/>
      </w:r>
      <w:r w:rsidR="00AD34D6">
        <w:t>).</w:t>
      </w:r>
    </w:p>
    <w:p w14:paraId="7737615F" w14:textId="03E54A21" w:rsidR="00EC22D5" w:rsidRDefault="449E42CF" w:rsidP="007D18A3">
      <w:r w:rsidRPr="2AA1CA0C">
        <w:t>Although ESG appear</w:t>
      </w:r>
      <w:r w:rsidR="00850A62" w:rsidRPr="2AA1CA0C">
        <w:t>ed</w:t>
      </w:r>
      <w:r w:rsidRPr="2AA1CA0C">
        <w:t xml:space="preserve"> to induce a greater weight loss than lifestyle modification alone, a lack of rigorous comparative evidence remains to support the superiority </w:t>
      </w:r>
      <w:r w:rsidR="0030746B" w:rsidRPr="2AA1CA0C">
        <w:t xml:space="preserve">claim </w:t>
      </w:r>
      <w:r w:rsidRPr="2AA1CA0C">
        <w:t xml:space="preserve">of the technique. The </w:t>
      </w:r>
      <w:r w:rsidR="009653A4" w:rsidRPr="2AA1CA0C">
        <w:t xml:space="preserve">greater </w:t>
      </w:r>
      <w:r w:rsidR="36F93A9B" w:rsidRPr="2AA1CA0C">
        <w:t>baseline BMI</w:t>
      </w:r>
      <w:r w:rsidRPr="2AA1CA0C">
        <w:t xml:space="preserve"> </w:t>
      </w:r>
      <w:r w:rsidR="009653A4" w:rsidRPr="2AA1CA0C">
        <w:t xml:space="preserve">for </w:t>
      </w:r>
      <w:r w:rsidR="3C75F383" w:rsidRPr="2AA1CA0C">
        <w:t xml:space="preserve">ESG patients in </w:t>
      </w:r>
      <w:r w:rsidRPr="2AA1CA0C">
        <w:t>single</w:t>
      </w:r>
      <w:r w:rsidR="00B54183" w:rsidRPr="2AA1CA0C">
        <w:t>-</w:t>
      </w:r>
      <w:r w:rsidRPr="2AA1CA0C">
        <w:t>arm studies m</w:t>
      </w:r>
      <w:r w:rsidR="005F76C3" w:rsidRPr="2AA1CA0C">
        <w:t>ight have</w:t>
      </w:r>
      <w:r w:rsidRPr="2AA1CA0C">
        <w:t xml:space="preserve"> contribute</w:t>
      </w:r>
      <w:r w:rsidR="005F76C3" w:rsidRPr="2AA1CA0C">
        <w:t>d</w:t>
      </w:r>
      <w:r w:rsidRPr="2AA1CA0C">
        <w:t xml:space="preserve"> to </w:t>
      </w:r>
      <w:r w:rsidR="00742E69" w:rsidRPr="2AA1CA0C">
        <w:t xml:space="preserve">the </w:t>
      </w:r>
      <w:r w:rsidR="005B49AB" w:rsidRPr="2AA1CA0C">
        <w:t>greater observed</w:t>
      </w:r>
      <w:r w:rsidRPr="2AA1CA0C">
        <w:t xml:space="preserve"> %TBWL and %EWL in ESG patients. Patients experiencing benefits from ESG m</w:t>
      </w:r>
      <w:r w:rsidR="005E696D" w:rsidRPr="2AA1CA0C">
        <w:t>ight</w:t>
      </w:r>
      <w:r w:rsidRPr="2AA1CA0C">
        <w:t xml:space="preserve"> be more likely to remain </w:t>
      </w:r>
      <w:r w:rsidR="00B54183" w:rsidRPr="2AA1CA0C">
        <w:t>with</w:t>
      </w:r>
      <w:r w:rsidRPr="2AA1CA0C">
        <w:t>in observational study cohorts over long periods, which m</w:t>
      </w:r>
      <w:r w:rsidR="005E696D" w:rsidRPr="2AA1CA0C">
        <w:t>ight</w:t>
      </w:r>
      <w:r w:rsidRPr="2AA1CA0C">
        <w:t xml:space="preserve"> skew </w:t>
      </w:r>
      <w:r w:rsidR="00B54183" w:rsidRPr="2AA1CA0C">
        <w:t xml:space="preserve">the </w:t>
      </w:r>
      <w:r w:rsidRPr="2AA1CA0C">
        <w:t xml:space="preserve">results in favour of the efficacy for ESG. </w:t>
      </w:r>
      <w:r w:rsidR="001C6168" w:rsidRPr="2AA1CA0C">
        <w:t>Loss to follow</w:t>
      </w:r>
      <w:r w:rsidR="004738A1" w:rsidRPr="2AA1CA0C">
        <w:t>-</w:t>
      </w:r>
      <w:r w:rsidR="001C6168" w:rsidRPr="2AA1CA0C">
        <w:t>up was minimal within several observational ESG studies, whil</w:t>
      </w:r>
      <w:r w:rsidR="004738A1" w:rsidRPr="2AA1CA0C">
        <w:t>e</w:t>
      </w:r>
      <w:r w:rsidR="001C6168" w:rsidRPr="2AA1CA0C">
        <w:t xml:space="preserve"> a loss to follow</w:t>
      </w:r>
      <w:r w:rsidR="004738A1" w:rsidRPr="2AA1CA0C">
        <w:t>-</w:t>
      </w:r>
      <w:r w:rsidR="001C6168" w:rsidRPr="2AA1CA0C">
        <w:t>up of 16% was identified within the MERI</w:t>
      </w:r>
      <w:r w:rsidR="000D74C1" w:rsidRPr="2AA1CA0C">
        <w:t>T trial</w:t>
      </w:r>
      <w:r w:rsidR="00111EB4" w:rsidRPr="2AA1CA0C">
        <w:t>.</w:t>
      </w:r>
      <w:r w:rsidR="00AD34D6" w:rsidRPr="00D76EFB">
        <w:rPr>
          <w:vertAlign w:val="superscript"/>
        </w:rPr>
        <w:fldChar w:fldCharType="begin"/>
      </w:r>
      <w:r w:rsidR="00AD34D6" w:rsidRPr="00D76EFB">
        <w:rPr>
          <w:vertAlign w:val="superscript"/>
        </w:rPr>
        <w:instrText xml:space="preserve"> NOTEREF _Ref187068871 \h </w:instrText>
      </w:r>
      <w:r w:rsidR="00AD34D6">
        <w:rPr>
          <w:vertAlign w:val="superscript"/>
        </w:rPr>
        <w:instrText xml:space="preserve"> \* MERGEFORMAT </w:instrText>
      </w:r>
      <w:r w:rsidR="00AD34D6" w:rsidRPr="00D76EFB">
        <w:rPr>
          <w:vertAlign w:val="superscript"/>
        </w:rPr>
      </w:r>
      <w:r w:rsidR="00AD34D6" w:rsidRPr="00D76EFB">
        <w:rPr>
          <w:vertAlign w:val="superscript"/>
        </w:rPr>
        <w:fldChar w:fldCharType="separate"/>
      </w:r>
      <w:r w:rsidR="008F37D1">
        <w:rPr>
          <w:vertAlign w:val="superscript"/>
        </w:rPr>
        <w:t>20</w:t>
      </w:r>
      <w:r w:rsidR="00AD34D6" w:rsidRPr="00D76EFB">
        <w:rPr>
          <w:vertAlign w:val="superscript"/>
        </w:rPr>
        <w:fldChar w:fldCharType="end"/>
      </w:r>
      <w:r w:rsidR="00AD34D6" w:rsidRPr="2AA1CA0C">
        <w:rPr>
          <w:vertAlign w:val="superscript"/>
        </w:rPr>
        <w:t xml:space="preserve">, </w:t>
      </w:r>
      <w:r w:rsidR="00AD34D6">
        <w:rPr>
          <w:vertAlign w:val="superscript"/>
        </w:rPr>
        <w:fldChar w:fldCharType="begin"/>
      </w:r>
      <w:r w:rsidR="00AD34D6">
        <w:rPr>
          <w:vertAlign w:val="superscript"/>
        </w:rPr>
        <w:instrText xml:space="preserve"> NOTEREF _Ref187069073 \h </w:instrText>
      </w:r>
      <w:r w:rsidR="00AD34D6">
        <w:rPr>
          <w:vertAlign w:val="superscript"/>
        </w:rPr>
      </w:r>
      <w:r w:rsidR="00AD34D6">
        <w:rPr>
          <w:vertAlign w:val="superscript"/>
        </w:rPr>
        <w:fldChar w:fldCharType="separate"/>
      </w:r>
      <w:r w:rsidR="008F37D1">
        <w:rPr>
          <w:vertAlign w:val="superscript"/>
        </w:rPr>
        <w:t>32</w:t>
      </w:r>
      <w:r w:rsidR="00AD34D6">
        <w:rPr>
          <w:vertAlign w:val="superscript"/>
        </w:rPr>
        <w:fldChar w:fldCharType="end"/>
      </w:r>
      <w:r w:rsidR="00AD34D6" w:rsidRPr="2AA1CA0C">
        <w:rPr>
          <w:vertAlign w:val="superscript"/>
        </w:rPr>
        <w:t xml:space="preserve">, </w:t>
      </w:r>
      <w:r w:rsidR="00AD34D6">
        <w:rPr>
          <w:vertAlign w:val="superscript"/>
        </w:rPr>
        <w:fldChar w:fldCharType="begin"/>
      </w:r>
      <w:r w:rsidR="00AD34D6">
        <w:rPr>
          <w:vertAlign w:val="superscript"/>
        </w:rPr>
        <w:instrText xml:space="preserve"> NOTEREF _Ref187069145 \h </w:instrText>
      </w:r>
      <w:r w:rsidR="00AD34D6">
        <w:rPr>
          <w:vertAlign w:val="superscript"/>
        </w:rPr>
      </w:r>
      <w:r w:rsidR="00AD34D6">
        <w:rPr>
          <w:vertAlign w:val="superscript"/>
        </w:rPr>
        <w:fldChar w:fldCharType="separate"/>
      </w:r>
      <w:r w:rsidR="008F37D1">
        <w:rPr>
          <w:vertAlign w:val="superscript"/>
        </w:rPr>
        <w:t>39</w:t>
      </w:r>
      <w:r w:rsidR="00AD34D6">
        <w:rPr>
          <w:vertAlign w:val="superscript"/>
        </w:rPr>
        <w:fldChar w:fldCharType="end"/>
      </w:r>
      <w:r w:rsidR="006563B3" w:rsidRPr="2AA1CA0C">
        <w:t xml:space="preserve">. </w:t>
      </w:r>
      <w:r w:rsidR="00055601" w:rsidRPr="2AA1CA0C">
        <w:t>T</w:t>
      </w:r>
      <w:r w:rsidR="4808901F" w:rsidRPr="2AA1CA0C">
        <w:t xml:space="preserve">he </w:t>
      </w:r>
      <w:r w:rsidR="0830EE0D" w:rsidRPr="2AA1CA0C">
        <w:t>ADAR claim</w:t>
      </w:r>
      <w:r w:rsidR="005E696D" w:rsidRPr="2AA1CA0C">
        <w:t>ed</w:t>
      </w:r>
      <w:r w:rsidR="0830EE0D" w:rsidRPr="2AA1CA0C">
        <w:t xml:space="preserve"> </w:t>
      </w:r>
      <w:r w:rsidR="4808901F" w:rsidRPr="2AA1CA0C">
        <w:t xml:space="preserve">that weight loss benefits </w:t>
      </w:r>
      <w:r w:rsidR="00DC042E" w:rsidRPr="2AA1CA0C">
        <w:t xml:space="preserve">observed </w:t>
      </w:r>
      <w:r w:rsidR="4808901F" w:rsidRPr="2AA1CA0C">
        <w:t xml:space="preserve">in </w:t>
      </w:r>
      <w:r w:rsidR="002336BE" w:rsidRPr="2AA1CA0C">
        <w:t xml:space="preserve">the </w:t>
      </w:r>
      <w:r w:rsidR="4808901F" w:rsidRPr="2AA1CA0C">
        <w:t xml:space="preserve">MERIT </w:t>
      </w:r>
      <w:r w:rsidR="002336BE" w:rsidRPr="2AA1CA0C">
        <w:t xml:space="preserve">trial </w:t>
      </w:r>
      <w:r w:rsidR="4808901F" w:rsidRPr="2AA1CA0C">
        <w:t>m</w:t>
      </w:r>
      <w:r w:rsidR="005E696D" w:rsidRPr="2AA1CA0C">
        <w:t>ight</w:t>
      </w:r>
      <w:r w:rsidR="4808901F" w:rsidRPr="2AA1CA0C">
        <w:t xml:space="preserve"> </w:t>
      </w:r>
      <w:r w:rsidR="002336BE" w:rsidRPr="2AA1CA0C">
        <w:t xml:space="preserve">have </w:t>
      </w:r>
      <w:r w:rsidR="4808901F" w:rsidRPr="2AA1CA0C">
        <w:t>be</w:t>
      </w:r>
      <w:r w:rsidR="002336BE" w:rsidRPr="2AA1CA0C">
        <w:t>en</w:t>
      </w:r>
      <w:r w:rsidR="4808901F" w:rsidRPr="2AA1CA0C">
        <w:t xml:space="preserve"> </w:t>
      </w:r>
      <w:r w:rsidR="2ADD0C5C" w:rsidRPr="2AA1CA0C">
        <w:t>under</w:t>
      </w:r>
      <w:r w:rsidR="2FBA56CC" w:rsidRPr="2AA1CA0C">
        <w:t>estimated</w:t>
      </w:r>
      <w:r w:rsidR="2ADD0C5C" w:rsidRPr="2AA1CA0C">
        <w:t xml:space="preserve"> </w:t>
      </w:r>
      <w:r w:rsidR="4808901F" w:rsidRPr="2AA1CA0C">
        <w:t>due to the trial methodology and context</w:t>
      </w:r>
      <w:r w:rsidR="00055601" w:rsidRPr="2AA1CA0C">
        <w:t xml:space="preserve">. </w:t>
      </w:r>
      <w:r w:rsidR="00486289" w:rsidRPr="2AA1CA0C">
        <w:t>However</w:t>
      </w:r>
      <w:r w:rsidR="4808901F" w:rsidRPr="2AA1CA0C">
        <w:t xml:space="preserve">, </w:t>
      </w:r>
      <w:r w:rsidR="286D1224" w:rsidRPr="2AA1CA0C">
        <w:t>consistent clinician monitoring and</w:t>
      </w:r>
      <w:r w:rsidRPr="2AA1CA0C">
        <w:t xml:space="preserve"> </w:t>
      </w:r>
      <w:r w:rsidR="286D1224" w:rsidRPr="2AA1CA0C">
        <w:t xml:space="preserve">support </w:t>
      </w:r>
      <w:r w:rsidR="00272853" w:rsidRPr="2AA1CA0C">
        <w:t>in a</w:t>
      </w:r>
      <w:r w:rsidR="008A7D89" w:rsidRPr="2AA1CA0C">
        <w:t xml:space="preserve"> clinical trial setting might </w:t>
      </w:r>
      <w:r w:rsidR="286D1224" w:rsidRPr="2AA1CA0C">
        <w:t xml:space="preserve">have incentivised patients to </w:t>
      </w:r>
      <w:r w:rsidR="427FC370" w:rsidRPr="2AA1CA0C">
        <w:t>adhere closely to the weight</w:t>
      </w:r>
      <w:r w:rsidR="00A067A8" w:rsidRPr="2AA1CA0C">
        <w:t xml:space="preserve"> </w:t>
      </w:r>
      <w:r w:rsidR="427FC370" w:rsidRPr="2AA1CA0C">
        <w:t>loss program</w:t>
      </w:r>
      <w:r w:rsidR="00244825" w:rsidRPr="2AA1CA0C">
        <w:t>. C</w:t>
      </w:r>
      <w:r w:rsidR="427FC370" w:rsidRPr="2AA1CA0C">
        <w:t>onsistent patient</w:t>
      </w:r>
      <w:r w:rsidR="00A067A8" w:rsidRPr="2AA1CA0C">
        <w:t>–</w:t>
      </w:r>
      <w:r w:rsidR="427FC370" w:rsidRPr="2AA1CA0C">
        <w:t>clinician follow</w:t>
      </w:r>
      <w:r w:rsidR="00244825" w:rsidRPr="2AA1CA0C">
        <w:t>-</w:t>
      </w:r>
      <w:r w:rsidR="427FC370" w:rsidRPr="2AA1CA0C">
        <w:t xml:space="preserve">up </w:t>
      </w:r>
      <w:r w:rsidR="005A425B" w:rsidRPr="2AA1CA0C">
        <w:t>is likely to be</w:t>
      </w:r>
      <w:r w:rsidR="427FC370" w:rsidRPr="2AA1CA0C">
        <w:t xml:space="preserve"> less pre</w:t>
      </w:r>
      <w:r w:rsidR="005A425B" w:rsidRPr="2AA1CA0C">
        <w:t>valent</w:t>
      </w:r>
      <w:r w:rsidR="427FC370" w:rsidRPr="2AA1CA0C">
        <w:t xml:space="preserve"> in real-world </w:t>
      </w:r>
      <w:r w:rsidR="005E4BAD" w:rsidRPr="2AA1CA0C">
        <w:t>clinical practice</w:t>
      </w:r>
      <w:r w:rsidR="00244825" w:rsidRPr="2AA1CA0C">
        <w:t xml:space="preserve"> </w:t>
      </w:r>
      <w:r w:rsidR="004D144B" w:rsidRPr="2AA1CA0C">
        <w:t xml:space="preserve">than </w:t>
      </w:r>
      <w:r w:rsidR="005E4BAD" w:rsidRPr="2AA1CA0C">
        <w:t>in</w:t>
      </w:r>
      <w:r w:rsidR="427FC370" w:rsidRPr="2AA1CA0C">
        <w:t xml:space="preserve"> </w:t>
      </w:r>
      <w:r w:rsidR="00244825" w:rsidRPr="2AA1CA0C">
        <w:t xml:space="preserve">the </w:t>
      </w:r>
      <w:r w:rsidR="427FC370" w:rsidRPr="2AA1CA0C">
        <w:t>single</w:t>
      </w:r>
      <w:r w:rsidR="00244825" w:rsidRPr="2AA1CA0C">
        <w:t>-</w:t>
      </w:r>
      <w:r w:rsidR="427FC370" w:rsidRPr="2AA1CA0C">
        <w:t xml:space="preserve">arm </w:t>
      </w:r>
      <w:r w:rsidR="008B76D6" w:rsidRPr="2AA1CA0C">
        <w:t xml:space="preserve">observation </w:t>
      </w:r>
      <w:r w:rsidR="427FC370" w:rsidRPr="2AA1CA0C">
        <w:t>studies.</w:t>
      </w:r>
      <w:r w:rsidRPr="2AA1CA0C">
        <w:t xml:space="preserve"> </w:t>
      </w:r>
      <w:r w:rsidR="00244825" w:rsidRPr="2AA1CA0C">
        <w:t xml:space="preserve">GRADE </w:t>
      </w:r>
      <w:r w:rsidR="77C02D5B" w:rsidRPr="2AA1CA0C">
        <w:t xml:space="preserve">analysis </w:t>
      </w:r>
      <w:r w:rsidR="001A66AC" w:rsidRPr="2AA1CA0C">
        <w:t xml:space="preserve">of </w:t>
      </w:r>
      <w:r w:rsidR="77C02D5B" w:rsidRPr="2AA1CA0C">
        <w:t xml:space="preserve">the MERIT </w:t>
      </w:r>
      <w:r w:rsidR="00DD18E7" w:rsidRPr="2AA1CA0C">
        <w:t>trial</w:t>
      </w:r>
      <w:r w:rsidR="77C02D5B" w:rsidRPr="2AA1CA0C">
        <w:t xml:space="preserve"> for both %TWL and %EWL is pres</w:t>
      </w:r>
      <w:r w:rsidR="0001578E" w:rsidRPr="2AA1CA0C">
        <w:t>e</w:t>
      </w:r>
      <w:r w:rsidR="77C02D5B" w:rsidRPr="2AA1CA0C">
        <w:t xml:space="preserve">nted in </w:t>
      </w:r>
      <w:r w:rsidR="006B5215">
        <w:fldChar w:fldCharType="begin"/>
      </w:r>
      <w:r w:rsidR="006B5215">
        <w:instrText xml:space="preserve"> REF _Ref184211254 \h </w:instrText>
      </w:r>
      <w:r w:rsidR="006B5215">
        <w:fldChar w:fldCharType="separate"/>
      </w:r>
      <w:r w:rsidR="008F37D1">
        <w:t xml:space="preserve">Table </w:t>
      </w:r>
      <w:r w:rsidR="008F37D1">
        <w:rPr>
          <w:noProof/>
        </w:rPr>
        <w:t>17</w:t>
      </w:r>
      <w:r w:rsidR="006B5215">
        <w:fldChar w:fldCharType="end"/>
      </w:r>
      <w:r w:rsidR="0001578E" w:rsidRPr="2AA1CA0C">
        <w:t xml:space="preserve">. </w:t>
      </w:r>
    </w:p>
    <w:p w14:paraId="6008C234" w14:textId="2277AC2A" w:rsidR="005F4B1E" w:rsidRDefault="00735B08" w:rsidP="007D18A3">
      <w:r>
        <w:t>The commentary</w:t>
      </w:r>
      <w:r w:rsidR="449E42CF" w:rsidRPr="2AA1CA0C">
        <w:t xml:space="preserve"> also noted that the </w:t>
      </w:r>
      <w:r w:rsidR="72CCCB21" w:rsidRPr="2AA1CA0C">
        <w:t xml:space="preserve">mean </w:t>
      </w:r>
      <w:r w:rsidR="449E42CF" w:rsidRPr="2AA1CA0C">
        <w:t xml:space="preserve">BMI </w:t>
      </w:r>
      <w:r w:rsidR="3A1C0FAC" w:rsidRPr="2AA1CA0C">
        <w:t>at baseline</w:t>
      </w:r>
      <w:r w:rsidR="00583395" w:rsidRPr="2AA1CA0C">
        <w:t xml:space="preserve"> </w:t>
      </w:r>
      <w:r w:rsidR="449E42CF" w:rsidRPr="2AA1CA0C">
        <w:t xml:space="preserve">within the MERIT trial was lower than </w:t>
      </w:r>
      <w:r w:rsidR="00244825" w:rsidRPr="2AA1CA0C">
        <w:t xml:space="preserve">for </w:t>
      </w:r>
      <w:r w:rsidR="449E42CF" w:rsidRPr="2AA1CA0C">
        <w:t>many single</w:t>
      </w:r>
      <w:r w:rsidR="00906FAF" w:rsidRPr="2AA1CA0C">
        <w:t>-</w:t>
      </w:r>
      <w:r w:rsidR="449E42CF" w:rsidRPr="2AA1CA0C">
        <w:t>arm studies, which may also account for the greater weight loss observed within</w:t>
      </w:r>
      <w:r w:rsidR="38DAEF68" w:rsidRPr="2AA1CA0C">
        <w:t xml:space="preserve"> observational cohorts</w:t>
      </w:r>
      <w:r w:rsidR="00EC22D5" w:rsidRPr="2AA1CA0C">
        <w:t>. P</w:t>
      </w:r>
      <w:r w:rsidR="449E42CF" w:rsidRPr="2AA1CA0C">
        <w:t>revious studies identif</w:t>
      </w:r>
      <w:r w:rsidR="00906FAF" w:rsidRPr="2AA1CA0C">
        <w:t>ied</w:t>
      </w:r>
      <w:r w:rsidR="449E42CF" w:rsidRPr="2AA1CA0C">
        <w:t xml:space="preserve"> that a higher baseline BMI may predict greater weight loss.</w:t>
      </w:r>
      <w:r w:rsidR="61521837" w:rsidRPr="2AA1CA0C">
        <w:t xml:space="preserve"> It </w:t>
      </w:r>
      <w:r w:rsidR="000623B3" w:rsidRPr="2AA1CA0C">
        <w:t>wa</w:t>
      </w:r>
      <w:r w:rsidR="61521837" w:rsidRPr="2AA1CA0C">
        <w:t xml:space="preserve">s also </w:t>
      </w:r>
      <w:r w:rsidR="008A613A" w:rsidRPr="2AA1CA0C">
        <w:t>un</w:t>
      </w:r>
      <w:r w:rsidR="000623B3" w:rsidRPr="2AA1CA0C">
        <w:t>clear</w:t>
      </w:r>
      <w:r w:rsidR="61521837" w:rsidRPr="2AA1CA0C">
        <w:t xml:space="preserve"> why patients were excluded from %EWL analysis in the MERIT trial when they failed to maintain </w:t>
      </w:r>
      <w:r w:rsidR="008A613A" w:rsidRPr="2AA1CA0C">
        <w:t>≥</w:t>
      </w:r>
      <w:r w:rsidR="61521837" w:rsidRPr="2AA1CA0C">
        <w:t>25% EWL</w:t>
      </w:r>
      <w:r w:rsidR="002021F8" w:rsidRPr="2AA1CA0C">
        <w:t>. This</w:t>
      </w:r>
      <w:r w:rsidR="61521837" w:rsidRPr="2AA1CA0C">
        <w:t xml:space="preserve"> may impact </w:t>
      </w:r>
      <w:r w:rsidR="3161C68B" w:rsidRPr="2AA1CA0C">
        <w:t>data from this outcome.</w:t>
      </w:r>
    </w:p>
    <w:p w14:paraId="20494893" w14:textId="44679B3E" w:rsidR="00D6662B" w:rsidRDefault="00D6662B" w:rsidP="00031324">
      <w:pPr>
        <w:pStyle w:val="Caption"/>
        <w:keepLines/>
      </w:pPr>
      <w:bookmarkStart w:id="72" w:name="_Ref184211251"/>
      <w:r>
        <w:t xml:space="preserve">Table </w:t>
      </w:r>
      <w:r w:rsidR="00707F6D">
        <w:fldChar w:fldCharType="begin"/>
      </w:r>
      <w:r w:rsidR="00707F6D">
        <w:instrText xml:space="preserve"> SEQ Table \* ARABIC </w:instrText>
      </w:r>
      <w:r w:rsidR="00707F6D">
        <w:fldChar w:fldCharType="separate"/>
      </w:r>
      <w:r w:rsidR="008F37D1">
        <w:rPr>
          <w:noProof/>
        </w:rPr>
        <w:t>16</w:t>
      </w:r>
      <w:r w:rsidR="00707F6D">
        <w:rPr>
          <w:noProof/>
        </w:rPr>
        <w:fldChar w:fldCharType="end"/>
      </w:r>
      <w:bookmarkEnd w:id="72"/>
      <w:r>
        <w:t>: Meta-analysis results for %TBWL a</w:t>
      </w:r>
      <w:r w:rsidR="0086500A">
        <w:t>n</w:t>
      </w:r>
      <w:r>
        <w:t xml:space="preserve">d %EWL </w:t>
      </w:r>
      <w:r w:rsidR="71E012B6">
        <w:t xml:space="preserve">in </w:t>
      </w:r>
      <w:r w:rsidR="008F5EBB">
        <w:t>class</w:t>
      </w:r>
      <w:r w:rsidR="71E012B6">
        <w:t xml:space="preserve"> I and II obesity ESG patients </w:t>
      </w:r>
      <w:r>
        <w:t>at 12 months</w:t>
      </w:r>
      <w:r w:rsidR="27DCDF24">
        <w:t xml:space="preserve"> </w:t>
      </w:r>
    </w:p>
    <w:tbl>
      <w:tblPr>
        <w:tblStyle w:val="TableGrid"/>
        <w:tblW w:w="0" w:type="auto"/>
        <w:tblLook w:val="04A0" w:firstRow="1" w:lastRow="0" w:firstColumn="1" w:lastColumn="0" w:noHBand="0" w:noVBand="1"/>
      </w:tblPr>
      <w:tblGrid>
        <w:gridCol w:w="2405"/>
        <w:gridCol w:w="1843"/>
        <w:gridCol w:w="1559"/>
        <w:gridCol w:w="1701"/>
        <w:gridCol w:w="1418"/>
      </w:tblGrid>
      <w:tr w:rsidR="00BE184E" w14:paraId="01C87E06" w14:textId="77777777" w:rsidTr="2AA1CA0C">
        <w:tc>
          <w:tcPr>
            <w:tcW w:w="2405" w:type="dxa"/>
            <w:tcBorders>
              <w:bottom w:val="nil"/>
            </w:tcBorders>
            <w:shd w:val="clear" w:color="auto" w:fill="FFFFFF" w:themeFill="background1"/>
          </w:tcPr>
          <w:p w14:paraId="4FE3F06A" w14:textId="589C686D" w:rsidR="00BE184E" w:rsidRPr="004A28EC" w:rsidRDefault="00BE184E" w:rsidP="00031324">
            <w:pPr>
              <w:pStyle w:val="Tabletext0"/>
              <w:keepNext/>
              <w:keepLines/>
            </w:pPr>
          </w:p>
        </w:tc>
        <w:tc>
          <w:tcPr>
            <w:tcW w:w="3402" w:type="dxa"/>
            <w:gridSpan w:val="2"/>
            <w:shd w:val="clear" w:color="auto" w:fill="FFFFFF" w:themeFill="background1"/>
            <w:vAlign w:val="center"/>
          </w:tcPr>
          <w:p w14:paraId="4D15276C" w14:textId="1B286123" w:rsidR="00BE184E" w:rsidRPr="007D18A3" w:rsidRDefault="00852C40" w:rsidP="00031324">
            <w:pPr>
              <w:pStyle w:val="Tabletext0"/>
              <w:keepNext/>
              <w:keepLines/>
              <w:jc w:val="center"/>
              <w:rPr>
                <w:b/>
              </w:rPr>
            </w:pPr>
            <w:r w:rsidRPr="007D18A3">
              <w:rPr>
                <w:b/>
              </w:rPr>
              <w:t>Common effects model</w:t>
            </w:r>
          </w:p>
        </w:tc>
        <w:tc>
          <w:tcPr>
            <w:tcW w:w="3119" w:type="dxa"/>
            <w:gridSpan w:val="2"/>
            <w:shd w:val="clear" w:color="auto" w:fill="FFFFFF" w:themeFill="background1"/>
            <w:vAlign w:val="center"/>
          </w:tcPr>
          <w:p w14:paraId="41C08A51" w14:textId="5B61E5A6" w:rsidR="005620C5" w:rsidRPr="007D18A3" w:rsidRDefault="00852C40" w:rsidP="00031324">
            <w:pPr>
              <w:pStyle w:val="Tabletext0"/>
              <w:keepNext/>
              <w:keepLines/>
              <w:jc w:val="center"/>
              <w:rPr>
                <w:b/>
              </w:rPr>
            </w:pPr>
            <w:r w:rsidRPr="007D18A3">
              <w:rPr>
                <w:b/>
              </w:rPr>
              <w:t>Random effects model</w:t>
            </w:r>
          </w:p>
        </w:tc>
      </w:tr>
      <w:tr w:rsidR="00887B08" w14:paraId="03148A32" w14:textId="1FFBC991" w:rsidTr="2AA1CA0C">
        <w:tc>
          <w:tcPr>
            <w:tcW w:w="2405" w:type="dxa"/>
            <w:tcBorders>
              <w:top w:val="nil"/>
            </w:tcBorders>
            <w:shd w:val="clear" w:color="auto" w:fill="FFFFFF" w:themeFill="background1"/>
          </w:tcPr>
          <w:p w14:paraId="5DF8FDE7" w14:textId="5295D83C" w:rsidR="00887B08" w:rsidRPr="004A28EC" w:rsidRDefault="00887B08" w:rsidP="00031324">
            <w:pPr>
              <w:pStyle w:val="Tabletext0"/>
              <w:keepNext/>
              <w:keepLines/>
            </w:pPr>
          </w:p>
        </w:tc>
        <w:tc>
          <w:tcPr>
            <w:tcW w:w="1843" w:type="dxa"/>
            <w:shd w:val="clear" w:color="auto" w:fill="FFFFFF" w:themeFill="background1"/>
            <w:vAlign w:val="center"/>
          </w:tcPr>
          <w:p w14:paraId="3431767D" w14:textId="5582273B" w:rsidR="00887B08" w:rsidRPr="007D18A3" w:rsidRDefault="00852C40" w:rsidP="2AA1CA0C">
            <w:pPr>
              <w:pStyle w:val="Tabletext0"/>
              <w:keepNext/>
              <w:keepLines/>
              <w:jc w:val="center"/>
              <w:rPr>
                <w:b/>
                <w:bCs/>
              </w:rPr>
            </w:pPr>
            <w:r w:rsidRPr="2AA1CA0C">
              <w:rPr>
                <w:b/>
                <w:bCs/>
              </w:rPr>
              <w:t>MRAW</w:t>
            </w:r>
            <w:r w:rsidR="0049504C" w:rsidRPr="2AA1CA0C">
              <w:rPr>
                <w:b/>
                <w:bCs/>
                <w:vertAlign w:val="superscript"/>
              </w:rPr>
              <w:t>a</w:t>
            </w:r>
          </w:p>
        </w:tc>
        <w:tc>
          <w:tcPr>
            <w:tcW w:w="1559" w:type="dxa"/>
            <w:shd w:val="clear" w:color="auto" w:fill="FFFFFF" w:themeFill="background1"/>
            <w:vAlign w:val="center"/>
          </w:tcPr>
          <w:p w14:paraId="689B5EA4" w14:textId="122D7CBC" w:rsidR="00887B08" w:rsidRPr="007D18A3" w:rsidRDefault="00852C40" w:rsidP="00031324">
            <w:pPr>
              <w:pStyle w:val="Tabletext0"/>
              <w:keepNext/>
              <w:keepLines/>
              <w:jc w:val="center"/>
              <w:rPr>
                <w:b/>
              </w:rPr>
            </w:pPr>
            <w:r w:rsidRPr="007D18A3">
              <w:rPr>
                <w:b/>
              </w:rPr>
              <w:t>95% CI</w:t>
            </w:r>
          </w:p>
        </w:tc>
        <w:tc>
          <w:tcPr>
            <w:tcW w:w="1701" w:type="dxa"/>
            <w:shd w:val="clear" w:color="auto" w:fill="FFFFFF" w:themeFill="background1"/>
            <w:vAlign w:val="center"/>
          </w:tcPr>
          <w:p w14:paraId="2B8AB37D" w14:textId="2DAE7BF0" w:rsidR="00887B08" w:rsidRPr="007D18A3" w:rsidRDefault="00852C40" w:rsidP="2AA1CA0C">
            <w:pPr>
              <w:pStyle w:val="Tabletext0"/>
              <w:keepNext/>
              <w:keepLines/>
              <w:jc w:val="center"/>
              <w:rPr>
                <w:b/>
                <w:bCs/>
              </w:rPr>
            </w:pPr>
            <w:r w:rsidRPr="2AA1CA0C">
              <w:rPr>
                <w:b/>
                <w:bCs/>
              </w:rPr>
              <w:t>MRAW</w:t>
            </w:r>
            <w:r w:rsidR="0049504C" w:rsidRPr="2AA1CA0C">
              <w:rPr>
                <w:b/>
                <w:bCs/>
                <w:vertAlign w:val="superscript"/>
              </w:rPr>
              <w:t>a</w:t>
            </w:r>
          </w:p>
        </w:tc>
        <w:tc>
          <w:tcPr>
            <w:tcW w:w="1418" w:type="dxa"/>
            <w:shd w:val="clear" w:color="auto" w:fill="FFFFFF" w:themeFill="background1"/>
            <w:vAlign w:val="center"/>
          </w:tcPr>
          <w:p w14:paraId="4AA830AA" w14:textId="7BFAD569" w:rsidR="005620C5" w:rsidRPr="007D18A3" w:rsidRDefault="00852C40" w:rsidP="00031324">
            <w:pPr>
              <w:pStyle w:val="Tabletext0"/>
              <w:keepNext/>
              <w:keepLines/>
              <w:jc w:val="center"/>
              <w:rPr>
                <w:b/>
              </w:rPr>
            </w:pPr>
            <w:r w:rsidRPr="007D18A3">
              <w:rPr>
                <w:b/>
              </w:rPr>
              <w:t>95% CI</w:t>
            </w:r>
          </w:p>
        </w:tc>
      </w:tr>
      <w:tr w:rsidR="00887B08" w14:paraId="4907364F" w14:textId="02936ADB" w:rsidTr="2AA1CA0C">
        <w:tc>
          <w:tcPr>
            <w:tcW w:w="2405" w:type="dxa"/>
          </w:tcPr>
          <w:p w14:paraId="5792674D" w14:textId="2AEDDB4E" w:rsidR="00887B08" w:rsidRPr="004A28EC" w:rsidRDefault="00D6662B" w:rsidP="00031324">
            <w:pPr>
              <w:pStyle w:val="Tabletext0"/>
              <w:keepNext/>
              <w:keepLines/>
              <w:jc w:val="left"/>
            </w:pPr>
            <w:r>
              <w:t xml:space="preserve">%TBWL </w:t>
            </w:r>
            <w:r w:rsidR="369ACFC5">
              <w:t>12 months</w:t>
            </w:r>
          </w:p>
        </w:tc>
        <w:tc>
          <w:tcPr>
            <w:tcW w:w="1843" w:type="dxa"/>
            <w:vAlign w:val="center"/>
          </w:tcPr>
          <w:p w14:paraId="2691DAE1" w14:textId="7455871C" w:rsidR="00887B08" w:rsidRPr="004A28EC" w:rsidRDefault="00A27B24" w:rsidP="00031324">
            <w:pPr>
              <w:pStyle w:val="Tabletext0"/>
              <w:keepNext/>
              <w:keepLines/>
              <w:jc w:val="center"/>
            </w:pPr>
            <w:r w:rsidRPr="007D18A3">
              <w:t>0.18</w:t>
            </w:r>
          </w:p>
        </w:tc>
        <w:tc>
          <w:tcPr>
            <w:tcW w:w="1559" w:type="dxa"/>
            <w:vAlign w:val="center"/>
          </w:tcPr>
          <w:p w14:paraId="44869E6A" w14:textId="0720CEFE" w:rsidR="00887B08" w:rsidRPr="004A28EC" w:rsidRDefault="3956BF52" w:rsidP="00031324">
            <w:pPr>
              <w:pStyle w:val="Tabletext0"/>
              <w:keepNext/>
              <w:keepLines/>
              <w:jc w:val="center"/>
            </w:pPr>
            <w:r>
              <w:t>0.18; 0.19</w:t>
            </w:r>
          </w:p>
        </w:tc>
        <w:tc>
          <w:tcPr>
            <w:tcW w:w="1701" w:type="dxa"/>
            <w:vAlign w:val="center"/>
          </w:tcPr>
          <w:p w14:paraId="7B781694" w14:textId="33B2D731" w:rsidR="00887B08" w:rsidRPr="004A28EC" w:rsidRDefault="00041979" w:rsidP="00031324">
            <w:pPr>
              <w:pStyle w:val="Tabletext0"/>
              <w:keepNext/>
              <w:keepLines/>
              <w:jc w:val="center"/>
            </w:pPr>
            <w:r w:rsidRPr="007D18A3">
              <w:t>0.17</w:t>
            </w:r>
          </w:p>
        </w:tc>
        <w:tc>
          <w:tcPr>
            <w:tcW w:w="1418" w:type="dxa"/>
            <w:vAlign w:val="center"/>
          </w:tcPr>
          <w:p w14:paraId="593F64F6" w14:textId="4EF38A6C" w:rsidR="005620C5" w:rsidRPr="005E2341" w:rsidRDefault="00041979" w:rsidP="00031324">
            <w:pPr>
              <w:pStyle w:val="Tabletext0"/>
              <w:keepNext/>
              <w:keepLines/>
              <w:jc w:val="center"/>
            </w:pPr>
            <w:r w:rsidRPr="007D18A3">
              <w:t>0.16; 0.18</w:t>
            </w:r>
          </w:p>
        </w:tc>
      </w:tr>
      <w:tr w:rsidR="00CE254D" w14:paraId="0273FFF9" w14:textId="77777777" w:rsidTr="2AA1CA0C">
        <w:tc>
          <w:tcPr>
            <w:tcW w:w="2405" w:type="dxa"/>
          </w:tcPr>
          <w:p w14:paraId="3F17C01B" w14:textId="70C291FF" w:rsidR="00CE254D" w:rsidRPr="004A28EC" w:rsidRDefault="00D6662B" w:rsidP="00031324">
            <w:pPr>
              <w:pStyle w:val="Tabletext0"/>
              <w:keepNext/>
              <w:keepLines/>
              <w:jc w:val="left"/>
            </w:pPr>
            <w:r>
              <w:t xml:space="preserve">%EWL </w:t>
            </w:r>
            <w:r w:rsidR="6FE5C3DB">
              <w:t>12 months</w:t>
            </w:r>
          </w:p>
        </w:tc>
        <w:tc>
          <w:tcPr>
            <w:tcW w:w="1843" w:type="dxa"/>
            <w:vAlign w:val="center"/>
          </w:tcPr>
          <w:p w14:paraId="0D31A739" w14:textId="56431DE3" w:rsidR="00CE254D" w:rsidRPr="004A28EC" w:rsidRDefault="00CE254D" w:rsidP="00031324">
            <w:pPr>
              <w:pStyle w:val="Tabletext0"/>
              <w:keepNext/>
              <w:keepLines/>
              <w:jc w:val="center"/>
            </w:pPr>
            <w:r w:rsidRPr="004A28EC">
              <w:t>0.57</w:t>
            </w:r>
          </w:p>
        </w:tc>
        <w:tc>
          <w:tcPr>
            <w:tcW w:w="1559" w:type="dxa"/>
            <w:vAlign w:val="center"/>
          </w:tcPr>
          <w:p w14:paraId="44E90043" w14:textId="3240581B" w:rsidR="00CE254D" w:rsidRPr="004A28EC" w:rsidRDefault="00CE254D" w:rsidP="00031324">
            <w:pPr>
              <w:pStyle w:val="Tabletext0"/>
              <w:keepNext/>
              <w:keepLines/>
              <w:jc w:val="center"/>
            </w:pPr>
            <w:r w:rsidRPr="004A28EC">
              <w:t>0.56; 0.57</w:t>
            </w:r>
          </w:p>
        </w:tc>
        <w:tc>
          <w:tcPr>
            <w:tcW w:w="1701" w:type="dxa"/>
            <w:vAlign w:val="center"/>
          </w:tcPr>
          <w:p w14:paraId="39BBD9EA" w14:textId="4318E623" w:rsidR="00CE254D" w:rsidRPr="004A28EC" w:rsidRDefault="00CE254D" w:rsidP="00031324">
            <w:pPr>
              <w:pStyle w:val="Tabletext0"/>
              <w:keepNext/>
              <w:keepLines/>
              <w:jc w:val="center"/>
            </w:pPr>
            <w:r w:rsidRPr="004A28EC">
              <w:t>0.57</w:t>
            </w:r>
          </w:p>
        </w:tc>
        <w:tc>
          <w:tcPr>
            <w:tcW w:w="1418" w:type="dxa"/>
            <w:vAlign w:val="center"/>
          </w:tcPr>
          <w:p w14:paraId="76A3BC19" w14:textId="7FD0D76A" w:rsidR="00CE254D" w:rsidRPr="004A28EC" w:rsidRDefault="00CE254D" w:rsidP="00031324">
            <w:pPr>
              <w:pStyle w:val="Tabletext0"/>
              <w:keepNext/>
              <w:keepLines/>
              <w:jc w:val="center"/>
            </w:pPr>
            <w:r w:rsidRPr="004A28EC">
              <w:t>0.52; 0.61</w:t>
            </w:r>
          </w:p>
        </w:tc>
      </w:tr>
    </w:tbl>
    <w:p w14:paraId="10335C87" w14:textId="67B33329" w:rsidR="00887B08" w:rsidRDefault="00B33BBF" w:rsidP="00ED651B">
      <w:pPr>
        <w:pStyle w:val="TableFigureFooter"/>
      </w:pPr>
      <w:r w:rsidRPr="00D76EFB">
        <w:t>Abbreviations:</w:t>
      </w:r>
      <w:r w:rsidRPr="00872F45">
        <w:t xml:space="preserve">  </w:t>
      </w:r>
      <w:r w:rsidRPr="00D76EFB">
        <w:t>CI</w:t>
      </w:r>
      <w:r w:rsidR="006F0BAE">
        <w:t>:</w:t>
      </w:r>
      <w:r w:rsidRPr="7CF27664">
        <w:t xml:space="preserve"> confidence interval</w:t>
      </w:r>
      <w:r w:rsidR="006F0BAE">
        <w:t>;</w:t>
      </w:r>
      <w:r w:rsidRPr="7CF27664">
        <w:t xml:space="preserve"> </w:t>
      </w:r>
      <w:r w:rsidRPr="00D76EFB">
        <w:t>MRAW</w:t>
      </w:r>
      <w:r w:rsidR="006F0BAE">
        <w:t>:</w:t>
      </w:r>
      <w:r w:rsidRPr="7CF27664">
        <w:t xml:space="preserve"> </w:t>
      </w:r>
      <w:r w:rsidR="0033716D" w:rsidRPr="7CF27664">
        <w:t>raw mean</w:t>
      </w:r>
      <w:r w:rsidR="006F0BAE">
        <w:t>;</w:t>
      </w:r>
      <w:r w:rsidR="01562888" w:rsidRPr="7CF27664">
        <w:t xml:space="preserve"> </w:t>
      </w:r>
      <w:r w:rsidR="01562888" w:rsidRPr="00D76EFB">
        <w:t>%</w:t>
      </w:r>
      <w:r w:rsidR="00E032ED" w:rsidRPr="00D76EFB">
        <w:t>EWL</w:t>
      </w:r>
      <w:r w:rsidR="00E032ED">
        <w:t>:</w:t>
      </w:r>
      <w:r w:rsidR="00E032ED" w:rsidRPr="7CF27664">
        <w:t xml:space="preserve"> percentage excess weight loss</w:t>
      </w:r>
      <w:r w:rsidR="00E032ED">
        <w:t xml:space="preserve">; </w:t>
      </w:r>
      <w:r w:rsidR="01562888" w:rsidRPr="00D76EFB">
        <w:t>%TBWL</w:t>
      </w:r>
      <w:r w:rsidR="006F0BAE">
        <w:t>:</w:t>
      </w:r>
      <w:r w:rsidR="01562888" w:rsidRPr="7CF27664">
        <w:t xml:space="preserve"> percentage total body weight los</w:t>
      </w:r>
      <w:r w:rsidR="006F0BAE">
        <w:t>s.</w:t>
      </w:r>
      <w:r w:rsidR="27DAF5C6" w:rsidRPr="31F003CF">
        <w:t xml:space="preserve"> </w:t>
      </w:r>
      <w:r w:rsidR="00B5093B" w:rsidRPr="005F6F4A">
        <w:br/>
      </w:r>
      <w:r w:rsidR="00B5093B" w:rsidRPr="00C8307F">
        <w:t>Source: compiled during commentary</w:t>
      </w:r>
      <w:r w:rsidRPr="00C8307F" w:rsidDel="00B63272">
        <w:br/>
      </w:r>
      <w:r w:rsidR="006F5FB1" w:rsidRPr="00C8307F">
        <w:t xml:space="preserve">Note: </w:t>
      </w:r>
      <w:r w:rsidR="0049504C" w:rsidRPr="00C8307F">
        <w:t xml:space="preserve">a. </w:t>
      </w:r>
      <w:r w:rsidR="006F5FB1" w:rsidRPr="00C8307F">
        <w:t>This is an untransformed mean used to calculate the overall mean.</w:t>
      </w:r>
    </w:p>
    <w:p w14:paraId="2AB5A221" w14:textId="590D4344" w:rsidR="00591232" w:rsidRDefault="00591232" w:rsidP="004E313E">
      <w:pPr>
        <w:pStyle w:val="Caption"/>
        <w:keepLines/>
      </w:pPr>
      <w:bookmarkStart w:id="73" w:name="_Ref184211254"/>
      <w:r>
        <w:t xml:space="preserve">Table </w:t>
      </w:r>
      <w:r w:rsidR="00707F6D">
        <w:fldChar w:fldCharType="begin"/>
      </w:r>
      <w:r w:rsidR="00707F6D">
        <w:instrText xml:space="preserve"> SEQ Table \* ARABIC </w:instrText>
      </w:r>
      <w:r w:rsidR="00707F6D">
        <w:fldChar w:fldCharType="separate"/>
      </w:r>
      <w:r w:rsidR="008F37D1">
        <w:rPr>
          <w:noProof/>
        </w:rPr>
        <w:t>17</w:t>
      </w:r>
      <w:r w:rsidR="00707F6D">
        <w:rPr>
          <w:noProof/>
        </w:rPr>
        <w:fldChar w:fldCharType="end"/>
      </w:r>
      <w:bookmarkEnd w:id="73"/>
      <w:r w:rsidR="00E002F8">
        <w:t>:</w:t>
      </w:r>
      <w:r>
        <w:t xml:space="preserve"> </w:t>
      </w:r>
      <w:r w:rsidRPr="005F0E97">
        <w:t xml:space="preserve">ESG plus lifestyle modifications compared to lifestyle modifications only for people with </w:t>
      </w:r>
      <w:r w:rsidR="008F5EBB">
        <w:t>class</w:t>
      </w:r>
      <w:r w:rsidRPr="005F0E97">
        <w:t xml:space="preserve"> I or II obesity with or without comorbidities (MERIT trial)</w:t>
      </w:r>
    </w:p>
    <w:tbl>
      <w:tblPr>
        <w:tblW w:w="4947" w:type="pct"/>
        <w:tblCellMar>
          <w:top w:w="75" w:type="dxa"/>
          <w:left w:w="75" w:type="dxa"/>
          <w:bottom w:w="75" w:type="dxa"/>
          <w:right w:w="75" w:type="dxa"/>
        </w:tblCellMar>
        <w:tblLook w:val="04A0" w:firstRow="1" w:lastRow="0" w:firstColumn="1" w:lastColumn="0" w:noHBand="0" w:noVBand="1"/>
      </w:tblPr>
      <w:tblGrid>
        <w:gridCol w:w="1320"/>
        <w:gridCol w:w="1240"/>
        <w:gridCol w:w="1217"/>
        <w:gridCol w:w="743"/>
        <w:gridCol w:w="989"/>
        <w:gridCol w:w="928"/>
        <w:gridCol w:w="2483"/>
      </w:tblGrid>
      <w:tr w:rsidR="001F08FF" w:rsidRPr="00832E5A" w14:paraId="691000AE" w14:textId="77777777" w:rsidTr="2AA1CA0C">
        <w:trPr>
          <w:cantSplit/>
          <w:tblHeader/>
        </w:trPr>
        <w:tc>
          <w:tcPr>
            <w:tcW w:w="776" w:type="pct"/>
            <w:vMerge w:val="restart"/>
            <w:tcBorders>
              <w:top w:val="single" w:sz="4" w:space="0" w:color="auto"/>
              <w:left w:val="single" w:sz="4" w:space="0" w:color="auto"/>
              <w:right w:val="single" w:sz="6" w:space="0" w:color="EFEFEF"/>
            </w:tcBorders>
            <w:shd w:val="clear" w:color="auto" w:fill="3271AA"/>
            <w:vAlign w:val="center"/>
            <w:hideMark/>
          </w:tcPr>
          <w:p w14:paraId="69830B46" w14:textId="77777777" w:rsidR="00D1311B" w:rsidRPr="00D76EFB" w:rsidRDefault="00D1311B" w:rsidP="004E313E">
            <w:pPr>
              <w:keepNext/>
              <w:keepLines/>
              <w:spacing w:before="0" w:after="0" w:line="240" w:lineRule="auto"/>
              <w:rPr>
                <w:rFonts w:ascii="Arial Narrow" w:eastAsia="Times New Roman" w:hAnsi="Arial Narrow" w:cs="Times New Roman"/>
                <w:color w:val="FFFFFF"/>
                <w:sz w:val="20"/>
                <w:szCs w:val="20"/>
                <w:lang w:val="en-US"/>
              </w:rPr>
            </w:pPr>
            <w:r w:rsidRPr="00D76EFB">
              <w:rPr>
                <w:rFonts w:ascii="Arial Narrow" w:eastAsia="Times New Roman" w:hAnsi="Arial Narrow" w:cs="Times New Roman"/>
                <w:color w:val="FFFFFF"/>
                <w:sz w:val="20"/>
                <w:szCs w:val="20"/>
                <w:lang w:val="en-US"/>
              </w:rPr>
              <w:t>Outcomes</w:t>
            </w:r>
          </w:p>
        </w:tc>
        <w:tc>
          <w:tcPr>
            <w:tcW w:w="1367" w:type="pct"/>
            <w:gridSpan w:val="2"/>
            <w:tcBorders>
              <w:top w:val="single" w:sz="4" w:space="0" w:color="auto"/>
              <w:right w:val="single" w:sz="6" w:space="0" w:color="EFEFEF"/>
            </w:tcBorders>
            <w:shd w:val="clear" w:color="auto" w:fill="E0E0E0"/>
            <w:vAlign w:val="center"/>
            <w:hideMark/>
          </w:tcPr>
          <w:p w14:paraId="391D25DE" w14:textId="29BB3F20" w:rsidR="00805C8B" w:rsidRPr="00D76EFB" w:rsidRDefault="00D1311B" w:rsidP="004E313E">
            <w:pPr>
              <w:keepNext/>
              <w:keepLines/>
              <w:spacing w:before="0" w:after="0" w:line="240" w:lineRule="auto"/>
              <w:jc w:val="center"/>
              <w:rPr>
                <w:rFonts w:ascii="Arial Narrow" w:eastAsia="Times New Roman" w:hAnsi="Arial Narrow" w:cs="Times New Roman"/>
                <w:b/>
                <w:sz w:val="20"/>
                <w:szCs w:val="20"/>
                <w:lang w:val="en-US"/>
              </w:rPr>
            </w:pPr>
            <w:r w:rsidRPr="00D76EFB">
              <w:rPr>
                <w:rFonts w:ascii="Arial Narrow" w:eastAsia="Times New Roman" w:hAnsi="Arial Narrow" w:cs="Times New Roman"/>
                <w:b/>
                <w:sz w:val="20"/>
                <w:szCs w:val="20"/>
                <w:lang w:val="en-US"/>
              </w:rPr>
              <w:t xml:space="preserve">Anticipated absolute effects </w:t>
            </w:r>
          </w:p>
          <w:p w14:paraId="635475A9" w14:textId="5D62F9FC" w:rsidR="00D1311B" w:rsidRPr="00D76EFB" w:rsidRDefault="00D1311B" w:rsidP="004E313E">
            <w:pPr>
              <w:keepNext/>
              <w:keepLines/>
              <w:spacing w:before="0" w:after="0" w:line="240" w:lineRule="auto"/>
              <w:jc w:val="center"/>
              <w:rPr>
                <w:rFonts w:ascii="Arial Narrow" w:eastAsia="Times New Roman" w:hAnsi="Arial Narrow" w:cs="Times New Roman"/>
                <w:b/>
                <w:sz w:val="20"/>
                <w:szCs w:val="20"/>
                <w:lang w:val="en-US"/>
              </w:rPr>
            </w:pPr>
            <w:r w:rsidRPr="00D76EFB">
              <w:rPr>
                <w:rFonts w:ascii="Arial Narrow" w:eastAsia="Times New Roman" w:hAnsi="Arial Narrow" w:cs="Times New Roman"/>
                <w:sz w:val="20"/>
                <w:szCs w:val="20"/>
                <w:lang w:val="en-US"/>
              </w:rPr>
              <w:t>(95% CI)</w:t>
            </w:r>
          </w:p>
        </w:tc>
        <w:tc>
          <w:tcPr>
            <w:tcW w:w="397" w:type="pct"/>
            <w:vMerge w:val="restart"/>
            <w:tcBorders>
              <w:top w:val="single" w:sz="4" w:space="0" w:color="auto"/>
              <w:right w:val="single" w:sz="6" w:space="0" w:color="EFEFEF"/>
            </w:tcBorders>
            <w:shd w:val="clear" w:color="auto" w:fill="3271AA"/>
            <w:vAlign w:val="center"/>
            <w:hideMark/>
          </w:tcPr>
          <w:p w14:paraId="3A32D08D" w14:textId="77777777" w:rsidR="00D1311B" w:rsidRPr="00D76EFB" w:rsidRDefault="00D1311B" w:rsidP="004E313E">
            <w:pPr>
              <w:keepNext/>
              <w:keepLines/>
              <w:spacing w:before="0" w:after="0" w:line="240" w:lineRule="auto"/>
              <w:jc w:val="center"/>
              <w:rPr>
                <w:rFonts w:ascii="Arial Narrow" w:eastAsia="Times New Roman" w:hAnsi="Arial Narrow" w:cs="Times New Roman"/>
                <w:color w:val="FFFFFF"/>
                <w:sz w:val="20"/>
                <w:szCs w:val="20"/>
                <w:lang w:val="en-US"/>
              </w:rPr>
            </w:pPr>
            <w:r w:rsidRPr="00D76EFB">
              <w:rPr>
                <w:rFonts w:ascii="Arial Narrow" w:eastAsia="Times New Roman" w:hAnsi="Arial Narrow" w:cs="Times New Roman"/>
                <w:color w:val="FFFFFF"/>
                <w:sz w:val="20"/>
                <w:szCs w:val="20"/>
                <w:lang w:val="en-US"/>
              </w:rPr>
              <w:t>Relative effect</w:t>
            </w:r>
            <w:r w:rsidRPr="00D76EFB">
              <w:rPr>
                <w:rFonts w:ascii="Arial Narrow" w:eastAsia="Times New Roman" w:hAnsi="Arial Narrow" w:cs="Times New Roman"/>
                <w:color w:val="FFFFFF"/>
                <w:sz w:val="20"/>
                <w:szCs w:val="20"/>
                <w:lang w:val="en-US"/>
              </w:rPr>
              <w:br/>
              <w:t>(95% CI)</w:t>
            </w:r>
          </w:p>
        </w:tc>
        <w:tc>
          <w:tcPr>
            <w:tcW w:w="477" w:type="pct"/>
            <w:vMerge w:val="restart"/>
            <w:tcBorders>
              <w:top w:val="single" w:sz="4" w:space="0" w:color="auto"/>
              <w:right w:val="single" w:sz="6" w:space="0" w:color="EFEFEF"/>
            </w:tcBorders>
            <w:shd w:val="clear" w:color="auto" w:fill="3271AA"/>
            <w:vAlign w:val="center"/>
            <w:hideMark/>
          </w:tcPr>
          <w:p w14:paraId="4A778A3D" w14:textId="77777777" w:rsidR="00D1311B" w:rsidRPr="00D76EFB" w:rsidRDefault="00D1311B" w:rsidP="004E313E">
            <w:pPr>
              <w:keepNext/>
              <w:keepLines/>
              <w:spacing w:before="0" w:after="0" w:line="240" w:lineRule="auto"/>
              <w:jc w:val="center"/>
              <w:rPr>
                <w:rFonts w:ascii="Arial Narrow" w:eastAsia="Times New Roman" w:hAnsi="Arial Narrow" w:cs="Times New Roman"/>
                <w:color w:val="FFFFFF"/>
                <w:sz w:val="20"/>
                <w:szCs w:val="20"/>
                <w:lang w:val="en-US"/>
              </w:rPr>
            </w:pPr>
            <w:r w:rsidRPr="00D76EFB">
              <w:rPr>
                <w:rFonts w:ascii="Arial Narrow" w:eastAsia="Times New Roman" w:hAnsi="Arial Narrow" w:cs="Times New Roman"/>
                <w:color w:val="FFFFFF"/>
                <w:sz w:val="20"/>
                <w:szCs w:val="20"/>
                <w:lang w:val="en-US"/>
              </w:rPr>
              <w:t>№ of participants</w:t>
            </w:r>
            <w:r w:rsidRPr="00D76EFB">
              <w:rPr>
                <w:rFonts w:ascii="Arial Narrow" w:eastAsia="Times New Roman" w:hAnsi="Arial Narrow" w:cs="Times New Roman"/>
                <w:color w:val="FFFFFF"/>
                <w:sz w:val="20"/>
                <w:szCs w:val="20"/>
                <w:lang w:val="en-US"/>
              </w:rPr>
              <w:br/>
              <w:t>(studies)</w:t>
            </w:r>
          </w:p>
        </w:tc>
        <w:tc>
          <w:tcPr>
            <w:tcW w:w="556" w:type="pct"/>
            <w:vMerge w:val="restart"/>
            <w:tcBorders>
              <w:top w:val="single" w:sz="4" w:space="0" w:color="auto"/>
              <w:right w:val="single" w:sz="6" w:space="0" w:color="EFEFEF"/>
            </w:tcBorders>
            <w:shd w:val="clear" w:color="auto" w:fill="3271AA"/>
            <w:vAlign w:val="center"/>
            <w:hideMark/>
          </w:tcPr>
          <w:p w14:paraId="66FF17E8" w14:textId="77777777" w:rsidR="00D1311B" w:rsidRPr="00D76EFB" w:rsidRDefault="00D1311B" w:rsidP="004E313E">
            <w:pPr>
              <w:keepNext/>
              <w:keepLines/>
              <w:spacing w:before="0" w:after="0" w:line="240" w:lineRule="auto"/>
              <w:jc w:val="center"/>
              <w:rPr>
                <w:rFonts w:ascii="Arial Narrow" w:eastAsia="Times New Roman" w:hAnsi="Arial Narrow" w:cs="Times New Roman"/>
                <w:color w:val="FFFFFF"/>
                <w:sz w:val="20"/>
                <w:szCs w:val="20"/>
                <w:lang w:val="en-US"/>
              </w:rPr>
            </w:pPr>
            <w:r w:rsidRPr="00D76EFB">
              <w:rPr>
                <w:rFonts w:ascii="Arial Narrow" w:eastAsia="Times New Roman" w:hAnsi="Arial Narrow" w:cs="Times New Roman"/>
                <w:color w:val="FFFFFF"/>
                <w:sz w:val="20"/>
                <w:szCs w:val="20"/>
                <w:lang w:val="en-US"/>
              </w:rPr>
              <w:t>Certainty of the evidence</w:t>
            </w:r>
            <w:r w:rsidRPr="00D76EFB">
              <w:rPr>
                <w:rFonts w:ascii="Arial Narrow" w:eastAsia="Times New Roman" w:hAnsi="Arial Narrow" w:cs="Times New Roman"/>
                <w:color w:val="FFFFFF"/>
                <w:sz w:val="20"/>
                <w:szCs w:val="20"/>
                <w:lang w:val="en-US"/>
              </w:rPr>
              <w:br/>
              <w:t>(GRADE)</w:t>
            </w:r>
          </w:p>
        </w:tc>
        <w:tc>
          <w:tcPr>
            <w:tcW w:w="1427" w:type="pct"/>
            <w:vMerge w:val="restart"/>
            <w:tcBorders>
              <w:top w:val="single" w:sz="4" w:space="0" w:color="auto"/>
              <w:right w:val="single" w:sz="4" w:space="0" w:color="auto"/>
            </w:tcBorders>
            <w:shd w:val="clear" w:color="auto" w:fill="3271AA"/>
            <w:vAlign w:val="center"/>
            <w:hideMark/>
          </w:tcPr>
          <w:p w14:paraId="6344FFA3" w14:textId="77777777" w:rsidR="00D1311B" w:rsidRPr="00D76EFB" w:rsidRDefault="00D1311B" w:rsidP="004E313E">
            <w:pPr>
              <w:keepNext/>
              <w:keepLines/>
              <w:spacing w:before="0" w:after="0" w:line="240" w:lineRule="auto"/>
              <w:jc w:val="center"/>
              <w:rPr>
                <w:rFonts w:ascii="Arial Narrow" w:eastAsia="Times New Roman" w:hAnsi="Arial Narrow" w:cs="Times New Roman"/>
                <w:color w:val="FFFFFF"/>
                <w:sz w:val="20"/>
                <w:szCs w:val="20"/>
                <w:lang w:val="en-US"/>
              </w:rPr>
            </w:pPr>
            <w:r w:rsidRPr="00D76EFB">
              <w:rPr>
                <w:rFonts w:ascii="Arial Narrow" w:eastAsia="Times New Roman" w:hAnsi="Arial Narrow" w:cs="Times New Roman"/>
                <w:color w:val="FFFFFF"/>
                <w:sz w:val="20"/>
                <w:szCs w:val="20"/>
                <w:lang w:val="en-US"/>
              </w:rPr>
              <w:t>Comments</w:t>
            </w:r>
          </w:p>
        </w:tc>
      </w:tr>
      <w:tr w:rsidR="00371512" w:rsidRPr="00832E5A" w14:paraId="3CFDDE2C" w14:textId="77777777" w:rsidTr="2AA1CA0C">
        <w:trPr>
          <w:cantSplit/>
          <w:tblHeader/>
        </w:trPr>
        <w:tc>
          <w:tcPr>
            <w:tcW w:w="776" w:type="pct"/>
            <w:vMerge/>
            <w:vAlign w:val="center"/>
            <w:hideMark/>
          </w:tcPr>
          <w:p w14:paraId="25F705B4" w14:textId="77777777" w:rsidR="00D1311B" w:rsidRPr="00D76EFB" w:rsidRDefault="00D1311B" w:rsidP="004E313E">
            <w:pPr>
              <w:keepNext/>
              <w:keepLines/>
              <w:rPr>
                <w:rFonts w:ascii="Arial Narrow" w:eastAsia="MS Mincho" w:hAnsi="Arial Narrow" w:cs="Arial"/>
                <w:color w:val="FFFFFF"/>
                <w:sz w:val="20"/>
                <w:szCs w:val="20"/>
              </w:rPr>
            </w:pPr>
          </w:p>
        </w:tc>
        <w:tc>
          <w:tcPr>
            <w:tcW w:w="731" w:type="pct"/>
            <w:tcBorders>
              <w:top w:val="single" w:sz="6" w:space="0" w:color="EFEFEF"/>
              <w:right w:val="single" w:sz="6" w:space="0" w:color="EFEFEF"/>
            </w:tcBorders>
            <w:shd w:val="clear" w:color="auto" w:fill="E0E0E0"/>
            <w:vAlign w:val="bottom"/>
            <w:hideMark/>
          </w:tcPr>
          <w:p w14:paraId="10A292D9" w14:textId="0E812A4E" w:rsidR="00D1311B" w:rsidRPr="00D76EFB" w:rsidRDefault="00D1311B" w:rsidP="004E313E">
            <w:pPr>
              <w:keepNext/>
              <w:keepLines/>
              <w:spacing w:before="0" w:after="0" w:line="240" w:lineRule="auto"/>
              <w:jc w:val="center"/>
              <w:rPr>
                <w:rFonts w:ascii="Arial Narrow" w:eastAsia="MS Mincho" w:hAnsi="Arial Narrow" w:cs="Times New Roman"/>
                <w:b/>
                <w:sz w:val="20"/>
                <w:szCs w:val="20"/>
                <w:lang w:eastAsia="en-AU"/>
                <w14:ligatures w14:val="standardContextual"/>
              </w:rPr>
            </w:pPr>
            <w:r w:rsidRPr="00D76EFB">
              <w:rPr>
                <w:rFonts w:ascii="Arial Narrow" w:eastAsia="MS Mincho" w:hAnsi="Arial Narrow" w:cs="Times New Roman"/>
                <w:b/>
                <w:sz w:val="20"/>
                <w:szCs w:val="20"/>
                <w:lang w:eastAsia="en-AU"/>
                <w14:ligatures w14:val="standardContextual"/>
              </w:rPr>
              <w:t xml:space="preserve">Risk with </w:t>
            </w:r>
            <w:r w:rsidR="000940CC">
              <w:rPr>
                <w:rFonts w:ascii="Arial Narrow" w:eastAsia="MS Mincho" w:hAnsi="Arial Narrow" w:cs="Times New Roman"/>
                <w:b/>
                <w:sz w:val="20"/>
                <w:szCs w:val="20"/>
                <w:lang w:eastAsia="en-AU"/>
                <w14:ligatures w14:val="standardContextual"/>
              </w:rPr>
              <w:t>l</w:t>
            </w:r>
            <w:r w:rsidR="00AF7F2F">
              <w:rPr>
                <w:rFonts w:ascii="Arial Narrow" w:eastAsia="MS Mincho" w:hAnsi="Arial Narrow" w:cs="Times New Roman"/>
                <w:b/>
                <w:sz w:val="20"/>
                <w:szCs w:val="20"/>
                <w:lang w:eastAsia="en-AU"/>
                <w14:ligatures w14:val="standardContextual"/>
              </w:rPr>
              <w:t>ifestyle</w:t>
            </w:r>
            <w:r w:rsidR="000940CC">
              <w:rPr>
                <w:rFonts w:ascii="Arial Narrow" w:eastAsia="MS Mincho" w:hAnsi="Arial Narrow" w:cs="Times New Roman"/>
                <w:b/>
                <w:sz w:val="20"/>
                <w:szCs w:val="20"/>
                <w:lang w:eastAsia="en-AU"/>
                <w14:ligatures w14:val="standardContextual"/>
              </w:rPr>
              <w:t xml:space="preserve"> </w:t>
            </w:r>
            <w:r w:rsidR="0034221D">
              <w:rPr>
                <w:rFonts w:ascii="Arial Narrow" w:eastAsia="MS Mincho" w:hAnsi="Arial Narrow" w:cs="Times New Roman"/>
                <w:b/>
                <w:sz w:val="20"/>
                <w:szCs w:val="20"/>
                <w:lang w:eastAsia="en-AU"/>
                <w14:ligatures w14:val="standardContextual"/>
              </w:rPr>
              <w:t>modifications</w:t>
            </w:r>
          </w:p>
        </w:tc>
        <w:tc>
          <w:tcPr>
            <w:tcW w:w="636" w:type="pct"/>
            <w:tcBorders>
              <w:top w:val="single" w:sz="6" w:space="0" w:color="EFEFEF"/>
              <w:right w:val="single" w:sz="6" w:space="0" w:color="EFEFEF"/>
            </w:tcBorders>
            <w:shd w:val="clear" w:color="auto" w:fill="E0E0E0"/>
            <w:vAlign w:val="bottom"/>
            <w:hideMark/>
          </w:tcPr>
          <w:p w14:paraId="47E85B1C" w14:textId="4F15D404" w:rsidR="00D1311B" w:rsidRPr="00D76EFB" w:rsidRDefault="00D1311B" w:rsidP="004E313E">
            <w:pPr>
              <w:keepNext/>
              <w:keepLines/>
              <w:spacing w:before="0" w:after="0" w:line="240" w:lineRule="auto"/>
              <w:jc w:val="center"/>
              <w:rPr>
                <w:rFonts w:ascii="Arial Narrow" w:eastAsia="MS Mincho" w:hAnsi="Arial Narrow" w:cs="Times New Roman"/>
                <w:b/>
                <w:sz w:val="20"/>
                <w:szCs w:val="20"/>
                <w:lang w:eastAsia="en-AU"/>
                <w14:ligatures w14:val="standardContextual"/>
              </w:rPr>
            </w:pPr>
            <w:r w:rsidRPr="00D76EFB">
              <w:rPr>
                <w:rFonts w:ascii="Arial Narrow" w:eastAsia="MS Mincho" w:hAnsi="Arial Narrow" w:cs="Times New Roman"/>
                <w:b/>
                <w:sz w:val="20"/>
                <w:szCs w:val="20"/>
                <w:lang w:eastAsia="en-AU"/>
                <w14:ligatures w14:val="standardContextual"/>
              </w:rPr>
              <w:t>Risk with ESG</w:t>
            </w:r>
            <w:r w:rsidR="003D34D0">
              <w:rPr>
                <w:rFonts w:ascii="Arial Narrow" w:eastAsia="MS Mincho" w:hAnsi="Arial Narrow" w:cs="Times New Roman"/>
                <w:b/>
                <w:sz w:val="20"/>
                <w:szCs w:val="20"/>
                <w:lang w:eastAsia="en-AU"/>
                <w14:ligatures w14:val="standardContextual"/>
              </w:rPr>
              <w:t xml:space="preserve"> with lifestyle modifications</w:t>
            </w:r>
            <w:r w:rsidRPr="00D76EFB">
              <w:rPr>
                <w:rFonts w:ascii="Arial Narrow" w:eastAsia="MS Mincho" w:hAnsi="Arial Narrow" w:cs="Times New Roman"/>
                <w:b/>
                <w:sz w:val="20"/>
                <w:szCs w:val="20"/>
                <w:lang w:eastAsia="en-AU"/>
                <w14:ligatures w14:val="standardContextual"/>
              </w:rPr>
              <w:t xml:space="preserve"> </w:t>
            </w:r>
          </w:p>
        </w:tc>
        <w:tc>
          <w:tcPr>
            <w:tcW w:w="397" w:type="pct"/>
            <w:vMerge/>
            <w:vAlign w:val="center"/>
            <w:hideMark/>
          </w:tcPr>
          <w:p w14:paraId="37FC1791" w14:textId="77777777" w:rsidR="00D1311B" w:rsidRPr="00D76EFB" w:rsidRDefault="00D1311B" w:rsidP="004E313E">
            <w:pPr>
              <w:keepNext/>
              <w:keepLines/>
              <w:rPr>
                <w:rFonts w:ascii="Arial Narrow" w:eastAsia="MS Mincho" w:hAnsi="Arial Narrow" w:cs="Arial"/>
                <w:color w:val="FFFFFF"/>
                <w:sz w:val="20"/>
                <w:szCs w:val="20"/>
              </w:rPr>
            </w:pPr>
          </w:p>
        </w:tc>
        <w:tc>
          <w:tcPr>
            <w:tcW w:w="477" w:type="pct"/>
            <w:vMerge/>
            <w:vAlign w:val="center"/>
            <w:hideMark/>
          </w:tcPr>
          <w:p w14:paraId="5D20D9B6" w14:textId="77777777" w:rsidR="00D1311B" w:rsidRPr="00D76EFB" w:rsidRDefault="00D1311B" w:rsidP="004E313E">
            <w:pPr>
              <w:keepNext/>
              <w:keepLines/>
              <w:rPr>
                <w:rFonts w:ascii="Arial Narrow" w:eastAsia="MS Mincho" w:hAnsi="Arial Narrow" w:cs="Arial"/>
                <w:color w:val="FFFFFF"/>
                <w:sz w:val="20"/>
                <w:szCs w:val="20"/>
              </w:rPr>
            </w:pPr>
          </w:p>
        </w:tc>
        <w:tc>
          <w:tcPr>
            <w:tcW w:w="556" w:type="pct"/>
            <w:vMerge/>
            <w:vAlign w:val="center"/>
            <w:hideMark/>
          </w:tcPr>
          <w:p w14:paraId="504CF242" w14:textId="77777777" w:rsidR="00D1311B" w:rsidRPr="00D76EFB" w:rsidRDefault="00D1311B" w:rsidP="004E313E">
            <w:pPr>
              <w:keepNext/>
              <w:keepLines/>
              <w:rPr>
                <w:rFonts w:ascii="Arial Narrow" w:eastAsia="MS Mincho" w:hAnsi="Arial Narrow" w:cs="Arial"/>
                <w:color w:val="FFFFFF"/>
                <w:sz w:val="20"/>
                <w:szCs w:val="20"/>
              </w:rPr>
            </w:pPr>
          </w:p>
        </w:tc>
        <w:tc>
          <w:tcPr>
            <w:tcW w:w="1427" w:type="pct"/>
            <w:vMerge/>
            <w:vAlign w:val="center"/>
            <w:hideMark/>
          </w:tcPr>
          <w:p w14:paraId="32F6B155" w14:textId="77777777" w:rsidR="00D1311B" w:rsidRPr="00D76EFB" w:rsidRDefault="00D1311B" w:rsidP="004E313E">
            <w:pPr>
              <w:keepNext/>
              <w:keepLines/>
              <w:rPr>
                <w:rFonts w:ascii="Arial Narrow" w:eastAsia="MS Mincho" w:hAnsi="Arial Narrow" w:cs="Arial"/>
                <w:color w:val="FFFFFF"/>
                <w:sz w:val="20"/>
                <w:szCs w:val="20"/>
              </w:rPr>
            </w:pPr>
          </w:p>
        </w:tc>
      </w:tr>
      <w:tr w:rsidR="00805C8B" w:rsidRPr="00832E5A" w14:paraId="325E1103" w14:textId="77777777" w:rsidTr="2AA1CA0C">
        <w:trPr>
          <w:cantSplit/>
        </w:trPr>
        <w:tc>
          <w:tcPr>
            <w:tcW w:w="776" w:type="pct"/>
            <w:tcBorders>
              <w:top w:val="single" w:sz="6" w:space="0" w:color="000000" w:themeColor="text1"/>
              <w:left w:val="single" w:sz="4" w:space="0" w:color="auto"/>
              <w:bottom w:val="single" w:sz="6" w:space="0" w:color="000000" w:themeColor="text1"/>
              <w:right w:val="nil"/>
            </w:tcBorders>
            <w:vAlign w:val="center"/>
            <w:hideMark/>
          </w:tcPr>
          <w:p w14:paraId="72412515" w14:textId="116A9075" w:rsidR="00D1311B" w:rsidRPr="00D76EFB" w:rsidRDefault="5636EAD7" w:rsidP="004E313E">
            <w:pPr>
              <w:keepNext/>
              <w:keepLines/>
              <w:rPr>
                <w:rFonts w:ascii="Arial Narrow" w:hAnsi="Arial Narrow"/>
                <w:sz w:val="20"/>
                <w:szCs w:val="20"/>
              </w:rPr>
            </w:pPr>
            <w:r w:rsidRPr="00D76EFB">
              <w:rPr>
                <w:rFonts w:ascii="Arial Narrow" w:hAnsi="Arial Narrow"/>
                <w:sz w:val="20"/>
                <w:szCs w:val="20"/>
              </w:rPr>
              <w:t>%TBWL</w:t>
            </w:r>
            <w:r w:rsidR="005A69E9" w:rsidRPr="00D76EFB">
              <w:rPr>
                <w:rFonts w:ascii="Arial Narrow" w:hAnsi="Arial Narrow"/>
                <w:sz w:val="20"/>
                <w:szCs w:val="20"/>
              </w:rPr>
              <w:t xml:space="preserve"> </w:t>
            </w:r>
            <w:r w:rsidR="005A69E9" w:rsidRPr="00D76EFB">
              <w:rPr>
                <w:rFonts w:ascii="Arial Narrow" w:eastAsia="Calibri" w:hAnsi="Arial Narrow" w:cs="Arial"/>
                <w:sz w:val="20"/>
                <w:szCs w:val="20"/>
              </w:rPr>
              <w:t>at 12 months (s</w:t>
            </w:r>
            <w:r w:rsidRPr="00D76EFB">
              <w:rPr>
                <w:rFonts w:ascii="Arial Narrow" w:hAnsi="Arial Narrow"/>
                <w:sz w:val="20"/>
                <w:szCs w:val="20"/>
              </w:rPr>
              <w:t>cale</w:t>
            </w:r>
            <w:r w:rsidR="00A01FD5" w:rsidRPr="00D76EFB" w:rsidDel="5636EAD7">
              <w:rPr>
                <w:rFonts w:ascii="Arial Narrow" w:hAnsi="Arial Narrow"/>
                <w:sz w:val="20"/>
                <w:szCs w:val="20"/>
              </w:rPr>
              <w:t xml:space="preserve"> </w:t>
            </w:r>
            <w:r w:rsidRPr="00D76EFB">
              <w:rPr>
                <w:rFonts w:ascii="Arial Narrow" w:hAnsi="Arial Narrow"/>
                <w:sz w:val="20"/>
                <w:szCs w:val="20"/>
              </w:rPr>
              <w:t>0</w:t>
            </w:r>
            <w:r w:rsidR="005A69E9" w:rsidRPr="00D76EFB">
              <w:rPr>
                <w:rFonts w:ascii="Arial Narrow" w:eastAsia="Calibri" w:hAnsi="Arial Narrow" w:cs="Arial"/>
                <w:sz w:val="20"/>
                <w:szCs w:val="20"/>
              </w:rPr>
              <w:t>–</w:t>
            </w:r>
            <w:r w:rsidRPr="00D76EFB">
              <w:rPr>
                <w:rFonts w:ascii="Arial Narrow" w:hAnsi="Arial Narrow"/>
                <w:sz w:val="20"/>
                <w:szCs w:val="20"/>
              </w:rPr>
              <w:t>100</w:t>
            </w:r>
            <w:r w:rsidR="005A69E9" w:rsidRPr="00D76EFB">
              <w:rPr>
                <w:rFonts w:ascii="Arial Narrow" w:eastAsia="Calibri" w:hAnsi="Arial Narrow" w:cs="Arial"/>
                <w:sz w:val="20"/>
                <w:szCs w:val="20"/>
              </w:rPr>
              <w:t>)</w:t>
            </w:r>
            <w:r w:rsidR="006F219B" w:rsidRPr="00D76EFB">
              <w:rPr>
                <w:rFonts w:ascii="Arial Narrow" w:hAnsi="Arial Narrow"/>
                <w:sz w:val="20"/>
                <w:szCs w:val="20"/>
              </w:rPr>
              <w:t xml:space="preserve"> </w:t>
            </w:r>
            <w:r w:rsidRPr="00D76EFB">
              <w:rPr>
                <w:rFonts w:ascii="Arial Narrow" w:hAnsi="Arial Narrow"/>
                <w:sz w:val="20"/>
                <w:szCs w:val="20"/>
              </w:rPr>
              <w:t>follow-up: 12 months</w:t>
            </w:r>
          </w:p>
        </w:tc>
        <w:tc>
          <w:tcPr>
            <w:tcW w:w="731" w:type="pct"/>
            <w:tcBorders>
              <w:top w:val="single" w:sz="6" w:space="0" w:color="000000" w:themeColor="text1"/>
              <w:left w:val="nil"/>
              <w:bottom w:val="single" w:sz="6" w:space="0" w:color="000000" w:themeColor="text1"/>
              <w:right w:val="nil"/>
            </w:tcBorders>
            <w:shd w:val="clear" w:color="auto" w:fill="EBEBEB"/>
            <w:vAlign w:val="center"/>
            <w:hideMark/>
          </w:tcPr>
          <w:p w14:paraId="4838946F" w14:textId="3068BC56" w:rsidR="00D1311B" w:rsidRPr="00D76EFB" w:rsidRDefault="00255A30" w:rsidP="004E313E">
            <w:pPr>
              <w:keepNext/>
              <w:keepLines/>
              <w:jc w:val="center"/>
              <w:rPr>
                <w:rFonts w:ascii="Arial Narrow" w:hAnsi="Arial Narrow"/>
                <w:sz w:val="20"/>
                <w:szCs w:val="20"/>
              </w:rPr>
            </w:pPr>
            <w:r w:rsidRPr="00D76EFB">
              <w:rPr>
                <w:rFonts w:ascii="Arial Narrow" w:eastAsia="Calibri" w:hAnsi="Arial Narrow" w:cs="Arial"/>
                <w:sz w:val="20"/>
                <w:szCs w:val="20"/>
              </w:rPr>
              <w:t>m</w:t>
            </w:r>
            <w:r w:rsidR="5636EAD7" w:rsidRPr="00D76EFB">
              <w:rPr>
                <w:rFonts w:ascii="Arial Narrow" w:hAnsi="Arial Narrow"/>
                <w:sz w:val="20"/>
                <w:szCs w:val="20"/>
              </w:rPr>
              <w:t xml:space="preserve">ean </w:t>
            </w:r>
            <w:r w:rsidRPr="00D76EFB">
              <w:rPr>
                <w:rFonts w:ascii="Arial Narrow" w:eastAsia="Times New Roman" w:hAnsi="Arial Narrow" w:cs="Arial"/>
                <w:sz w:val="20"/>
                <w:szCs w:val="20"/>
              </w:rPr>
              <w:t>%TBWL</w:t>
            </w:r>
            <w:r w:rsidRPr="00D76EFB">
              <w:rPr>
                <w:rFonts w:ascii="Arial Narrow" w:eastAsia="Calibri" w:hAnsi="Arial Narrow" w:cs="Arial"/>
                <w:sz w:val="20"/>
                <w:szCs w:val="20"/>
              </w:rPr>
              <w:t xml:space="preserve"> </w:t>
            </w:r>
            <w:r w:rsidR="5636EAD7" w:rsidRPr="00D76EFB">
              <w:rPr>
                <w:rFonts w:ascii="Arial Narrow" w:hAnsi="Arial Narrow"/>
                <w:sz w:val="20"/>
                <w:szCs w:val="20"/>
              </w:rPr>
              <w:t xml:space="preserve">at 12 months </w:t>
            </w:r>
            <w:r w:rsidR="5636EAD7" w:rsidRPr="00D76EFB">
              <w:rPr>
                <w:rFonts w:ascii="Arial Narrow" w:hAnsi="Arial Narrow"/>
                <w:b/>
                <w:sz w:val="20"/>
                <w:szCs w:val="20"/>
              </w:rPr>
              <w:t>0.8</w:t>
            </w:r>
            <w:r w:rsidR="00ED0CC5" w:rsidRPr="00D76EFB">
              <w:rPr>
                <w:rFonts w:ascii="Arial Narrow" w:eastAsia="Calibri" w:hAnsi="Arial Narrow" w:cs="Arial"/>
                <w:b/>
                <w:sz w:val="20"/>
                <w:szCs w:val="20"/>
              </w:rPr>
              <w:t>%</w:t>
            </w:r>
          </w:p>
        </w:tc>
        <w:tc>
          <w:tcPr>
            <w:tcW w:w="636" w:type="pct"/>
            <w:tcBorders>
              <w:top w:val="single" w:sz="6" w:space="0" w:color="000000" w:themeColor="text1"/>
              <w:left w:val="nil"/>
              <w:bottom w:val="single" w:sz="6" w:space="0" w:color="000000" w:themeColor="text1"/>
              <w:right w:val="nil"/>
            </w:tcBorders>
            <w:shd w:val="clear" w:color="auto" w:fill="EBEBEB"/>
            <w:hideMark/>
          </w:tcPr>
          <w:p w14:paraId="3DA33F44" w14:textId="210CF84F" w:rsidR="00D1311B" w:rsidRPr="00D76EFB" w:rsidRDefault="2D963119" w:rsidP="004E313E">
            <w:pPr>
              <w:keepNext/>
              <w:keepLines/>
              <w:jc w:val="center"/>
              <w:rPr>
                <w:rFonts w:ascii="Arial Narrow" w:eastAsia="Times New Roman" w:hAnsi="Arial Narrow" w:cs="Arial"/>
                <w:sz w:val="20"/>
                <w:szCs w:val="20"/>
              </w:rPr>
            </w:pPr>
            <w:r w:rsidRPr="00D76EFB">
              <w:rPr>
                <w:rFonts w:ascii="Arial Narrow" w:hAnsi="Arial Narrow"/>
                <w:sz w:val="20"/>
                <w:szCs w:val="20"/>
              </w:rPr>
              <w:t xml:space="preserve">The </w:t>
            </w:r>
            <w:r w:rsidR="5636EAD7" w:rsidRPr="00D76EFB">
              <w:rPr>
                <w:rFonts w:ascii="Arial Narrow" w:hAnsi="Arial Narrow"/>
                <w:sz w:val="20"/>
                <w:szCs w:val="20"/>
              </w:rPr>
              <w:t xml:space="preserve">mean </w:t>
            </w:r>
            <w:r w:rsidR="5636EAD7" w:rsidRPr="00D76EFB">
              <w:rPr>
                <w:rFonts w:ascii="Arial Narrow" w:hAnsi="Arial Narrow"/>
                <w:b/>
                <w:sz w:val="20"/>
                <w:szCs w:val="20"/>
              </w:rPr>
              <w:t>12.6% more</w:t>
            </w:r>
            <w:r w:rsidR="000B5196" w:rsidRPr="00D76EFB">
              <w:rPr>
                <w:rFonts w:ascii="Arial Narrow" w:hAnsi="Arial Narrow"/>
                <w:sz w:val="20"/>
                <w:szCs w:val="20"/>
              </w:rPr>
              <w:br/>
            </w:r>
            <w:r w:rsidR="5636EAD7" w:rsidRPr="00D76EFB">
              <w:rPr>
                <w:rFonts w:ascii="Arial Narrow" w:hAnsi="Arial Narrow"/>
                <w:sz w:val="20"/>
                <w:szCs w:val="20"/>
              </w:rPr>
              <w:t>(10.7 more to 14.5 more)</w:t>
            </w:r>
          </w:p>
        </w:tc>
        <w:tc>
          <w:tcPr>
            <w:tcW w:w="397" w:type="pct"/>
            <w:tcBorders>
              <w:top w:val="single" w:sz="6" w:space="0" w:color="000000" w:themeColor="text1"/>
              <w:left w:val="nil"/>
              <w:bottom w:val="single" w:sz="6" w:space="0" w:color="000000" w:themeColor="text1"/>
              <w:right w:val="nil"/>
            </w:tcBorders>
            <w:vAlign w:val="center"/>
          </w:tcPr>
          <w:p w14:paraId="3ABEDE7B" w14:textId="346AC421" w:rsidR="00D1311B" w:rsidRPr="00D76EFB" w:rsidRDefault="2D963119" w:rsidP="004E313E">
            <w:pPr>
              <w:keepNext/>
              <w:keepLines/>
              <w:jc w:val="center"/>
              <w:rPr>
                <w:rFonts w:ascii="Arial Narrow" w:eastAsia="Times New Roman" w:hAnsi="Arial Narrow" w:cs="Arial"/>
                <w:sz w:val="20"/>
                <w:szCs w:val="20"/>
              </w:rPr>
            </w:pPr>
            <w:r w:rsidRPr="00D76EFB">
              <w:rPr>
                <w:rFonts w:ascii="Arial Narrow" w:hAnsi="Arial Narrow"/>
                <w:sz w:val="20"/>
                <w:szCs w:val="20"/>
              </w:rPr>
              <w:t>-</w:t>
            </w:r>
          </w:p>
        </w:tc>
        <w:tc>
          <w:tcPr>
            <w:tcW w:w="477" w:type="pct"/>
            <w:tcBorders>
              <w:top w:val="single" w:sz="6" w:space="0" w:color="000000" w:themeColor="text1"/>
              <w:left w:val="nil"/>
              <w:bottom w:val="single" w:sz="6" w:space="0" w:color="000000" w:themeColor="text1"/>
              <w:right w:val="nil"/>
            </w:tcBorders>
            <w:vAlign w:val="center"/>
          </w:tcPr>
          <w:p w14:paraId="4769F92A" w14:textId="7EF2EBBE" w:rsidR="00D1311B" w:rsidRPr="00D76EFB" w:rsidRDefault="2D963119" w:rsidP="004E313E">
            <w:pPr>
              <w:keepNext/>
              <w:keepLines/>
              <w:jc w:val="center"/>
              <w:rPr>
                <w:rFonts w:ascii="Arial Narrow" w:eastAsia="Times New Roman" w:hAnsi="Arial Narrow" w:cs="Arial"/>
                <w:sz w:val="20"/>
                <w:szCs w:val="20"/>
              </w:rPr>
            </w:pPr>
            <w:r w:rsidRPr="00D76EFB">
              <w:rPr>
                <w:rFonts w:ascii="Arial Narrow" w:hAnsi="Arial Narrow"/>
                <w:sz w:val="20"/>
                <w:szCs w:val="20"/>
              </w:rPr>
              <w:t>157</w:t>
            </w:r>
            <w:r w:rsidR="000B5196" w:rsidRPr="00D76EFB">
              <w:rPr>
                <w:rFonts w:ascii="Arial Narrow" w:hAnsi="Arial Narrow"/>
                <w:sz w:val="20"/>
                <w:szCs w:val="20"/>
              </w:rPr>
              <w:br/>
            </w:r>
            <w:r w:rsidRPr="00D76EFB">
              <w:rPr>
                <w:rFonts w:ascii="Arial Narrow" w:hAnsi="Arial Narrow"/>
                <w:sz w:val="20"/>
                <w:szCs w:val="20"/>
              </w:rPr>
              <w:t>(1 RCT)</w:t>
            </w:r>
          </w:p>
        </w:tc>
        <w:tc>
          <w:tcPr>
            <w:tcW w:w="556" w:type="pct"/>
            <w:tcBorders>
              <w:top w:val="single" w:sz="6" w:space="0" w:color="000000" w:themeColor="text1"/>
              <w:left w:val="nil"/>
              <w:bottom w:val="single" w:sz="6" w:space="0" w:color="000000" w:themeColor="text1"/>
              <w:right w:val="nil"/>
            </w:tcBorders>
            <w:vAlign w:val="center"/>
          </w:tcPr>
          <w:p w14:paraId="478889FD" w14:textId="484ADC59" w:rsidR="00D1311B" w:rsidRPr="00D76EFB" w:rsidRDefault="2D963119" w:rsidP="004E313E">
            <w:pPr>
              <w:keepNext/>
              <w:keepLines/>
              <w:jc w:val="center"/>
              <w:rPr>
                <w:rFonts w:ascii="Arial Narrow" w:eastAsia="Times New Roman" w:hAnsi="Arial Narrow" w:cs="Arial"/>
                <w:sz w:val="20"/>
                <w:szCs w:val="20"/>
              </w:rPr>
            </w:pPr>
            <w:r w:rsidRPr="00D76EFB">
              <w:rPr>
                <w:rFonts w:ascii="Cambria Math" w:hAnsi="Cambria Math" w:cs="Cambria Math"/>
                <w:sz w:val="20"/>
                <w:szCs w:val="20"/>
              </w:rPr>
              <w:t>⨁⨁⨁⨁</w:t>
            </w:r>
            <w:r w:rsidR="000B5196" w:rsidRPr="00D76EFB">
              <w:rPr>
                <w:rFonts w:ascii="Arial Narrow" w:hAnsi="Arial Narrow"/>
                <w:sz w:val="20"/>
                <w:szCs w:val="20"/>
              </w:rPr>
              <w:br/>
            </w:r>
            <w:r w:rsidRPr="00D76EFB">
              <w:rPr>
                <w:rFonts w:ascii="Arial Narrow" w:hAnsi="Arial Narrow"/>
                <w:sz w:val="20"/>
                <w:szCs w:val="20"/>
              </w:rPr>
              <w:t>High</w:t>
            </w:r>
          </w:p>
        </w:tc>
        <w:tc>
          <w:tcPr>
            <w:tcW w:w="1427" w:type="pct"/>
            <w:tcBorders>
              <w:top w:val="single" w:sz="6" w:space="0" w:color="000000" w:themeColor="text1"/>
              <w:left w:val="nil"/>
              <w:bottom w:val="single" w:sz="6" w:space="0" w:color="000000" w:themeColor="text1"/>
              <w:right w:val="single" w:sz="4" w:space="0" w:color="auto"/>
            </w:tcBorders>
            <w:vAlign w:val="center"/>
          </w:tcPr>
          <w:p w14:paraId="5C227E8F" w14:textId="6107B261" w:rsidR="00D1311B" w:rsidRPr="00D76EFB" w:rsidRDefault="2D963119" w:rsidP="004E313E">
            <w:pPr>
              <w:keepNext/>
              <w:keepLines/>
              <w:rPr>
                <w:rFonts w:ascii="Arial Narrow" w:eastAsia="Times New Roman" w:hAnsi="Arial Narrow" w:cs="Arial"/>
                <w:sz w:val="20"/>
                <w:szCs w:val="20"/>
              </w:rPr>
            </w:pPr>
            <w:r w:rsidRPr="2AA1CA0C">
              <w:rPr>
                <w:rFonts w:ascii="Arial Narrow" w:hAnsi="Arial Narrow"/>
                <w:sz w:val="20"/>
                <w:szCs w:val="20"/>
              </w:rPr>
              <w:t xml:space="preserve">ESG with lifestyle modifications results in a large increase in </w:t>
            </w:r>
            <w:r w:rsidR="00ED0CC5" w:rsidRPr="2AA1CA0C">
              <w:rPr>
                <w:rFonts w:ascii="Arial Narrow" w:eastAsia="Times New Roman" w:hAnsi="Arial Narrow" w:cs="Arial"/>
                <w:sz w:val="20"/>
                <w:szCs w:val="20"/>
              </w:rPr>
              <w:t>%TBWL</w:t>
            </w:r>
            <w:r w:rsidR="00ED0CC5" w:rsidRPr="2AA1CA0C">
              <w:rPr>
                <w:rFonts w:ascii="Arial Narrow" w:eastAsia="Calibri" w:hAnsi="Arial Narrow" w:cs="Arial"/>
                <w:sz w:val="20"/>
                <w:szCs w:val="20"/>
              </w:rPr>
              <w:t xml:space="preserve"> </w:t>
            </w:r>
            <w:r w:rsidRPr="2AA1CA0C">
              <w:rPr>
                <w:rFonts w:ascii="Arial Narrow" w:hAnsi="Arial Narrow"/>
                <w:sz w:val="20"/>
                <w:szCs w:val="20"/>
              </w:rPr>
              <w:t>at 12 months compared to lifestyle modification alone.</w:t>
            </w:r>
          </w:p>
        </w:tc>
      </w:tr>
      <w:tr w:rsidR="00805C8B" w:rsidRPr="00832E5A" w14:paraId="1FDA497A" w14:textId="77777777" w:rsidTr="2AA1CA0C">
        <w:trPr>
          <w:cantSplit/>
        </w:trPr>
        <w:tc>
          <w:tcPr>
            <w:tcW w:w="776" w:type="pct"/>
            <w:tcBorders>
              <w:top w:val="single" w:sz="6" w:space="0" w:color="000000" w:themeColor="text1"/>
              <w:left w:val="single" w:sz="4" w:space="0" w:color="auto"/>
              <w:bottom w:val="single" w:sz="4" w:space="0" w:color="auto"/>
              <w:right w:val="nil"/>
            </w:tcBorders>
            <w:vAlign w:val="center"/>
          </w:tcPr>
          <w:p w14:paraId="09019C0C" w14:textId="259A39B1" w:rsidR="00A01FD5" w:rsidRPr="00D76EFB" w:rsidRDefault="00ED0CC5" w:rsidP="004E313E">
            <w:pPr>
              <w:keepNext/>
              <w:keepLines/>
              <w:rPr>
                <w:rFonts w:ascii="Arial Narrow" w:hAnsi="Arial Narrow"/>
                <w:sz w:val="20"/>
                <w:szCs w:val="20"/>
              </w:rPr>
            </w:pPr>
            <w:r w:rsidRPr="00D76EFB">
              <w:rPr>
                <w:rFonts w:ascii="Arial Narrow" w:eastAsia="Times New Roman" w:hAnsi="Arial Narrow" w:cs="Segoe UI"/>
                <w:sz w:val="20"/>
                <w:szCs w:val="20"/>
                <w:lang w:eastAsia="en-AU"/>
              </w:rPr>
              <w:t>%EWL</w:t>
            </w:r>
            <w:r w:rsidRPr="00D76EFB">
              <w:rPr>
                <w:rFonts w:ascii="Arial Narrow" w:eastAsia="Calibri" w:hAnsi="Arial Narrow" w:cs="Arial"/>
                <w:sz w:val="20"/>
                <w:szCs w:val="20"/>
              </w:rPr>
              <w:t xml:space="preserve"> </w:t>
            </w:r>
            <w:r w:rsidR="5636EAD7" w:rsidRPr="00D76EFB">
              <w:rPr>
                <w:rFonts w:ascii="Arial Narrow" w:hAnsi="Arial Narrow"/>
                <w:sz w:val="20"/>
                <w:szCs w:val="20"/>
              </w:rPr>
              <w:t>at 12 months</w:t>
            </w:r>
            <w:r w:rsidR="006F219B" w:rsidRPr="00D76EFB">
              <w:rPr>
                <w:rFonts w:ascii="Arial Narrow" w:hAnsi="Arial Narrow"/>
                <w:sz w:val="20"/>
                <w:szCs w:val="20"/>
              </w:rPr>
              <w:t xml:space="preserve"> </w:t>
            </w:r>
            <w:r w:rsidRPr="00D76EFB">
              <w:rPr>
                <w:rFonts w:ascii="Arial Narrow" w:eastAsia="Calibri" w:hAnsi="Arial Narrow" w:cs="Arial"/>
                <w:sz w:val="20"/>
                <w:szCs w:val="20"/>
              </w:rPr>
              <w:t>(s</w:t>
            </w:r>
            <w:r w:rsidR="5636EAD7" w:rsidRPr="00D76EFB">
              <w:rPr>
                <w:rFonts w:ascii="Arial Narrow" w:hAnsi="Arial Narrow"/>
                <w:sz w:val="20"/>
                <w:szCs w:val="20"/>
              </w:rPr>
              <w:t>cale</w:t>
            </w:r>
            <w:r w:rsidRPr="00D76EFB" w:rsidDel="5636EAD7">
              <w:rPr>
                <w:rFonts w:ascii="Arial Narrow" w:hAnsi="Arial Narrow"/>
                <w:sz w:val="20"/>
                <w:szCs w:val="20"/>
              </w:rPr>
              <w:t xml:space="preserve"> </w:t>
            </w:r>
            <w:r w:rsidR="5636EAD7" w:rsidRPr="00D76EFB">
              <w:rPr>
                <w:rFonts w:ascii="Arial Narrow" w:hAnsi="Arial Narrow"/>
                <w:sz w:val="20"/>
                <w:szCs w:val="20"/>
              </w:rPr>
              <w:t>0</w:t>
            </w:r>
            <w:r w:rsidRPr="00D76EFB">
              <w:rPr>
                <w:rFonts w:ascii="Arial Narrow" w:eastAsia="Calibri" w:hAnsi="Arial Narrow" w:cs="Arial"/>
                <w:sz w:val="20"/>
                <w:szCs w:val="20"/>
              </w:rPr>
              <w:t>–</w:t>
            </w:r>
            <w:r w:rsidR="5636EAD7" w:rsidRPr="00D76EFB">
              <w:rPr>
                <w:rFonts w:ascii="Arial Narrow" w:hAnsi="Arial Narrow"/>
                <w:sz w:val="20"/>
                <w:szCs w:val="20"/>
              </w:rPr>
              <w:t>100</w:t>
            </w:r>
            <w:r w:rsidRPr="00D76EFB">
              <w:rPr>
                <w:rFonts w:ascii="Arial Narrow" w:eastAsia="Calibri" w:hAnsi="Arial Narrow" w:cs="Arial"/>
                <w:sz w:val="20"/>
                <w:szCs w:val="20"/>
              </w:rPr>
              <w:t>)</w:t>
            </w:r>
            <w:r w:rsidR="006F219B" w:rsidRPr="00D76EFB">
              <w:rPr>
                <w:rFonts w:ascii="Arial Narrow" w:eastAsia="Calibri" w:hAnsi="Arial Narrow" w:cs="Arial"/>
                <w:sz w:val="20"/>
                <w:szCs w:val="20"/>
              </w:rPr>
              <w:t xml:space="preserve"> </w:t>
            </w:r>
            <w:r w:rsidR="5636EAD7" w:rsidRPr="00D76EFB">
              <w:rPr>
                <w:rFonts w:ascii="Arial Narrow" w:hAnsi="Arial Narrow"/>
                <w:sz w:val="20"/>
                <w:szCs w:val="20"/>
              </w:rPr>
              <w:t>follow-up: 12 months</w:t>
            </w:r>
          </w:p>
        </w:tc>
        <w:tc>
          <w:tcPr>
            <w:tcW w:w="731" w:type="pct"/>
            <w:tcBorders>
              <w:top w:val="single" w:sz="6" w:space="0" w:color="000000" w:themeColor="text1"/>
              <w:left w:val="nil"/>
              <w:bottom w:val="single" w:sz="4" w:space="0" w:color="auto"/>
              <w:right w:val="nil"/>
            </w:tcBorders>
            <w:shd w:val="clear" w:color="auto" w:fill="EBEBEB"/>
            <w:vAlign w:val="center"/>
          </w:tcPr>
          <w:p w14:paraId="1DCC3820" w14:textId="55B5D5EB" w:rsidR="00A01FD5" w:rsidRPr="00D76EFB" w:rsidRDefault="00ED0CC5" w:rsidP="004E313E">
            <w:pPr>
              <w:keepNext/>
              <w:keepLines/>
              <w:jc w:val="center"/>
              <w:rPr>
                <w:rFonts w:ascii="Arial Narrow" w:hAnsi="Arial Narrow"/>
                <w:sz w:val="20"/>
                <w:szCs w:val="20"/>
              </w:rPr>
            </w:pPr>
            <w:r w:rsidRPr="00D76EFB">
              <w:rPr>
                <w:rFonts w:ascii="Arial Narrow" w:eastAsia="Calibri" w:hAnsi="Arial Narrow" w:cs="Arial"/>
                <w:sz w:val="20"/>
                <w:szCs w:val="20"/>
              </w:rPr>
              <w:t>m</w:t>
            </w:r>
            <w:r w:rsidR="5636EAD7" w:rsidRPr="00D76EFB">
              <w:rPr>
                <w:rFonts w:ascii="Arial Narrow" w:hAnsi="Arial Narrow"/>
                <w:sz w:val="20"/>
                <w:szCs w:val="20"/>
              </w:rPr>
              <w:t xml:space="preserve">ean </w:t>
            </w:r>
            <w:r w:rsidRPr="00D76EFB">
              <w:rPr>
                <w:rFonts w:ascii="Arial Narrow" w:eastAsia="Times New Roman" w:hAnsi="Arial Narrow" w:cs="Segoe UI"/>
                <w:sz w:val="20"/>
                <w:szCs w:val="20"/>
                <w:lang w:eastAsia="en-AU"/>
              </w:rPr>
              <w:t>%EWL</w:t>
            </w:r>
            <w:r w:rsidRPr="00D76EFB">
              <w:rPr>
                <w:rFonts w:ascii="Arial Narrow" w:eastAsia="Calibri" w:hAnsi="Arial Narrow" w:cs="Arial"/>
                <w:sz w:val="20"/>
                <w:szCs w:val="20"/>
              </w:rPr>
              <w:t xml:space="preserve"> </w:t>
            </w:r>
            <w:r w:rsidR="5636EAD7" w:rsidRPr="00D76EFB">
              <w:rPr>
                <w:rFonts w:ascii="Arial Narrow" w:hAnsi="Arial Narrow"/>
                <w:sz w:val="20"/>
                <w:szCs w:val="20"/>
              </w:rPr>
              <w:t xml:space="preserve">at 12 months </w:t>
            </w:r>
            <w:r w:rsidR="5636EAD7" w:rsidRPr="00D76EFB">
              <w:rPr>
                <w:rFonts w:ascii="Arial Narrow" w:hAnsi="Arial Narrow"/>
                <w:b/>
                <w:sz w:val="20"/>
                <w:szCs w:val="20"/>
              </w:rPr>
              <w:t>0</w:t>
            </w:r>
            <w:r w:rsidRPr="00D76EFB">
              <w:rPr>
                <w:rFonts w:ascii="Arial Narrow" w:eastAsia="Calibri" w:hAnsi="Arial Narrow" w:cs="Arial"/>
                <w:b/>
                <w:sz w:val="20"/>
                <w:szCs w:val="20"/>
              </w:rPr>
              <w:t>%</w:t>
            </w:r>
          </w:p>
        </w:tc>
        <w:tc>
          <w:tcPr>
            <w:tcW w:w="636" w:type="pct"/>
            <w:tcBorders>
              <w:top w:val="single" w:sz="6" w:space="0" w:color="000000" w:themeColor="text1"/>
              <w:left w:val="nil"/>
              <w:bottom w:val="single" w:sz="4" w:space="0" w:color="auto"/>
              <w:right w:val="nil"/>
            </w:tcBorders>
            <w:shd w:val="clear" w:color="auto" w:fill="EBEBEB"/>
          </w:tcPr>
          <w:p w14:paraId="3E91ED34" w14:textId="51B2D773" w:rsidR="00A01FD5" w:rsidRPr="00D76EFB" w:rsidRDefault="2D963119" w:rsidP="004E313E">
            <w:pPr>
              <w:keepNext/>
              <w:keepLines/>
              <w:jc w:val="center"/>
              <w:rPr>
                <w:rFonts w:ascii="Arial Narrow" w:eastAsia="Calibri" w:hAnsi="Arial Narrow" w:cs="Arial"/>
                <w:b/>
                <w:sz w:val="20"/>
                <w:szCs w:val="20"/>
              </w:rPr>
            </w:pPr>
            <w:r w:rsidRPr="00D76EFB">
              <w:rPr>
                <w:rFonts w:ascii="Arial Narrow" w:hAnsi="Arial Narrow"/>
                <w:sz w:val="20"/>
                <w:szCs w:val="20"/>
              </w:rPr>
              <w:t xml:space="preserve">The </w:t>
            </w:r>
            <w:r w:rsidR="5636EAD7" w:rsidRPr="00D76EFB">
              <w:rPr>
                <w:rFonts w:ascii="Arial Narrow" w:hAnsi="Arial Narrow"/>
                <w:sz w:val="20"/>
                <w:szCs w:val="20"/>
              </w:rPr>
              <w:t xml:space="preserve">mean </w:t>
            </w:r>
            <w:r w:rsidR="5636EAD7" w:rsidRPr="00D76EFB">
              <w:rPr>
                <w:rFonts w:ascii="Arial Narrow" w:hAnsi="Arial Narrow"/>
                <w:b/>
                <w:sz w:val="20"/>
                <w:szCs w:val="20"/>
              </w:rPr>
              <w:t>44.7% more</w:t>
            </w:r>
            <w:r w:rsidR="000B5196" w:rsidRPr="00D76EFB">
              <w:rPr>
                <w:rFonts w:ascii="Arial Narrow" w:hAnsi="Arial Narrow"/>
                <w:sz w:val="20"/>
                <w:szCs w:val="20"/>
              </w:rPr>
              <w:br/>
            </w:r>
            <w:r w:rsidR="5636EAD7" w:rsidRPr="00D76EFB">
              <w:rPr>
                <w:rFonts w:ascii="Arial Narrow" w:hAnsi="Arial Narrow"/>
                <w:sz w:val="20"/>
                <w:szCs w:val="20"/>
              </w:rPr>
              <w:t>(37.5 more to 51.9 more)</w:t>
            </w:r>
          </w:p>
        </w:tc>
        <w:tc>
          <w:tcPr>
            <w:tcW w:w="397" w:type="pct"/>
            <w:tcBorders>
              <w:top w:val="single" w:sz="6" w:space="0" w:color="000000" w:themeColor="text1"/>
              <w:left w:val="nil"/>
              <w:bottom w:val="single" w:sz="4" w:space="0" w:color="auto"/>
              <w:right w:val="nil"/>
            </w:tcBorders>
            <w:vAlign w:val="center"/>
          </w:tcPr>
          <w:p w14:paraId="7F45CBF6" w14:textId="00A7A425" w:rsidR="00A01FD5" w:rsidRPr="00D76EFB" w:rsidRDefault="2D963119" w:rsidP="004E313E">
            <w:pPr>
              <w:keepNext/>
              <w:keepLines/>
              <w:jc w:val="center"/>
              <w:rPr>
                <w:rFonts w:ascii="Arial Narrow" w:eastAsia="Times New Roman" w:hAnsi="Arial Narrow" w:cs="Arial"/>
                <w:b/>
                <w:sz w:val="20"/>
                <w:szCs w:val="20"/>
              </w:rPr>
            </w:pPr>
            <w:r w:rsidRPr="00D76EFB">
              <w:rPr>
                <w:rFonts w:ascii="Arial Narrow" w:hAnsi="Arial Narrow"/>
                <w:sz w:val="20"/>
                <w:szCs w:val="20"/>
              </w:rPr>
              <w:t>-</w:t>
            </w:r>
          </w:p>
        </w:tc>
        <w:tc>
          <w:tcPr>
            <w:tcW w:w="477" w:type="pct"/>
            <w:tcBorders>
              <w:top w:val="single" w:sz="6" w:space="0" w:color="000000" w:themeColor="text1"/>
              <w:left w:val="nil"/>
              <w:bottom w:val="single" w:sz="4" w:space="0" w:color="auto"/>
              <w:right w:val="nil"/>
            </w:tcBorders>
            <w:vAlign w:val="center"/>
          </w:tcPr>
          <w:p w14:paraId="33AEA809" w14:textId="3A50D3D1" w:rsidR="00A01FD5" w:rsidRPr="00D76EFB" w:rsidRDefault="2D963119" w:rsidP="004E313E">
            <w:pPr>
              <w:keepNext/>
              <w:keepLines/>
              <w:jc w:val="center"/>
              <w:rPr>
                <w:rFonts w:ascii="Arial Narrow" w:eastAsia="Times New Roman" w:hAnsi="Arial Narrow" w:cs="Arial"/>
                <w:sz w:val="20"/>
                <w:szCs w:val="20"/>
              </w:rPr>
            </w:pPr>
            <w:r w:rsidRPr="00D76EFB">
              <w:rPr>
                <w:rFonts w:ascii="Arial Narrow" w:hAnsi="Arial Narrow"/>
                <w:sz w:val="20"/>
                <w:szCs w:val="20"/>
              </w:rPr>
              <w:t>157</w:t>
            </w:r>
            <w:r w:rsidR="000B5196" w:rsidRPr="00D76EFB">
              <w:rPr>
                <w:rFonts w:ascii="Arial Narrow" w:hAnsi="Arial Narrow"/>
                <w:sz w:val="20"/>
                <w:szCs w:val="20"/>
              </w:rPr>
              <w:br/>
            </w:r>
            <w:r w:rsidRPr="00D76EFB">
              <w:rPr>
                <w:rFonts w:ascii="Arial Narrow" w:hAnsi="Arial Narrow"/>
                <w:sz w:val="20"/>
                <w:szCs w:val="20"/>
              </w:rPr>
              <w:t>(1 RCT)</w:t>
            </w:r>
          </w:p>
        </w:tc>
        <w:tc>
          <w:tcPr>
            <w:tcW w:w="556" w:type="pct"/>
            <w:tcBorders>
              <w:top w:val="single" w:sz="6" w:space="0" w:color="000000" w:themeColor="text1"/>
              <w:left w:val="nil"/>
              <w:bottom w:val="single" w:sz="4" w:space="0" w:color="auto"/>
              <w:right w:val="nil"/>
            </w:tcBorders>
            <w:vAlign w:val="center"/>
          </w:tcPr>
          <w:p w14:paraId="4E712AEC" w14:textId="49DAD17E" w:rsidR="00A01FD5" w:rsidRPr="00D76EFB" w:rsidRDefault="2D963119" w:rsidP="004E313E">
            <w:pPr>
              <w:keepNext/>
              <w:keepLines/>
              <w:jc w:val="center"/>
              <w:rPr>
                <w:rFonts w:ascii="Arial Narrow" w:eastAsia="Times New Roman" w:hAnsi="Arial Narrow" w:cs="Cambria Math"/>
                <w:sz w:val="20"/>
                <w:szCs w:val="20"/>
              </w:rPr>
            </w:pPr>
            <w:r w:rsidRPr="00D76EFB">
              <w:rPr>
                <w:rFonts w:ascii="Cambria Math" w:hAnsi="Cambria Math" w:cs="Cambria Math"/>
                <w:sz w:val="20"/>
                <w:szCs w:val="20"/>
              </w:rPr>
              <w:t>⨁⨁⨁⨁</w:t>
            </w:r>
            <w:r w:rsidR="000B5196" w:rsidRPr="00D76EFB">
              <w:rPr>
                <w:rFonts w:ascii="Arial Narrow" w:hAnsi="Arial Narrow"/>
                <w:sz w:val="20"/>
                <w:szCs w:val="20"/>
              </w:rPr>
              <w:br/>
            </w:r>
            <w:r w:rsidRPr="00D76EFB">
              <w:rPr>
                <w:rFonts w:ascii="Arial Narrow" w:hAnsi="Arial Narrow"/>
                <w:sz w:val="20"/>
                <w:szCs w:val="20"/>
              </w:rPr>
              <w:t>High</w:t>
            </w:r>
          </w:p>
        </w:tc>
        <w:tc>
          <w:tcPr>
            <w:tcW w:w="1427" w:type="pct"/>
            <w:tcBorders>
              <w:top w:val="single" w:sz="6" w:space="0" w:color="000000" w:themeColor="text1"/>
              <w:left w:val="nil"/>
              <w:bottom w:val="single" w:sz="4" w:space="0" w:color="auto"/>
              <w:right w:val="single" w:sz="4" w:space="0" w:color="auto"/>
            </w:tcBorders>
            <w:vAlign w:val="center"/>
          </w:tcPr>
          <w:p w14:paraId="66888EC7" w14:textId="1784C2BD" w:rsidR="00A01FD5" w:rsidRPr="00D76EFB" w:rsidRDefault="2D963119" w:rsidP="004E313E">
            <w:pPr>
              <w:keepNext/>
              <w:keepLines/>
              <w:rPr>
                <w:rFonts w:ascii="Arial Narrow" w:eastAsia="Times New Roman" w:hAnsi="Arial Narrow" w:cs="Arial"/>
                <w:sz w:val="20"/>
                <w:szCs w:val="20"/>
              </w:rPr>
            </w:pPr>
            <w:r w:rsidRPr="2AA1CA0C">
              <w:rPr>
                <w:rFonts w:ascii="Arial Narrow" w:hAnsi="Arial Narrow"/>
                <w:sz w:val="20"/>
                <w:szCs w:val="20"/>
              </w:rPr>
              <w:t xml:space="preserve">ESG with lifestyle modifications results in </w:t>
            </w:r>
            <w:r w:rsidR="00ED0CC5" w:rsidRPr="2AA1CA0C">
              <w:rPr>
                <w:rFonts w:ascii="Arial Narrow" w:eastAsia="Times New Roman" w:hAnsi="Arial Narrow" w:cs="Arial"/>
                <w:sz w:val="20"/>
                <w:szCs w:val="20"/>
              </w:rPr>
              <w:t xml:space="preserve">a </w:t>
            </w:r>
            <w:r w:rsidRPr="2AA1CA0C">
              <w:rPr>
                <w:rFonts w:ascii="Arial Narrow" w:hAnsi="Arial Narrow"/>
                <w:sz w:val="20"/>
                <w:szCs w:val="20"/>
              </w:rPr>
              <w:t xml:space="preserve">large increase in </w:t>
            </w:r>
            <w:r w:rsidR="00ED0CC5" w:rsidRPr="2AA1CA0C">
              <w:rPr>
                <w:rFonts w:ascii="Arial Narrow" w:eastAsia="Times New Roman" w:hAnsi="Arial Narrow" w:cs="Segoe UI"/>
                <w:sz w:val="20"/>
                <w:szCs w:val="20"/>
                <w:lang w:eastAsia="en-AU"/>
              </w:rPr>
              <w:t>%EWL</w:t>
            </w:r>
            <w:r w:rsidR="00ED0CC5" w:rsidRPr="2AA1CA0C">
              <w:rPr>
                <w:rFonts w:ascii="Arial Narrow" w:eastAsia="Times New Roman" w:hAnsi="Arial Narrow" w:cs="Arial"/>
                <w:sz w:val="20"/>
                <w:szCs w:val="20"/>
              </w:rPr>
              <w:t xml:space="preserve"> </w:t>
            </w:r>
            <w:r w:rsidRPr="2AA1CA0C">
              <w:rPr>
                <w:rFonts w:ascii="Arial Narrow" w:hAnsi="Arial Narrow"/>
                <w:sz w:val="20"/>
                <w:szCs w:val="20"/>
              </w:rPr>
              <w:t>at 12 months compared to lifestyle modifications alone.</w:t>
            </w:r>
          </w:p>
        </w:tc>
      </w:tr>
    </w:tbl>
    <w:p w14:paraId="63158854" w14:textId="0C409E8C" w:rsidR="00B63272" w:rsidRPr="00D76EFB" w:rsidRDefault="0033716D" w:rsidP="004E313E">
      <w:pPr>
        <w:pStyle w:val="TableFigureFooter"/>
        <w:keepNext/>
        <w:keepLines/>
      </w:pPr>
      <w:r w:rsidRPr="00D76EFB">
        <w:t>Abbreviations:</w:t>
      </w:r>
      <w:r w:rsidRPr="0D77DCC5">
        <w:t xml:space="preserve"> </w:t>
      </w:r>
      <w:r w:rsidR="00464284" w:rsidRPr="00D76EFB">
        <w:t>CI</w:t>
      </w:r>
      <w:r w:rsidR="00697566">
        <w:t>:</w:t>
      </w:r>
      <w:r w:rsidR="00464284" w:rsidRPr="0D77DCC5">
        <w:t xml:space="preserve"> </w:t>
      </w:r>
      <w:r w:rsidR="003E0C9B" w:rsidRPr="0D77DCC5">
        <w:t>confidence interval</w:t>
      </w:r>
      <w:r w:rsidR="00697566">
        <w:t>;</w:t>
      </w:r>
      <w:r w:rsidR="003E0C9B" w:rsidRPr="0D77DCC5">
        <w:t xml:space="preserve"> </w:t>
      </w:r>
      <w:r w:rsidRPr="00D76EFB">
        <w:t>ESG</w:t>
      </w:r>
      <w:r w:rsidRPr="0D77DCC5">
        <w:t xml:space="preserve">: </w:t>
      </w:r>
      <w:r w:rsidR="00697566">
        <w:t>e</w:t>
      </w:r>
      <w:r w:rsidRPr="0D77DCC5">
        <w:t xml:space="preserve">ndoscopic </w:t>
      </w:r>
      <w:r w:rsidR="00697566">
        <w:t>s</w:t>
      </w:r>
      <w:r w:rsidRPr="0D77DCC5">
        <w:t xml:space="preserve">leeve </w:t>
      </w:r>
      <w:r w:rsidR="00697566">
        <w:t>g</w:t>
      </w:r>
      <w:r w:rsidRPr="0D77DCC5">
        <w:t xml:space="preserve">astroplasty; </w:t>
      </w:r>
      <w:r w:rsidRPr="00D76EFB">
        <w:t>LSG</w:t>
      </w:r>
      <w:r w:rsidRPr="0D77DCC5">
        <w:t xml:space="preserve">: </w:t>
      </w:r>
      <w:r w:rsidR="00697566">
        <w:t>l</w:t>
      </w:r>
      <w:r w:rsidRPr="0D77DCC5">
        <w:t xml:space="preserve">aparoscopic </w:t>
      </w:r>
      <w:r w:rsidR="00697566">
        <w:t>s</w:t>
      </w:r>
      <w:r w:rsidRPr="0D77DCC5">
        <w:t xml:space="preserve">leeve </w:t>
      </w:r>
      <w:r w:rsidR="00697566">
        <w:t>g</w:t>
      </w:r>
      <w:r w:rsidRPr="0D77DCC5">
        <w:t xml:space="preserve">astrectomy; </w:t>
      </w:r>
      <w:r w:rsidR="00D65CB7" w:rsidRPr="00D76EFB">
        <w:t>RCT</w:t>
      </w:r>
      <w:r w:rsidR="00697566">
        <w:t>:</w:t>
      </w:r>
      <w:r w:rsidR="00D65CB7" w:rsidRPr="0D77DCC5">
        <w:t xml:space="preserve"> randomised control trial</w:t>
      </w:r>
      <w:r w:rsidR="005A69E9" w:rsidRPr="0D77DCC5">
        <w:t xml:space="preserve">; </w:t>
      </w:r>
      <w:r w:rsidRPr="00D76EFB">
        <w:t>%</w:t>
      </w:r>
      <w:r w:rsidR="00547055" w:rsidRPr="00D76EFB">
        <w:t>EWL</w:t>
      </w:r>
      <w:r w:rsidR="00547055" w:rsidRPr="0D77DCC5">
        <w:t>: per cent excess weight loss;</w:t>
      </w:r>
      <w:r w:rsidR="00547055">
        <w:t xml:space="preserve"> </w:t>
      </w:r>
      <w:r w:rsidRPr="00D76EFB">
        <w:t>%TBWL</w:t>
      </w:r>
      <w:r w:rsidRPr="0D77DCC5">
        <w:t xml:space="preserve">: </w:t>
      </w:r>
      <w:r w:rsidR="005A69E9" w:rsidRPr="0D77DCC5">
        <w:t>p</w:t>
      </w:r>
      <w:r w:rsidRPr="0D77DCC5">
        <w:t>er</w:t>
      </w:r>
      <w:r w:rsidR="005A69E9" w:rsidRPr="0D77DCC5">
        <w:t xml:space="preserve"> </w:t>
      </w:r>
      <w:r w:rsidRPr="0D77DCC5">
        <w:t xml:space="preserve">cent </w:t>
      </w:r>
      <w:r w:rsidR="005A69E9" w:rsidRPr="0D77DCC5">
        <w:t>t</w:t>
      </w:r>
      <w:r w:rsidRPr="0D77DCC5">
        <w:t xml:space="preserve">otal </w:t>
      </w:r>
      <w:r w:rsidR="005A69E9" w:rsidRPr="0D77DCC5">
        <w:t>b</w:t>
      </w:r>
      <w:r w:rsidRPr="0D77DCC5">
        <w:t xml:space="preserve">ody </w:t>
      </w:r>
      <w:r w:rsidR="005A69E9" w:rsidRPr="0D77DCC5">
        <w:t>w</w:t>
      </w:r>
      <w:r w:rsidRPr="0D77DCC5">
        <w:t xml:space="preserve">eight </w:t>
      </w:r>
      <w:r w:rsidR="005A69E9" w:rsidRPr="0D77DCC5">
        <w:t>l</w:t>
      </w:r>
      <w:r w:rsidRPr="0D77DCC5">
        <w:t>oss</w:t>
      </w:r>
      <w:r w:rsidR="00B63272">
        <w:br/>
      </w:r>
      <w:r w:rsidR="00B63272" w:rsidRPr="00B63272">
        <w:t xml:space="preserve">Source: </w:t>
      </w:r>
      <w:r w:rsidR="00115216">
        <w:t xml:space="preserve">Table 4.1 pg. </w:t>
      </w:r>
      <w:r w:rsidR="0016387F">
        <w:t>2</w:t>
      </w:r>
      <w:r w:rsidR="00AF7F2F">
        <w:t>21</w:t>
      </w:r>
      <w:r w:rsidR="0016387F">
        <w:t xml:space="preserve"> from ADAR</w:t>
      </w:r>
      <w:r w:rsidR="00B63272" w:rsidRPr="00B63272">
        <w:t xml:space="preserve"> </w:t>
      </w:r>
    </w:p>
    <w:p w14:paraId="7320D144" w14:textId="7012290C" w:rsidR="1EF4B727" w:rsidRPr="00DC46A2" w:rsidRDefault="1EF4B727" w:rsidP="007D18A3">
      <w:pPr>
        <w:pStyle w:val="Heading4"/>
      </w:pPr>
      <w:r w:rsidRPr="00DC46A2">
        <w:t>Durability of weight loss</w:t>
      </w:r>
    </w:p>
    <w:p w14:paraId="29C028E2" w14:textId="69C11C29" w:rsidR="7405D455" w:rsidRDefault="7405D455" w:rsidP="007D18A3">
      <w:r w:rsidRPr="2AA1CA0C">
        <w:t>Three single</w:t>
      </w:r>
      <w:r w:rsidR="00ED0CC5" w:rsidRPr="2AA1CA0C">
        <w:t>-</w:t>
      </w:r>
      <w:r w:rsidRPr="2AA1CA0C">
        <w:t xml:space="preserve">arm studies provide evidence for the </w:t>
      </w:r>
      <w:r w:rsidR="000B68A8">
        <w:t>longer-</w:t>
      </w:r>
      <w:r w:rsidR="00547D7D">
        <w:t>term</w:t>
      </w:r>
      <w:r w:rsidRPr="2AA1CA0C">
        <w:t xml:space="preserve"> </w:t>
      </w:r>
      <w:r w:rsidR="0682275E" w:rsidRPr="2AA1CA0C">
        <w:t xml:space="preserve">treatment effect </w:t>
      </w:r>
      <w:r w:rsidRPr="2AA1CA0C">
        <w:t>of ESG procedures</w:t>
      </w:r>
      <w:r w:rsidR="53E34210" w:rsidRPr="2AA1CA0C">
        <w:t>.</w:t>
      </w:r>
      <w:r w:rsidR="008D2B05" w:rsidRPr="2AA1CA0C">
        <w:t xml:space="preserve"> Bhandari et al. (2022) and</w:t>
      </w:r>
      <w:r w:rsidRPr="2AA1CA0C">
        <w:t xml:space="preserve"> </w:t>
      </w:r>
      <w:r w:rsidR="24E8CA9F" w:rsidRPr="2AA1CA0C">
        <w:t xml:space="preserve">Sharaiha et al. </w:t>
      </w:r>
      <w:r w:rsidR="007D79E4" w:rsidRPr="2AA1CA0C">
        <w:t>(</w:t>
      </w:r>
      <w:r w:rsidR="24E8CA9F" w:rsidRPr="2AA1CA0C">
        <w:t>2021</w:t>
      </w:r>
      <w:r w:rsidR="007D79E4" w:rsidRPr="2AA1CA0C">
        <w:t>)</w:t>
      </w:r>
      <w:r w:rsidR="007C3A47" w:rsidRPr="2AA1CA0C">
        <w:t xml:space="preserve"> observed that </w:t>
      </w:r>
      <w:r w:rsidR="00B2453A" w:rsidRPr="2AA1CA0C">
        <w:t xml:space="preserve">mean </w:t>
      </w:r>
      <w:r w:rsidR="00577E3B" w:rsidRPr="2AA1CA0C">
        <w:t xml:space="preserve">%TBWL </w:t>
      </w:r>
      <w:r w:rsidR="00B2453A" w:rsidRPr="2AA1CA0C">
        <w:t xml:space="preserve">after </w:t>
      </w:r>
      <w:r w:rsidR="008D2B05" w:rsidRPr="2AA1CA0C">
        <w:t>4</w:t>
      </w:r>
      <w:r w:rsidR="009F35DD" w:rsidRPr="2AA1CA0C">
        <w:t xml:space="preserve"> and </w:t>
      </w:r>
      <w:r w:rsidR="008D2B05" w:rsidRPr="2AA1CA0C">
        <w:t>5</w:t>
      </w:r>
      <w:r w:rsidR="009F35DD" w:rsidRPr="2AA1CA0C">
        <w:t xml:space="preserve"> years</w:t>
      </w:r>
      <w:r w:rsidR="00F0415C" w:rsidRPr="2AA1CA0C">
        <w:t xml:space="preserve"> </w:t>
      </w:r>
      <w:r w:rsidR="00436810" w:rsidRPr="2AA1CA0C">
        <w:t>was</w:t>
      </w:r>
      <w:r w:rsidR="008D2B05" w:rsidRPr="2AA1CA0C">
        <w:t xml:space="preserve"> 18.19%</w:t>
      </w:r>
      <w:r w:rsidR="00436810" w:rsidRPr="2AA1CA0C">
        <w:t xml:space="preserve"> </w:t>
      </w:r>
      <w:r w:rsidR="00D25A1D" w:rsidRPr="2AA1CA0C">
        <w:t xml:space="preserve">and </w:t>
      </w:r>
      <w:r w:rsidR="008D2B05" w:rsidRPr="2AA1CA0C">
        <w:t>15.9%, respectively</w:t>
      </w:r>
      <w:r w:rsidR="00CC7585" w:rsidRPr="2AA1CA0C">
        <w:t>.</w:t>
      </w:r>
      <w:r w:rsidRPr="2AA1CA0C">
        <w:rPr>
          <w:vertAlign w:val="superscript"/>
        </w:rPr>
        <w:fldChar w:fldCharType="begin"/>
      </w:r>
      <w:r w:rsidRPr="2AA1CA0C">
        <w:rPr>
          <w:vertAlign w:val="superscript"/>
        </w:rPr>
        <w:instrText xml:space="preserve"> NOTEREF _Ref187069073 \h  \* MERGEFORMAT </w:instrText>
      </w:r>
      <w:r w:rsidRPr="2AA1CA0C">
        <w:rPr>
          <w:vertAlign w:val="superscript"/>
        </w:rPr>
      </w:r>
      <w:r w:rsidRPr="2AA1CA0C">
        <w:rPr>
          <w:vertAlign w:val="superscript"/>
        </w:rPr>
        <w:fldChar w:fldCharType="separate"/>
      </w:r>
      <w:r w:rsidR="008F37D1">
        <w:rPr>
          <w:vertAlign w:val="superscript"/>
        </w:rPr>
        <w:t>32</w:t>
      </w:r>
      <w:r w:rsidRPr="2AA1CA0C">
        <w:rPr>
          <w:vertAlign w:val="superscript"/>
        </w:rPr>
        <w:fldChar w:fldCharType="end"/>
      </w:r>
      <w:r w:rsidR="003C061F" w:rsidRPr="2AA1CA0C">
        <w:rPr>
          <w:vertAlign w:val="superscript"/>
        </w:rPr>
        <w:t xml:space="preserve">, </w:t>
      </w:r>
      <w:r w:rsidRPr="2AA1CA0C">
        <w:rPr>
          <w:vertAlign w:val="superscript"/>
        </w:rPr>
        <w:fldChar w:fldCharType="begin"/>
      </w:r>
      <w:r w:rsidRPr="2AA1CA0C">
        <w:rPr>
          <w:vertAlign w:val="superscript"/>
        </w:rPr>
        <w:instrText xml:space="preserve"> NOTEREF _Ref187069739 \h  \* MERGEFORMAT </w:instrText>
      </w:r>
      <w:r w:rsidRPr="2AA1CA0C">
        <w:rPr>
          <w:vertAlign w:val="superscript"/>
        </w:rPr>
      </w:r>
      <w:r w:rsidRPr="2AA1CA0C">
        <w:rPr>
          <w:vertAlign w:val="superscript"/>
        </w:rPr>
        <w:fldChar w:fldCharType="separate"/>
      </w:r>
      <w:r w:rsidR="008F37D1">
        <w:rPr>
          <w:vertAlign w:val="superscript"/>
        </w:rPr>
        <w:t>33</w:t>
      </w:r>
      <w:r w:rsidRPr="2AA1CA0C">
        <w:rPr>
          <w:vertAlign w:val="superscript"/>
        </w:rPr>
        <w:fldChar w:fldCharType="end"/>
      </w:r>
      <w:r w:rsidR="324FBFB5" w:rsidRPr="2AA1CA0C">
        <w:t xml:space="preserve"> </w:t>
      </w:r>
      <w:r w:rsidR="00E42FD9" w:rsidRPr="2AA1CA0C">
        <w:t>However</w:t>
      </w:r>
      <w:r w:rsidR="00C02CEC" w:rsidRPr="2AA1CA0C">
        <w:t>, Frey et al. (2024)</w:t>
      </w:r>
      <w:r w:rsidR="00E42FD9" w:rsidRPr="2AA1CA0C">
        <w:t xml:space="preserve"> </w:t>
      </w:r>
      <w:r w:rsidR="00C02CEC" w:rsidRPr="2AA1CA0C">
        <w:t>observed w</w:t>
      </w:r>
      <w:r w:rsidR="7B9882D6" w:rsidRPr="2AA1CA0C">
        <w:t>eight loss was maintained at 2 years</w:t>
      </w:r>
      <w:r w:rsidR="00C02CEC" w:rsidRPr="2AA1CA0C">
        <w:t xml:space="preserve"> </w:t>
      </w:r>
      <w:r w:rsidR="00EA6789" w:rsidRPr="2AA1CA0C">
        <w:t xml:space="preserve">(%TBWL = </w:t>
      </w:r>
      <w:r w:rsidR="000A5FC1" w:rsidRPr="2AA1CA0C">
        <w:t>9.8%)</w:t>
      </w:r>
      <w:r w:rsidR="7B9882D6" w:rsidRPr="2AA1CA0C">
        <w:t>, but not 3 years post-procedure</w:t>
      </w:r>
      <w:r w:rsidR="008A6E70" w:rsidRPr="2AA1CA0C">
        <w:t xml:space="preserve"> (%TBWL = </w:t>
      </w:r>
      <w:r w:rsidR="00691889" w:rsidRPr="2AA1CA0C">
        <w:t>3.73</w:t>
      </w:r>
      <w:r w:rsidR="008A6E70" w:rsidRPr="2AA1CA0C">
        <w:t>%)</w:t>
      </w:r>
      <w:r w:rsidR="00CC7585" w:rsidRPr="2AA1CA0C">
        <w:t>.</w:t>
      </w:r>
      <w:r w:rsidRPr="2AA1CA0C">
        <w:rPr>
          <w:vertAlign w:val="superscript"/>
        </w:rPr>
        <w:fldChar w:fldCharType="begin"/>
      </w:r>
      <w:r w:rsidRPr="2AA1CA0C">
        <w:rPr>
          <w:vertAlign w:val="superscript"/>
        </w:rPr>
        <w:instrText xml:space="preserve"> NOTEREF _Ref187069758 \h  \* MERGEFORMAT </w:instrText>
      </w:r>
      <w:r w:rsidRPr="2AA1CA0C">
        <w:rPr>
          <w:vertAlign w:val="superscript"/>
        </w:rPr>
      </w:r>
      <w:r w:rsidRPr="2AA1CA0C">
        <w:rPr>
          <w:vertAlign w:val="superscript"/>
        </w:rPr>
        <w:fldChar w:fldCharType="separate"/>
      </w:r>
      <w:r w:rsidR="008F37D1">
        <w:rPr>
          <w:vertAlign w:val="superscript"/>
        </w:rPr>
        <w:t>34</w:t>
      </w:r>
      <w:r w:rsidRPr="2AA1CA0C">
        <w:rPr>
          <w:vertAlign w:val="superscript"/>
        </w:rPr>
        <w:fldChar w:fldCharType="end"/>
      </w:r>
      <w:r w:rsidR="7B9882D6" w:rsidRPr="2AA1CA0C">
        <w:t xml:space="preserve"> </w:t>
      </w:r>
      <w:r w:rsidR="1486615B" w:rsidRPr="2AA1CA0C">
        <w:t>Meta-analys</w:t>
      </w:r>
      <w:r w:rsidR="33C84244" w:rsidRPr="2AA1CA0C">
        <w:t>is of</w:t>
      </w:r>
      <w:r w:rsidR="1486615B" w:rsidRPr="2AA1CA0C">
        <w:t xml:space="preserve"> results </w:t>
      </w:r>
      <w:r w:rsidR="4565008C" w:rsidRPr="2AA1CA0C">
        <w:t>was</w:t>
      </w:r>
      <w:r w:rsidR="1486615B" w:rsidRPr="2AA1CA0C">
        <w:t xml:space="preserve"> completed for years 1, 2 and 3 post-</w:t>
      </w:r>
      <w:r w:rsidR="6F6A1783" w:rsidRPr="2AA1CA0C">
        <w:t>surgery</w:t>
      </w:r>
      <w:r w:rsidR="313B0F9C" w:rsidRPr="2AA1CA0C">
        <w:t xml:space="preserve"> </w:t>
      </w:r>
      <w:r w:rsidR="2EC76340" w:rsidRPr="2AA1CA0C">
        <w:t>using a random effects model</w:t>
      </w:r>
      <w:r w:rsidR="00B27659" w:rsidRPr="2AA1CA0C">
        <w:t>,</w:t>
      </w:r>
      <w:r w:rsidR="2EC76340" w:rsidRPr="2AA1CA0C">
        <w:t xml:space="preserve"> </w:t>
      </w:r>
      <w:r w:rsidR="01E860AD" w:rsidRPr="2AA1CA0C">
        <w:t xml:space="preserve">with data presented in </w:t>
      </w:r>
      <w:r>
        <w:fldChar w:fldCharType="begin"/>
      </w:r>
      <w:r>
        <w:instrText xml:space="preserve"> REF _Ref184211393 \h </w:instrText>
      </w:r>
      <w:r>
        <w:fldChar w:fldCharType="separate"/>
      </w:r>
      <w:r w:rsidR="008F37D1" w:rsidRPr="00411F90">
        <w:t xml:space="preserve">Table </w:t>
      </w:r>
      <w:r w:rsidR="008F37D1">
        <w:rPr>
          <w:noProof/>
        </w:rPr>
        <w:t>18</w:t>
      </w:r>
      <w:r>
        <w:fldChar w:fldCharType="end"/>
      </w:r>
      <w:r w:rsidR="00E80D9F" w:rsidRPr="2AA1CA0C">
        <w:t>.</w:t>
      </w:r>
      <w:r w:rsidR="7234AE76" w:rsidRPr="2AA1CA0C">
        <w:t xml:space="preserve"> The ADAR </w:t>
      </w:r>
      <w:r w:rsidR="00B27659" w:rsidRPr="2AA1CA0C">
        <w:t>note</w:t>
      </w:r>
      <w:r w:rsidR="00C71413" w:rsidRPr="2AA1CA0C">
        <w:t>d</w:t>
      </w:r>
      <w:r w:rsidR="00B27659" w:rsidRPr="2AA1CA0C">
        <w:t xml:space="preserve"> </w:t>
      </w:r>
      <w:r w:rsidR="7234AE76" w:rsidRPr="2AA1CA0C">
        <w:t xml:space="preserve">limitations including </w:t>
      </w:r>
      <w:r w:rsidR="00B27659" w:rsidRPr="2AA1CA0C">
        <w:t xml:space="preserve">a </w:t>
      </w:r>
      <w:r w:rsidR="7234AE76" w:rsidRPr="2AA1CA0C">
        <w:t>reduced rate of follow</w:t>
      </w:r>
      <w:r w:rsidR="00B27659" w:rsidRPr="2AA1CA0C">
        <w:t>-</w:t>
      </w:r>
      <w:r w:rsidR="7234AE76" w:rsidRPr="2AA1CA0C">
        <w:t>up, proceduralist learning curve</w:t>
      </w:r>
      <w:r w:rsidR="00B27659" w:rsidRPr="2AA1CA0C">
        <w:t>s</w:t>
      </w:r>
      <w:r w:rsidR="7234AE76" w:rsidRPr="2AA1CA0C">
        <w:t xml:space="preserve"> throughout the study</w:t>
      </w:r>
      <w:r w:rsidR="00B27659" w:rsidRPr="2AA1CA0C">
        <w:t>,</w:t>
      </w:r>
      <w:r w:rsidR="363E8120" w:rsidRPr="2AA1CA0C">
        <w:t xml:space="preserve"> and</w:t>
      </w:r>
      <w:r w:rsidR="0FBD6495" w:rsidRPr="2AA1CA0C">
        <w:t xml:space="preserve"> the retrospective and observational nature of </w:t>
      </w:r>
      <w:r w:rsidR="415633F5" w:rsidRPr="2AA1CA0C">
        <w:t>a</w:t>
      </w:r>
      <w:r w:rsidR="0FBD6495" w:rsidRPr="2AA1CA0C">
        <w:t xml:space="preserve"> study</w:t>
      </w:r>
      <w:r w:rsidR="2FE0E3F3" w:rsidRPr="2AA1CA0C">
        <w:t xml:space="preserve"> identifying that the durability of ESG was not maintained at the 3-year study </w:t>
      </w:r>
      <w:r w:rsidR="13413CA3" w:rsidRPr="2AA1CA0C">
        <w:t>endpoint</w:t>
      </w:r>
      <w:r w:rsidR="00CC7585" w:rsidRPr="2AA1CA0C">
        <w:t>.</w:t>
      </w:r>
      <w:r w:rsidRPr="2AA1CA0C">
        <w:rPr>
          <w:vertAlign w:val="superscript"/>
        </w:rPr>
        <w:fldChar w:fldCharType="begin"/>
      </w:r>
      <w:r w:rsidRPr="2AA1CA0C">
        <w:rPr>
          <w:vertAlign w:val="superscript"/>
        </w:rPr>
        <w:instrText xml:space="preserve"> NOTEREF _Ref187069758 \h  \* MERGEFORMAT </w:instrText>
      </w:r>
      <w:r w:rsidRPr="2AA1CA0C">
        <w:rPr>
          <w:vertAlign w:val="superscript"/>
        </w:rPr>
      </w:r>
      <w:r w:rsidRPr="2AA1CA0C">
        <w:rPr>
          <w:vertAlign w:val="superscript"/>
        </w:rPr>
        <w:fldChar w:fldCharType="separate"/>
      </w:r>
      <w:r w:rsidR="008F37D1">
        <w:rPr>
          <w:vertAlign w:val="superscript"/>
        </w:rPr>
        <w:t>34</w:t>
      </w:r>
      <w:r w:rsidRPr="2AA1CA0C">
        <w:rPr>
          <w:vertAlign w:val="superscript"/>
        </w:rPr>
        <w:fldChar w:fldCharType="end"/>
      </w:r>
      <w:r w:rsidR="002019B6" w:rsidRPr="2AA1CA0C">
        <w:rPr>
          <w:vertAlign w:val="superscript"/>
        </w:rPr>
        <w:t xml:space="preserve"> </w:t>
      </w:r>
      <w:r w:rsidR="7DAD2051" w:rsidRPr="2AA1CA0C">
        <w:t xml:space="preserve">The ADAR also </w:t>
      </w:r>
      <w:r w:rsidR="002515B5" w:rsidRPr="2AA1CA0C">
        <w:t>report</w:t>
      </w:r>
      <w:r w:rsidR="00360AB3" w:rsidRPr="2AA1CA0C">
        <w:t>ed</w:t>
      </w:r>
      <w:r w:rsidR="002515B5" w:rsidRPr="2AA1CA0C">
        <w:t xml:space="preserve"> </w:t>
      </w:r>
      <w:r w:rsidR="7DAD2051" w:rsidRPr="2AA1CA0C">
        <w:t xml:space="preserve">a study suggesting </w:t>
      </w:r>
      <w:r w:rsidR="2148BA46" w:rsidRPr="2AA1CA0C">
        <w:t>long-term</w:t>
      </w:r>
      <w:r w:rsidR="7DAD2051" w:rsidRPr="2AA1CA0C">
        <w:t xml:space="preserve"> durability of ESG up to 10</w:t>
      </w:r>
      <w:r w:rsidR="00543394" w:rsidRPr="2AA1CA0C">
        <w:t xml:space="preserve"> </w:t>
      </w:r>
      <w:r w:rsidR="7DAD2051" w:rsidRPr="2AA1CA0C">
        <w:t>years post</w:t>
      </w:r>
      <w:r w:rsidR="00543394" w:rsidRPr="2AA1CA0C">
        <w:t>-</w:t>
      </w:r>
      <w:r w:rsidR="7DAD2051" w:rsidRPr="2AA1CA0C">
        <w:t>procedure</w:t>
      </w:r>
      <w:r w:rsidR="00543394" w:rsidRPr="2AA1CA0C">
        <w:t>;</w:t>
      </w:r>
      <w:r w:rsidR="7DAD2051" w:rsidRPr="2AA1CA0C">
        <w:t xml:space="preserve"> however</w:t>
      </w:r>
      <w:r w:rsidR="00543394" w:rsidRPr="2AA1CA0C">
        <w:t>,</w:t>
      </w:r>
      <w:r w:rsidR="7DAD2051" w:rsidRPr="2AA1CA0C">
        <w:t xml:space="preserve"> this study could not be sourced</w:t>
      </w:r>
      <w:r w:rsidR="001466B4" w:rsidRPr="2AA1CA0C">
        <w:t>,</w:t>
      </w:r>
      <w:r w:rsidR="6653F034" w:rsidRPr="2AA1CA0C">
        <w:t xml:space="preserve"> as the final study results have not yet been published</w:t>
      </w:r>
      <w:r w:rsidR="7DAD2051" w:rsidRPr="2AA1CA0C">
        <w:t>.</w:t>
      </w:r>
      <w:r w:rsidR="167E9BC1" w:rsidRPr="2AA1CA0C">
        <w:t xml:space="preserve"> The ADAR also reference</w:t>
      </w:r>
      <w:r w:rsidR="0088360B" w:rsidRPr="2AA1CA0C">
        <w:t>d</w:t>
      </w:r>
      <w:r w:rsidR="167E9BC1" w:rsidRPr="2AA1CA0C">
        <w:t xml:space="preserve"> specific Australian patients who underwent ESG and maintained </w:t>
      </w:r>
      <w:r w:rsidR="00543394" w:rsidRPr="2AA1CA0C">
        <w:t xml:space="preserve">their </w:t>
      </w:r>
      <w:r w:rsidR="167E9BC1" w:rsidRPr="2AA1CA0C">
        <w:t>weight loss</w:t>
      </w:r>
      <w:r w:rsidR="00543394" w:rsidRPr="2AA1CA0C">
        <w:t>;</w:t>
      </w:r>
      <w:r w:rsidR="167E9BC1" w:rsidRPr="2AA1CA0C">
        <w:t xml:space="preserve"> however</w:t>
      </w:r>
      <w:r w:rsidR="00543394" w:rsidRPr="2AA1CA0C">
        <w:t>, again</w:t>
      </w:r>
      <w:r w:rsidR="00CA4F86" w:rsidRPr="2AA1CA0C">
        <w:t>,</w:t>
      </w:r>
      <w:r w:rsidR="167E9BC1" w:rsidRPr="2AA1CA0C">
        <w:t xml:space="preserve"> the </w:t>
      </w:r>
      <w:r w:rsidR="2473B4B6" w:rsidRPr="2AA1CA0C">
        <w:t>citation</w:t>
      </w:r>
      <w:r w:rsidR="00543394" w:rsidRPr="2AA1CA0C">
        <w:t>s</w:t>
      </w:r>
      <w:r w:rsidR="2473B4B6" w:rsidRPr="2AA1CA0C">
        <w:t xml:space="preserve"> for such </w:t>
      </w:r>
      <w:r w:rsidR="0295B735" w:rsidRPr="2AA1CA0C">
        <w:t xml:space="preserve">patients or case </w:t>
      </w:r>
      <w:r w:rsidR="003C061F" w:rsidRPr="2AA1CA0C">
        <w:t>reports</w:t>
      </w:r>
      <w:r w:rsidR="2473B4B6" w:rsidRPr="2AA1CA0C">
        <w:t xml:space="preserve"> could not be </w:t>
      </w:r>
      <w:r w:rsidR="00543394" w:rsidRPr="2AA1CA0C">
        <w:t>found</w:t>
      </w:r>
      <w:r w:rsidR="43E98779">
        <w:t>.</w:t>
      </w:r>
    </w:p>
    <w:p w14:paraId="75A6D1B5" w14:textId="29D77B0B" w:rsidR="46A2BFD0" w:rsidRDefault="46A2BFD0" w:rsidP="007D18A3">
      <w:pPr>
        <w:rPr>
          <w:vertAlign w:val="superscript"/>
        </w:rPr>
      </w:pPr>
      <w:r w:rsidRPr="2AA1CA0C">
        <w:t>Although the durability of ESG is substantiated in some short-term</w:t>
      </w:r>
      <w:r w:rsidR="002515B5" w:rsidRPr="2AA1CA0C">
        <w:t>,</w:t>
      </w:r>
      <w:r w:rsidRPr="2AA1CA0C">
        <w:t xml:space="preserve"> single</w:t>
      </w:r>
      <w:r w:rsidR="002515B5" w:rsidRPr="2AA1CA0C">
        <w:t>-</w:t>
      </w:r>
      <w:r w:rsidRPr="2AA1CA0C">
        <w:t xml:space="preserve">arm studies, the longer-term durability of the procedure is </w:t>
      </w:r>
      <w:r w:rsidR="337989E6" w:rsidRPr="2AA1CA0C">
        <w:t xml:space="preserve">unclear due to the lack of high-quality evidence. </w:t>
      </w:r>
      <w:r w:rsidR="13A12113" w:rsidRPr="2AA1CA0C">
        <w:t>The</w:t>
      </w:r>
      <w:r w:rsidR="1C8BCDE1" w:rsidRPr="2AA1CA0C">
        <w:t xml:space="preserve"> ADAR</w:t>
      </w:r>
      <w:r w:rsidR="337989E6" w:rsidRPr="2AA1CA0C">
        <w:t xml:space="preserve"> </w:t>
      </w:r>
      <w:r w:rsidR="13A12113" w:rsidRPr="2AA1CA0C">
        <w:t>criticised one</w:t>
      </w:r>
      <w:r w:rsidR="337989E6" w:rsidRPr="2AA1CA0C">
        <w:t xml:space="preserve"> study that revealed poor durability of </w:t>
      </w:r>
      <w:r w:rsidR="13A12113" w:rsidRPr="2AA1CA0C">
        <w:t>ESG</w:t>
      </w:r>
      <w:r w:rsidR="337989E6" w:rsidRPr="2AA1CA0C">
        <w:t xml:space="preserve"> at 3 years post</w:t>
      </w:r>
      <w:r w:rsidR="13A12113" w:rsidRPr="2AA1CA0C">
        <w:t>-</w:t>
      </w:r>
      <w:r w:rsidR="337989E6" w:rsidRPr="2AA1CA0C">
        <w:t>procedure</w:t>
      </w:r>
      <w:r w:rsidR="003C061F" w:rsidRPr="00D76EFB">
        <w:rPr>
          <w:vertAlign w:val="superscript"/>
        </w:rPr>
        <w:fldChar w:fldCharType="begin"/>
      </w:r>
      <w:r w:rsidR="003C061F" w:rsidRPr="00D76EFB">
        <w:rPr>
          <w:vertAlign w:val="superscript"/>
        </w:rPr>
        <w:instrText xml:space="preserve"> NOTEREF _Ref187069758 \h </w:instrText>
      </w:r>
      <w:r w:rsidR="003C061F" w:rsidRPr="00A87D94">
        <w:rPr>
          <w:vertAlign w:val="superscript"/>
        </w:rPr>
        <w:instrText xml:space="preserve"> </w:instrText>
      </w:r>
      <w:r w:rsidR="003C061F">
        <w:rPr>
          <w:vertAlign w:val="superscript"/>
        </w:rPr>
        <w:instrText xml:space="preserve">\* MERGEFORMAT </w:instrText>
      </w:r>
      <w:r w:rsidR="003C061F" w:rsidRPr="00D76EFB">
        <w:rPr>
          <w:vertAlign w:val="superscript"/>
        </w:rPr>
      </w:r>
      <w:r w:rsidR="003C061F" w:rsidRPr="00D76EFB">
        <w:rPr>
          <w:vertAlign w:val="superscript"/>
        </w:rPr>
        <w:fldChar w:fldCharType="separate"/>
      </w:r>
      <w:r w:rsidR="008F37D1">
        <w:rPr>
          <w:vertAlign w:val="superscript"/>
        </w:rPr>
        <w:t>34</w:t>
      </w:r>
      <w:r w:rsidR="003C061F" w:rsidRPr="00D76EFB">
        <w:rPr>
          <w:vertAlign w:val="superscript"/>
        </w:rPr>
        <w:fldChar w:fldCharType="end"/>
      </w:r>
      <w:r w:rsidR="00CA4F86" w:rsidRPr="2AA1CA0C">
        <w:t>;</w:t>
      </w:r>
      <w:r w:rsidR="003C061F" w:rsidRPr="2AA1CA0C">
        <w:t xml:space="preserve"> </w:t>
      </w:r>
      <w:r w:rsidR="5199AD5A" w:rsidRPr="2AA1CA0C">
        <w:t>however</w:t>
      </w:r>
      <w:r w:rsidR="13A12113" w:rsidRPr="2AA1CA0C">
        <w:t>,</w:t>
      </w:r>
      <w:r w:rsidR="5199AD5A" w:rsidRPr="2AA1CA0C">
        <w:t xml:space="preserve"> the other studies presented as evidence for this outcome </w:t>
      </w:r>
      <w:r w:rsidR="13A12113" w:rsidRPr="2AA1CA0C">
        <w:t>were</w:t>
      </w:r>
      <w:r w:rsidR="5199AD5A" w:rsidRPr="2AA1CA0C">
        <w:t xml:space="preserve"> also affected by limitations </w:t>
      </w:r>
      <w:r w:rsidR="062E7615" w:rsidRPr="2AA1CA0C">
        <w:t>cited within the report</w:t>
      </w:r>
      <w:r w:rsidR="13A12113" w:rsidRPr="2AA1CA0C">
        <w:t>,</w:t>
      </w:r>
      <w:r w:rsidR="5199AD5A" w:rsidRPr="2AA1CA0C">
        <w:t xml:space="preserve"> including high attrition rates</w:t>
      </w:r>
      <w:r w:rsidR="7618E048" w:rsidRPr="2AA1CA0C">
        <w:t xml:space="preserve"> </w:t>
      </w:r>
      <w:r w:rsidR="13A12113" w:rsidRPr="2AA1CA0C">
        <w:t>that</w:t>
      </w:r>
      <w:r w:rsidR="7618E048" w:rsidRPr="2AA1CA0C">
        <w:t xml:space="preserve"> m</w:t>
      </w:r>
      <w:r w:rsidR="005D7F40" w:rsidRPr="2AA1CA0C">
        <w:t>ight</w:t>
      </w:r>
      <w:r w:rsidR="7618E048" w:rsidRPr="2AA1CA0C">
        <w:t xml:space="preserve"> have impacted </w:t>
      </w:r>
      <w:r w:rsidR="13A12113" w:rsidRPr="2AA1CA0C">
        <w:t>the outcome</w:t>
      </w:r>
      <w:r w:rsidR="7618E048" w:rsidRPr="2AA1CA0C">
        <w:t xml:space="preserve"> data. </w:t>
      </w:r>
      <w:r w:rsidR="00C057B5" w:rsidRPr="2AA1CA0C">
        <w:t>The</w:t>
      </w:r>
      <w:r w:rsidR="4BFEE94D" w:rsidRPr="2AA1CA0C">
        <w:t xml:space="preserve"> single</w:t>
      </w:r>
      <w:r w:rsidR="13A12113" w:rsidRPr="2AA1CA0C">
        <w:t>-</w:t>
      </w:r>
      <w:r w:rsidR="4BFEE94D" w:rsidRPr="2AA1CA0C">
        <w:t>arm study utilised for 5-year follow</w:t>
      </w:r>
      <w:r w:rsidR="13A12113" w:rsidRPr="2AA1CA0C">
        <w:t>-</w:t>
      </w:r>
      <w:r w:rsidR="4BFEE94D" w:rsidRPr="2AA1CA0C">
        <w:t xml:space="preserve">up data was </w:t>
      </w:r>
      <w:r w:rsidR="13A12113" w:rsidRPr="2AA1CA0C">
        <w:t>found</w:t>
      </w:r>
      <w:r w:rsidR="4BFEE94D" w:rsidRPr="2AA1CA0C">
        <w:t xml:space="preserve"> to have a loss to follow</w:t>
      </w:r>
      <w:r w:rsidR="13A12113" w:rsidRPr="2AA1CA0C">
        <w:t>-</w:t>
      </w:r>
      <w:r w:rsidR="4BFEE94D" w:rsidRPr="2AA1CA0C">
        <w:t xml:space="preserve">up </w:t>
      </w:r>
      <w:r w:rsidR="13A12113" w:rsidRPr="2AA1CA0C">
        <w:t>of</w:t>
      </w:r>
      <w:r w:rsidR="4BFEE94D" w:rsidRPr="2AA1CA0C">
        <w:t xml:space="preserve"> &gt;80%, greatly impacting the reliability of </w:t>
      </w:r>
      <w:r w:rsidR="13A12113" w:rsidRPr="2AA1CA0C">
        <w:t xml:space="preserve">the </w:t>
      </w:r>
      <w:r w:rsidR="4BFEE94D" w:rsidRPr="2AA1CA0C">
        <w:t>study findings</w:t>
      </w:r>
      <w:r w:rsidR="00CC7585" w:rsidRPr="2AA1CA0C">
        <w:t>.</w:t>
      </w:r>
      <w:r w:rsidR="003C061F" w:rsidRPr="00D76EFB">
        <w:rPr>
          <w:vertAlign w:val="superscript"/>
        </w:rPr>
        <w:fldChar w:fldCharType="begin"/>
      </w:r>
      <w:r w:rsidR="003C061F" w:rsidRPr="00D76EFB">
        <w:rPr>
          <w:vertAlign w:val="superscript"/>
        </w:rPr>
        <w:instrText xml:space="preserve"> NOTEREF _Ref187069073 \h </w:instrText>
      </w:r>
      <w:r w:rsidR="003C061F" w:rsidRPr="00A87D94">
        <w:rPr>
          <w:vertAlign w:val="superscript"/>
        </w:rPr>
        <w:instrText xml:space="preserve"> </w:instrText>
      </w:r>
      <w:r w:rsidR="003C061F">
        <w:rPr>
          <w:vertAlign w:val="superscript"/>
        </w:rPr>
        <w:instrText xml:space="preserve">\* MERGEFORMAT </w:instrText>
      </w:r>
      <w:r w:rsidR="003C061F" w:rsidRPr="00D76EFB">
        <w:rPr>
          <w:vertAlign w:val="superscript"/>
        </w:rPr>
      </w:r>
      <w:r w:rsidR="003C061F" w:rsidRPr="00D76EFB">
        <w:rPr>
          <w:vertAlign w:val="superscript"/>
        </w:rPr>
        <w:fldChar w:fldCharType="separate"/>
      </w:r>
      <w:r w:rsidR="008F37D1">
        <w:rPr>
          <w:vertAlign w:val="superscript"/>
        </w:rPr>
        <w:t>32</w:t>
      </w:r>
      <w:r w:rsidR="003C061F" w:rsidRPr="00D76EFB">
        <w:rPr>
          <w:vertAlign w:val="superscript"/>
        </w:rPr>
        <w:fldChar w:fldCharType="end"/>
      </w:r>
    </w:p>
    <w:p w14:paraId="5BF15908" w14:textId="456AF12B" w:rsidR="00596830" w:rsidRDefault="00596830" w:rsidP="00590F37">
      <w:pPr>
        <w:pStyle w:val="Caption"/>
      </w:pPr>
      <w:bookmarkStart w:id="74" w:name="_Ref184211393"/>
      <w:r w:rsidRPr="00411F90">
        <w:t xml:space="preserve">Table </w:t>
      </w:r>
      <w:r w:rsidR="00707F6D">
        <w:fldChar w:fldCharType="begin"/>
      </w:r>
      <w:r w:rsidR="00707F6D">
        <w:instrText xml:space="preserve"> SEQ Table \* ARABIC </w:instrText>
      </w:r>
      <w:r w:rsidR="00707F6D">
        <w:fldChar w:fldCharType="separate"/>
      </w:r>
      <w:r w:rsidR="008F37D1">
        <w:rPr>
          <w:noProof/>
        </w:rPr>
        <w:t>18</w:t>
      </w:r>
      <w:r w:rsidR="00707F6D">
        <w:rPr>
          <w:noProof/>
        </w:rPr>
        <w:fldChar w:fldCharType="end"/>
      </w:r>
      <w:bookmarkEnd w:id="74"/>
      <w:r w:rsidRPr="00411F90">
        <w:t xml:space="preserve">: </w:t>
      </w:r>
      <w:r>
        <w:t>Mean %TBWL</w:t>
      </w:r>
      <w:r w:rsidR="00DB4791">
        <w:t xml:space="preserve"> </w:t>
      </w:r>
      <w:r>
        <w:t>up to 5 years after ESG in single</w:t>
      </w:r>
      <w:r w:rsidR="00582376">
        <w:t>-</w:t>
      </w:r>
      <w:r>
        <w:t>arm studies</w:t>
      </w:r>
    </w:p>
    <w:tbl>
      <w:tblPr>
        <w:tblStyle w:val="HTATableshaded"/>
        <w:tblW w:w="0" w:type="auto"/>
        <w:tblLook w:val="04A0" w:firstRow="1" w:lastRow="0" w:firstColumn="1" w:lastColumn="0" w:noHBand="0" w:noVBand="1"/>
      </w:tblPr>
      <w:tblGrid>
        <w:gridCol w:w="1335"/>
        <w:gridCol w:w="1109"/>
        <w:gridCol w:w="1303"/>
        <w:gridCol w:w="1303"/>
        <w:gridCol w:w="1394"/>
        <w:gridCol w:w="1394"/>
        <w:gridCol w:w="1178"/>
      </w:tblGrid>
      <w:tr w:rsidR="004B7915" w:rsidRPr="000E2721" w14:paraId="408A16D6" w14:textId="77777777" w:rsidTr="2AA1CA0C">
        <w:trPr>
          <w:cnfStyle w:val="100000000000" w:firstRow="1" w:lastRow="0" w:firstColumn="0" w:lastColumn="0" w:oddVBand="0" w:evenVBand="0" w:oddHBand="0" w:evenHBand="0" w:firstRowFirstColumn="0" w:firstRowLastColumn="0" w:lastRowFirstColumn="0" w:lastRowLastColumn="0"/>
        </w:trPr>
        <w:tc>
          <w:tcPr>
            <w:tcW w:w="1335" w:type="dxa"/>
            <w:tcBorders>
              <w:bottom w:val="nil"/>
            </w:tcBorders>
            <w:shd w:val="clear" w:color="auto" w:fill="FFFFFF" w:themeFill="background1"/>
          </w:tcPr>
          <w:p w14:paraId="210C2390" w14:textId="77777777" w:rsidR="004B7915" w:rsidRPr="7D413406" w:rsidRDefault="004B7915">
            <w:pPr>
              <w:pStyle w:val="TableH28pt"/>
              <w:rPr>
                <w:rFonts w:ascii="Arial Narrow" w:eastAsia="Arial Narrow" w:hAnsi="Arial Narrow" w:cs="Arial Narrow"/>
                <w:sz w:val="20"/>
              </w:rPr>
            </w:pPr>
          </w:p>
        </w:tc>
        <w:tc>
          <w:tcPr>
            <w:tcW w:w="1109" w:type="dxa"/>
            <w:vMerge w:val="restart"/>
            <w:shd w:val="clear" w:color="auto" w:fill="FFFFFF" w:themeFill="background1"/>
          </w:tcPr>
          <w:p w14:paraId="5923E827" w14:textId="61E81256" w:rsidR="00101356" w:rsidRDefault="00101356" w:rsidP="2AA1CA0C">
            <w:pPr>
              <w:pStyle w:val="TableH28pt"/>
              <w:jc w:val="center"/>
              <w:rPr>
                <w:rFonts w:ascii="Arial Narrow" w:eastAsia="Arial Narrow" w:hAnsi="Arial Narrow" w:cs="Arial Narrow"/>
                <w:sz w:val="20"/>
              </w:rPr>
            </w:pPr>
            <w:r w:rsidRPr="2AA1CA0C">
              <w:rPr>
                <w:rFonts w:ascii="Arial Narrow" w:eastAsia="Arial Narrow" w:hAnsi="Arial Narrow" w:cs="Arial Narrow"/>
                <w:sz w:val="20"/>
              </w:rPr>
              <w:t>Baseline BMI</w:t>
            </w:r>
            <w:r w:rsidR="00447A7D" w:rsidRPr="2AA1CA0C">
              <w:rPr>
                <w:rFonts w:ascii="Arial Narrow" w:eastAsia="Arial Narrow" w:hAnsi="Arial Narrow" w:cs="Arial Narrow"/>
                <w:sz w:val="20"/>
              </w:rPr>
              <w:t xml:space="preserve"> </w:t>
            </w:r>
            <w:r w:rsidR="00E71ECC" w:rsidRPr="2AA1CA0C">
              <w:rPr>
                <w:rFonts w:ascii="Arial Narrow" w:eastAsia="Arial Narrow" w:hAnsi="Arial Narrow" w:cs="Arial Narrow"/>
                <w:sz w:val="20"/>
              </w:rPr>
              <w:t>(n±SD</w:t>
            </w:r>
            <w:r w:rsidR="00C75B68" w:rsidRPr="2AA1CA0C">
              <w:rPr>
                <w:rFonts w:ascii="Arial Narrow" w:eastAsia="Arial Narrow" w:hAnsi="Arial Narrow" w:cs="Arial Narrow"/>
                <w:sz w:val="20"/>
              </w:rPr>
              <w:t xml:space="preserve"> </w:t>
            </w:r>
            <w:r w:rsidR="000D4D40" w:rsidRPr="2AA1CA0C">
              <w:rPr>
                <w:rFonts w:ascii="Arial Narrow" w:eastAsia="Arial Narrow" w:hAnsi="Arial Narrow" w:cs="Arial Narrow"/>
                <w:sz w:val="20"/>
              </w:rPr>
              <w:t>kg/m</w:t>
            </w:r>
            <w:r w:rsidR="00581EA1" w:rsidRPr="2AA1CA0C">
              <w:rPr>
                <w:rFonts w:ascii="Arial Narrow" w:eastAsia="Arial Narrow" w:hAnsi="Arial Narrow" w:cs="Arial Narrow"/>
                <w:sz w:val="20"/>
                <w:vertAlign w:val="superscript"/>
              </w:rPr>
              <w:t>2</w:t>
            </w:r>
            <w:r w:rsidR="00E71ECC" w:rsidRPr="2AA1CA0C">
              <w:rPr>
                <w:rFonts w:ascii="Arial Narrow" w:eastAsia="Arial Narrow" w:hAnsi="Arial Narrow" w:cs="Arial Narrow"/>
                <w:sz w:val="20"/>
              </w:rPr>
              <w:t>)</w:t>
            </w:r>
          </w:p>
        </w:tc>
        <w:tc>
          <w:tcPr>
            <w:tcW w:w="6572" w:type="dxa"/>
            <w:gridSpan w:val="5"/>
            <w:shd w:val="clear" w:color="auto" w:fill="FFFFFF" w:themeFill="background1"/>
          </w:tcPr>
          <w:p w14:paraId="775CDCA8" w14:textId="1F0D37D7" w:rsidR="004B7915" w:rsidRPr="7D413406" w:rsidRDefault="004B7915">
            <w:pPr>
              <w:pStyle w:val="TableH28pt"/>
              <w:jc w:val="center"/>
              <w:rPr>
                <w:rFonts w:ascii="Arial Narrow" w:eastAsia="Arial Narrow" w:hAnsi="Arial Narrow" w:cs="Arial Narrow"/>
                <w:sz w:val="20"/>
              </w:rPr>
            </w:pPr>
            <w:r w:rsidRPr="7D413406">
              <w:rPr>
                <w:rFonts w:ascii="Arial Narrow" w:eastAsia="Arial Narrow" w:hAnsi="Arial Narrow" w:cs="Arial Narrow"/>
                <w:sz w:val="20"/>
              </w:rPr>
              <w:t>Mean %TBWL</w:t>
            </w:r>
            <w:r>
              <w:rPr>
                <w:rFonts w:ascii="Arial Narrow" w:eastAsia="Arial Narrow" w:hAnsi="Arial Narrow" w:cs="Arial Narrow"/>
                <w:sz w:val="20"/>
              </w:rPr>
              <w:t xml:space="preserve"> (95% CI)</w:t>
            </w:r>
            <w:r w:rsidR="00690757">
              <w:rPr>
                <w:rFonts w:ascii="Arial Narrow" w:eastAsia="Arial Narrow" w:hAnsi="Arial Narrow" w:cs="Arial Narrow"/>
                <w:sz w:val="20"/>
              </w:rPr>
              <w:t>, n</w:t>
            </w:r>
          </w:p>
        </w:tc>
      </w:tr>
      <w:tr w:rsidR="00703700" w:rsidRPr="000E2721" w14:paraId="1B6EFB0C" w14:textId="77777777" w:rsidTr="2AA1CA0C">
        <w:tc>
          <w:tcPr>
            <w:tcW w:w="0" w:type="dxa"/>
            <w:tcBorders>
              <w:top w:val="nil"/>
            </w:tcBorders>
            <w:shd w:val="clear" w:color="auto" w:fill="FFFFFF" w:themeFill="background1"/>
          </w:tcPr>
          <w:p w14:paraId="4661CEE7" w14:textId="20690D95" w:rsidR="00306796" w:rsidRPr="000E2721" w:rsidRDefault="00306796">
            <w:pPr>
              <w:pStyle w:val="TableH28pt"/>
              <w:rPr>
                <w:rFonts w:ascii="Arial Narrow" w:eastAsia="Arial Narrow" w:hAnsi="Arial Narrow" w:cs="Arial Narrow"/>
                <w:b w:val="0"/>
                <w:sz w:val="20"/>
              </w:rPr>
            </w:pPr>
            <w:r w:rsidRPr="7D413406">
              <w:rPr>
                <w:rFonts w:ascii="Arial Narrow" w:eastAsia="Arial Narrow" w:hAnsi="Arial Narrow" w:cs="Arial Narrow"/>
                <w:sz w:val="20"/>
              </w:rPr>
              <w:t xml:space="preserve">Study </w:t>
            </w:r>
          </w:p>
        </w:tc>
        <w:tc>
          <w:tcPr>
            <w:tcW w:w="0" w:type="dxa"/>
            <w:vMerge/>
          </w:tcPr>
          <w:p w14:paraId="3D6ED157" w14:textId="046B36B7" w:rsidR="00101356" w:rsidRPr="7D413406" w:rsidDel="00690757" w:rsidRDefault="00101356">
            <w:pPr>
              <w:pStyle w:val="TableH28pt"/>
              <w:jc w:val="center"/>
              <w:rPr>
                <w:rFonts w:ascii="Arial Narrow" w:eastAsia="Arial Narrow" w:hAnsi="Arial Narrow" w:cs="Arial Narrow"/>
                <w:sz w:val="20"/>
              </w:rPr>
            </w:pPr>
          </w:p>
        </w:tc>
        <w:tc>
          <w:tcPr>
            <w:tcW w:w="0" w:type="dxa"/>
            <w:shd w:val="clear" w:color="auto" w:fill="FFFFFF" w:themeFill="background1"/>
            <w:vAlign w:val="center"/>
          </w:tcPr>
          <w:p w14:paraId="314B4E35" w14:textId="76AE9EC3" w:rsidR="00306796" w:rsidRDefault="00306796" w:rsidP="00D76EFB">
            <w:pPr>
              <w:pStyle w:val="TableH28pt"/>
              <w:jc w:val="center"/>
              <w:rPr>
                <w:rFonts w:ascii="Arial Narrow" w:eastAsia="Arial Narrow" w:hAnsi="Arial Narrow" w:cs="Arial Narrow"/>
                <w:sz w:val="20"/>
              </w:rPr>
            </w:pPr>
            <w:r w:rsidRPr="7D413406">
              <w:rPr>
                <w:rFonts w:ascii="Arial Narrow" w:eastAsia="Arial Narrow" w:hAnsi="Arial Narrow" w:cs="Arial Narrow"/>
                <w:sz w:val="20"/>
              </w:rPr>
              <w:t xml:space="preserve">Year 1 </w:t>
            </w:r>
          </w:p>
        </w:tc>
        <w:tc>
          <w:tcPr>
            <w:tcW w:w="0" w:type="dxa"/>
            <w:shd w:val="clear" w:color="auto" w:fill="FFFFFF" w:themeFill="background1"/>
            <w:vAlign w:val="center"/>
          </w:tcPr>
          <w:p w14:paraId="31041C60" w14:textId="36FA9902" w:rsidR="00306796" w:rsidRPr="000E2721" w:rsidRDefault="00306796">
            <w:pPr>
              <w:pStyle w:val="TableH28pt"/>
              <w:jc w:val="center"/>
              <w:rPr>
                <w:rFonts w:ascii="Arial Narrow" w:eastAsia="Arial Narrow" w:hAnsi="Arial Narrow" w:cs="Arial Narrow"/>
                <w:sz w:val="20"/>
              </w:rPr>
            </w:pPr>
            <w:r w:rsidRPr="7D413406">
              <w:rPr>
                <w:rFonts w:ascii="Arial Narrow" w:eastAsia="Arial Narrow" w:hAnsi="Arial Narrow" w:cs="Arial Narrow"/>
                <w:sz w:val="20"/>
              </w:rPr>
              <w:t xml:space="preserve">Year 2 </w:t>
            </w:r>
          </w:p>
        </w:tc>
        <w:tc>
          <w:tcPr>
            <w:tcW w:w="0" w:type="dxa"/>
            <w:shd w:val="clear" w:color="auto" w:fill="FFFFFF" w:themeFill="background1"/>
            <w:vAlign w:val="center"/>
          </w:tcPr>
          <w:p w14:paraId="05C14F8B" w14:textId="33480942" w:rsidR="00306796" w:rsidRPr="000E2721" w:rsidRDefault="00306796">
            <w:pPr>
              <w:pStyle w:val="TableH28pt"/>
              <w:jc w:val="center"/>
              <w:rPr>
                <w:rFonts w:ascii="Arial Narrow" w:eastAsia="Arial Narrow" w:hAnsi="Arial Narrow" w:cs="Arial Narrow"/>
                <w:b w:val="0"/>
                <w:sz w:val="20"/>
              </w:rPr>
            </w:pPr>
            <w:r w:rsidRPr="7D413406">
              <w:rPr>
                <w:rFonts w:ascii="Arial Narrow" w:eastAsia="Arial Narrow" w:hAnsi="Arial Narrow" w:cs="Arial Narrow"/>
                <w:sz w:val="20"/>
              </w:rPr>
              <w:t xml:space="preserve">Year 3 </w:t>
            </w:r>
          </w:p>
        </w:tc>
        <w:tc>
          <w:tcPr>
            <w:tcW w:w="0" w:type="dxa"/>
            <w:shd w:val="clear" w:color="auto" w:fill="FFFFFF" w:themeFill="background1"/>
            <w:vAlign w:val="center"/>
          </w:tcPr>
          <w:p w14:paraId="6415319B" w14:textId="7C65F572" w:rsidR="00306796" w:rsidRPr="000E2721" w:rsidRDefault="00306796">
            <w:pPr>
              <w:pStyle w:val="TableH28pt"/>
              <w:jc w:val="center"/>
              <w:rPr>
                <w:rFonts w:ascii="Arial Narrow" w:eastAsia="Arial Narrow" w:hAnsi="Arial Narrow" w:cs="Arial Narrow"/>
                <w:b w:val="0"/>
                <w:sz w:val="20"/>
              </w:rPr>
            </w:pPr>
            <w:r w:rsidRPr="7D413406">
              <w:rPr>
                <w:rFonts w:ascii="Arial Narrow" w:eastAsia="Arial Narrow" w:hAnsi="Arial Narrow" w:cs="Arial Narrow"/>
                <w:sz w:val="20"/>
              </w:rPr>
              <w:t xml:space="preserve">Year 4 </w:t>
            </w:r>
          </w:p>
        </w:tc>
        <w:tc>
          <w:tcPr>
            <w:tcW w:w="0" w:type="dxa"/>
            <w:shd w:val="clear" w:color="auto" w:fill="FFFFFF" w:themeFill="background1"/>
            <w:vAlign w:val="center"/>
          </w:tcPr>
          <w:p w14:paraId="1C1CE44C" w14:textId="2A662E67" w:rsidR="00306796" w:rsidRPr="000E2721" w:rsidRDefault="00306796" w:rsidP="00690757">
            <w:pPr>
              <w:pStyle w:val="TableH28pt"/>
              <w:jc w:val="center"/>
              <w:rPr>
                <w:rFonts w:ascii="Arial Narrow" w:eastAsia="Arial Narrow" w:hAnsi="Arial Narrow" w:cs="Arial Narrow"/>
                <w:b w:val="0"/>
                <w:sz w:val="20"/>
              </w:rPr>
            </w:pPr>
            <w:r w:rsidRPr="7D413406">
              <w:rPr>
                <w:rFonts w:ascii="Arial Narrow" w:eastAsia="Arial Narrow" w:hAnsi="Arial Narrow" w:cs="Arial Narrow"/>
                <w:sz w:val="20"/>
              </w:rPr>
              <w:t xml:space="preserve">Year 5 </w:t>
            </w:r>
          </w:p>
        </w:tc>
      </w:tr>
      <w:tr w:rsidR="00141094" w:rsidRPr="000E2721" w14:paraId="59A020D5" w14:textId="77777777" w:rsidTr="2AA1CA0C">
        <w:tc>
          <w:tcPr>
            <w:tcW w:w="1335" w:type="dxa"/>
          </w:tcPr>
          <w:p w14:paraId="0BA1C11F" w14:textId="43B2DAFA" w:rsidR="00306796" w:rsidRPr="000E2721" w:rsidRDefault="00306796" w:rsidP="2AA1CA0C">
            <w:pPr>
              <w:pStyle w:val="Tabletext8pt"/>
              <w:rPr>
                <w:rFonts w:ascii="Arial Narrow" w:eastAsia="Arial Narrow" w:hAnsi="Arial Narrow" w:cs="Arial Narrow"/>
                <w:sz w:val="20"/>
                <w:szCs w:val="20"/>
              </w:rPr>
            </w:pPr>
            <w:r w:rsidRPr="2AA1CA0C">
              <w:rPr>
                <w:rFonts w:ascii="Arial Narrow" w:eastAsia="Arial Narrow" w:hAnsi="Arial Narrow" w:cs="Arial Narrow"/>
                <w:sz w:val="20"/>
                <w:szCs w:val="20"/>
              </w:rPr>
              <w:t>Sharaiha et al 2021</w:t>
            </w:r>
          </w:p>
        </w:tc>
        <w:tc>
          <w:tcPr>
            <w:tcW w:w="1109" w:type="dxa"/>
          </w:tcPr>
          <w:p w14:paraId="6620EFAB" w14:textId="52418DB8" w:rsidR="00881060" w:rsidRDefault="00881060" w:rsidP="00141094">
            <w:pPr>
              <w:pStyle w:val="Tabletext8pt"/>
              <w:jc w:val="center"/>
              <w:rPr>
                <w:rFonts w:ascii="Arial Narrow" w:eastAsia="Arial Narrow" w:hAnsi="Arial Narrow" w:cs="Arial Narrow"/>
                <w:sz w:val="20"/>
                <w:szCs w:val="20"/>
              </w:rPr>
            </w:pPr>
            <w:r>
              <w:rPr>
                <w:rFonts w:ascii="Arial Narrow" w:eastAsia="Arial Narrow" w:hAnsi="Arial Narrow" w:cs="Arial Narrow"/>
                <w:sz w:val="20"/>
                <w:szCs w:val="20"/>
              </w:rPr>
              <w:t>39</w:t>
            </w:r>
            <w:r w:rsidR="00A006AF" w:rsidRPr="00A006AF">
              <w:rPr>
                <w:rFonts w:ascii="Arial Narrow" w:eastAsia="Arial Narrow" w:hAnsi="Arial Narrow" w:cs="Arial Narrow"/>
                <w:sz w:val="20"/>
                <w:szCs w:val="20"/>
              </w:rPr>
              <w:t>±</w:t>
            </w:r>
            <w:r w:rsidR="00025D66">
              <w:rPr>
                <w:rFonts w:ascii="Arial Narrow" w:eastAsia="Arial Narrow" w:hAnsi="Arial Narrow" w:cs="Arial Narrow"/>
                <w:sz w:val="20"/>
                <w:szCs w:val="20"/>
              </w:rPr>
              <w:t>6</w:t>
            </w:r>
          </w:p>
        </w:tc>
        <w:tc>
          <w:tcPr>
            <w:tcW w:w="1303" w:type="dxa"/>
          </w:tcPr>
          <w:p w14:paraId="6CECABDF" w14:textId="17C7C6C3" w:rsidR="00141094" w:rsidRDefault="00306796" w:rsidP="00141094">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15.6</w:t>
            </w:r>
          </w:p>
          <w:p w14:paraId="577A79DB" w14:textId="562BE492" w:rsidR="00306796" w:rsidRPr="000E2721" w:rsidRDefault="00306796" w:rsidP="00141094">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(14.1</w:t>
            </w:r>
            <w:r w:rsidR="00C856CB" w:rsidRPr="7D413406">
              <w:rPr>
                <w:rFonts w:ascii="Arial Narrow" w:eastAsia="Arial Narrow" w:hAnsi="Arial Narrow" w:cs="Arial Narrow"/>
                <w:sz w:val="20"/>
                <w:szCs w:val="20"/>
              </w:rPr>
              <w:t>–</w:t>
            </w:r>
            <w:r w:rsidRPr="7D413406">
              <w:rPr>
                <w:rFonts w:ascii="Arial Narrow" w:eastAsia="Arial Narrow" w:hAnsi="Arial Narrow" w:cs="Arial Narrow"/>
                <w:sz w:val="20"/>
                <w:szCs w:val="20"/>
              </w:rPr>
              <w:t>17.1), 142</w:t>
            </w:r>
          </w:p>
        </w:tc>
        <w:tc>
          <w:tcPr>
            <w:tcW w:w="1303" w:type="dxa"/>
          </w:tcPr>
          <w:p w14:paraId="18C7BC8F" w14:textId="453BB7D5" w:rsidR="00141094" w:rsidRDefault="00306796" w:rsidP="00141094">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15.3</w:t>
            </w:r>
          </w:p>
          <w:p w14:paraId="10A1BE39" w14:textId="3BA08980" w:rsidR="00306796" w:rsidRPr="000E2721" w:rsidRDefault="00306796" w:rsidP="00141094">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(13.4</w:t>
            </w:r>
            <w:r w:rsidR="00C856CB" w:rsidRPr="7D413406">
              <w:rPr>
                <w:rFonts w:ascii="Arial Narrow" w:eastAsia="Arial Narrow" w:hAnsi="Arial Narrow" w:cs="Arial Narrow"/>
                <w:sz w:val="20"/>
                <w:szCs w:val="20"/>
              </w:rPr>
              <w:t>–</w:t>
            </w:r>
            <w:r w:rsidRPr="7D413406">
              <w:rPr>
                <w:rFonts w:ascii="Arial Narrow" w:eastAsia="Arial Narrow" w:hAnsi="Arial Narrow" w:cs="Arial Narrow"/>
                <w:sz w:val="20"/>
                <w:szCs w:val="20"/>
              </w:rPr>
              <w:t>17.2), NR</w:t>
            </w:r>
          </w:p>
        </w:tc>
        <w:tc>
          <w:tcPr>
            <w:tcW w:w="1394" w:type="dxa"/>
          </w:tcPr>
          <w:p w14:paraId="181FDEA4" w14:textId="1F084384" w:rsidR="00141094" w:rsidRDefault="00306796" w:rsidP="00141094">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14.9</w:t>
            </w:r>
          </w:p>
          <w:p w14:paraId="280B4742" w14:textId="2661FC7C" w:rsidR="00306796" w:rsidRPr="000E2721" w:rsidRDefault="00306796" w:rsidP="00141094">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(12.1–17.7), 68</w:t>
            </w:r>
          </w:p>
        </w:tc>
        <w:tc>
          <w:tcPr>
            <w:tcW w:w="1394" w:type="dxa"/>
          </w:tcPr>
          <w:p w14:paraId="349376EB" w14:textId="1B12F054" w:rsidR="00141094" w:rsidRDefault="00306796" w:rsidP="00141094">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13.5</w:t>
            </w:r>
          </w:p>
          <w:p w14:paraId="53B96B71" w14:textId="5583990D" w:rsidR="00306796" w:rsidRPr="000E2721" w:rsidRDefault="00306796" w:rsidP="00141094">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(9.6–17.4), NR</w:t>
            </w:r>
          </w:p>
        </w:tc>
        <w:tc>
          <w:tcPr>
            <w:tcW w:w="1178" w:type="dxa"/>
          </w:tcPr>
          <w:p w14:paraId="51281380" w14:textId="409A8408" w:rsidR="00141094" w:rsidRDefault="00306796" w:rsidP="00141094">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15.9</w:t>
            </w:r>
          </w:p>
          <w:p w14:paraId="0B5BBE4C" w14:textId="6F775C98" w:rsidR="00306796" w:rsidRPr="000E2721" w:rsidRDefault="00306796" w:rsidP="00141094">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(11.7–20.5), 56</w:t>
            </w:r>
          </w:p>
        </w:tc>
      </w:tr>
      <w:tr w:rsidR="00141094" w:rsidRPr="000E2721" w14:paraId="5DBCF7BC" w14:textId="77777777" w:rsidTr="2AA1CA0C">
        <w:tc>
          <w:tcPr>
            <w:tcW w:w="1335" w:type="dxa"/>
          </w:tcPr>
          <w:p w14:paraId="6F186032" w14:textId="77777777" w:rsidR="00306796" w:rsidRPr="000E2721" w:rsidRDefault="00306796">
            <w:pPr>
              <w:pStyle w:val="Tabletext8pt"/>
              <w:rPr>
                <w:rFonts w:ascii="Arial Narrow" w:eastAsia="Arial Narrow" w:hAnsi="Arial Narrow" w:cs="Arial Narrow"/>
                <w:sz w:val="20"/>
                <w:szCs w:val="20"/>
              </w:rPr>
            </w:pPr>
            <w:r w:rsidRPr="7D413406">
              <w:rPr>
                <w:rFonts w:ascii="Arial Narrow" w:eastAsia="Arial Narrow" w:hAnsi="Arial Narrow" w:cs="Arial Narrow"/>
                <w:sz w:val="20"/>
                <w:szCs w:val="20"/>
              </w:rPr>
              <w:t>Bhandari et al 2022</w:t>
            </w:r>
          </w:p>
        </w:tc>
        <w:tc>
          <w:tcPr>
            <w:tcW w:w="1109" w:type="dxa"/>
          </w:tcPr>
          <w:p w14:paraId="24ACE5FF" w14:textId="17F682E7" w:rsidR="00FA49BB" w:rsidRPr="00FA49BB" w:rsidRDefault="00FA49BB" w:rsidP="00141094">
            <w:pPr>
              <w:pStyle w:val="Tabletext8pt"/>
              <w:jc w:val="center"/>
              <w:rPr>
                <w:rFonts w:ascii="Arial Narrow" w:eastAsia="Arial Narrow" w:hAnsi="Arial Narrow" w:cs="Arial Narrow"/>
                <w:sz w:val="20"/>
                <w:szCs w:val="20"/>
              </w:rPr>
            </w:pPr>
            <w:r w:rsidRPr="00FA49BB">
              <w:rPr>
                <w:rFonts w:ascii="Arial Narrow" w:eastAsia="Arial Narrow" w:hAnsi="Arial Narrow" w:cs="Arial Narrow"/>
                <w:sz w:val="20"/>
                <w:szCs w:val="20"/>
              </w:rPr>
              <w:t>34.30±5.05</w:t>
            </w:r>
          </w:p>
        </w:tc>
        <w:tc>
          <w:tcPr>
            <w:tcW w:w="1303" w:type="dxa"/>
          </w:tcPr>
          <w:p w14:paraId="4BD27097" w14:textId="681910F8" w:rsidR="00141094" w:rsidRDefault="00306796" w:rsidP="00141094">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21.2</w:t>
            </w:r>
          </w:p>
          <w:p w14:paraId="152F4FAF" w14:textId="4DA19B5F" w:rsidR="00306796" w:rsidRPr="000E2721" w:rsidRDefault="00306796" w:rsidP="00141094">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(20.8</w:t>
            </w:r>
            <w:r w:rsidR="00C856CB" w:rsidRPr="7D413406">
              <w:rPr>
                <w:rFonts w:ascii="Arial Narrow" w:eastAsia="Arial Narrow" w:hAnsi="Arial Narrow" w:cs="Arial Narrow"/>
                <w:sz w:val="20"/>
                <w:szCs w:val="20"/>
              </w:rPr>
              <w:t>–</w:t>
            </w:r>
            <w:r w:rsidRPr="7D413406">
              <w:rPr>
                <w:rFonts w:ascii="Arial Narrow" w:eastAsia="Arial Narrow" w:hAnsi="Arial Narrow" w:cs="Arial Narrow"/>
                <w:sz w:val="20"/>
                <w:szCs w:val="20"/>
              </w:rPr>
              <w:t>21.6), 570</w:t>
            </w:r>
          </w:p>
        </w:tc>
        <w:tc>
          <w:tcPr>
            <w:tcW w:w="1303" w:type="dxa"/>
          </w:tcPr>
          <w:p w14:paraId="655269D7" w14:textId="4E8C48A7" w:rsidR="00141094" w:rsidRDefault="00306796" w:rsidP="00141094">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20.1</w:t>
            </w:r>
          </w:p>
          <w:p w14:paraId="5310A73E" w14:textId="0B5F627F" w:rsidR="00306796" w:rsidRPr="000E2721" w:rsidRDefault="00306796" w:rsidP="00141094">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(19.6</w:t>
            </w:r>
            <w:r w:rsidR="00C856CB" w:rsidRPr="7D413406">
              <w:rPr>
                <w:rFonts w:ascii="Arial Narrow" w:eastAsia="Arial Narrow" w:hAnsi="Arial Narrow" w:cs="Arial Narrow"/>
                <w:sz w:val="20"/>
                <w:szCs w:val="20"/>
              </w:rPr>
              <w:t>–</w:t>
            </w:r>
            <w:r w:rsidRPr="7D413406">
              <w:rPr>
                <w:rFonts w:ascii="Arial Narrow" w:eastAsia="Arial Narrow" w:hAnsi="Arial Narrow" w:cs="Arial Narrow"/>
                <w:sz w:val="20"/>
                <w:szCs w:val="20"/>
              </w:rPr>
              <w:t>20.5), 552</w:t>
            </w:r>
          </w:p>
        </w:tc>
        <w:tc>
          <w:tcPr>
            <w:tcW w:w="1394" w:type="dxa"/>
          </w:tcPr>
          <w:p w14:paraId="6E28EBF8" w14:textId="76CC08BB" w:rsidR="00141094" w:rsidRDefault="00306796" w:rsidP="00141094">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18.74</w:t>
            </w:r>
          </w:p>
          <w:p w14:paraId="40ECD7FB" w14:textId="4118C421" w:rsidR="00306796" w:rsidRPr="000E2721" w:rsidRDefault="00306796" w:rsidP="00141094">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(18.31–19.12), 466</w:t>
            </w:r>
          </w:p>
        </w:tc>
        <w:tc>
          <w:tcPr>
            <w:tcW w:w="1394" w:type="dxa"/>
          </w:tcPr>
          <w:p w14:paraId="6B4C4A62" w14:textId="0C77EB84" w:rsidR="00141094" w:rsidRDefault="00306796" w:rsidP="00141094">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18.19</w:t>
            </w:r>
          </w:p>
          <w:p w14:paraId="59268595" w14:textId="4414C166" w:rsidR="00306796" w:rsidRPr="000E2721" w:rsidRDefault="00306796" w:rsidP="00141094">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(17.71</w:t>
            </w:r>
            <w:r w:rsidR="00C856CB" w:rsidRPr="7D413406">
              <w:rPr>
                <w:rFonts w:ascii="Arial Narrow" w:eastAsia="Arial Narrow" w:hAnsi="Arial Narrow" w:cs="Arial Narrow"/>
                <w:sz w:val="20"/>
                <w:szCs w:val="20"/>
              </w:rPr>
              <w:t>–</w:t>
            </w:r>
            <w:r w:rsidRPr="7D413406">
              <w:rPr>
                <w:rFonts w:ascii="Arial Narrow" w:eastAsia="Arial Narrow" w:hAnsi="Arial Narrow" w:cs="Arial Narrow"/>
                <w:sz w:val="20"/>
                <w:szCs w:val="20"/>
              </w:rPr>
              <w:t>18.57), 254</w:t>
            </w:r>
          </w:p>
        </w:tc>
        <w:tc>
          <w:tcPr>
            <w:tcW w:w="1178" w:type="dxa"/>
          </w:tcPr>
          <w:p w14:paraId="35DF9752" w14:textId="77777777" w:rsidR="00306796" w:rsidRPr="000E2721" w:rsidRDefault="00306796" w:rsidP="00141094">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w:t>
            </w:r>
          </w:p>
        </w:tc>
      </w:tr>
      <w:tr w:rsidR="00141094" w:rsidRPr="000E2721" w14:paraId="7CE29AAF" w14:textId="77777777" w:rsidTr="2AA1CA0C">
        <w:tc>
          <w:tcPr>
            <w:tcW w:w="1335" w:type="dxa"/>
          </w:tcPr>
          <w:p w14:paraId="3578C40F" w14:textId="77777777" w:rsidR="00306796" w:rsidRPr="000E2721" w:rsidRDefault="00306796">
            <w:pPr>
              <w:pStyle w:val="Tabletext8pt"/>
              <w:rPr>
                <w:rFonts w:ascii="Arial Narrow" w:eastAsia="Arial Narrow" w:hAnsi="Arial Narrow" w:cs="Arial Narrow"/>
                <w:sz w:val="20"/>
                <w:szCs w:val="20"/>
              </w:rPr>
            </w:pPr>
            <w:r w:rsidRPr="7D413406">
              <w:rPr>
                <w:rFonts w:ascii="Arial Narrow" w:eastAsia="Arial Narrow" w:hAnsi="Arial Narrow" w:cs="Arial Narrow"/>
                <w:sz w:val="20"/>
                <w:szCs w:val="20"/>
              </w:rPr>
              <w:t>Frey et al 2024</w:t>
            </w:r>
          </w:p>
        </w:tc>
        <w:tc>
          <w:tcPr>
            <w:tcW w:w="1109" w:type="dxa"/>
          </w:tcPr>
          <w:p w14:paraId="2A016BFF" w14:textId="189B077B" w:rsidR="00BB6C3F" w:rsidRPr="7D413406" w:rsidRDefault="00D420B3">
            <w:pPr>
              <w:pStyle w:val="Tabletext8pt"/>
              <w:jc w:val="center"/>
              <w:rPr>
                <w:rFonts w:ascii="Arial Narrow" w:eastAsia="Arial Narrow" w:hAnsi="Arial Narrow" w:cs="Arial Narrow"/>
                <w:sz w:val="20"/>
                <w:szCs w:val="20"/>
              </w:rPr>
            </w:pPr>
            <w:r w:rsidRPr="00D420B3">
              <w:rPr>
                <w:rFonts w:ascii="Arial Narrow" w:eastAsia="Arial Narrow" w:hAnsi="Arial Narrow" w:cs="Arial Narrow"/>
                <w:sz w:val="20"/>
                <w:szCs w:val="20"/>
              </w:rPr>
              <w:t>33.6±3.4</w:t>
            </w:r>
          </w:p>
        </w:tc>
        <w:tc>
          <w:tcPr>
            <w:tcW w:w="1303" w:type="dxa"/>
            <w:vAlign w:val="center"/>
          </w:tcPr>
          <w:p w14:paraId="75064857" w14:textId="4E659491" w:rsidR="00306796" w:rsidRPr="000E2721" w:rsidRDefault="00306796">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14.4</w:t>
            </w:r>
            <w:r w:rsidR="00690757">
              <w:rPr>
                <w:rFonts w:ascii="Arial Narrow" w:eastAsia="Arial Narrow" w:hAnsi="Arial Narrow" w:cs="Arial Narrow"/>
                <w:sz w:val="20"/>
                <w:szCs w:val="20"/>
              </w:rPr>
              <w:t xml:space="preserve"> </w:t>
            </w:r>
            <w:r w:rsidRPr="7D413406">
              <w:rPr>
                <w:rFonts w:ascii="Arial Narrow" w:eastAsia="Arial Narrow" w:hAnsi="Arial Narrow" w:cs="Arial Narrow"/>
                <w:sz w:val="20"/>
                <w:szCs w:val="20"/>
              </w:rPr>
              <w:t>± 8.9, 115</w:t>
            </w:r>
          </w:p>
        </w:tc>
        <w:tc>
          <w:tcPr>
            <w:tcW w:w="1303" w:type="dxa"/>
            <w:vAlign w:val="center"/>
          </w:tcPr>
          <w:p w14:paraId="0D122A18" w14:textId="479CA41C" w:rsidR="00306796" w:rsidRPr="000E2721" w:rsidRDefault="00306796">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9.8</w:t>
            </w:r>
            <w:r w:rsidR="00690757">
              <w:rPr>
                <w:rFonts w:ascii="Arial Narrow" w:eastAsia="Arial Narrow" w:hAnsi="Arial Narrow" w:cs="Arial Narrow"/>
                <w:sz w:val="20"/>
                <w:szCs w:val="20"/>
              </w:rPr>
              <w:t xml:space="preserve"> </w:t>
            </w:r>
            <w:r w:rsidRPr="7D413406">
              <w:rPr>
                <w:rFonts w:ascii="Arial Narrow" w:eastAsia="Arial Narrow" w:hAnsi="Arial Narrow" w:cs="Arial Narrow"/>
                <w:sz w:val="20"/>
                <w:szCs w:val="20"/>
              </w:rPr>
              <w:t>± 11.4, 68</w:t>
            </w:r>
          </w:p>
        </w:tc>
        <w:tc>
          <w:tcPr>
            <w:tcW w:w="1394" w:type="dxa"/>
            <w:vAlign w:val="center"/>
          </w:tcPr>
          <w:p w14:paraId="0CE59132" w14:textId="77777777" w:rsidR="00306796" w:rsidRPr="000E2721" w:rsidRDefault="00306796">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3.73 ± 10.65, 34</w:t>
            </w:r>
          </w:p>
        </w:tc>
        <w:tc>
          <w:tcPr>
            <w:tcW w:w="1394" w:type="dxa"/>
            <w:vAlign w:val="center"/>
          </w:tcPr>
          <w:p w14:paraId="5DFFE0A9" w14:textId="77777777" w:rsidR="00306796" w:rsidRPr="000E2721" w:rsidRDefault="00306796">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w:t>
            </w:r>
          </w:p>
        </w:tc>
        <w:tc>
          <w:tcPr>
            <w:tcW w:w="1178" w:type="dxa"/>
            <w:vAlign w:val="center"/>
          </w:tcPr>
          <w:p w14:paraId="3C5AA7C2" w14:textId="77777777" w:rsidR="00306796" w:rsidRPr="000E2721" w:rsidRDefault="00306796">
            <w:pPr>
              <w:pStyle w:val="Tabletext8pt"/>
              <w:jc w:val="center"/>
              <w:rPr>
                <w:rFonts w:ascii="Arial Narrow" w:eastAsia="Arial Narrow" w:hAnsi="Arial Narrow" w:cs="Arial Narrow"/>
                <w:sz w:val="20"/>
                <w:szCs w:val="20"/>
              </w:rPr>
            </w:pPr>
            <w:r w:rsidRPr="7D413406">
              <w:rPr>
                <w:rFonts w:ascii="Arial Narrow" w:eastAsia="Arial Narrow" w:hAnsi="Arial Narrow" w:cs="Arial Narrow"/>
                <w:sz w:val="20"/>
                <w:szCs w:val="20"/>
              </w:rPr>
              <w:t>--</w:t>
            </w:r>
          </w:p>
        </w:tc>
      </w:tr>
    </w:tbl>
    <w:p w14:paraId="7607C9B0" w14:textId="54A89477" w:rsidR="0016387F" w:rsidRDefault="2AA5FEA2" w:rsidP="00ED651B">
      <w:pPr>
        <w:pStyle w:val="TableFigureFooter"/>
      </w:pPr>
      <w:r w:rsidRPr="00D76EFB">
        <w:t>Abbreviations:</w:t>
      </w:r>
      <w:r w:rsidRPr="0A04F3C4">
        <w:t xml:space="preserve"> </w:t>
      </w:r>
      <w:r w:rsidRPr="00D76EFB">
        <w:t>CI</w:t>
      </w:r>
      <w:r w:rsidR="003853BE">
        <w:t>:</w:t>
      </w:r>
      <w:r w:rsidRPr="0A04F3C4">
        <w:t xml:space="preserve"> confidence interval</w:t>
      </w:r>
      <w:r w:rsidR="5B4B54C7" w:rsidRPr="2FC4E8F5">
        <w:t>; ESG</w:t>
      </w:r>
      <w:r w:rsidR="003853BE">
        <w:t>:</w:t>
      </w:r>
      <w:r w:rsidR="5B4B54C7" w:rsidRPr="2FC4E8F5">
        <w:t xml:space="preserve"> endoscopic sleeve gastr</w:t>
      </w:r>
      <w:r w:rsidR="00C744A3">
        <w:t>o</w:t>
      </w:r>
      <w:r w:rsidR="5B4B54C7" w:rsidRPr="2FC4E8F5">
        <w:t>plasty;</w:t>
      </w:r>
      <w:r w:rsidR="003853BE">
        <w:t xml:space="preserve"> </w:t>
      </w:r>
      <w:r w:rsidR="38A8AF6C" w:rsidRPr="2FC4E8F5">
        <w:t>NR</w:t>
      </w:r>
      <w:r w:rsidR="00C744A3">
        <w:t>:</w:t>
      </w:r>
      <w:r w:rsidR="38A8AF6C" w:rsidRPr="2FC4E8F5">
        <w:t xml:space="preserve"> not reported; </w:t>
      </w:r>
      <w:r w:rsidRPr="00D76EFB">
        <w:t>%TBWL</w:t>
      </w:r>
      <w:r w:rsidRPr="0A04F3C4">
        <w:t>: per cent total body weight loss</w:t>
      </w:r>
      <w:r w:rsidR="0016387F">
        <w:br/>
      </w:r>
      <w:r w:rsidR="0016387F" w:rsidRPr="0016387F">
        <w:t xml:space="preserve">Source: Table </w:t>
      </w:r>
      <w:r w:rsidR="00317EED">
        <w:t>211 pg. 89</w:t>
      </w:r>
      <w:r w:rsidR="0016387F" w:rsidRPr="0016387F">
        <w:t xml:space="preserve"> from ADAR  </w:t>
      </w:r>
    </w:p>
    <w:p w14:paraId="191068D1" w14:textId="04E8D82E" w:rsidR="1EF4B727" w:rsidRDefault="1EF4B727" w:rsidP="0049614F">
      <w:pPr>
        <w:pStyle w:val="Heading4"/>
        <w:keepNext w:val="0"/>
        <w:keepLines w:val="0"/>
      </w:pPr>
      <w:r>
        <w:t>Weight</w:t>
      </w:r>
      <w:r w:rsidR="00582376">
        <w:t>-</w:t>
      </w:r>
      <w:r>
        <w:t>related comorbidities</w:t>
      </w:r>
    </w:p>
    <w:p w14:paraId="05762989" w14:textId="6B748DC5" w:rsidR="4B5303F4" w:rsidRDefault="094B83A0" w:rsidP="0049614F">
      <w:r>
        <w:t xml:space="preserve">The MERIT </w:t>
      </w:r>
      <w:r w:rsidR="00DD18E7">
        <w:t>trial</w:t>
      </w:r>
      <w:r>
        <w:t xml:space="preserve"> </w:t>
      </w:r>
      <w:r w:rsidR="00582376">
        <w:t>found</w:t>
      </w:r>
      <w:r>
        <w:t xml:space="preserve"> improvements in </w:t>
      </w:r>
      <w:r w:rsidR="180069DF">
        <w:t>obesity</w:t>
      </w:r>
      <w:r w:rsidR="00582376">
        <w:t>-</w:t>
      </w:r>
      <w:r w:rsidR="180069DF">
        <w:t>related comorbidities</w:t>
      </w:r>
      <w:r w:rsidR="00973A57">
        <w:t>.</w:t>
      </w:r>
      <w:r w:rsidR="180069DF">
        <w:t xml:space="preserve"> </w:t>
      </w:r>
      <w:r w:rsidR="00BE4136">
        <w:t>At 52 weeks, d</w:t>
      </w:r>
      <w:r w:rsidR="180069DF">
        <w:t>iabetes</w:t>
      </w:r>
      <w:r w:rsidR="00973A57">
        <w:t xml:space="preserve"> </w:t>
      </w:r>
      <w:r w:rsidR="180069DF">
        <w:t xml:space="preserve">improved </w:t>
      </w:r>
      <w:r w:rsidR="5731CC92">
        <w:t xml:space="preserve">clinically </w:t>
      </w:r>
      <w:r w:rsidR="180069DF">
        <w:t>in 9</w:t>
      </w:r>
      <w:r w:rsidR="00C871C9">
        <w:t>2</w:t>
      </w:r>
      <w:r w:rsidR="180069DF">
        <w:t xml:space="preserve">% of patients in the ESG group </w:t>
      </w:r>
      <w:r w:rsidR="34D02DA0">
        <w:t>compared to 15% of those in the lifestyle intervention group, with 44% of patients in the lifestyle modifications</w:t>
      </w:r>
      <w:r w:rsidR="00E349AD">
        <w:t>-</w:t>
      </w:r>
      <w:r w:rsidR="34D02DA0">
        <w:t>only group experiencing worsening diabetes symptoms</w:t>
      </w:r>
      <w:r w:rsidR="00E349AD">
        <w:t>,</w:t>
      </w:r>
      <w:r w:rsidR="34D02DA0">
        <w:t xml:space="preserve"> compared to none within the ESG group</w:t>
      </w:r>
      <w:r w:rsidR="3131DA19">
        <w:t xml:space="preserve"> </w:t>
      </w:r>
      <w:r w:rsidR="00E349AD" w:rsidRPr="006B5215">
        <w:t>(</w:t>
      </w:r>
      <w:r w:rsidR="006B5215" w:rsidRPr="006B5215">
        <w:fldChar w:fldCharType="begin"/>
      </w:r>
      <w:r w:rsidR="006B5215" w:rsidRPr="006B5215">
        <w:instrText xml:space="preserve"> REF _Ref184211412 \h </w:instrText>
      </w:r>
      <w:r w:rsidR="006B5215">
        <w:instrText xml:space="preserve"> \* MERGEFORMAT </w:instrText>
      </w:r>
      <w:r w:rsidR="006B5215" w:rsidRPr="006B5215">
        <w:fldChar w:fldCharType="separate"/>
      </w:r>
      <w:r w:rsidR="008F37D1" w:rsidRPr="00D445E0">
        <w:t xml:space="preserve">Table </w:t>
      </w:r>
      <w:r w:rsidR="008F37D1">
        <w:rPr>
          <w:noProof/>
        </w:rPr>
        <w:t>19</w:t>
      </w:r>
      <w:r w:rsidR="006B5215" w:rsidRPr="006B5215">
        <w:fldChar w:fldCharType="end"/>
      </w:r>
      <w:r w:rsidR="00E349AD" w:rsidRPr="006B5215">
        <w:t>)</w:t>
      </w:r>
      <w:r w:rsidR="34D02DA0">
        <w:t xml:space="preserve">. </w:t>
      </w:r>
      <w:r w:rsidR="72888D06">
        <w:t>Hypertension improved in 6</w:t>
      </w:r>
      <w:r w:rsidR="001B27C4">
        <w:t>7</w:t>
      </w:r>
      <w:r w:rsidR="72888D06">
        <w:t>% and 40% of patients in the ESG and lifestyle groups</w:t>
      </w:r>
      <w:r w:rsidR="00E349AD">
        <w:t>,</w:t>
      </w:r>
      <w:r w:rsidR="72888D06">
        <w:t xml:space="preserve"> respectively</w:t>
      </w:r>
      <w:r w:rsidR="007450DC">
        <w:t>.</w:t>
      </w:r>
      <w:r w:rsidR="005638C0">
        <w:rPr>
          <w:vertAlign w:val="superscript"/>
        </w:rPr>
        <w:t>7</w:t>
      </w:r>
      <w:r w:rsidR="72888D06">
        <w:t xml:space="preserve"> Metabolic syndrome was also </w:t>
      </w:r>
      <w:r w:rsidR="00E349AD">
        <w:t xml:space="preserve">found </w:t>
      </w:r>
      <w:r w:rsidR="72888D06">
        <w:t>to improve in 83% of ESG patients</w:t>
      </w:r>
      <w:r w:rsidR="00E349AD">
        <w:t>,</w:t>
      </w:r>
      <w:r w:rsidR="72888D06">
        <w:t xml:space="preserve"> compared to 35% in the control group.</w:t>
      </w:r>
      <w:r w:rsidR="041DAB78">
        <w:t xml:space="preserve"> Overall, 12% of patients in the ESG group experienced the worsening of one or more obesity-related comorbidit</w:t>
      </w:r>
      <w:r w:rsidR="00E349AD">
        <w:t>ies,</w:t>
      </w:r>
      <w:r w:rsidR="041DAB78">
        <w:t xml:space="preserve"> compared to 50% in the lifestyle intervention group</w:t>
      </w:r>
      <w:r w:rsidR="007450DC">
        <w:t>.</w:t>
      </w:r>
      <w:r w:rsidR="005638C0">
        <w:rPr>
          <w:vertAlign w:val="superscript"/>
        </w:rPr>
        <w:t>7</w:t>
      </w:r>
      <w:r w:rsidR="041DAB78">
        <w:t xml:space="preserve"> </w:t>
      </w:r>
      <w:r w:rsidR="7EF59B9F">
        <w:t>Findings were substantiated by one single</w:t>
      </w:r>
      <w:r w:rsidR="00E349AD">
        <w:t>-</w:t>
      </w:r>
      <w:r w:rsidR="7EF59B9F">
        <w:t>arm study</w:t>
      </w:r>
      <w:r w:rsidR="00E349AD">
        <w:t>,</w:t>
      </w:r>
      <w:r w:rsidR="7EF59B9F">
        <w:t xml:space="preserve"> with 51% of type 2 diabetes cases, 66% of hypertension cases, 74% of dyslipidaemia cases and 90% of obstructive sleep apnoea cases resolved or improved within 3 months of the ESG procedure</w:t>
      </w:r>
      <w:r w:rsidR="007450DC">
        <w:t>.</w:t>
      </w:r>
      <w:r w:rsidR="00081F79" w:rsidRPr="00D76EFB">
        <w:rPr>
          <w:vertAlign w:val="superscript"/>
        </w:rPr>
        <w:fldChar w:fldCharType="begin"/>
      </w:r>
      <w:r w:rsidR="00081F79" w:rsidRPr="00D76EFB">
        <w:rPr>
          <w:vertAlign w:val="superscript"/>
        </w:rPr>
        <w:instrText xml:space="preserve"> NOTEREF _Ref187069914 \h </w:instrText>
      </w:r>
      <w:r w:rsidR="00081F79">
        <w:rPr>
          <w:vertAlign w:val="superscript"/>
        </w:rPr>
        <w:instrText xml:space="preserve"> \* MERGEFORMAT </w:instrText>
      </w:r>
      <w:r w:rsidR="00081F79" w:rsidRPr="00D76EFB">
        <w:rPr>
          <w:vertAlign w:val="superscript"/>
        </w:rPr>
      </w:r>
      <w:r w:rsidR="00081F79" w:rsidRPr="00D76EFB">
        <w:rPr>
          <w:vertAlign w:val="superscript"/>
        </w:rPr>
        <w:fldChar w:fldCharType="separate"/>
      </w:r>
      <w:r w:rsidR="008F37D1">
        <w:rPr>
          <w:vertAlign w:val="superscript"/>
        </w:rPr>
        <w:t>30</w:t>
      </w:r>
      <w:r w:rsidR="00081F79" w:rsidRPr="00D76EFB">
        <w:rPr>
          <w:vertAlign w:val="superscript"/>
        </w:rPr>
        <w:fldChar w:fldCharType="end"/>
      </w:r>
    </w:p>
    <w:p w14:paraId="14450D41" w14:textId="62A3AF2D" w:rsidR="0049614F" w:rsidRDefault="56AAA12F" w:rsidP="0049614F">
      <w:pPr>
        <w:rPr>
          <w:vertAlign w:val="superscript"/>
        </w:rPr>
        <w:sectPr w:rsidR="0049614F" w:rsidSect="00803499">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r w:rsidRPr="2AA1CA0C">
        <w:t xml:space="preserve">Although ESG appears </w:t>
      </w:r>
      <w:r w:rsidR="00EC5058" w:rsidRPr="2AA1CA0C">
        <w:t xml:space="preserve">to be </w:t>
      </w:r>
      <w:r w:rsidRPr="2AA1CA0C">
        <w:t xml:space="preserve">beneficial in reducing the severity of obesity-related comorbidities, further research is </w:t>
      </w:r>
      <w:r w:rsidR="00EC5058" w:rsidRPr="2AA1CA0C">
        <w:t xml:space="preserve">required </w:t>
      </w:r>
      <w:r w:rsidRPr="2AA1CA0C">
        <w:t>to support both comparative and single</w:t>
      </w:r>
      <w:r w:rsidR="00EC5058" w:rsidRPr="2AA1CA0C">
        <w:t>-</w:t>
      </w:r>
      <w:r w:rsidRPr="2AA1CA0C">
        <w:t>arm studies in different trial and observational settings.</w:t>
      </w:r>
      <w:r w:rsidR="3905668B" w:rsidRPr="2AA1CA0C">
        <w:t xml:space="preserve"> Further, reported </w:t>
      </w:r>
      <w:r w:rsidR="00F2595C" w:rsidRPr="2AA1CA0C">
        <w:t>‘</w:t>
      </w:r>
      <w:r w:rsidR="3905668B" w:rsidRPr="2AA1CA0C">
        <w:t>improvements</w:t>
      </w:r>
      <w:r w:rsidR="00F2595C" w:rsidRPr="2AA1CA0C">
        <w:t>’</w:t>
      </w:r>
      <w:r w:rsidR="3905668B" w:rsidRPr="2AA1CA0C">
        <w:t xml:space="preserve"> in diabetes reported within the MERIT trial are not well </w:t>
      </w:r>
      <w:r w:rsidR="008737B4">
        <w:t>described</w:t>
      </w:r>
      <w:r w:rsidR="3905668B" w:rsidRPr="2AA1CA0C">
        <w:t>, with the study not reporting if these improvements were based on HbA1c measurements or reported sym</w:t>
      </w:r>
      <w:r w:rsidR="6899ACB3" w:rsidRPr="2AA1CA0C">
        <w:t>ptoms alone</w:t>
      </w:r>
      <w:r w:rsidR="007450DC" w:rsidRPr="2AA1CA0C">
        <w:t>.</w:t>
      </w:r>
      <w:r w:rsidR="00081F79" w:rsidRPr="00D76EFB">
        <w:rPr>
          <w:vertAlign w:val="superscript"/>
        </w:rPr>
        <w:fldChar w:fldCharType="begin"/>
      </w:r>
      <w:r w:rsidR="00081F79" w:rsidRPr="00D76EFB">
        <w:rPr>
          <w:vertAlign w:val="superscript"/>
        </w:rPr>
        <w:instrText xml:space="preserve"> NOTEREF _Ref187068871 \h </w:instrText>
      </w:r>
      <w:r w:rsidR="00081F79" w:rsidRPr="00A87D94">
        <w:rPr>
          <w:vertAlign w:val="superscript"/>
        </w:rPr>
        <w:instrText xml:space="preserve"> </w:instrText>
      </w:r>
      <w:r w:rsidR="00081F79">
        <w:rPr>
          <w:vertAlign w:val="superscript"/>
        </w:rPr>
        <w:instrText xml:space="preserve">\* MERGEFORMAT </w:instrText>
      </w:r>
      <w:r w:rsidR="00081F79" w:rsidRPr="00D76EFB">
        <w:rPr>
          <w:vertAlign w:val="superscript"/>
        </w:rPr>
      </w:r>
      <w:r w:rsidR="00081F79" w:rsidRPr="00D76EFB">
        <w:rPr>
          <w:vertAlign w:val="superscript"/>
        </w:rPr>
        <w:fldChar w:fldCharType="separate"/>
      </w:r>
      <w:r w:rsidR="008F37D1">
        <w:rPr>
          <w:vertAlign w:val="superscript"/>
        </w:rPr>
        <w:t>20</w:t>
      </w:r>
      <w:r w:rsidR="00081F79" w:rsidRPr="00D76EFB">
        <w:rPr>
          <w:vertAlign w:val="superscript"/>
        </w:rPr>
        <w:fldChar w:fldCharType="end"/>
      </w:r>
    </w:p>
    <w:p w14:paraId="381A242C" w14:textId="57ED87C8" w:rsidR="0049614F" w:rsidRDefault="0049614F" w:rsidP="0049614F">
      <w:pPr>
        <w:pStyle w:val="Caption"/>
      </w:pPr>
      <w:bookmarkStart w:id="75" w:name="_Ref184211412"/>
      <w:r w:rsidRPr="00D445E0">
        <w:t xml:space="preserve">Table </w:t>
      </w:r>
      <w:r>
        <w:fldChar w:fldCharType="begin"/>
      </w:r>
      <w:r>
        <w:instrText xml:space="preserve"> SEQ Table \* ARABIC </w:instrText>
      </w:r>
      <w:r>
        <w:fldChar w:fldCharType="separate"/>
      </w:r>
      <w:r w:rsidR="008F37D1">
        <w:rPr>
          <w:noProof/>
        </w:rPr>
        <w:t>19</w:t>
      </w:r>
      <w:r>
        <w:rPr>
          <w:noProof/>
        </w:rPr>
        <w:fldChar w:fldCharType="end"/>
      </w:r>
      <w:bookmarkEnd w:id="75"/>
      <w:r w:rsidRPr="00D445E0">
        <w:t>: Comorbidity 52-week change from baseline for all randomly assigned participants in MERIT trial</w:t>
      </w:r>
    </w:p>
    <w:tbl>
      <w:tblPr>
        <w:tblStyle w:val="TableGrid"/>
        <w:tblW w:w="13317"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2827"/>
        <w:gridCol w:w="1985"/>
        <w:gridCol w:w="2126"/>
        <w:gridCol w:w="2410"/>
        <w:gridCol w:w="1276"/>
        <w:gridCol w:w="2693"/>
      </w:tblGrid>
      <w:tr w:rsidR="0049614F" w14:paraId="2F5F559D" w14:textId="77777777" w:rsidTr="005A5740">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5DEA703E" w14:textId="77777777" w:rsidR="0049614F" w:rsidRDefault="0049614F" w:rsidP="005A5740">
            <w:pPr>
              <w:pStyle w:val="TableH28pt"/>
              <w:spacing w:before="0" w:after="0"/>
              <w:rPr>
                <w:rFonts w:ascii="Arial Narrow" w:eastAsia="Arial Narrow" w:hAnsi="Arial Narrow" w:cs="Arial Narrow"/>
                <w:color w:val="000000" w:themeColor="text1"/>
                <w:sz w:val="20"/>
              </w:rPr>
            </w:pPr>
            <w:r w:rsidRPr="7D413406">
              <w:rPr>
                <w:rFonts w:ascii="Arial Narrow" w:eastAsia="Arial Narrow" w:hAnsi="Arial Narrow" w:cs="Arial Narrow"/>
                <w:color w:val="000000" w:themeColor="text1"/>
                <w:sz w:val="20"/>
                <w:lang w:val="en-US"/>
              </w:rPr>
              <w:t>Condition</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05E0E693" w14:textId="77777777" w:rsidR="0049614F" w:rsidRDefault="0049614F" w:rsidP="005A5740">
            <w:pPr>
              <w:pStyle w:val="TableH28pt"/>
              <w:spacing w:before="0" w:after="0"/>
              <w:jc w:val="center"/>
              <w:rPr>
                <w:rFonts w:ascii="Arial Narrow" w:eastAsia="Arial Narrow" w:hAnsi="Arial Narrow" w:cs="Arial Narrow"/>
                <w:color w:val="000000" w:themeColor="text1"/>
                <w:sz w:val="20"/>
              </w:rPr>
            </w:pPr>
            <w:r w:rsidRPr="7D413406">
              <w:rPr>
                <w:rFonts w:ascii="Arial Narrow" w:eastAsia="Arial Narrow" w:hAnsi="Arial Narrow" w:cs="Arial Narrow"/>
                <w:color w:val="000000" w:themeColor="text1"/>
                <w:sz w:val="20"/>
                <w:lang w:val="en-US"/>
              </w:rPr>
              <w:t>ESG (primary)</w:t>
            </w:r>
          </w:p>
          <w:p w14:paraId="1FFA4608" w14:textId="77777777" w:rsidR="0049614F" w:rsidRDefault="0049614F" w:rsidP="005A5740">
            <w:pPr>
              <w:pStyle w:val="TableH28pt"/>
              <w:spacing w:before="0" w:after="0"/>
              <w:jc w:val="center"/>
              <w:rPr>
                <w:rFonts w:ascii="Arial Narrow" w:eastAsia="Arial Narrow" w:hAnsi="Arial Narrow" w:cs="Arial Narrow"/>
                <w:color w:val="000000" w:themeColor="text1"/>
                <w:sz w:val="20"/>
              </w:rPr>
            </w:pPr>
            <w:r w:rsidRPr="7D413406">
              <w:rPr>
                <w:rFonts w:ascii="Arial Narrow" w:eastAsia="Arial Narrow" w:hAnsi="Arial Narrow" w:cs="Arial Narrow"/>
                <w:color w:val="000000" w:themeColor="text1"/>
                <w:sz w:val="20"/>
                <w:lang w:val="en-US"/>
              </w:rPr>
              <w:t>(n/N; 95% CI)</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5F5D7653" w14:textId="77777777" w:rsidR="0049614F" w:rsidRDefault="0049614F" w:rsidP="005A5740">
            <w:pPr>
              <w:pStyle w:val="TableH28pt"/>
              <w:spacing w:before="0" w:after="0"/>
              <w:jc w:val="center"/>
              <w:rPr>
                <w:rFonts w:ascii="Arial Narrow" w:eastAsia="Arial Narrow" w:hAnsi="Arial Narrow" w:cs="Arial Narrow"/>
                <w:color w:val="000000" w:themeColor="text1"/>
                <w:sz w:val="20"/>
              </w:rPr>
            </w:pPr>
            <w:r w:rsidRPr="7D413406">
              <w:rPr>
                <w:rFonts w:ascii="Arial Narrow" w:eastAsia="Arial Narrow" w:hAnsi="Arial Narrow" w:cs="Arial Narrow"/>
                <w:color w:val="000000" w:themeColor="text1"/>
                <w:sz w:val="20"/>
                <w:lang w:val="en-US"/>
              </w:rPr>
              <w:t>Control</w:t>
            </w:r>
          </w:p>
          <w:p w14:paraId="1F912AB1" w14:textId="77777777" w:rsidR="0049614F" w:rsidRDefault="0049614F" w:rsidP="005A5740">
            <w:pPr>
              <w:pStyle w:val="TableH28pt"/>
              <w:spacing w:before="0" w:after="0"/>
              <w:jc w:val="center"/>
              <w:rPr>
                <w:rFonts w:ascii="Arial Narrow" w:eastAsia="Arial Narrow" w:hAnsi="Arial Narrow" w:cs="Arial Narrow"/>
                <w:color w:val="000000" w:themeColor="text1"/>
                <w:sz w:val="20"/>
              </w:rPr>
            </w:pPr>
            <w:r w:rsidRPr="7D413406">
              <w:rPr>
                <w:rFonts w:ascii="Arial Narrow" w:eastAsia="Arial Narrow" w:hAnsi="Arial Narrow" w:cs="Arial Narrow"/>
                <w:color w:val="000000" w:themeColor="text1"/>
                <w:sz w:val="20"/>
                <w:lang w:val="en-US"/>
              </w:rPr>
              <w:t>(n/N; 95% CI)</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1F1F884B" w14:textId="77777777" w:rsidR="0049614F" w:rsidRDefault="0049614F" w:rsidP="005A5740">
            <w:pPr>
              <w:pStyle w:val="TableH28pt"/>
              <w:spacing w:before="0" w:after="0"/>
              <w:jc w:val="center"/>
              <w:rPr>
                <w:rFonts w:ascii="Arial Narrow" w:eastAsia="Arial Narrow" w:hAnsi="Arial Narrow" w:cs="Arial Narrow"/>
                <w:color w:val="000000" w:themeColor="text1"/>
                <w:sz w:val="20"/>
              </w:rPr>
            </w:pPr>
            <w:r w:rsidRPr="7D413406">
              <w:rPr>
                <w:rFonts w:ascii="Arial Narrow" w:eastAsia="Arial Narrow" w:hAnsi="Arial Narrow" w:cs="Arial Narrow"/>
                <w:color w:val="000000" w:themeColor="text1"/>
                <w:sz w:val="20"/>
                <w:lang w:val="en-US"/>
              </w:rPr>
              <w:t xml:space="preserve">Rate difference </w:t>
            </w:r>
            <w:r w:rsidRPr="7D413406">
              <w:rPr>
                <w:rFonts w:ascii="Arial Narrow" w:eastAsia="Arial Narrow" w:hAnsi="Arial Narrow" w:cs="Arial Narrow"/>
                <w:color w:val="000000" w:themeColor="text1"/>
                <w:sz w:val="20"/>
                <w:vertAlign w:val="superscript"/>
                <w:lang w:val="en-US"/>
              </w:rPr>
              <w:t>a</w:t>
            </w:r>
          </w:p>
          <w:p w14:paraId="17BC5D5F" w14:textId="77777777" w:rsidR="0049614F" w:rsidRDefault="0049614F" w:rsidP="005A5740">
            <w:pPr>
              <w:pStyle w:val="TableH28pt"/>
              <w:spacing w:before="0" w:after="0"/>
              <w:jc w:val="center"/>
              <w:rPr>
                <w:rFonts w:ascii="Arial Narrow" w:eastAsia="Arial Narrow" w:hAnsi="Arial Narrow" w:cs="Arial Narrow"/>
                <w:color w:val="000000" w:themeColor="text1"/>
                <w:sz w:val="20"/>
              </w:rPr>
            </w:pPr>
            <w:r w:rsidRPr="7D413406">
              <w:rPr>
                <w:rFonts w:ascii="Arial Narrow" w:eastAsia="Arial Narrow" w:hAnsi="Arial Narrow" w:cs="Arial Narrow"/>
                <w:color w:val="000000" w:themeColor="text1"/>
                <w:sz w:val="20"/>
                <w:lang w:val="en-US"/>
              </w:rPr>
              <w:t>(SE; 95% CI)</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3056BADD" w14:textId="77777777" w:rsidR="0049614F" w:rsidRDefault="0049614F" w:rsidP="005A5740">
            <w:pPr>
              <w:pStyle w:val="TableH28pt"/>
              <w:spacing w:before="0" w:after="0"/>
              <w:jc w:val="center"/>
              <w:rPr>
                <w:rFonts w:ascii="Arial Narrow" w:eastAsia="Arial Narrow" w:hAnsi="Arial Narrow" w:cs="Arial Narrow"/>
                <w:color w:val="000000" w:themeColor="text1"/>
                <w:sz w:val="20"/>
              </w:rPr>
            </w:pPr>
            <w:r w:rsidRPr="7D413406">
              <w:rPr>
                <w:rFonts w:ascii="Arial Narrow" w:eastAsia="Arial Narrow" w:hAnsi="Arial Narrow" w:cs="Arial Narrow"/>
                <w:color w:val="000000" w:themeColor="text1"/>
                <w:sz w:val="20"/>
                <w:lang w:val="en-US"/>
              </w:rPr>
              <w:t xml:space="preserve">p value </w:t>
            </w:r>
            <w:r w:rsidRPr="7D413406">
              <w:rPr>
                <w:rFonts w:ascii="Arial Narrow" w:eastAsia="Arial Narrow" w:hAnsi="Arial Narrow" w:cs="Arial Narrow"/>
                <w:color w:val="000000" w:themeColor="text1"/>
                <w:sz w:val="20"/>
                <w:vertAlign w:val="superscript"/>
                <w:lang w:val="en-US"/>
              </w:rPr>
              <w:t>b</w:t>
            </w:r>
          </w:p>
          <w:p w14:paraId="0A4B705A" w14:textId="77777777" w:rsidR="0049614F" w:rsidRDefault="0049614F" w:rsidP="005A5740">
            <w:pPr>
              <w:keepNext/>
              <w:keepLines/>
              <w:spacing w:before="0"/>
              <w:jc w:val="center"/>
              <w:rPr>
                <w:rFonts w:ascii="Arial Narrow" w:eastAsia="Arial Narrow" w:hAnsi="Arial Narrow" w:cs="Arial Narrow"/>
                <w:b/>
                <w:color w:val="000000" w:themeColor="text1"/>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0B21EBCA" w14:textId="77777777" w:rsidR="0049614F" w:rsidRDefault="0049614F" w:rsidP="005A5740">
            <w:pPr>
              <w:pStyle w:val="TableH28pt"/>
              <w:spacing w:before="0" w:after="0"/>
              <w:jc w:val="center"/>
              <w:rPr>
                <w:rFonts w:ascii="Arial Narrow" w:eastAsia="Arial Narrow" w:hAnsi="Arial Narrow" w:cs="Arial Narrow"/>
                <w:color w:val="000000" w:themeColor="text1"/>
                <w:sz w:val="20"/>
              </w:rPr>
            </w:pPr>
            <w:r w:rsidRPr="7D413406">
              <w:rPr>
                <w:rFonts w:ascii="Arial Narrow" w:eastAsia="Arial Narrow" w:hAnsi="Arial Narrow" w:cs="Arial Narrow"/>
                <w:color w:val="000000" w:themeColor="text1"/>
                <w:sz w:val="20"/>
                <w:lang w:val="en-US"/>
              </w:rPr>
              <w:t>ESG (primary and crossover) N</w:t>
            </w:r>
            <w:r w:rsidRPr="39A02828">
              <w:rPr>
                <w:rFonts w:ascii="Arial Narrow" w:eastAsia="Arial Narrow" w:hAnsi="Arial Narrow" w:cs="Arial Narrow"/>
                <w:color w:val="000000" w:themeColor="text1"/>
                <w:sz w:val="20"/>
                <w:lang w:val="en-US"/>
              </w:rPr>
              <w:t>/</w:t>
            </w:r>
            <w:r w:rsidRPr="7D413406">
              <w:rPr>
                <w:rFonts w:ascii="Arial Narrow" w:eastAsia="Arial Narrow" w:hAnsi="Arial Narrow" w:cs="Arial Narrow"/>
                <w:color w:val="000000" w:themeColor="text1"/>
                <w:sz w:val="20"/>
                <w:lang w:val="en-US"/>
              </w:rPr>
              <w:t xml:space="preserve"> (%; n)</w:t>
            </w:r>
            <w:r w:rsidRPr="00D76EFB">
              <w:rPr>
                <w:rFonts w:ascii="Arial Narrow" w:eastAsia="Arial Narrow" w:hAnsi="Arial Narrow" w:cs="Arial Narrow"/>
                <w:color w:val="000000" w:themeColor="text1"/>
                <w:sz w:val="20"/>
                <w:vertAlign w:val="superscript"/>
                <w:lang w:val="en-US"/>
              </w:rPr>
              <w:t>c</w:t>
            </w:r>
          </w:p>
        </w:tc>
      </w:tr>
      <w:tr w:rsidR="0049614F" w14:paraId="0DACBA01" w14:textId="77777777" w:rsidTr="005A5740">
        <w:trPr>
          <w:trHeight w:val="300"/>
        </w:trPr>
        <w:tc>
          <w:tcPr>
            <w:tcW w:w="2827" w:type="dxa"/>
            <w:tcBorders>
              <w:top w:val="single" w:sz="6" w:space="0" w:color="auto"/>
              <w:left w:val="single" w:sz="6" w:space="0" w:color="auto"/>
              <w:bottom w:val="single" w:sz="6" w:space="0" w:color="auto"/>
              <w:right w:val="nil"/>
            </w:tcBorders>
            <w:tcMar>
              <w:left w:w="105" w:type="dxa"/>
              <w:right w:w="105" w:type="dxa"/>
            </w:tcMar>
            <w:vAlign w:val="center"/>
          </w:tcPr>
          <w:p w14:paraId="77642878" w14:textId="77777777" w:rsidR="0049614F" w:rsidRDefault="0049614F" w:rsidP="005A5740">
            <w:pPr>
              <w:pStyle w:val="Tabletext8pt"/>
              <w:spacing w:before="0" w:after="0"/>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Diabetes</w:t>
            </w:r>
          </w:p>
        </w:tc>
        <w:tc>
          <w:tcPr>
            <w:tcW w:w="1985" w:type="dxa"/>
            <w:tcBorders>
              <w:top w:val="single" w:sz="6" w:space="0" w:color="auto"/>
              <w:left w:val="nil"/>
              <w:bottom w:val="single" w:sz="6" w:space="0" w:color="auto"/>
              <w:right w:val="nil"/>
            </w:tcBorders>
            <w:tcMar>
              <w:left w:w="105" w:type="dxa"/>
              <w:right w:w="105" w:type="dxa"/>
            </w:tcMar>
            <w:vAlign w:val="center"/>
          </w:tcPr>
          <w:p w14:paraId="58718BE3" w14:textId="77777777" w:rsidR="0049614F" w:rsidRDefault="0049614F" w:rsidP="005A5740">
            <w:pPr>
              <w:keepNext/>
              <w:spacing w:before="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w:t>
            </w:r>
          </w:p>
        </w:tc>
        <w:tc>
          <w:tcPr>
            <w:tcW w:w="2126" w:type="dxa"/>
            <w:tcBorders>
              <w:top w:val="single" w:sz="6" w:space="0" w:color="auto"/>
              <w:left w:val="nil"/>
              <w:bottom w:val="single" w:sz="6" w:space="0" w:color="auto"/>
              <w:right w:val="nil"/>
            </w:tcBorders>
            <w:tcMar>
              <w:left w:w="105" w:type="dxa"/>
              <w:right w:w="105" w:type="dxa"/>
            </w:tcMar>
            <w:vAlign w:val="center"/>
          </w:tcPr>
          <w:p w14:paraId="17106CE4" w14:textId="77777777" w:rsidR="0049614F" w:rsidRDefault="0049614F" w:rsidP="005A5740">
            <w:pPr>
              <w:keepNext/>
              <w:spacing w:before="0"/>
              <w:jc w:val="center"/>
              <w:rPr>
                <w:rFonts w:ascii="Arial Narrow" w:eastAsia="Arial Narrow" w:hAnsi="Arial Narrow" w:cs="Arial Narrow"/>
                <w:color w:val="000000" w:themeColor="text1"/>
                <w:sz w:val="20"/>
                <w:szCs w:val="20"/>
              </w:rPr>
            </w:pPr>
          </w:p>
        </w:tc>
        <w:tc>
          <w:tcPr>
            <w:tcW w:w="2410" w:type="dxa"/>
            <w:tcBorders>
              <w:top w:val="single" w:sz="6" w:space="0" w:color="auto"/>
              <w:left w:val="nil"/>
              <w:bottom w:val="single" w:sz="6" w:space="0" w:color="auto"/>
              <w:right w:val="nil"/>
            </w:tcBorders>
            <w:tcMar>
              <w:left w:w="105" w:type="dxa"/>
              <w:right w:w="105" w:type="dxa"/>
            </w:tcMar>
            <w:vAlign w:val="center"/>
          </w:tcPr>
          <w:p w14:paraId="6C2E301B" w14:textId="77777777" w:rsidR="0049614F" w:rsidRDefault="0049614F" w:rsidP="005A5740">
            <w:pPr>
              <w:keepNext/>
              <w:spacing w:before="0"/>
              <w:jc w:val="center"/>
              <w:rPr>
                <w:rFonts w:ascii="Arial Narrow" w:eastAsia="Arial Narrow" w:hAnsi="Arial Narrow" w:cs="Arial Narrow"/>
                <w:color w:val="000000" w:themeColor="text1"/>
                <w:sz w:val="20"/>
                <w:szCs w:val="20"/>
              </w:rPr>
            </w:pPr>
          </w:p>
        </w:tc>
        <w:tc>
          <w:tcPr>
            <w:tcW w:w="1276" w:type="dxa"/>
            <w:tcBorders>
              <w:top w:val="single" w:sz="6" w:space="0" w:color="auto"/>
              <w:left w:val="nil"/>
              <w:bottom w:val="single" w:sz="6" w:space="0" w:color="auto"/>
              <w:right w:val="single" w:sz="6" w:space="0" w:color="auto"/>
            </w:tcBorders>
            <w:tcMar>
              <w:left w:w="105" w:type="dxa"/>
              <w:right w:w="105" w:type="dxa"/>
            </w:tcMar>
            <w:vAlign w:val="center"/>
          </w:tcPr>
          <w:p w14:paraId="42F86E60" w14:textId="77777777" w:rsidR="0049614F" w:rsidRDefault="0049614F" w:rsidP="005A5740">
            <w:pPr>
              <w:keepNext/>
              <w:spacing w:before="0"/>
              <w:jc w:val="center"/>
              <w:rPr>
                <w:rFonts w:ascii="Arial Narrow" w:eastAsia="Arial Narrow" w:hAnsi="Arial Narrow" w:cs="Arial Narrow"/>
                <w:color w:val="000000" w:themeColor="text1"/>
                <w:sz w:val="20"/>
                <w:szCs w:val="20"/>
              </w:rPr>
            </w:pP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AF2860" w14:textId="77777777" w:rsidR="0049614F" w:rsidRDefault="0049614F" w:rsidP="005A5740">
            <w:pPr>
              <w:keepNext/>
              <w:spacing w:before="0"/>
              <w:jc w:val="center"/>
              <w:rPr>
                <w:rFonts w:ascii="Arial Narrow" w:eastAsia="Arial Narrow" w:hAnsi="Arial Narrow" w:cs="Arial Narrow"/>
                <w:color w:val="000000" w:themeColor="text1"/>
                <w:sz w:val="20"/>
                <w:szCs w:val="20"/>
              </w:rPr>
            </w:pPr>
          </w:p>
        </w:tc>
      </w:tr>
      <w:tr w:rsidR="0049614F" w14:paraId="068F316B" w14:textId="77777777" w:rsidTr="005A5740">
        <w:trPr>
          <w:trHeight w:val="300"/>
        </w:trPr>
        <w:tc>
          <w:tcPr>
            <w:tcW w:w="282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6864A6" w14:textId="77777777" w:rsidR="0049614F" w:rsidRPr="00CB0FFF" w:rsidRDefault="0049614F" w:rsidP="005A5740">
            <w:pPr>
              <w:keepNext/>
              <w:keepLines/>
              <w:spacing w:before="0"/>
              <w:ind w:left="284"/>
              <w:rPr>
                <w:rFonts w:ascii="Arial Narrow" w:eastAsia="Arial Narrow" w:hAnsi="Arial Narrow" w:cs="Arial Narrow"/>
                <w:color w:val="000000" w:themeColor="text1"/>
                <w:sz w:val="20"/>
                <w:szCs w:val="20"/>
                <w:vertAlign w:val="superscript"/>
              </w:rPr>
            </w:pPr>
            <w:r w:rsidRPr="2AA1CA0C">
              <w:rPr>
                <w:rFonts w:ascii="Arial Narrow" w:eastAsia="Arial Narrow" w:hAnsi="Arial Narrow" w:cs="Arial Narrow"/>
                <w:color w:val="000000" w:themeColor="text1"/>
                <w:sz w:val="20"/>
                <w:szCs w:val="20"/>
              </w:rPr>
              <w:t>Improving</w:t>
            </w:r>
            <w:r w:rsidRPr="2AA1CA0C">
              <w:rPr>
                <w:rFonts w:ascii="Arial Narrow" w:eastAsia="Arial Narrow" w:hAnsi="Arial Narrow" w:cs="Arial Narrow"/>
                <w:color w:val="000000" w:themeColor="text1"/>
                <w:sz w:val="20"/>
                <w:szCs w:val="20"/>
                <w:vertAlign w:val="superscript"/>
              </w:rPr>
              <w:t>d</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E9F531"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92% (12/13; 65–100)</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703E2D"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15% (4/27; 5–33)</w:t>
            </w:r>
          </w:p>
        </w:tc>
        <w:tc>
          <w:tcPr>
            <w:tcW w:w="24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0E3B56"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–77.5 (10.1; –91.4 –47.4)</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0716CE"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&lt;0.0001</w:t>
            </w: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029808"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93% (25/27; 76–99)</w:t>
            </w:r>
          </w:p>
        </w:tc>
      </w:tr>
      <w:tr w:rsidR="0049614F" w14:paraId="6A9B7BE9" w14:textId="77777777" w:rsidTr="005A5740">
        <w:trPr>
          <w:trHeight w:val="300"/>
        </w:trPr>
        <w:tc>
          <w:tcPr>
            <w:tcW w:w="282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67866D" w14:textId="77777777" w:rsidR="0049614F" w:rsidRDefault="0049614F" w:rsidP="005A5740">
            <w:pPr>
              <w:keepNext/>
              <w:keepLines/>
              <w:spacing w:before="0"/>
              <w:ind w:left="284"/>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Worsening</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9CD20D"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0% (0/13; 0–27)</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32F705"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44% (12/27; 28–63)</w:t>
            </w:r>
          </w:p>
        </w:tc>
        <w:tc>
          <w:tcPr>
            <w:tcW w:w="24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3B3A6E"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44.4 (9.6; 16.1–60.2)</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3D6FF7"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0.0041</w:t>
            </w: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FD470D"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0% (0/27; 0–15)</w:t>
            </w:r>
          </w:p>
        </w:tc>
      </w:tr>
      <w:tr w:rsidR="0049614F" w14:paraId="42E3AB77" w14:textId="77777777" w:rsidTr="005A5740">
        <w:trPr>
          <w:trHeight w:val="300"/>
        </w:trPr>
        <w:tc>
          <w:tcPr>
            <w:tcW w:w="2827" w:type="dxa"/>
            <w:tcBorders>
              <w:top w:val="single" w:sz="6" w:space="0" w:color="auto"/>
              <w:left w:val="single" w:sz="6" w:space="0" w:color="auto"/>
              <w:bottom w:val="single" w:sz="6" w:space="0" w:color="auto"/>
              <w:right w:val="nil"/>
            </w:tcBorders>
            <w:tcMar>
              <w:left w:w="105" w:type="dxa"/>
              <w:right w:w="105" w:type="dxa"/>
            </w:tcMar>
            <w:vAlign w:val="center"/>
          </w:tcPr>
          <w:p w14:paraId="69ED90B4" w14:textId="77777777" w:rsidR="0049614F" w:rsidRDefault="0049614F" w:rsidP="005A5740">
            <w:pPr>
              <w:pStyle w:val="Tabletext8pt"/>
              <w:spacing w:before="0" w:after="0"/>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Hyperlipidaemia</w:t>
            </w:r>
          </w:p>
        </w:tc>
        <w:tc>
          <w:tcPr>
            <w:tcW w:w="1985" w:type="dxa"/>
            <w:tcBorders>
              <w:top w:val="single" w:sz="6" w:space="0" w:color="auto"/>
              <w:left w:val="nil"/>
              <w:bottom w:val="single" w:sz="6" w:space="0" w:color="auto"/>
              <w:right w:val="nil"/>
            </w:tcBorders>
            <w:tcMar>
              <w:left w:w="105" w:type="dxa"/>
              <w:right w:w="105" w:type="dxa"/>
            </w:tcMar>
            <w:vAlign w:val="center"/>
          </w:tcPr>
          <w:p w14:paraId="59D53B48" w14:textId="77777777" w:rsidR="0049614F" w:rsidRDefault="0049614F" w:rsidP="005A5740">
            <w:pPr>
              <w:keepNext/>
              <w:spacing w:before="0"/>
              <w:jc w:val="center"/>
              <w:rPr>
                <w:rFonts w:ascii="Arial Narrow" w:eastAsia="Arial Narrow" w:hAnsi="Arial Narrow" w:cs="Arial Narrow"/>
                <w:color w:val="000000" w:themeColor="text1"/>
                <w:sz w:val="20"/>
                <w:szCs w:val="20"/>
              </w:rPr>
            </w:pPr>
          </w:p>
        </w:tc>
        <w:tc>
          <w:tcPr>
            <w:tcW w:w="2126" w:type="dxa"/>
            <w:tcBorders>
              <w:top w:val="single" w:sz="6" w:space="0" w:color="auto"/>
              <w:left w:val="nil"/>
              <w:bottom w:val="single" w:sz="6" w:space="0" w:color="auto"/>
              <w:right w:val="nil"/>
            </w:tcBorders>
            <w:tcMar>
              <w:left w:w="105" w:type="dxa"/>
              <w:right w:w="105" w:type="dxa"/>
            </w:tcMar>
            <w:vAlign w:val="center"/>
          </w:tcPr>
          <w:p w14:paraId="64501697" w14:textId="77777777" w:rsidR="0049614F" w:rsidRDefault="0049614F" w:rsidP="005A5740">
            <w:pPr>
              <w:keepNext/>
              <w:spacing w:before="0"/>
              <w:jc w:val="center"/>
              <w:rPr>
                <w:rFonts w:ascii="Arial Narrow" w:eastAsia="Arial Narrow" w:hAnsi="Arial Narrow" w:cs="Arial Narrow"/>
                <w:color w:val="000000" w:themeColor="text1"/>
                <w:sz w:val="20"/>
                <w:szCs w:val="20"/>
              </w:rPr>
            </w:pPr>
          </w:p>
        </w:tc>
        <w:tc>
          <w:tcPr>
            <w:tcW w:w="2410" w:type="dxa"/>
            <w:tcBorders>
              <w:top w:val="single" w:sz="6" w:space="0" w:color="auto"/>
              <w:left w:val="nil"/>
              <w:bottom w:val="single" w:sz="6" w:space="0" w:color="auto"/>
              <w:right w:val="nil"/>
            </w:tcBorders>
            <w:tcMar>
              <w:left w:w="105" w:type="dxa"/>
              <w:right w:w="105" w:type="dxa"/>
            </w:tcMar>
            <w:vAlign w:val="center"/>
          </w:tcPr>
          <w:p w14:paraId="6F7F8C19" w14:textId="77777777" w:rsidR="0049614F" w:rsidRDefault="0049614F" w:rsidP="005A5740">
            <w:pPr>
              <w:keepNext/>
              <w:spacing w:before="0"/>
              <w:jc w:val="center"/>
              <w:rPr>
                <w:rFonts w:ascii="Arial Narrow" w:eastAsia="Arial Narrow" w:hAnsi="Arial Narrow" w:cs="Arial Narrow"/>
                <w:color w:val="000000" w:themeColor="text1"/>
                <w:sz w:val="20"/>
                <w:szCs w:val="20"/>
              </w:rPr>
            </w:pPr>
          </w:p>
        </w:tc>
        <w:tc>
          <w:tcPr>
            <w:tcW w:w="1276" w:type="dxa"/>
            <w:tcBorders>
              <w:top w:val="single" w:sz="6" w:space="0" w:color="auto"/>
              <w:left w:val="nil"/>
              <w:bottom w:val="single" w:sz="6" w:space="0" w:color="auto"/>
              <w:right w:val="single" w:sz="6" w:space="0" w:color="auto"/>
            </w:tcBorders>
            <w:tcMar>
              <w:left w:w="105" w:type="dxa"/>
              <w:right w:w="105" w:type="dxa"/>
            </w:tcMar>
            <w:vAlign w:val="center"/>
          </w:tcPr>
          <w:p w14:paraId="0B2E94D8" w14:textId="77777777" w:rsidR="0049614F" w:rsidRDefault="0049614F" w:rsidP="005A5740">
            <w:pPr>
              <w:keepNext/>
              <w:spacing w:before="0"/>
              <w:jc w:val="center"/>
              <w:rPr>
                <w:rFonts w:ascii="Arial Narrow" w:eastAsia="Arial Narrow" w:hAnsi="Arial Narrow" w:cs="Arial Narrow"/>
                <w:color w:val="000000" w:themeColor="text1"/>
                <w:sz w:val="20"/>
                <w:szCs w:val="20"/>
              </w:rPr>
            </w:pP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10DC64" w14:textId="77777777" w:rsidR="0049614F" w:rsidRDefault="0049614F" w:rsidP="005A5740">
            <w:pPr>
              <w:keepNext/>
              <w:spacing w:before="0"/>
              <w:jc w:val="center"/>
              <w:rPr>
                <w:rFonts w:ascii="Arial Narrow" w:eastAsia="Arial Narrow" w:hAnsi="Arial Narrow" w:cs="Arial Narrow"/>
                <w:color w:val="000000" w:themeColor="text1"/>
                <w:sz w:val="20"/>
                <w:szCs w:val="20"/>
              </w:rPr>
            </w:pPr>
          </w:p>
        </w:tc>
      </w:tr>
      <w:tr w:rsidR="0049614F" w14:paraId="407CB43C" w14:textId="77777777" w:rsidTr="005A5740">
        <w:trPr>
          <w:trHeight w:val="300"/>
        </w:trPr>
        <w:tc>
          <w:tcPr>
            <w:tcW w:w="282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35C47B" w14:textId="77777777" w:rsidR="0049614F" w:rsidRDefault="0049614F" w:rsidP="005A5740">
            <w:pPr>
              <w:keepNext/>
              <w:keepLines/>
              <w:spacing w:before="0"/>
              <w:ind w:left="284"/>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Improving</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BF6AC4"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40% (6/15; 20–64)</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6FB101"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32% (8/25; 17–52)</w:t>
            </w:r>
          </w:p>
        </w:tc>
        <w:tc>
          <w:tcPr>
            <w:tcW w:w="24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E637FF"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8.0 (15.7; –37– –22)</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FF1A29"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0.61</w:t>
            </w: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9B7FA5"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30% (7/23; 10–15)</w:t>
            </w:r>
          </w:p>
        </w:tc>
      </w:tr>
      <w:tr w:rsidR="0049614F" w14:paraId="147DEC6E" w14:textId="77777777" w:rsidTr="005A5740">
        <w:trPr>
          <w:trHeight w:val="300"/>
        </w:trPr>
        <w:tc>
          <w:tcPr>
            <w:tcW w:w="282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1B2CBB" w14:textId="77777777" w:rsidR="0049614F" w:rsidRDefault="0049614F" w:rsidP="005A5740">
            <w:pPr>
              <w:keepNext/>
              <w:keepLines/>
              <w:spacing w:before="0"/>
              <w:ind w:left="284"/>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Worsening</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8FA7A0"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27% (4/15; 11–52)</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1E669D"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28% (7/25; 14–48)</w:t>
            </w:r>
          </w:p>
        </w:tc>
        <w:tc>
          <w:tcPr>
            <w:tcW w:w="24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536570"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1.3 (14.9; –28–28)</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672958"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0.93</w:t>
            </w: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A9DC86"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30% (7/23; 10–15)</w:t>
            </w:r>
          </w:p>
        </w:tc>
      </w:tr>
      <w:tr w:rsidR="0049614F" w14:paraId="73675007" w14:textId="77777777" w:rsidTr="005A5740">
        <w:trPr>
          <w:trHeight w:val="300"/>
        </w:trPr>
        <w:tc>
          <w:tcPr>
            <w:tcW w:w="2827" w:type="dxa"/>
            <w:tcBorders>
              <w:top w:val="single" w:sz="6" w:space="0" w:color="auto"/>
              <w:left w:val="single" w:sz="6" w:space="0" w:color="auto"/>
              <w:bottom w:val="single" w:sz="6" w:space="0" w:color="auto"/>
              <w:right w:val="nil"/>
            </w:tcBorders>
            <w:tcMar>
              <w:left w:w="105" w:type="dxa"/>
              <w:right w:w="105" w:type="dxa"/>
            </w:tcMar>
            <w:vAlign w:val="center"/>
          </w:tcPr>
          <w:p w14:paraId="3DE3F314" w14:textId="77777777" w:rsidR="0049614F" w:rsidRDefault="0049614F" w:rsidP="005A5740">
            <w:pPr>
              <w:pStyle w:val="Tabletext8pt"/>
              <w:spacing w:before="0" w:after="0"/>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Hypertension</w:t>
            </w:r>
          </w:p>
        </w:tc>
        <w:tc>
          <w:tcPr>
            <w:tcW w:w="1985" w:type="dxa"/>
            <w:tcBorders>
              <w:top w:val="single" w:sz="6" w:space="0" w:color="auto"/>
              <w:left w:val="nil"/>
              <w:bottom w:val="single" w:sz="6" w:space="0" w:color="auto"/>
              <w:right w:val="nil"/>
            </w:tcBorders>
            <w:tcMar>
              <w:left w:w="105" w:type="dxa"/>
              <w:right w:w="105" w:type="dxa"/>
            </w:tcMar>
            <w:vAlign w:val="center"/>
          </w:tcPr>
          <w:p w14:paraId="6CF12C2A" w14:textId="77777777" w:rsidR="0049614F" w:rsidRDefault="0049614F" w:rsidP="005A5740">
            <w:pPr>
              <w:keepNext/>
              <w:spacing w:before="0"/>
              <w:jc w:val="center"/>
              <w:rPr>
                <w:rFonts w:ascii="Arial Narrow" w:eastAsia="Arial Narrow" w:hAnsi="Arial Narrow" w:cs="Arial Narrow"/>
                <w:color w:val="000000" w:themeColor="text1"/>
                <w:sz w:val="20"/>
                <w:szCs w:val="20"/>
              </w:rPr>
            </w:pPr>
          </w:p>
        </w:tc>
        <w:tc>
          <w:tcPr>
            <w:tcW w:w="2126" w:type="dxa"/>
            <w:tcBorders>
              <w:top w:val="single" w:sz="6" w:space="0" w:color="auto"/>
              <w:left w:val="nil"/>
              <w:bottom w:val="single" w:sz="6" w:space="0" w:color="auto"/>
              <w:right w:val="nil"/>
            </w:tcBorders>
            <w:tcMar>
              <w:left w:w="105" w:type="dxa"/>
              <w:right w:w="105" w:type="dxa"/>
            </w:tcMar>
            <w:vAlign w:val="center"/>
          </w:tcPr>
          <w:p w14:paraId="7B3848A8" w14:textId="77777777" w:rsidR="0049614F" w:rsidRDefault="0049614F" w:rsidP="005A5740">
            <w:pPr>
              <w:keepNext/>
              <w:spacing w:before="0"/>
              <w:jc w:val="center"/>
              <w:rPr>
                <w:rFonts w:ascii="Arial Narrow" w:eastAsia="Arial Narrow" w:hAnsi="Arial Narrow" w:cs="Arial Narrow"/>
                <w:color w:val="000000" w:themeColor="text1"/>
                <w:sz w:val="20"/>
                <w:szCs w:val="20"/>
              </w:rPr>
            </w:pPr>
          </w:p>
        </w:tc>
        <w:tc>
          <w:tcPr>
            <w:tcW w:w="2410" w:type="dxa"/>
            <w:tcBorders>
              <w:top w:val="single" w:sz="6" w:space="0" w:color="auto"/>
              <w:left w:val="nil"/>
              <w:bottom w:val="single" w:sz="6" w:space="0" w:color="auto"/>
              <w:right w:val="nil"/>
            </w:tcBorders>
            <w:tcMar>
              <w:left w:w="105" w:type="dxa"/>
              <w:right w:w="105" w:type="dxa"/>
            </w:tcMar>
            <w:vAlign w:val="center"/>
          </w:tcPr>
          <w:p w14:paraId="3948498C" w14:textId="77777777" w:rsidR="0049614F" w:rsidRDefault="0049614F" w:rsidP="005A5740">
            <w:pPr>
              <w:keepNext/>
              <w:spacing w:before="0"/>
              <w:jc w:val="center"/>
              <w:rPr>
                <w:rFonts w:ascii="Arial Narrow" w:eastAsia="Arial Narrow" w:hAnsi="Arial Narrow" w:cs="Arial Narrow"/>
                <w:color w:val="000000" w:themeColor="text1"/>
                <w:sz w:val="20"/>
                <w:szCs w:val="20"/>
              </w:rPr>
            </w:pPr>
          </w:p>
        </w:tc>
        <w:tc>
          <w:tcPr>
            <w:tcW w:w="1276" w:type="dxa"/>
            <w:tcBorders>
              <w:top w:val="single" w:sz="6" w:space="0" w:color="auto"/>
              <w:left w:val="nil"/>
              <w:bottom w:val="single" w:sz="6" w:space="0" w:color="auto"/>
              <w:right w:val="single" w:sz="6" w:space="0" w:color="auto"/>
            </w:tcBorders>
            <w:tcMar>
              <w:left w:w="105" w:type="dxa"/>
              <w:right w:w="105" w:type="dxa"/>
            </w:tcMar>
            <w:vAlign w:val="center"/>
          </w:tcPr>
          <w:p w14:paraId="253A44B8" w14:textId="77777777" w:rsidR="0049614F" w:rsidRDefault="0049614F" w:rsidP="005A5740">
            <w:pPr>
              <w:keepNext/>
              <w:spacing w:before="0"/>
              <w:jc w:val="center"/>
              <w:rPr>
                <w:rFonts w:ascii="Arial Narrow" w:eastAsia="Arial Narrow" w:hAnsi="Arial Narrow" w:cs="Arial Narrow"/>
                <w:color w:val="000000" w:themeColor="text1"/>
                <w:sz w:val="20"/>
                <w:szCs w:val="20"/>
              </w:rPr>
            </w:pP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6B1DE9" w14:textId="77777777" w:rsidR="0049614F" w:rsidRDefault="0049614F" w:rsidP="005A5740">
            <w:pPr>
              <w:keepNext/>
              <w:spacing w:before="0"/>
              <w:jc w:val="center"/>
              <w:rPr>
                <w:rFonts w:ascii="Arial Narrow" w:eastAsia="Arial Narrow" w:hAnsi="Arial Narrow" w:cs="Arial Narrow"/>
                <w:color w:val="000000" w:themeColor="text1"/>
                <w:sz w:val="20"/>
                <w:szCs w:val="20"/>
              </w:rPr>
            </w:pPr>
          </w:p>
        </w:tc>
      </w:tr>
      <w:tr w:rsidR="0049614F" w14:paraId="4467C3F7" w14:textId="77777777" w:rsidTr="005A5740">
        <w:trPr>
          <w:trHeight w:val="300"/>
        </w:trPr>
        <w:tc>
          <w:tcPr>
            <w:tcW w:w="282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761B52" w14:textId="77777777" w:rsidR="0049614F" w:rsidRDefault="0049614F" w:rsidP="005A5740">
            <w:pPr>
              <w:keepNext/>
              <w:keepLines/>
              <w:spacing w:before="0"/>
              <w:ind w:left="284"/>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Improving</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02FF85"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67% (24/36; 50–80)</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1145EA"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40% (19/48; 27–54)</w:t>
            </w:r>
          </w:p>
        </w:tc>
        <w:tc>
          <w:tcPr>
            <w:tcW w:w="24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B40F7A"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–27.1 (10.6; –46.1–5.5)</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C2A39F"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0.014</w:t>
            </w: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0BDE9B"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60% (39/65; 48–71)</w:t>
            </w:r>
          </w:p>
        </w:tc>
      </w:tr>
      <w:tr w:rsidR="0049614F" w14:paraId="0AE9B4F4" w14:textId="77777777" w:rsidTr="005A5740">
        <w:trPr>
          <w:trHeight w:val="300"/>
        </w:trPr>
        <w:tc>
          <w:tcPr>
            <w:tcW w:w="282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D5A489" w14:textId="77777777" w:rsidR="0049614F" w:rsidRDefault="0049614F" w:rsidP="005A5740">
            <w:pPr>
              <w:keepNext/>
              <w:keepLines/>
              <w:spacing w:before="0"/>
              <w:ind w:left="284"/>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Worsening</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15F263"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6% (2/36; 1–19)</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0098E8"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23% (11/48; 13–37)</w:t>
            </w:r>
          </w:p>
        </w:tc>
        <w:tc>
          <w:tcPr>
            <w:tcW w:w="24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F6C710"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17.4 (7.2; 1.5–30.7)</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3F6EEE"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0.029</w:t>
            </w: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8F6A32"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9% (6/65; 4–19)</w:t>
            </w:r>
          </w:p>
        </w:tc>
      </w:tr>
      <w:tr w:rsidR="0049614F" w14:paraId="586E43C6" w14:textId="77777777" w:rsidTr="005A5740">
        <w:trPr>
          <w:trHeight w:val="300"/>
        </w:trPr>
        <w:tc>
          <w:tcPr>
            <w:tcW w:w="2827" w:type="dxa"/>
            <w:tcBorders>
              <w:top w:val="single" w:sz="6" w:space="0" w:color="auto"/>
              <w:left w:val="single" w:sz="6" w:space="0" w:color="auto"/>
              <w:bottom w:val="single" w:sz="6" w:space="0" w:color="auto"/>
              <w:right w:val="nil"/>
            </w:tcBorders>
            <w:tcMar>
              <w:left w:w="105" w:type="dxa"/>
              <w:right w:w="105" w:type="dxa"/>
            </w:tcMar>
            <w:vAlign w:val="center"/>
          </w:tcPr>
          <w:p w14:paraId="42CFB9FD" w14:textId="77777777" w:rsidR="0049614F" w:rsidRDefault="0049614F" w:rsidP="005A5740">
            <w:pPr>
              <w:pStyle w:val="Tabletext8pt"/>
              <w:spacing w:before="0" w:after="0"/>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Metabolic syndrome</w:t>
            </w:r>
          </w:p>
        </w:tc>
        <w:tc>
          <w:tcPr>
            <w:tcW w:w="1985" w:type="dxa"/>
            <w:tcBorders>
              <w:top w:val="single" w:sz="6" w:space="0" w:color="auto"/>
              <w:left w:val="nil"/>
              <w:bottom w:val="single" w:sz="6" w:space="0" w:color="auto"/>
              <w:right w:val="nil"/>
            </w:tcBorders>
            <w:tcMar>
              <w:left w:w="105" w:type="dxa"/>
              <w:right w:w="105" w:type="dxa"/>
            </w:tcMar>
            <w:vAlign w:val="center"/>
          </w:tcPr>
          <w:p w14:paraId="361EE9BA" w14:textId="77777777" w:rsidR="0049614F" w:rsidRDefault="0049614F" w:rsidP="005A5740">
            <w:pPr>
              <w:keepNext/>
              <w:spacing w:before="0"/>
              <w:jc w:val="center"/>
              <w:rPr>
                <w:rFonts w:ascii="Arial Narrow" w:eastAsia="Arial Narrow" w:hAnsi="Arial Narrow" w:cs="Arial Narrow"/>
                <w:color w:val="000000" w:themeColor="text1"/>
                <w:sz w:val="20"/>
                <w:szCs w:val="20"/>
              </w:rPr>
            </w:pPr>
          </w:p>
        </w:tc>
        <w:tc>
          <w:tcPr>
            <w:tcW w:w="2126" w:type="dxa"/>
            <w:tcBorders>
              <w:top w:val="single" w:sz="6" w:space="0" w:color="auto"/>
              <w:left w:val="nil"/>
              <w:bottom w:val="single" w:sz="6" w:space="0" w:color="auto"/>
              <w:right w:val="nil"/>
            </w:tcBorders>
            <w:tcMar>
              <w:left w:w="105" w:type="dxa"/>
              <w:right w:w="105" w:type="dxa"/>
            </w:tcMar>
            <w:vAlign w:val="center"/>
          </w:tcPr>
          <w:p w14:paraId="5AF95963" w14:textId="77777777" w:rsidR="0049614F" w:rsidRDefault="0049614F" w:rsidP="005A5740">
            <w:pPr>
              <w:keepNext/>
              <w:spacing w:before="0"/>
              <w:jc w:val="center"/>
              <w:rPr>
                <w:rFonts w:ascii="Arial Narrow" w:eastAsia="Arial Narrow" w:hAnsi="Arial Narrow" w:cs="Arial Narrow"/>
                <w:color w:val="000000" w:themeColor="text1"/>
                <w:sz w:val="20"/>
                <w:szCs w:val="20"/>
              </w:rPr>
            </w:pPr>
          </w:p>
        </w:tc>
        <w:tc>
          <w:tcPr>
            <w:tcW w:w="2410" w:type="dxa"/>
            <w:tcBorders>
              <w:top w:val="single" w:sz="6" w:space="0" w:color="auto"/>
              <w:left w:val="nil"/>
              <w:bottom w:val="single" w:sz="6" w:space="0" w:color="auto"/>
              <w:right w:val="nil"/>
            </w:tcBorders>
            <w:tcMar>
              <w:left w:w="105" w:type="dxa"/>
              <w:right w:w="105" w:type="dxa"/>
            </w:tcMar>
            <w:vAlign w:val="center"/>
          </w:tcPr>
          <w:p w14:paraId="2AE71C7C" w14:textId="77777777" w:rsidR="0049614F" w:rsidRDefault="0049614F" w:rsidP="005A5740">
            <w:pPr>
              <w:keepNext/>
              <w:spacing w:before="0"/>
              <w:jc w:val="center"/>
              <w:rPr>
                <w:rFonts w:ascii="Arial Narrow" w:eastAsia="Arial Narrow" w:hAnsi="Arial Narrow" w:cs="Arial Narrow"/>
                <w:color w:val="000000" w:themeColor="text1"/>
                <w:sz w:val="20"/>
                <w:szCs w:val="20"/>
              </w:rPr>
            </w:pPr>
          </w:p>
        </w:tc>
        <w:tc>
          <w:tcPr>
            <w:tcW w:w="1276" w:type="dxa"/>
            <w:tcBorders>
              <w:top w:val="single" w:sz="6" w:space="0" w:color="auto"/>
              <w:left w:val="nil"/>
              <w:bottom w:val="single" w:sz="6" w:space="0" w:color="auto"/>
              <w:right w:val="single" w:sz="6" w:space="0" w:color="auto"/>
            </w:tcBorders>
            <w:tcMar>
              <w:left w:w="105" w:type="dxa"/>
              <w:right w:w="105" w:type="dxa"/>
            </w:tcMar>
            <w:vAlign w:val="center"/>
          </w:tcPr>
          <w:p w14:paraId="7F3C7BA3" w14:textId="77777777" w:rsidR="0049614F" w:rsidRDefault="0049614F" w:rsidP="005A5740">
            <w:pPr>
              <w:keepNext/>
              <w:spacing w:before="0"/>
              <w:jc w:val="center"/>
              <w:rPr>
                <w:rFonts w:ascii="Arial Narrow" w:eastAsia="Arial Narrow" w:hAnsi="Arial Narrow" w:cs="Arial Narrow"/>
                <w:color w:val="000000" w:themeColor="text1"/>
                <w:sz w:val="20"/>
                <w:szCs w:val="20"/>
              </w:rPr>
            </w:pP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601E11" w14:textId="77777777" w:rsidR="0049614F" w:rsidRDefault="0049614F" w:rsidP="005A5740">
            <w:pPr>
              <w:keepNext/>
              <w:spacing w:before="0"/>
              <w:jc w:val="center"/>
              <w:rPr>
                <w:rFonts w:ascii="Arial Narrow" w:eastAsia="Arial Narrow" w:hAnsi="Arial Narrow" w:cs="Arial Narrow"/>
                <w:color w:val="000000" w:themeColor="text1"/>
                <w:sz w:val="20"/>
                <w:szCs w:val="20"/>
              </w:rPr>
            </w:pPr>
          </w:p>
        </w:tc>
      </w:tr>
      <w:tr w:rsidR="0049614F" w14:paraId="09B55832" w14:textId="77777777" w:rsidTr="005A5740">
        <w:trPr>
          <w:trHeight w:val="300"/>
        </w:trPr>
        <w:tc>
          <w:tcPr>
            <w:tcW w:w="282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2AD55A" w14:textId="77777777" w:rsidR="0049614F" w:rsidRDefault="0049614F" w:rsidP="005A5740">
            <w:pPr>
              <w:keepNext/>
              <w:keepLines/>
              <w:spacing w:before="0"/>
              <w:ind w:left="284"/>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Improving</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47B00B"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83% (24/29; 65–93)</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396160"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35% (10/29; 20–53)</w:t>
            </w:r>
          </w:p>
        </w:tc>
        <w:tc>
          <w:tcPr>
            <w:tcW w:w="24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596F60"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–48.3 (11.3; –67.0– –23.3)</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128500"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0.0002</w:t>
            </w: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8523A6"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83% (35/42; 69–92)</w:t>
            </w:r>
          </w:p>
        </w:tc>
      </w:tr>
      <w:tr w:rsidR="0049614F" w14:paraId="5C65C4D4" w14:textId="77777777" w:rsidTr="005A5740">
        <w:trPr>
          <w:trHeight w:val="300"/>
        </w:trPr>
        <w:tc>
          <w:tcPr>
            <w:tcW w:w="282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05352F" w14:textId="77777777" w:rsidR="0049614F" w:rsidRDefault="0049614F" w:rsidP="005A5740">
            <w:pPr>
              <w:keepNext/>
              <w:keepLines/>
              <w:spacing w:before="0"/>
              <w:ind w:left="284"/>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Worsening</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D5F656"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0% (0/29; 0–14)</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5805CC"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38% (11/29; 23–56)</w:t>
            </w:r>
          </w:p>
        </w:tc>
        <w:tc>
          <w:tcPr>
            <w:tcW w:w="24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E36B08"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37.9 (9.0; 17.2–53.7)</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8DD890"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0.0002</w:t>
            </w: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B9F12B"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5% (2/42; 1–17)</w:t>
            </w:r>
          </w:p>
        </w:tc>
      </w:tr>
      <w:tr w:rsidR="0049614F" w14:paraId="77B6634C" w14:textId="77777777" w:rsidTr="005A5740">
        <w:trPr>
          <w:trHeight w:val="300"/>
        </w:trPr>
        <w:tc>
          <w:tcPr>
            <w:tcW w:w="4812" w:type="dxa"/>
            <w:gridSpan w:val="2"/>
            <w:tcBorders>
              <w:top w:val="single" w:sz="6" w:space="0" w:color="auto"/>
              <w:left w:val="single" w:sz="6" w:space="0" w:color="auto"/>
              <w:bottom w:val="single" w:sz="6" w:space="0" w:color="auto"/>
              <w:right w:val="nil"/>
            </w:tcBorders>
            <w:tcMar>
              <w:left w:w="105" w:type="dxa"/>
              <w:right w:w="105" w:type="dxa"/>
            </w:tcMar>
            <w:vAlign w:val="center"/>
          </w:tcPr>
          <w:p w14:paraId="473CDA6C" w14:textId="77777777" w:rsidR="0049614F" w:rsidRDefault="0049614F" w:rsidP="005A5740">
            <w:pPr>
              <w:pStyle w:val="Tabletext8pt"/>
              <w:spacing w:before="0" w:after="0"/>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Effect on multiple comorbid conditions</w:t>
            </w:r>
          </w:p>
        </w:tc>
        <w:tc>
          <w:tcPr>
            <w:tcW w:w="2126" w:type="dxa"/>
            <w:tcBorders>
              <w:top w:val="single" w:sz="6" w:space="0" w:color="auto"/>
              <w:left w:val="nil"/>
              <w:bottom w:val="single" w:sz="6" w:space="0" w:color="auto"/>
              <w:right w:val="nil"/>
            </w:tcBorders>
            <w:tcMar>
              <w:left w:w="105" w:type="dxa"/>
              <w:right w:w="105" w:type="dxa"/>
            </w:tcMar>
            <w:vAlign w:val="center"/>
          </w:tcPr>
          <w:p w14:paraId="0494402C" w14:textId="77777777" w:rsidR="0049614F" w:rsidRDefault="0049614F" w:rsidP="005A5740">
            <w:pPr>
              <w:keepNext/>
              <w:spacing w:before="0"/>
              <w:jc w:val="center"/>
              <w:rPr>
                <w:rFonts w:ascii="Arial Narrow" w:eastAsia="Arial Narrow" w:hAnsi="Arial Narrow" w:cs="Arial Narrow"/>
                <w:color w:val="000000" w:themeColor="text1"/>
                <w:sz w:val="20"/>
                <w:szCs w:val="20"/>
              </w:rPr>
            </w:pPr>
          </w:p>
        </w:tc>
        <w:tc>
          <w:tcPr>
            <w:tcW w:w="2410" w:type="dxa"/>
            <w:tcBorders>
              <w:top w:val="single" w:sz="6" w:space="0" w:color="auto"/>
              <w:left w:val="nil"/>
              <w:bottom w:val="single" w:sz="6" w:space="0" w:color="auto"/>
              <w:right w:val="nil"/>
            </w:tcBorders>
            <w:tcMar>
              <w:left w:w="105" w:type="dxa"/>
              <w:right w:w="105" w:type="dxa"/>
            </w:tcMar>
            <w:vAlign w:val="center"/>
          </w:tcPr>
          <w:p w14:paraId="466E90C8" w14:textId="77777777" w:rsidR="0049614F" w:rsidRDefault="0049614F" w:rsidP="005A5740">
            <w:pPr>
              <w:keepNext/>
              <w:spacing w:before="0"/>
              <w:jc w:val="center"/>
              <w:rPr>
                <w:rFonts w:ascii="Arial Narrow" w:eastAsia="Arial Narrow" w:hAnsi="Arial Narrow" w:cs="Arial Narrow"/>
                <w:color w:val="000000" w:themeColor="text1"/>
                <w:sz w:val="20"/>
                <w:szCs w:val="20"/>
              </w:rPr>
            </w:pPr>
          </w:p>
        </w:tc>
        <w:tc>
          <w:tcPr>
            <w:tcW w:w="1276" w:type="dxa"/>
            <w:tcBorders>
              <w:top w:val="single" w:sz="6" w:space="0" w:color="auto"/>
              <w:left w:val="nil"/>
              <w:bottom w:val="single" w:sz="6" w:space="0" w:color="auto"/>
              <w:right w:val="single" w:sz="6" w:space="0" w:color="auto"/>
            </w:tcBorders>
            <w:tcMar>
              <w:left w:w="105" w:type="dxa"/>
              <w:right w:w="105" w:type="dxa"/>
            </w:tcMar>
            <w:vAlign w:val="center"/>
          </w:tcPr>
          <w:p w14:paraId="1AB5165C" w14:textId="77777777" w:rsidR="0049614F" w:rsidRDefault="0049614F" w:rsidP="005A5740">
            <w:pPr>
              <w:keepNext/>
              <w:spacing w:before="0"/>
              <w:jc w:val="center"/>
              <w:rPr>
                <w:rFonts w:ascii="Arial Narrow" w:eastAsia="Arial Narrow" w:hAnsi="Arial Narrow" w:cs="Arial Narrow"/>
                <w:color w:val="000000" w:themeColor="text1"/>
                <w:sz w:val="20"/>
                <w:szCs w:val="20"/>
              </w:rPr>
            </w:pP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2788C3" w14:textId="77777777" w:rsidR="0049614F" w:rsidRDefault="0049614F" w:rsidP="005A5740">
            <w:pPr>
              <w:keepNext/>
              <w:spacing w:before="0"/>
              <w:jc w:val="center"/>
              <w:rPr>
                <w:rFonts w:ascii="Arial Narrow" w:eastAsia="Arial Narrow" w:hAnsi="Arial Narrow" w:cs="Arial Narrow"/>
                <w:color w:val="000000" w:themeColor="text1"/>
                <w:sz w:val="20"/>
                <w:szCs w:val="20"/>
              </w:rPr>
            </w:pPr>
          </w:p>
        </w:tc>
      </w:tr>
      <w:tr w:rsidR="0049614F" w14:paraId="34BC1F60" w14:textId="77777777" w:rsidTr="005A5740">
        <w:trPr>
          <w:trHeight w:val="300"/>
        </w:trPr>
        <w:tc>
          <w:tcPr>
            <w:tcW w:w="282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0C5F3C" w14:textId="77777777" w:rsidR="0049614F" w:rsidRDefault="0049614F" w:rsidP="005A5740">
            <w:pPr>
              <w:keepNext/>
              <w:keepLines/>
              <w:spacing w:before="0"/>
              <w:ind w:left="284"/>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Improved at least 1 condition</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AE47C2"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41 (80%; n=51)</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039179"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28 (45%; n=62)</w:t>
            </w:r>
          </w:p>
        </w:tc>
        <w:tc>
          <w:tcPr>
            <w:tcW w:w="24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F0D169"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9E65C4"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w:t>
            </w: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B2C1A9"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70 (78%; n=90)</w:t>
            </w:r>
          </w:p>
        </w:tc>
      </w:tr>
      <w:tr w:rsidR="0049614F" w14:paraId="4B446850" w14:textId="77777777" w:rsidTr="005A5740">
        <w:trPr>
          <w:trHeight w:val="300"/>
        </w:trPr>
        <w:tc>
          <w:tcPr>
            <w:tcW w:w="282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0C7B72" w14:textId="77777777" w:rsidR="0049614F" w:rsidRDefault="0049614F" w:rsidP="005A5740">
            <w:pPr>
              <w:keepNext/>
              <w:keepLines/>
              <w:spacing w:before="0"/>
              <w:ind w:left="284"/>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Worsened at least 1 condition</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E88886"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6 (12%; n=51)</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CA5ACB"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31 (50%; n=62)</w:t>
            </w:r>
          </w:p>
        </w:tc>
        <w:tc>
          <w:tcPr>
            <w:tcW w:w="24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09D69E"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7B4011"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w:t>
            </w: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55AFC2" w14:textId="77777777" w:rsidR="0049614F" w:rsidRDefault="0049614F" w:rsidP="005A5740">
            <w:pPr>
              <w:pStyle w:val="Tabletext8pt"/>
              <w:spacing w:before="0" w:after="0"/>
              <w:jc w:val="center"/>
              <w:rPr>
                <w:rFonts w:ascii="Arial Narrow" w:eastAsia="Arial Narrow" w:hAnsi="Arial Narrow" w:cs="Arial Narrow"/>
                <w:color w:val="000000" w:themeColor="text1"/>
                <w:sz w:val="20"/>
                <w:szCs w:val="20"/>
              </w:rPr>
            </w:pPr>
            <w:r w:rsidRPr="7D413406">
              <w:rPr>
                <w:rFonts w:ascii="Arial Narrow" w:eastAsia="Arial Narrow" w:hAnsi="Arial Narrow" w:cs="Arial Narrow"/>
                <w:color w:val="000000" w:themeColor="text1"/>
                <w:sz w:val="20"/>
                <w:szCs w:val="20"/>
              </w:rPr>
              <w:t>15 (17%; n=90)</w:t>
            </w:r>
          </w:p>
        </w:tc>
      </w:tr>
    </w:tbl>
    <w:p w14:paraId="1A629FCE" w14:textId="77777777" w:rsidR="0049614F" w:rsidRDefault="0049614F" w:rsidP="0049614F">
      <w:pPr>
        <w:contextualSpacing/>
        <w:rPr>
          <w:rFonts w:ascii="Arial Narrow" w:eastAsia="Arial Narrow" w:hAnsi="Arial Narrow" w:cs="Arial Narrow"/>
          <w:sz w:val="18"/>
          <w:szCs w:val="18"/>
        </w:rPr>
      </w:pPr>
      <w:r w:rsidRPr="2AA1CA0C">
        <w:rPr>
          <w:rFonts w:ascii="Arial Narrow" w:eastAsia="Arial Narrow" w:hAnsi="Arial Narrow" w:cs="Arial Narrow"/>
          <w:sz w:val="18"/>
          <w:szCs w:val="18"/>
        </w:rPr>
        <w:t>Abbreviations: CI: confidence interval; ESG: endoscopic sleeve gastroplasty; n: number of participants with that event; N: total number of participants in that group; SE: standard error</w:t>
      </w:r>
      <w:r>
        <w:br/>
      </w:r>
      <w:r w:rsidRPr="2AA1CA0C">
        <w:rPr>
          <w:rFonts w:ascii="Arial Narrow" w:eastAsia="Calibri" w:hAnsi="Arial Narrow" w:cs="Arial"/>
          <w:sz w:val="18"/>
          <w:szCs w:val="18"/>
        </w:rPr>
        <w:t>Notes</w:t>
      </w:r>
      <w:r w:rsidRPr="2AA1CA0C">
        <w:rPr>
          <w:rFonts w:ascii="Montserrat" w:eastAsia="Calibri" w:hAnsi="Montserrat" w:cs="Arial"/>
          <w:i/>
          <w:iCs/>
          <w:sz w:val="14"/>
          <w:szCs w:val="14"/>
        </w:rPr>
        <w:t>:</w:t>
      </w:r>
      <w:r w:rsidRPr="2AA1CA0C">
        <w:rPr>
          <w:rFonts w:ascii="Arial Narrow" w:eastAsia="Arial Narrow" w:hAnsi="Arial Narrow" w:cs="Arial Narrow"/>
          <w:sz w:val="18"/>
          <w:szCs w:val="18"/>
        </w:rPr>
        <w:t xml:space="preserve"> Data are rate (n/N; 95% CI), rate difference (SE; 95% CI) or n (%; N). A negative rate difference indicates that the ESG rate was greater than the control rate. </w:t>
      </w:r>
      <w:r>
        <w:br/>
      </w:r>
      <w:r w:rsidRPr="2AA1CA0C">
        <w:rPr>
          <w:rFonts w:ascii="Arial Narrow" w:eastAsia="Arial Narrow" w:hAnsi="Arial Narrow" w:cs="Arial Narrow"/>
          <w:sz w:val="18"/>
          <w:szCs w:val="18"/>
          <w:vertAlign w:val="superscript"/>
        </w:rPr>
        <w:t xml:space="preserve">a </w:t>
      </w:r>
      <w:r w:rsidRPr="2AA1CA0C">
        <w:rPr>
          <w:rFonts w:ascii="Arial Narrow" w:eastAsia="Arial Narrow" w:hAnsi="Arial Narrow" w:cs="Arial Narrow"/>
          <w:sz w:val="18"/>
          <w:szCs w:val="18"/>
        </w:rPr>
        <w:t>Mean difference calculated as the difference between the rate for the control group minus the ESG group</w:t>
      </w:r>
      <w:r>
        <w:br/>
      </w:r>
      <w:r w:rsidRPr="2AA1CA0C">
        <w:rPr>
          <w:rFonts w:ascii="Arial Narrow" w:eastAsia="Arial Narrow" w:hAnsi="Arial Narrow" w:cs="Arial Narrow"/>
          <w:sz w:val="18"/>
          <w:szCs w:val="18"/>
          <w:vertAlign w:val="superscript"/>
        </w:rPr>
        <w:t xml:space="preserve">b </w:t>
      </w:r>
      <w:r w:rsidRPr="2AA1CA0C">
        <w:rPr>
          <w:rFonts w:ascii="Arial Narrow" w:eastAsia="Arial Narrow" w:hAnsi="Arial Narrow" w:cs="Arial Narrow"/>
          <w:sz w:val="18"/>
          <w:szCs w:val="18"/>
        </w:rPr>
        <w:t>p value determined with an independent samples proportions test to evaluate differences between 2 rates</w:t>
      </w:r>
      <w:r>
        <w:br/>
      </w:r>
      <w:r w:rsidRPr="2AA1CA0C">
        <w:rPr>
          <w:rFonts w:ascii="Arial Narrow" w:eastAsia="Arial Narrow" w:hAnsi="Arial Narrow" w:cs="Arial Narrow"/>
          <w:sz w:val="18"/>
          <w:szCs w:val="18"/>
          <w:vertAlign w:val="superscript"/>
        </w:rPr>
        <w:t>c</w:t>
      </w:r>
      <w:r w:rsidRPr="2AA1CA0C">
        <w:rPr>
          <w:rFonts w:ascii="Arial Narrow" w:eastAsia="Arial Narrow" w:hAnsi="Arial Narrow" w:cs="Arial Narrow"/>
          <w:sz w:val="18"/>
          <w:szCs w:val="18"/>
        </w:rPr>
        <w:t xml:space="preserve"> Uncertainty regarding some results in this column presented within the ADAR</w:t>
      </w:r>
    </w:p>
    <w:p w14:paraId="5EBC6CDD" w14:textId="20B112B8" w:rsidR="0049614F" w:rsidRDefault="0049614F" w:rsidP="0049614F">
      <w:pPr>
        <w:spacing w:after="0"/>
        <w:rPr>
          <w:rStyle w:val="TableFigureFooterChar"/>
          <w:rFonts w:eastAsia="Arial Narrow"/>
        </w:rPr>
      </w:pPr>
      <w:r w:rsidRPr="2AA1CA0C">
        <w:rPr>
          <w:rStyle w:val="TableFigureFooterChar"/>
          <w:rFonts w:eastAsia="Arial Narrow"/>
        </w:rPr>
        <w:t>d Defined as decrease in medication (either number or dose) or decrease in HgbA1c ≥ 0.5%.</w:t>
      </w:r>
    </w:p>
    <w:p w14:paraId="1456F0C6" w14:textId="77777777" w:rsidR="0049614F" w:rsidRDefault="0049614F" w:rsidP="0049614F">
      <w:pPr>
        <w:spacing w:before="0"/>
        <w:rPr>
          <w:rFonts w:ascii="Arial Narrow" w:eastAsia="Arial Narrow" w:hAnsi="Arial Narrow" w:cs="Arial Narrow"/>
          <w:sz w:val="18"/>
          <w:szCs w:val="18"/>
        </w:rPr>
        <w:sectPr w:rsidR="0049614F" w:rsidSect="0049614F">
          <w:pgSz w:w="16838" w:h="11906" w:orient="landscape"/>
          <w:pgMar w:top="1440" w:right="1440" w:bottom="1440" w:left="1440" w:header="708" w:footer="708" w:gutter="0"/>
          <w:cols w:space="708"/>
          <w:docGrid w:linePitch="360"/>
        </w:sectPr>
      </w:pPr>
      <w:r w:rsidRPr="2AA1CA0C">
        <w:rPr>
          <w:rFonts w:ascii="Arial Narrow" w:eastAsia="Arial Narrow" w:hAnsi="Arial Narrow" w:cs="Arial Narrow"/>
          <w:sz w:val="18"/>
          <w:szCs w:val="18"/>
        </w:rPr>
        <w:t>Source: Abu Dayyeh, Bazerbachi et al. (2022) Table 2 pg. 448</w:t>
      </w:r>
    </w:p>
    <w:p w14:paraId="1BFF2FC0" w14:textId="154DA4EA" w:rsidR="1EF4B727" w:rsidRDefault="1EF4B727" w:rsidP="0049614F">
      <w:pPr>
        <w:pStyle w:val="Heading4"/>
      </w:pPr>
      <w:r w:rsidRPr="00DC46A2">
        <w:t>Revision/conversion to bariatric surgery</w:t>
      </w:r>
    </w:p>
    <w:p w14:paraId="24326893" w14:textId="398FF309" w:rsidR="007C094E" w:rsidRDefault="40663474" w:rsidP="00B20F9E">
      <w:r w:rsidRPr="2AA1CA0C">
        <w:t xml:space="preserve">Within the MERIT </w:t>
      </w:r>
      <w:r w:rsidR="00C27419" w:rsidRPr="2AA1CA0C">
        <w:t>trial</w:t>
      </w:r>
      <w:r w:rsidRPr="2AA1CA0C">
        <w:t xml:space="preserve">, patients who </w:t>
      </w:r>
      <w:r w:rsidR="00BA09F6" w:rsidRPr="2AA1CA0C">
        <w:t xml:space="preserve">did </w:t>
      </w:r>
      <w:r w:rsidRPr="2AA1CA0C">
        <w:t xml:space="preserve">not </w:t>
      </w:r>
      <w:r w:rsidR="00BA09F6" w:rsidRPr="2AA1CA0C">
        <w:t xml:space="preserve">reach </w:t>
      </w:r>
      <w:r w:rsidRPr="2AA1CA0C">
        <w:t xml:space="preserve">the 25% EWL endpoint or those </w:t>
      </w:r>
      <w:r w:rsidR="34BE10AE" w:rsidRPr="2AA1CA0C">
        <w:t>recommended</w:t>
      </w:r>
      <w:r w:rsidRPr="2AA1CA0C">
        <w:t xml:space="preserve"> by treating </w:t>
      </w:r>
      <w:r w:rsidR="0E1CC9FA" w:rsidRPr="2AA1CA0C">
        <w:t xml:space="preserve">investigators were considered for </w:t>
      </w:r>
      <w:r w:rsidR="00BA09F6" w:rsidRPr="2AA1CA0C">
        <w:t xml:space="preserve">a </w:t>
      </w:r>
      <w:r w:rsidR="0E1CC9FA" w:rsidRPr="2AA1CA0C">
        <w:t xml:space="preserve">retightening procedure at the </w:t>
      </w:r>
      <w:r w:rsidR="54A04D88" w:rsidRPr="2AA1CA0C">
        <w:t>52-week</w:t>
      </w:r>
      <w:r w:rsidR="0E1CC9FA" w:rsidRPr="2AA1CA0C">
        <w:t xml:space="preserve"> timepoint. </w:t>
      </w:r>
      <w:r w:rsidR="00A6379D" w:rsidRPr="2AA1CA0C">
        <w:t xml:space="preserve">Within the trial, </w:t>
      </w:r>
      <w:r w:rsidR="6203DD9F" w:rsidRPr="2AA1CA0C">
        <w:t>11 patients (14.3%) underwent retightening</w:t>
      </w:r>
      <w:r w:rsidR="00210D7C" w:rsidRPr="2AA1CA0C">
        <w:t>.</w:t>
      </w:r>
      <w:r w:rsidR="00277B19" w:rsidRPr="00D76EFB">
        <w:rPr>
          <w:vertAlign w:val="superscript"/>
        </w:rPr>
        <w:fldChar w:fldCharType="begin"/>
      </w:r>
      <w:r w:rsidR="00277B19" w:rsidRPr="00D76EFB">
        <w:rPr>
          <w:vertAlign w:val="superscript"/>
        </w:rPr>
        <w:instrText xml:space="preserve"> NOTEREF _Ref187068871 \h </w:instrText>
      </w:r>
      <w:r w:rsidR="00277B19">
        <w:rPr>
          <w:vertAlign w:val="superscript"/>
        </w:rPr>
        <w:instrText xml:space="preserve"> \* MERGEFORMAT </w:instrText>
      </w:r>
      <w:r w:rsidR="00277B19" w:rsidRPr="00D76EFB">
        <w:rPr>
          <w:vertAlign w:val="superscript"/>
        </w:rPr>
      </w:r>
      <w:r w:rsidR="00277B19" w:rsidRPr="00D76EFB">
        <w:rPr>
          <w:vertAlign w:val="superscript"/>
        </w:rPr>
        <w:fldChar w:fldCharType="separate"/>
      </w:r>
      <w:r w:rsidR="008F37D1">
        <w:rPr>
          <w:vertAlign w:val="superscript"/>
        </w:rPr>
        <w:t>20</w:t>
      </w:r>
      <w:r w:rsidR="00277B19" w:rsidRPr="00D76EFB">
        <w:rPr>
          <w:vertAlign w:val="superscript"/>
        </w:rPr>
        <w:fldChar w:fldCharType="end"/>
      </w:r>
      <w:r w:rsidR="00310D07" w:rsidRPr="2AA1CA0C">
        <w:rPr>
          <w:vertAlign w:val="superscript"/>
        </w:rPr>
        <w:t xml:space="preserve"> </w:t>
      </w:r>
      <w:r w:rsidR="6203DD9F" w:rsidRPr="2AA1CA0C">
        <w:t xml:space="preserve">According to experts cited within the ADAR, it </w:t>
      </w:r>
      <w:r w:rsidR="00A6379D" w:rsidRPr="2AA1CA0C">
        <w:t>i</w:t>
      </w:r>
      <w:r w:rsidR="6203DD9F" w:rsidRPr="2AA1CA0C">
        <w:t xml:space="preserve">s anticipated that the retightening </w:t>
      </w:r>
      <w:r w:rsidR="00A6379D" w:rsidRPr="2AA1CA0C">
        <w:t xml:space="preserve">rate </w:t>
      </w:r>
      <w:r w:rsidR="6203DD9F" w:rsidRPr="2AA1CA0C">
        <w:t>would</w:t>
      </w:r>
      <w:r w:rsidR="220F01DF" w:rsidRPr="2AA1CA0C">
        <w:t xml:space="preserve"> reduce</w:t>
      </w:r>
      <w:r w:rsidR="6203DD9F" w:rsidRPr="2AA1CA0C">
        <w:t xml:space="preserve"> outside of the study context. </w:t>
      </w:r>
    </w:p>
    <w:p w14:paraId="121885D2" w14:textId="6F765262" w:rsidR="007C094E" w:rsidRDefault="7ABE60F7" w:rsidP="00B20F9E">
      <w:r>
        <w:t>Single</w:t>
      </w:r>
      <w:r w:rsidR="00EF580F">
        <w:t>-</w:t>
      </w:r>
      <w:r>
        <w:t>arm evidence suggest</w:t>
      </w:r>
      <w:r w:rsidR="00EF580F">
        <w:t>s</w:t>
      </w:r>
      <w:r>
        <w:t xml:space="preserve"> that 27% of patients started adjunct pharmacotherapy at a median of 5 months </w:t>
      </w:r>
      <w:r w:rsidR="00EF580F">
        <w:t>after ESG</w:t>
      </w:r>
      <w:r w:rsidR="710C9404">
        <w:t>, with many of these patients showing gradual weigh</w:t>
      </w:r>
      <w:r w:rsidR="7B7F5119">
        <w:t>t</w:t>
      </w:r>
      <w:r w:rsidR="710C9404">
        <w:t xml:space="preserve"> regain</w:t>
      </w:r>
      <w:r w:rsidR="00210D7C">
        <w:t>.</w:t>
      </w:r>
      <w:r w:rsidR="00277B19" w:rsidRPr="00D76EFB">
        <w:rPr>
          <w:vertAlign w:val="superscript"/>
        </w:rPr>
        <w:fldChar w:fldCharType="begin"/>
      </w:r>
      <w:r w:rsidR="00277B19" w:rsidRPr="00D76EFB">
        <w:rPr>
          <w:vertAlign w:val="superscript"/>
        </w:rPr>
        <w:instrText xml:space="preserve"> NOTEREF _Ref187069073 \h </w:instrText>
      </w:r>
      <w:r w:rsidR="00277B19">
        <w:rPr>
          <w:vertAlign w:val="superscript"/>
        </w:rPr>
        <w:instrText xml:space="preserve"> \* MERGEFORMAT </w:instrText>
      </w:r>
      <w:r w:rsidR="00277B19" w:rsidRPr="00D76EFB">
        <w:rPr>
          <w:vertAlign w:val="superscript"/>
        </w:rPr>
      </w:r>
      <w:r w:rsidR="00277B19" w:rsidRPr="00D76EFB">
        <w:rPr>
          <w:vertAlign w:val="superscript"/>
        </w:rPr>
        <w:fldChar w:fldCharType="separate"/>
      </w:r>
      <w:r w:rsidR="008F37D1">
        <w:rPr>
          <w:vertAlign w:val="superscript"/>
        </w:rPr>
        <w:t>32</w:t>
      </w:r>
      <w:r w:rsidR="00277B19" w:rsidRPr="00D76EFB">
        <w:rPr>
          <w:vertAlign w:val="superscript"/>
        </w:rPr>
        <w:fldChar w:fldCharType="end"/>
      </w:r>
      <w:r w:rsidR="710C9404">
        <w:t xml:space="preserve"> Patients who received pharmacotherapy </w:t>
      </w:r>
      <w:r w:rsidR="50EADBC5">
        <w:t>did not</w:t>
      </w:r>
      <w:r w:rsidR="1B1E4B07">
        <w:t xml:space="preserve"> experience further weight gain. </w:t>
      </w:r>
      <w:r w:rsidR="00EF580F">
        <w:t xml:space="preserve">At 24 months, </w:t>
      </w:r>
      <w:r w:rsidR="1B1E4B07">
        <w:t xml:space="preserve">6% of patients </w:t>
      </w:r>
      <w:r w:rsidR="0EDA8340">
        <w:t>had a repeat ESG procedure</w:t>
      </w:r>
      <w:r w:rsidR="60AA8448">
        <w:t>, with 1% of patients undergoing a</w:t>
      </w:r>
      <w:r w:rsidR="00EF580F">
        <w:t>n</w:t>
      </w:r>
      <w:r w:rsidR="60AA8448">
        <w:t xml:space="preserve"> LSG procedure due to inadequate weight loss</w:t>
      </w:r>
      <w:r w:rsidR="00210D7C">
        <w:t>.</w:t>
      </w:r>
      <w:r w:rsidR="00277B19" w:rsidRPr="00D76EFB">
        <w:rPr>
          <w:vertAlign w:val="superscript"/>
        </w:rPr>
        <w:fldChar w:fldCharType="begin"/>
      </w:r>
      <w:r w:rsidR="00277B19" w:rsidRPr="00D76EFB">
        <w:rPr>
          <w:vertAlign w:val="superscript"/>
        </w:rPr>
        <w:instrText xml:space="preserve"> NOTEREF _Ref187069073 \h </w:instrText>
      </w:r>
      <w:r w:rsidR="00277B19">
        <w:rPr>
          <w:vertAlign w:val="superscript"/>
        </w:rPr>
        <w:instrText xml:space="preserve"> \* MERGEFORMAT </w:instrText>
      </w:r>
      <w:r w:rsidR="00277B19" w:rsidRPr="00D76EFB">
        <w:rPr>
          <w:vertAlign w:val="superscript"/>
        </w:rPr>
      </w:r>
      <w:r w:rsidR="00277B19" w:rsidRPr="00D76EFB">
        <w:rPr>
          <w:vertAlign w:val="superscript"/>
        </w:rPr>
        <w:fldChar w:fldCharType="separate"/>
      </w:r>
      <w:r w:rsidR="008F37D1">
        <w:rPr>
          <w:vertAlign w:val="superscript"/>
        </w:rPr>
        <w:t>32</w:t>
      </w:r>
      <w:r w:rsidR="00277B19" w:rsidRPr="00D76EFB">
        <w:rPr>
          <w:vertAlign w:val="superscript"/>
        </w:rPr>
        <w:fldChar w:fldCharType="end"/>
      </w:r>
      <w:r w:rsidR="60AA8448">
        <w:t xml:space="preserve"> </w:t>
      </w:r>
    </w:p>
    <w:p w14:paraId="36A9B03A" w14:textId="0E29120F" w:rsidR="7221EF90" w:rsidRDefault="60AA8448" w:rsidP="00B20F9E">
      <w:r>
        <w:t>In another single</w:t>
      </w:r>
      <w:r w:rsidR="00EF580F">
        <w:t>-</w:t>
      </w:r>
      <w:r>
        <w:t>arm study, 3.6% of patients underwen</w:t>
      </w:r>
      <w:r w:rsidR="6B60132F">
        <w:t>t revision</w:t>
      </w:r>
      <w:r w:rsidR="00EF580F">
        <w:t>,</w:t>
      </w:r>
      <w:r w:rsidR="6B60132F">
        <w:t xml:space="preserve"> or redo</w:t>
      </w:r>
      <w:r w:rsidR="00EF580F">
        <w:t>,</w:t>
      </w:r>
      <w:r w:rsidR="6B60132F">
        <w:t xml:space="preserve"> ESG within the study period</w:t>
      </w:r>
      <w:r w:rsidR="00210D7C">
        <w:t>.</w:t>
      </w:r>
      <w:r w:rsidR="00277B19" w:rsidRPr="00D76EFB">
        <w:rPr>
          <w:vertAlign w:val="superscript"/>
        </w:rPr>
        <w:fldChar w:fldCharType="begin"/>
      </w:r>
      <w:r w:rsidR="00277B19" w:rsidRPr="00D76EFB">
        <w:rPr>
          <w:vertAlign w:val="superscript"/>
        </w:rPr>
        <w:instrText xml:space="preserve"> NOTEREF _Ref187069914 \h </w:instrText>
      </w:r>
      <w:r w:rsidR="00277B19">
        <w:rPr>
          <w:vertAlign w:val="superscript"/>
        </w:rPr>
        <w:instrText xml:space="preserve"> \* MERGEFORMAT </w:instrText>
      </w:r>
      <w:r w:rsidR="00277B19" w:rsidRPr="00D76EFB">
        <w:rPr>
          <w:vertAlign w:val="superscript"/>
        </w:rPr>
      </w:r>
      <w:r w:rsidR="00277B19" w:rsidRPr="00D76EFB">
        <w:rPr>
          <w:vertAlign w:val="superscript"/>
        </w:rPr>
        <w:fldChar w:fldCharType="separate"/>
      </w:r>
      <w:r w:rsidR="008F37D1">
        <w:rPr>
          <w:vertAlign w:val="superscript"/>
        </w:rPr>
        <w:t>30</w:t>
      </w:r>
      <w:r w:rsidR="00277B19" w:rsidRPr="00D76EFB">
        <w:rPr>
          <w:vertAlign w:val="superscript"/>
        </w:rPr>
        <w:fldChar w:fldCharType="end"/>
      </w:r>
      <w:r w:rsidR="6B60132F">
        <w:t xml:space="preserve"> A total of 3.1% of the study population later underwent sleeve gastroplasty surgery </w:t>
      </w:r>
      <w:r w:rsidR="0E399485">
        <w:t>after 12 months</w:t>
      </w:r>
      <w:r w:rsidR="00210D7C">
        <w:t>.</w:t>
      </w:r>
      <w:r w:rsidR="00277B19" w:rsidRPr="00D76EFB">
        <w:rPr>
          <w:vertAlign w:val="superscript"/>
        </w:rPr>
        <w:fldChar w:fldCharType="begin"/>
      </w:r>
      <w:r w:rsidR="00277B19" w:rsidRPr="00D76EFB">
        <w:rPr>
          <w:vertAlign w:val="superscript"/>
        </w:rPr>
        <w:instrText xml:space="preserve"> NOTEREF _Ref187069914 \h </w:instrText>
      </w:r>
      <w:r w:rsidR="00277B19">
        <w:rPr>
          <w:vertAlign w:val="superscript"/>
        </w:rPr>
        <w:instrText xml:space="preserve"> \* MERGEFORMAT </w:instrText>
      </w:r>
      <w:r w:rsidR="00277B19" w:rsidRPr="00D76EFB">
        <w:rPr>
          <w:vertAlign w:val="superscript"/>
        </w:rPr>
      </w:r>
      <w:r w:rsidR="00277B19" w:rsidRPr="00D76EFB">
        <w:rPr>
          <w:vertAlign w:val="superscript"/>
        </w:rPr>
        <w:fldChar w:fldCharType="separate"/>
      </w:r>
      <w:r w:rsidR="008F37D1">
        <w:rPr>
          <w:vertAlign w:val="superscript"/>
        </w:rPr>
        <w:t>30</w:t>
      </w:r>
      <w:r w:rsidR="00277B19" w:rsidRPr="00D76EFB">
        <w:rPr>
          <w:vertAlign w:val="superscript"/>
        </w:rPr>
        <w:fldChar w:fldCharType="end"/>
      </w:r>
    </w:p>
    <w:p w14:paraId="55113FE7" w14:textId="0424F804" w:rsidR="76D4797A" w:rsidRDefault="0E399485" w:rsidP="007D18A3">
      <w:r w:rsidRPr="2AA1CA0C">
        <w:t xml:space="preserve">The </w:t>
      </w:r>
      <w:r w:rsidR="00315C1B" w:rsidRPr="2AA1CA0C">
        <w:t>literature</w:t>
      </w:r>
      <w:r w:rsidRPr="2AA1CA0C">
        <w:t xml:space="preserve"> presents conflicting evidence for the </w:t>
      </w:r>
      <w:r w:rsidR="760448C3" w:rsidRPr="2AA1CA0C">
        <w:t>revision</w:t>
      </w:r>
      <w:r w:rsidRPr="2AA1CA0C">
        <w:t xml:space="preserve"> </w:t>
      </w:r>
      <w:r w:rsidR="6AC60E91" w:rsidRPr="2AA1CA0C">
        <w:t>a</w:t>
      </w:r>
      <w:r w:rsidRPr="2AA1CA0C">
        <w:t>nd conversion of ESG. Limited single</w:t>
      </w:r>
      <w:r w:rsidR="00315C1B" w:rsidRPr="2AA1CA0C">
        <w:t>-</w:t>
      </w:r>
      <w:r w:rsidRPr="2AA1CA0C">
        <w:t>arm studies reveal</w:t>
      </w:r>
      <w:r w:rsidR="00315C1B" w:rsidRPr="2AA1CA0C">
        <w:t xml:space="preserve"> a</w:t>
      </w:r>
      <w:r w:rsidRPr="2AA1CA0C">
        <w:t xml:space="preserve"> relatively </w:t>
      </w:r>
      <w:r w:rsidR="00315C1B" w:rsidRPr="2AA1CA0C">
        <w:t xml:space="preserve">low number of </w:t>
      </w:r>
      <w:r w:rsidRPr="2AA1CA0C">
        <w:t>r</w:t>
      </w:r>
      <w:r w:rsidR="180D4CC4" w:rsidRPr="2AA1CA0C">
        <w:t>e</w:t>
      </w:r>
      <w:r w:rsidRPr="2AA1CA0C">
        <w:t>tightening and revision procedures for ESG</w:t>
      </w:r>
      <w:r w:rsidR="00315C1B" w:rsidRPr="2AA1CA0C">
        <w:t>, although</w:t>
      </w:r>
      <w:r w:rsidRPr="2AA1CA0C">
        <w:t xml:space="preserve"> the MERIT </w:t>
      </w:r>
      <w:r w:rsidR="00DD18E7" w:rsidRPr="2AA1CA0C">
        <w:t>trial</w:t>
      </w:r>
      <w:r w:rsidRPr="2AA1CA0C">
        <w:t xml:space="preserve"> suggests significantly gre</w:t>
      </w:r>
      <w:r w:rsidR="259380DB" w:rsidRPr="2AA1CA0C">
        <w:t>ater re</w:t>
      </w:r>
      <w:r w:rsidR="70A106A2" w:rsidRPr="2AA1CA0C">
        <w:t>vision</w:t>
      </w:r>
      <w:r w:rsidR="259380DB" w:rsidRPr="2AA1CA0C">
        <w:t xml:space="preserve"> </w:t>
      </w:r>
      <w:r w:rsidR="229A2EF3" w:rsidRPr="2AA1CA0C">
        <w:t xml:space="preserve">rates amongst participants. </w:t>
      </w:r>
      <w:r w:rsidR="00CF2D42" w:rsidRPr="2AA1CA0C">
        <w:t xml:space="preserve">These </w:t>
      </w:r>
      <w:r w:rsidR="64923E00" w:rsidRPr="2AA1CA0C">
        <w:t>greater revision rates in the MERIT trial could be explained by reduced retightening thresholds for participants</w:t>
      </w:r>
      <w:r w:rsidR="00CF2D42" w:rsidRPr="2AA1CA0C">
        <w:t>. F</w:t>
      </w:r>
      <w:r w:rsidR="229A2EF3" w:rsidRPr="2AA1CA0C">
        <w:t xml:space="preserve">urther research in both controlled and observational study contexts is justified to better elucidate </w:t>
      </w:r>
      <w:r w:rsidR="00CF2D42" w:rsidRPr="2AA1CA0C">
        <w:t xml:space="preserve">the </w:t>
      </w:r>
      <w:r w:rsidR="229A2EF3" w:rsidRPr="2AA1CA0C">
        <w:t>requirements for revision and conversion to alternative bariatric methods</w:t>
      </w:r>
      <w:r w:rsidR="00250CAA" w:rsidRPr="2AA1CA0C">
        <w:t>,</w:t>
      </w:r>
      <w:r w:rsidR="229A2EF3" w:rsidRPr="2AA1CA0C">
        <w:t xml:space="preserve"> including LSG</w:t>
      </w:r>
      <w:r w:rsidR="00210D7C" w:rsidRPr="2AA1CA0C">
        <w:t>.</w:t>
      </w:r>
      <w:r w:rsidR="00277B19" w:rsidRPr="00D76EFB">
        <w:rPr>
          <w:vertAlign w:val="superscript"/>
        </w:rPr>
        <w:fldChar w:fldCharType="begin"/>
      </w:r>
      <w:r w:rsidR="00277B19" w:rsidRPr="00D76EFB">
        <w:rPr>
          <w:vertAlign w:val="superscript"/>
        </w:rPr>
        <w:instrText xml:space="preserve"> NOTEREF _Ref187068871 \h </w:instrText>
      </w:r>
      <w:r w:rsidR="00277B19" w:rsidRPr="00A87D94">
        <w:rPr>
          <w:vertAlign w:val="superscript"/>
        </w:rPr>
        <w:instrText xml:space="preserve"> </w:instrText>
      </w:r>
      <w:r w:rsidR="00277B19">
        <w:rPr>
          <w:vertAlign w:val="superscript"/>
        </w:rPr>
        <w:instrText xml:space="preserve">\* MERGEFORMAT </w:instrText>
      </w:r>
      <w:r w:rsidR="00277B19" w:rsidRPr="00D76EFB">
        <w:rPr>
          <w:vertAlign w:val="superscript"/>
        </w:rPr>
      </w:r>
      <w:r w:rsidR="00277B19" w:rsidRPr="00D76EFB">
        <w:rPr>
          <w:vertAlign w:val="superscript"/>
        </w:rPr>
        <w:fldChar w:fldCharType="separate"/>
      </w:r>
      <w:r w:rsidR="008F37D1">
        <w:rPr>
          <w:vertAlign w:val="superscript"/>
        </w:rPr>
        <w:t>20</w:t>
      </w:r>
      <w:r w:rsidR="00277B19" w:rsidRPr="00D76EFB">
        <w:rPr>
          <w:vertAlign w:val="superscript"/>
        </w:rPr>
        <w:fldChar w:fldCharType="end"/>
      </w:r>
      <w:r w:rsidR="229A2EF3" w:rsidRPr="2AA1CA0C">
        <w:t xml:space="preserve"> </w:t>
      </w:r>
    </w:p>
    <w:p w14:paraId="40E70345" w14:textId="300306C3" w:rsidR="7221EF90" w:rsidRDefault="7221EF90" w:rsidP="007D18A3">
      <w:pPr>
        <w:pStyle w:val="Heading4"/>
      </w:pPr>
      <w:r w:rsidRPr="00DC46A2">
        <w:t>Patient-reported endpoints</w:t>
      </w:r>
    </w:p>
    <w:p w14:paraId="7E3E70B0" w14:textId="6B63CAF6" w:rsidR="4B5303F4" w:rsidRDefault="0BF33642" w:rsidP="007D18A3">
      <w:r w:rsidRPr="2AA1CA0C">
        <w:t xml:space="preserve">The MERIT </w:t>
      </w:r>
      <w:r w:rsidR="000B13FA" w:rsidRPr="2AA1CA0C">
        <w:t xml:space="preserve">trial </w:t>
      </w:r>
      <w:r w:rsidRPr="2AA1CA0C">
        <w:t>reported that quality of life (QoL) improvements were superior among ESG patients after surgery compared to lifestyle intervention-only patients, including statistically significant improvements in SF-36 scores in the following domains at all timepoints: physical function, role limitations due to physical health, role limitations due to emotional problems, energy/fatigue, social functioning, pain and general health</w:t>
      </w:r>
      <w:r w:rsidR="00210D7C" w:rsidRPr="2AA1CA0C">
        <w:t>.</w:t>
      </w:r>
      <w:r w:rsidR="00277B19" w:rsidRPr="00D76EFB">
        <w:rPr>
          <w:vertAlign w:val="superscript"/>
        </w:rPr>
        <w:fldChar w:fldCharType="begin"/>
      </w:r>
      <w:r w:rsidR="00277B19" w:rsidRPr="00D76EFB">
        <w:rPr>
          <w:vertAlign w:val="superscript"/>
        </w:rPr>
        <w:instrText xml:space="preserve"> NOTEREF _Ref187068871 \h </w:instrText>
      </w:r>
      <w:r w:rsidR="00277B19" w:rsidRPr="00A87D94">
        <w:rPr>
          <w:vertAlign w:val="superscript"/>
        </w:rPr>
        <w:instrText xml:space="preserve"> </w:instrText>
      </w:r>
      <w:r w:rsidR="00277B19">
        <w:rPr>
          <w:vertAlign w:val="superscript"/>
        </w:rPr>
        <w:instrText xml:space="preserve">\* MERGEFORMAT </w:instrText>
      </w:r>
      <w:r w:rsidR="00277B19" w:rsidRPr="00D76EFB">
        <w:rPr>
          <w:vertAlign w:val="superscript"/>
        </w:rPr>
      </w:r>
      <w:r w:rsidR="00277B19" w:rsidRPr="00D76EFB">
        <w:rPr>
          <w:vertAlign w:val="superscript"/>
        </w:rPr>
        <w:fldChar w:fldCharType="separate"/>
      </w:r>
      <w:r w:rsidR="008F37D1">
        <w:rPr>
          <w:vertAlign w:val="superscript"/>
        </w:rPr>
        <w:t>20</w:t>
      </w:r>
      <w:r w:rsidR="00277B19" w:rsidRPr="00D76EFB">
        <w:rPr>
          <w:vertAlign w:val="superscript"/>
        </w:rPr>
        <w:fldChar w:fldCharType="end"/>
      </w:r>
      <w:r w:rsidR="07A59978" w:rsidRPr="2AA1CA0C">
        <w:t xml:space="preserve"> </w:t>
      </w:r>
      <w:r w:rsidR="710C3DFB" w:rsidRPr="2AA1CA0C">
        <w:t xml:space="preserve">No significant improvements </w:t>
      </w:r>
      <w:r w:rsidR="006B3703" w:rsidRPr="2AA1CA0C">
        <w:t xml:space="preserve">were reported </w:t>
      </w:r>
      <w:r w:rsidR="710C3DFB" w:rsidRPr="2AA1CA0C">
        <w:t xml:space="preserve">in the </w:t>
      </w:r>
      <w:r w:rsidR="006B3703" w:rsidRPr="2AA1CA0C">
        <w:t>domain of e</w:t>
      </w:r>
      <w:r w:rsidR="710C3DFB" w:rsidRPr="2AA1CA0C">
        <w:t xml:space="preserve">motional </w:t>
      </w:r>
      <w:r w:rsidR="006B3703" w:rsidRPr="2AA1CA0C">
        <w:t>w</w:t>
      </w:r>
      <w:r w:rsidR="710C3DFB" w:rsidRPr="2AA1CA0C">
        <w:t>ellbeing</w:t>
      </w:r>
      <w:r w:rsidR="006B3703" w:rsidRPr="2AA1CA0C">
        <w:t>,</w:t>
      </w:r>
      <w:r w:rsidR="710C3DFB" w:rsidRPr="2AA1CA0C">
        <w:t xml:space="preserve"> after adjusting for age, gender, diabetes, hypertension, BMI and baseline sub-scale score</w:t>
      </w:r>
      <w:r w:rsidR="00210D7C" w:rsidRPr="2AA1CA0C">
        <w:t>.</w:t>
      </w:r>
      <w:r w:rsidR="00277B19" w:rsidRPr="00D76EFB">
        <w:rPr>
          <w:vertAlign w:val="superscript"/>
        </w:rPr>
        <w:fldChar w:fldCharType="begin"/>
      </w:r>
      <w:r w:rsidR="00277B19" w:rsidRPr="00D76EFB">
        <w:rPr>
          <w:vertAlign w:val="superscript"/>
        </w:rPr>
        <w:instrText xml:space="preserve"> NOTEREF _Ref187068871 \h </w:instrText>
      </w:r>
      <w:r w:rsidR="00277B19" w:rsidRPr="00A87D94">
        <w:rPr>
          <w:vertAlign w:val="superscript"/>
        </w:rPr>
        <w:instrText xml:space="preserve"> </w:instrText>
      </w:r>
      <w:r w:rsidR="00277B19">
        <w:rPr>
          <w:vertAlign w:val="superscript"/>
        </w:rPr>
        <w:instrText xml:space="preserve">\* MERGEFORMAT </w:instrText>
      </w:r>
      <w:r w:rsidR="00277B19" w:rsidRPr="00D76EFB">
        <w:rPr>
          <w:vertAlign w:val="superscript"/>
        </w:rPr>
      </w:r>
      <w:r w:rsidR="00277B19" w:rsidRPr="00D76EFB">
        <w:rPr>
          <w:vertAlign w:val="superscript"/>
        </w:rPr>
        <w:fldChar w:fldCharType="separate"/>
      </w:r>
      <w:r w:rsidR="008F37D1">
        <w:rPr>
          <w:vertAlign w:val="superscript"/>
        </w:rPr>
        <w:t>20</w:t>
      </w:r>
      <w:r w:rsidR="00277B19" w:rsidRPr="00D76EFB">
        <w:rPr>
          <w:vertAlign w:val="superscript"/>
        </w:rPr>
        <w:fldChar w:fldCharType="end"/>
      </w:r>
      <w:r w:rsidR="710C3DFB" w:rsidRPr="2AA1CA0C">
        <w:t xml:space="preserve"> </w:t>
      </w:r>
      <w:r w:rsidR="04B9999D" w:rsidRPr="2AA1CA0C">
        <w:t>Self-report questionnaires also revealed</w:t>
      </w:r>
      <w:r w:rsidR="2A774C2A" w:rsidRPr="2AA1CA0C">
        <w:t xml:space="preserve"> </w:t>
      </w:r>
      <w:r w:rsidR="12386EC8" w:rsidRPr="2AA1CA0C">
        <w:t>no worsening in GORD symptoms in ESG patients, with symptom</w:t>
      </w:r>
      <w:r w:rsidR="001460B4" w:rsidRPr="2AA1CA0C">
        <w:t>s</w:t>
      </w:r>
      <w:r w:rsidR="12386EC8" w:rsidRPr="2AA1CA0C">
        <w:t xml:space="preserve"> commencing</w:t>
      </w:r>
      <w:r w:rsidR="60FFC742" w:rsidRPr="2AA1CA0C">
        <w:t xml:space="preserve"> in patients undergoing alternative forms of bariatric surgery. </w:t>
      </w:r>
      <w:r w:rsidR="40389840" w:rsidRPr="2AA1CA0C">
        <w:t>No difference was observed between</w:t>
      </w:r>
      <w:r w:rsidR="00C07C78" w:rsidRPr="2AA1CA0C">
        <w:t xml:space="preserve"> the</w:t>
      </w:r>
      <w:r w:rsidR="40389840" w:rsidRPr="2AA1CA0C">
        <w:t xml:space="preserve"> lifestyle modification</w:t>
      </w:r>
      <w:r w:rsidR="00C07C78" w:rsidRPr="2AA1CA0C">
        <w:t>-only</w:t>
      </w:r>
      <w:r w:rsidR="40389840" w:rsidRPr="2AA1CA0C">
        <w:t xml:space="preserve"> and ESG groups</w:t>
      </w:r>
      <w:r w:rsidR="00210D7C" w:rsidRPr="2AA1CA0C">
        <w:t>.</w:t>
      </w:r>
      <w:r w:rsidR="00277B19" w:rsidRPr="00D76EFB">
        <w:rPr>
          <w:vertAlign w:val="superscript"/>
        </w:rPr>
        <w:fldChar w:fldCharType="begin"/>
      </w:r>
      <w:r w:rsidR="00277B19" w:rsidRPr="00D76EFB">
        <w:rPr>
          <w:vertAlign w:val="superscript"/>
        </w:rPr>
        <w:instrText xml:space="preserve"> NOTEREF _Ref187068871 \h </w:instrText>
      </w:r>
      <w:r w:rsidR="00277B19" w:rsidRPr="00A87D94">
        <w:rPr>
          <w:vertAlign w:val="superscript"/>
        </w:rPr>
        <w:instrText xml:space="preserve"> </w:instrText>
      </w:r>
      <w:r w:rsidR="00277B19">
        <w:rPr>
          <w:vertAlign w:val="superscript"/>
        </w:rPr>
        <w:instrText xml:space="preserve">\* MERGEFORMAT </w:instrText>
      </w:r>
      <w:r w:rsidR="00277B19" w:rsidRPr="00D76EFB">
        <w:rPr>
          <w:vertAlign w:val="superscript"/>
        </w:rPr>
      </w:r>
      <w:r w:rsidR="00277B19" w:rsidRPr="00D76EFB">
        <w:rPr>
          <w:vertAlign w:val="superscript"/>
        </w:rPr>
        <w:fldChar w:fldCharType="separate"/>
      </w:r>
      <w:r w:rsidR="008F37D1">
        <w:rPr>
          <w:vertAlign w:val="superscript"/>
        </w:rPr>
        <w:t>20</w:t>
      </w:r>
      <w:r w:rsidR="00277B19" w:rsidRPr="00D76EFB">
        <w:rPr>
          <w:vertAlign w:val="superscript"/>
        </w:rPr>
        <w:fldChar w:fldCharType="end"/>
      </w:r>
      <w:r w:rsidR="1F2F3173" w:rsidRPr="2AA1CA0C">
        <w:t xml:space="preserve"> </w:t>
      </w:r>
      <w:r w:rsidR="40389840" w:rsidRPr="2AA1CA0C">
        <w:t xml:space="preserve"> </w:t>
      </w:r>
    </w:p>
    <w:p w14:paraId="750524BA" w14:textId="58A5EB1C" w:rsidR="00B4703D" w:rsidRDefault="40389840" w:rsidP="2AA1CA0C">
      <w:pPr>
        <w:pStyle w:val="Instructionaltext"/>
        <w:rPr>
          <w:color w:val="auto"/>
        </w:rPr>
      </w:pPr>
      <w:r w:rsidRPr="2AA1CA0C">
        <w:rPr>
          <w:color w:val="auto"/>
        </w:rPr>
        <w:t>RCT evidence suggests improvements in self</w:t>
      </w:r>
      <w:r w:rsidR="0593497D" w:rsidRPr="2AA1CA0C">
        <w:rPr>
          <w:color w:val="auto"/>
        </w:rPr>
        <w:t>-</w:t>
      </w:r>
      <w:r w:rsidRPr="2AA1CA0C">
        <w:rPr>
          <w:color w:val="auto"/>
        </w:rPr>
        <w:t xml:space="preserve">reported </w:t>
      </w:r>
      <w:r w:rsidR="001460B4" w:rsidRPr="2AA1CA0C">
        <w:rPr>
          <w:color w:val="auto"/>
        </w:rPr>
        <w:t>health-related QoL (</w:t>
      </w:r>
      <w:r w:rsidRPr="2AA1CA0C">
        <w:rPr>
          <w:color w:val="auto"/>
        </w:rPr>
        <w:t>HRQoL</w:t>
      </w:r>
      <w:r w:rsidR="001460B4" w:rsidRPr="2AA1CA0C">
        <w:rPr>
          <w:color w:val="auto"/>
        </w:rPr>
        <w:t>)</w:t>
      </w:r>
      <w:r w:rsidRPr="2AA1CA0C">
        <w:rPr>
          <w:color w:val="auto"/>
        </w:rPr>
        <w:t xml:space="preserve"> measures</w:t>
      </w:r>
      <w:r w:rsidR="277F960B" w:rsidRPr="2AA1CA0C">
        <w:rPr>
          <w:color w:val="auto"/>
        </w:rPr>
        <w:t xml:space="preserve"> in ESG patients</w:t>
      </w:r>
      <w:r w:rsidR="00E52E8B" w:rsidRPr="2AA1CA0C">
        <w:rPr>
          <w:color w:val="auto"/>
        </w:rPr>
        <w:t>.</w:t>
      </w:r>
      <w:r w:rsidR="277F960B" w:rsidRPr="2AA1CA0C">
        <w:rPr>
          <w:color w:val="auto"/>
        </w:rPr>
        <w:t xml:space="preserve"> </w:t>
      </w:r>
      <w:r w:rsidR="00E52E8B" w:rsidRPr="2AA1CA0C">
        <w:rPr>
          <w:color w:val="auto"/>
        </w:rPr>
        <w:t>H</w:t>
      </w:r>
      <w:r w:rsidR="277F960B" w:rsidRPr="2AA1CA0C">
        <w:rPr>
          <w:color w:val="auto"/>
        </w:rPr>
        <w:t>owever</w:t>
      </w:r>
      <w:r w:rsidR="00E52E8B" w:rsidRPr="2AA1CA0C">
        <w:rPr>
          <w:color w:val="auto"/>
        </w:rPr>
        <w:t>,</w:t>
      </w:r>
      <w:r w:rsidR="277F960B" w:rsidRPr="2AA1CA0C">
        <w:rPr>
          <w:color w:val="auto"/>
        </w:rPr>
        <w:t xml:space="preserve"> t</w:t>
      </w:r>
      <w:r w:rsidRPr="2AA1CA0C">
        <w:rPr>
          <w:color w:val="auto"/>
        </w:rPr>
        <w:t xml:space="preserve">he lack of further studies to substantiate findings </w:t>
      </w:r>
      <w:r w:rsidR="00E52E8B" w:rsidRPr="2AA1CA0C">
        <w:rPr>
          <w:color w:val="auto"/>
        </w:rPr>
        <w:t xml:space="preserve">among </w:t>
      </w:r>
      <w:r w:rsidRPr="2AA1CA0C">
        <w:rPr>
          <w:color w:val="auto"/>
        </w:rPr>
        <w:t>both HRQoL and GORD measures should be viewed</w:t>
      </w:r>
      <w:r w:rsidR="299C019A" w:rsidRPr="2AA1CA0C">
        <w:rPr>
          <w:color w:val="auto"/>
        </w:rPr>
        <w:t xml:space="preserve"> as a limitation of the current research. Due to the non-blinding of trial participants, participant bias may have been present, </w:t>
      </w:r>
      <w:r w:rsidR="00FD3ECE" w:rsidRPr="2AA1CA0C">
        <w:rPr>
          <w:color w:val="auto"/>
        </w:rPr>
        <w:t xml:space="preserve">which would </w:t>
      </w:r>
      <w:r w:rsidR="299C019A" w:rsidRPr="2AA1CA0C">
        <w:rPr>
          <w:color w:val="auto"/>
        </w:rPr>
        <w:t>favour the ESG procedure</w:t>
      </w:r>
      <w:r w:rsidR="00FD3ECE" w:rsidRPr="2AA1CA0C">
        <w:rPr>
          <w:color w:val="auto"/>
        </w:rPr>
        <w:t>. This</w:t>
      </w:r>
      <w:r w:rsidR="2C7C372A" w:rsidRPr="2AA1CA0C">
        <w:rPr>
          <w:color w:val="auto"/>
        </w:rPr>
        <w:t xml:space="preserve"> should also be considered in the interpretation of these results</w:t>
      </w:r>
      <w:r w:rsidR="00B4703D" w:rsidRPr="2AA1CA0C">
        <w:rPr>
          <w:color w:val="auto"/>
        </w:rPr>
        <w:t>.</w:t>
      </w:r>
    </w:p>
    <w:p w14:paraId="1C7A6BA9" w14:textId="30B8E85F" w:rsidR="0EB5643D" w:rsidRPr="00DC46A2" w:rsidRDefault="1EF4B727" w:rsidP="007D18A3">
      <w:pPr>
        <w:pStyle w:val="Heading3"/>
      </w:pPr>
      <w:r w:rsidRPr="00DC46A2">
        <w:t xml:space="preserve">PICO </w:t>
      </w:r>
      <w:r w:rsidR="00A23298">
        <w:t xml:space="preserve">set </w:t>
      </w:r>
      <w:r w:rsidRPr="00DC46A2">
        <w:t>2</w:t>
      </w:r>
      <w:r w:rsidR="00207122">
        <w:t>: ESG vs LSG</w:t>
      </w:r>
    </w:p>
    <w:p w14:paraId="17B21FC8" w14:textId="7E572903" w:rsidR="1EF4B727" w:rsidRPr="00DC46A2" w:rsidRDefault="1EF4B727" w:rsidP="007D18A3">
      <w:pPr>
        <w:pStyle w:val="Heading4"/>
      </w:pPr>
      <w:r w:rsidRPr="00DC46A2">
        <w:t>%TBWL</w:t>
      </w:r>
    </w:p>
    <w:p w14:paraId="1D3D2489" w14:textId="53F07028" w:rsidR="74ED5C67" w:rsidRDefault="3BC7EBC9" w:rsidP="007D18A3">
      <w:r>
        <w:t xml:space="preserve">A meta-analysis of </w:t>
      </w:r>
      <w:r w:rsidR="00D426EA">
        <w:t xml:space="preserve">7 </w:t>
      </w:r>
      <w:r w:rsidR="4B3D8447">
        <w:t xml:space="preserve">non-randomised studies revealed </w:t>
      </w:r>
      <w:r w:rsidR="00D426EA">
        <w:t xml:space="preserve">that </w:t>
      </w:r>
      <w:r w:rsidR="4B3D8447">
        <w:t>the mean difference in %TBWL at 6 months between ESG and LSG was –7.48 (–10.47</w:t>
      </w:r>
      <w:r w:rsidR="00D426EA">
        <w:t xml:space="preserve"> to</w:t>
      </w:r>
      <w:r w:rsidR="4B3D8447">
        <w:t xml:space="preserve"> –4.50</w:t>
      </w:r>
      <w:r w:rsidR="4CCDE83D">
        <w:t xml:space="preserve"> CI</w:t>
      </w:r>
      <w:r w:rsidR="4B3D8447">
        <w:t>)</w:t>
      </w:r>
      <w:r w:rsidR="00C84AB4">
        <w:t>.</w:t>
      </w:r>
      <w:r w:rsidR="35D67D23" w:rsidDel="007B6194">
        <w:t xml:space="preserve"> </w:t>
      </w:r>
      <w:r w:rsidR="677C2A18">
        <w:t xml:space="preserve">A meta-analysis of </w:t>
      </w:r>
      <w:r w:rsidR="00D426EA">
        <w:t xml:space="preserve">4 </w:t>
      </w:r>
      <w:r w:rsidR="677C2A18">
        <w:t xml:space="preserve">studies reporting %TBWL at 12 months revealed a total mean difference in %TBWL </w:t>
      </w:r>
      <w:r w:rsidR="459BA93F">
        <w:t>between</w:t>
      </w:r>
      <w:r w:rsidR="677C2A18">
        <w:t xml:space="preserve"> </w:t>
      </w:r>
      <w:r w:rsidR="34D5FE4B">
        <w:t xml:space="preserve">ESG and LSG </w:t>
      </w:r>
      <w:r w:rsidR="00D426EA">
        <w:t xml:space="preserve">of </w:t>
      </w:r>
      <w:r w:rsidR="34D5FE4B">
        <w:t>–9.95% (–10.70</w:t>
      </w:r>
      <w:r w:rsidR="00D426EA">
        <w:t xml:space="preserve"> to</w:t>
      </w:r>
      <w:r w:rsidR="34D5FE4B">
        <w:t xml:space="preserve"> –9.19</w:t>
      </w:r>
      <w:r w:rsidR="3AA6B364">
        <w:t xml:space="preserve"> CI</w:t>
      </w:r>
      <w:r w:rsidR="00D426EA">
        <w:t>)</w:t>
      </w:r>
      <w:r w:rsidR="416137BF">
        <w:t xml:space="preserve"> </w:t>
      </w:r>
      <w:r w:rsidR="00FB719F">
        <w:t>(</w:t>
      </w:r>
      <w:r w:rsidR="00FB719F">
        <w:fldChar w:fldCharType="begin"/>
      </w:r>
      <w:r w:rsidR="00FB719F">
        <w:instrText xml:space="preserve"> REF _Ref184211441 \h </w:instrText>
      </w:r>
      <w:r w:rsidR="00FB719F">
        <w:fldChar w:fldCharType="separate"/>
      </w:r>
      <w:r w:rsidR="008F37D1">
        <w:t xml:space="preserve">Table </w:t>
      </w:r>
      <w:r w:rsidR="008F37D1">
        <w:rPr>
          <w:noProof/>
        </w:rPr>
        <w:t>20</w:t>
      </w:r>
      <w:r w:rsidR="00FB719F">
        <w:fldChar w:fldCharType="end"/>
      </w:r>
      <w:r w:rsidR="00FB719F">
        <w:t>)</w:t>
      </w:r>
      <w:r w:rsidR="416137BF">
        <w:t xml:space="preserve"> </w:t>
      </w:r>
      <w:r w:rsidR="47529361">
        <w:t xml:space="preserve">A non-inferiority margin of 10% was set by </w:t>
      </w:r>
      <w:r w:rsidR="00D426EA">
        <w:t xml:space="preserve">the </w:t>
      </w:r>
      <w:r w:rsidR="47529361">
        <w:t>authors</w:t>
      </w:r>
      <w:r w:rsidR="00D426EA">
        <w:t xml:space="preserve"> </w:t>
      </w:r>
      <w:r w:rsidR="686E65DE">
        <w:t>of the ADAR</w:t>
      </w:r>
      <w:r w:rsidR="0C718B85">
        <w:t xml:space="preserve"> based on a previously published study, with the %TBWL falling within the defined non-inferiority margin</w:t>
      </w:r>
      <w:r w:rsidR="00210D7C">
        <w:t>.</w:t>
      </w:r>
      <w:r w:rsidR="006302B8" w:rsidRPr="00D76EFB">
        <w:rPr>
          <w:vertAlign w:val="superscript"/>
        </w:rPr>
        <w:fldChar w:fldCharType="begin"/>
      </w:r>
      <w:r w:rsidR="006302B8" w:rsidRPr="00D76EFB">
        <w:rPr>
          <w:vertAlign w:val="superscript"/>
        </w:rPr>
        <w:instrText xml:space="preserve"> NOTEREF _Ref187068959 \h </w:instrText>
      </w:r>
      <w:r w:rsidR="006302B8">
        <w:rPr>
          <w:vertAlign w:val="superscript"/>
        </w:rPr>
        <w:instrText xml:space="preserve"> \* MERGEFORMAT </w:instrText>
      </w:r>
      <w:r w:rsidR="006302B8" w:rsidRPr="00D76EFB">
        <w:rPr>
          <w:vertAlign w:val="superscript"/>
        </w:rPr>
      </w:r>
      <w:r w:rsidR="006302B8" w:rsidRPr="00D76EFB">
        <w:rPr>
          <w:vertAlign w:val="superscript"/>
        </w:rPr>
        <w:fldChar w:fldCharType="separate"/>
      </w:r>
      <w:r w:rsidR="008F37D1">
        <w:rPr>
          <w:vertAlign w:val="superscript"/>
        </w:rPr>
        <w:t>27</w:t>
      </w:r>
      <w:r w:rsidR="006302B8" w:rsidRPr="00D76EFB">
        <w:rPr>
          <w:vertAlign w:val="superscript"/>
        </w:rPr>
        <w:fldChar w:fldCharType="end"/>
      </w:r>
      <w:r w:rsidR="47529361">
        <w:t xml:space="preserve"> </w:t>
      </w:r>
      <w:r w:rsidR="2BBDB5F4">
        <w:t xml:space="preserve">The non-inferiority </w:t>
      </w:r>
      <w:r w:rsidR="6E033F17">
        <w:t xml:space="preserve">claim </w:t>
      </w:r>
      <w:r w:rsidR="2BBDB5F4">
        <w:t xml:space="preserve">of ESG to LSG was supported by </w:t>
      </w:r>
      <w:r w:rsidR="5C39CCBD">
        <w:t xml:space="preserve">the opinions of </w:t>
      </w:r>
      <w:r w:rsidR="2BBDB5F4">
        <w:t xml:space="preserve">consulted </w:t>
      </w:r>
      <w:r w:rsidR="2D65D61B">
        <w:t>clinicians. Near-superior results for LSG were partially explained within the ADAR</w:t>
      </w:r>
      <w:r w:rsidR="04468227">
        <w:t xml:space="preserve">, </w:t>
      </w:r>
      <w:r w:rsidR="06F53F26">
        <w:t xml:space="preserve">claiming that </w:t>
      </w:r>
      <w:r w:rsidR="0CC68123">
        <w:t xml:space="preserve">LSG patients typically having a higher BMI </w:t>
      </w:r>
      <w:r w:rsidR="6A2D1928">
        <w:t>than</w:t>
      </w:r>
      <w:r w:rsidR="0CC68123">
        <w:t xml:space="preserve"> those undergoing ESG. No citation was provided to substantiate this</w:t>
      </w:r>
      <w:r w:rsidR="5A41CC0E">
        <w:t xml:space="preserve"> claim</w:t>
      </w:r>
      <w:r w:rsidR="0CC68123">
        <w:t xml:space="preserve">. </w:t>
      </w:r>
    </w:p>
    <w:p w14:paraId="3513E825" w14:textId="7DAA5B05" w:rsidR="00052661" w:rsidRDefault="628CFEF7" w:rsidP="73C3B142">
      <w:r w:rsidRPr="2AA1CA0C">
        <w:t xml:space="preserve">The lower </w:t>
      </w:r>
      <w:r w:rsidR="00EE2BE7" w:rsidRPr="2AA1CA0C">
        <w:t>95%</w:t>
      </w:r>
      <w:r w:rsidRPr="2AA1CA0C">
        <w:t xml:space="preserve"> CI for %TBWL at both 6 and 12 months exceeds the 10% non-inferiority margin set </w:t>
      </w:r>
      <w:r w:rsidR="66F467F1" w:rsidRPr="2AA1CA0C">
        <w:t>within the ADAR</w:t>
      </w:r>
      <w:r w:rsidRPr="2AA1CA0C">
        <w:t xml:space="preserve">, indicating that equivalence of ESG and LSG in reducing total body weight </w:t>
      </w:r>
      <w:r w:rsidR="030C7DFA" w:rsidRPr="2AA1CA0C">
        <w:t>cannot be confirmed.</w:t>
      </w:r>
      <w:r w:rsidR="000A6019" w:rsidRPr="2AA1CA0C">
        <w:t xml:space="preserve"> T</w:t>
      </w:r>
      <w:r w:rsidR="3877571A" w:rsidRPr="2AA1CA0C">
        <w:t xml:space="preserve">he </w:t>
      </w:r>
      <w:r w:rsidR="48989227" w:rsidRPr="2AA1CA0C">
        <w:t xml:space="preserve">ruling of the </w:t>
      </w:r>
      <w:r w:rsidR="3877571A" w:rsidRPr="2AA1CA0C">
        <w:t>10% non-inferiority margin is questioned</w:t>
      </w:r>
      <w:r w:rsidR="4EE0CE4F" w:rsidRPr="2AA1CA0C">
        <w:t xml:space="preserve"> within this evaluation</w:t>
      </w:r>
      <w:r w:rsidR="3877571A" w:rsidRPr="2AA1CA0C">
        <w:t xml:space="preserve">. This ADAR derived the 10% non-inferiority margin from </w:t>
      </w:r>
      <w:r w:rsidR="6DE486F4" w:rsidRPr="2AA1CA0C">
        <w:t>Alqahtani</w:t>
      </w:r>
      <w:r w:rsidR="0A4948FD" w:rsidRPr="2AA1CA0C">
        <w:t xml:space="preserve"> (2022), which was included within the evidence base for PICO 2</w:t>
      </w:r>
      <w:r w:rsidR="00210D7C" w:rsidRPr="2AA1CA0C">
        <w:t>.</w:t>
      </w:r>
      <w:r w:rsidR="006302B8" w:rsidRPr="00D76EFB">
        <w:rPr>
          <w:vertAlign w:val="superscript"/>
        </w:rPr>
        <w:fldChar w:fldCharType="begin"/>
      </w:r>
      <w:r w:rsidR="006302B8" w:rsidRPr="00D76EFB">
        <w:rPr>
          <w:vertAlign w:val="superscript"/>
        </w:rPr>
        <w:instrText xml:space="preserve"> NOTEREF _Ref187068959 \h </w:instrText>
      </w:r>
      <w:r w:rsidR="006302B8" w:rsidRPr="00A87D94">
        <w:rPr>
          <w:vertAlign w:val="superscript"/>
        </w:rPr>
        <w:instrText xml:space="preserve"> </w:instrText>
      </w:r>
      <w:r w:rsidR="006302B8">
        <w:rPr>
          <w:vertAlign w:val="superscript"/>
        </w:rPr>
        <w:instrText xml:space="preserve">\* MERGEFORMAT </w:instrText>
      </w:r>
      <w:r w:rsidR="006302B8" w:rsidRPr="00D76EFB">
        <w:rPr>
          <w:vertAlign w:val="superscript"/>
        </w:rPr>
      </w:r>
      <w:r w:rsidR="006302B8" w:rsidRPr="00D76EFB">
        <w:rPr>
          <w:vertAlign w:val="superscript"/>
        </w:rPr>
        <w:fldChar w:fldCharType="separate"/>
      </w:r>
      <w:r w:rsidR="008F37D1">
        <w:rPr>
          <w:vertAlign w:val="superscript"/>
        </w:rPr>
        <w:t>27</w:t>
      </w:r>
      <w:r w:rsidR="006302B8" w:rsidRPr="00D76EFB">
        <w:rPr>
          <w:vertAlign w:val="superscript"/>
        </w:rPr>
        <w:fldChar w:fldCharType="end"/>
      </w:r>
      <w:r w:rsidR="0A4948FD" w:rsidRPr="2AA1CA0C">
        <w:t xml:space="preserve"> </w:t>
      </w:r>
      <w:r w:rsidR="51837C0E" w:rsidRPr="2AA1CA0C">
        <w:t>The</w:t>
      </w:r>
      <w:r w:rsidR="0A4948FD" w:rsidRPr="2AA1CA0C">
        <w:t xml:space="preserve"> </w:t>
      </w:r>
      <w:r w:rsidR="1018E602" w:rsidRPr="2AA1CA0C">
        <w:t xml:space="preserve">authors of </w:t>
      </w:r>
      <w:r w:rsidR="76E34238" w:rsidRPr="2AA1CA0C">
        <w:t>Alqahtani (2022)</w:t>
      </w:r>
      <w:r w:rsidR="0A4948FD" w:rsidRPr="2AA1CA0C">
        <w:t xml:space="preserve"> do not justify the use of this value </w:t>
      </w:r>
      <w:r w:rsidR="1DD15823" w:rsidRPr="2AA1CA0C">
        <w:t>based on prior research</w:t>
      </w:r>
      <w:r w:rsidR="5044DDB8" w:rsidRPr="2AA1CA0C">
        <w:t xml:space="preserve"> or study findings</w:t>
      </w:r>
      <w:r w:rsidR="00210D7C" w:rsidRPr="2AA1CA0C">
        <w:t>.</w:t>
      </w:r>
      <w:r w:rsidR="006302B8" w:rsidRPr="00D76EFB">
        <w:rPr>
          <w:vertAlign w:val="superscript"/>
        </w:rPr>
        <w:fldChar w:fldCharType="begin"/>
      </w:r>
      <w:r w:rsidR="006302B8" w:rsidRPr="00D76EFB">
        <w:rPr>
          <w:vertAlign w:val="superscript"/>
        </w:rPr>
        <w:instrText xml:space="preserve"> NOTEREF _Ref187068959 \h </w:instrText>
      </w:r>
      <w:r w:rsidR="006302B8" w:rsidRPr="00A87D94">
        <w:rPr>
          <w:vertAlign w:val="superscript"/>
        </w:rPr>
        <w:instrText xml:space="preserve"> </w:instrText>
      </w:r>
      <w:r w:rsidR="006302B8">
        <w:rPr>
          <w:vertAlign w:val="superscript"/>
        </w:rPr>
        <w:instrText xml:space="preserve">\* MERGEFORMAT </w:instrText>
      </w:r>
      <w:r w:rsidR="006302B8" w:rsidRPr="00D76EFB">
        <w:rPr>
          <w:vertAlign w:val="superscript"/>
        </w:rPr>
      </w:r>
      <w:r w:rsidR="006302B8" w:rsidRPr="00D76EFB">
        <w:rPr>
          <w:vertAlign w:val="superscript"/>
        </w:rPr>
        <w:fldChar w:fldCharType="separate"/>
      </w:r>
      <w:r w:rsidR="008F37D1">
        <w:rPr>
          <w:vertAlign w:val="superscript"/>
        </w:rPr>
        <w:t>27</w:t>
      </w:r>
      <w:r w:rsidR="006302B8" w:rsidRPr="00D76EFB">
        <w:rPr>
          <w:vertAlign w:val="superscript"/>
        </w:rPr>
        <w:fldChar w:fldCharType="end"/>
      </w:r>
    </w:p>
    <w:p w14:paraId="70805D54" w14:textId="358394DC" w:rsidR="1EF4B727" w:rsidRPr="00DC46A2" w:rsidRDefault="1EF4B727" w:rsidP="007D18A3">
      <w:pPr>
        <w:pStyle w:val="Heading4"/>
      </w:pPr>
      <w:r w:rsidRPr="00DC46A2">
        <w:t>%EWL</w:t>
      </w:r>
    </w:p>
    <w:p w14:paraId="42A0B242" w14:textId="516094BA" w:rsidR="74ED5C67" w:rsidRDefault="05ABB104" w:rsidP="007D18A3">
      <w:r>
        <w:t>Meta-analyses conducted at 6 and 12 months</w:t>
      </w:r>
      <w:r w:rsidR="62F46329">
        <w:t xml:space="preserve"> </w:t>
      </w:r>
      <w:r w:rsidR="1B38B28F">
        <w:t>for</w:t>
      </w:r>
      <w:r>
        <w:t xml:space="preserve"> %EWL within ESG and LSG patients</w:t>
      </w:r>
      <w:r w:rsidR="107116DC">
        <w:t xml:space="preserve"> </w:t>
      </w:r>
      <w:r w:rsidR="109BB46A">
        <w:t>i</w:t>
      </w:r>
      <w:r w:rsidR="7D279D6C">
        <w:t xml:space="preserve">s </w:t>
      </w:r>
      <w:r w:rsidR="00775D4A">
        <w:t>presented</w:t>
      </w:r>
      <w:r w:rsidR="7D279D6C">
        <w:t xml:space="preserve"> in </w:t>
      </w:r>
      <w:r w:rsidR="006B5215">
        <w:fldChar w:fldCharType="begin"/>
      </w:r>
      <w:r w:rsidR="006B5215">
        <w:instrText xml:space="preserve"> REF _Ref184211441 \h </w:instrText>
      </w:r>
      <w:r w:rsidR="006B5215">
        <w:fldChar w:fldCharType="separate"/>
      </w:r>
      <w:r w:rsidR="008F37D1">
        <w:t xml:space="preserve">Table </w:t>
      </w:r>
      <w:r w:rsidR="008F37D1">
        <w:rPr>
          <w:noProof/>
        </w:rPr>
        <w:t>20</w:t>
      </w:r>
      <w:r w:rsidR="006B5215">
        <w:fldChar w:fldCharType="end"/>
      </w:r>
      <w:r w:rsidR="006302B8">
        <w:t>.</w:t>
      </w:r>
      <w:r>
        <w:t xml:space="preserve"> </w:t>
      </w:r>
      <w:r w:rsidR="774D562D">
        <w:t>At 6 months</w:t>
      </w:r>
      <w:r w:rsidR="0028454A">
        <w:t>,</w:t>
      </w:r>
      <w:r w:rsidR="774D562D">
        <w:t xml:space="preserve"> </w:t>
      </w:r>
      <w:r w:rsidR="0028454A">
        <w:t xml:space="preserve">the </w:t>
      </w:r>
      <w:r w:rsidR="000D0D76">
        <w:t xml:space="preserve">total </w:t>
      </w:r>
      <w:r w:rsidR="774D562D">
        <w:t>mean %EWL difference between ESG and LSG was –10.23% (–11.90, –8.56</w:t>
      </w:r>
      <w:r w:rsidR="6C930659">
        <w:t xml:space="preserve"> CI</w:t>
      </w:r>
      <w:r w:rsidR="774D562D">
        <w:t>)</w:t>
      </w:r>
      <w:r w:rsidR="000D0D76">
        <w:t>;</w:t>
      </w:r>
      <w:r w:rsidR="76BC117C">
        <w:t xml:space="preserve"> at 12 months the mean difference in %EWL was –18.01% (–19.32, –16.70)</w:t>
      </w:r>
      <w:r w:rsidR="0C3DD674">
        <w:t xml:space="preserve">, both in favour </w:t>
      </w:r>
      <w:r w:rsidR="004E10B6">
        <w:t xml:space="preserve">of </w:t>
      </w:r>
      <w:r w:rsidR="0C3DD674">
        <w:t>LSG.</w:t>
      </w:r>
    </w:p>
    <w:p w14:paraId="0080190F" w14:textId="227EAD6F" w:rsidR="0C3DD674" w:rsidRDefault="1FAB0D19" w:rsidP="007D18A3">
      <w:r w:rsidRPr="2AA1CA0C">
        <w:t>T</w:t>
      </w:r>
      <w:r w:rsidR="0C3DD674" w:rsidRPr="2AA1CA0C">
        <w:t xml:space="preserve">he </w:t>
      </w:r>
      <w:r w:rsidR="44877CA7" w:rsidRPr="2AA1CA0C">
        <w:t xml:space="preserve">findings of the meta-analyses </w:t>
      </w:r>
      <w:r w:rsidR="7A1431CE" w:rsidRPr="2AA1CA0C">
        <w:t>suggest</w:t>
      </w:r>
      <w:r w:rsidR="634824BB" w:rsidRPr="2AA1CA0C">
        <w:t xml:space="preserve"> that as per the 10% non-inferiority margin, </w:t>
      </w:r>
      <w:r w:rsidR="20C2C93F" w:rsidRPr="2AA1CA0C">
        <w:t xml:space="preserve">LSG </w:t>
      </w:r>
      <w:r w:rsidR="10623A06" w:rsidRPr="2AA1CA0C">
        <w:t xml:space="preserve">significantly </w:t>
      </w:r>
      <w:r w:rsidR="20C2C93F" w:rsidRPr="2AA1CA0C">
        <w:t xml:space="preserve">outperforms ESG </w:t>
      </w:r>
      <w:r w:rsidR="01EBDB24" w:rsidRPr="2AA1CA0C">
        <w:t>in induction of greater</w:t>
      </w:r>
      <w:r w:rsidR="1E67807E" w:rsidRPr="2AA1CA0C">
        <w:t xml:space="preserve"> %EWL. </w:t>
      </w:r>
      <w:r w:rsidR="39CD9762" w:rsidRPr="2AA1CA0C">
        <w:t xml:space="preserve">These findings </w:t>
      </w:r>
      <w:r w:rsidR="00FC18A4" w:rsidRPr="2AA1CA0C">
        <w:t>a</w:t>
      </w:r>
      <w:r w:rsidR="39CD9762" w:rsidRPr="2AA1CA0C">
        <w:t xml:space="preserve">re not highlighted within the report. </w:t>
      </w:r>
      <w:r w:rsidR="00D5300F">
        <w:t>The commentary</w:t>
      </w:r>
      <w:r w:rsidR="39CD9762" w:rsidRPr="2AA1CA0C">
        <w:t xml:space="preserve"> also noted that a</w:t>
      </w:r>
      <w:r w:rsidR="1E67807E" w:rsidRPr="2AA1CA0C">
        <w:t xml:space="preserve"> study utilised in this </w:t>
      </w:r>
      <w:r w:rsidR="55AEA077" w:rsidRPr="2AA1CA0C">
        <w:t>analysis was identified to have a population with a significantly lower baseline BMI than the population established in the PICO (</w:t>
      </w:r>
      <w:r w:rsidR="5A4AA5E5" w:rsidRPr="2AA1CA0C">
        <w:t xml:space="preserve">defined in ADAR at </w:t>
      </w:r>
      <w:r w:rsidR="55AEA077" w:rsidRPr="2AA1CA0C">
        <w:t>BMI</w:t>
      </w:r>
      <w:r w:rsidR="00FC18A4" w:rsidRPr="2AA1CA0C">
        <w:t xml:space="preserve"> </w:t>
      </w:r>
      <w:r w:rsidR="55AEA077" w:rsidRPr="2AA1CA0C">
        <w:t>&gt;40</w:t>
      </w:r>
      <w:r w:rsidR="00D14AB3" w:rsidRPr="2AA1CA0C">
        <w:t> kg/m</w:t>
      </w:r>
      <w:r w:rsidR="00D14AB3" w:rsidRPr="2AA1CA0C">
        <w:rPr>
          <w:vertAlign w:val="superscript"/>
        </w:rPr>
        <w:t>2</w:t>
      </w:r>
      <w:r w:rsidR="55AEA077" w:rsidRPr="2AA1CA0C">
        <w:t>)</w:t>
      </w:r>
      <w:r w:rsidR="00210D7C" w:rsidRPr="2AA1CA0C">
        <w:t>.</w:t>
      </w:r>
      <w:r w:rsidR="00913160" w:rsidRPr="00D76EFB">
        <w:rPr>
          <w:vertAlign w:val="superscript"/>
        </w:rPr>
        <w:fldChar w:fldCharType="begin"/>
      </w:r>
      <w:r w:rsidR="00913160" w:rsidRPr="00D76EFB">
        <w:rPr>
          <w:vertAlign w:val="superscript"/>
        </w:rPr>
        <w:instrText xml:space="preserve"> NOTEREF _Ref187070487 \h </w:instrText>
      </w:r>
      <w:r w:rsidR="00913160">
        <w:rPr>
          <w:vertAlign w:val="superscript"/>
        </w:rPr>
        <w:instrText xml:space="preserve"> \* MERGEFORMAT </w:instrText>
      </w:r>
      <w:r w:rsidR="00913160" w:rsidRPr="00D76EFB">
        <w:rPr>
          <w:vertAlign w:val="superscript"/>
        </w:rPr>
      </w:r>
      <w:r w:rsidR="00913160" w:rsidRPr="00D76EFB">
        <w:rPr>
          <w:vertAlign w:val="superscript"/>
        </w:rPr>
        <w:fldChar w:fldCharType="separate"/>
      </w:r>
      <w:r w:rsidR="008F37D1">
        <w:rPr>
          <w:vertAlign w:val="superscript"/>
        </w:rPr>
        <w:t>35</w:t>
      </w:r>
      <w:r w:rsidR="00913160" w:rsidRPr="00D76EFB">
        <w:rPr>
          <w:vertAlign w:val="superscript"/>
        </w:rPr>
        <w:fldChar w:fldCharType="end"/>
      </w:r>
      <w:r w:rsidR="5FA3802F" w:rsidRPr="2AA1CA0C">
        <w:rPr>
          <w:vertAlign w:val="superscript"/>
        </w:rPr>
        <w:t xml:space="preserve"> </w:t>
      </w:r>
      <w:r w:rsidR="55AEA077" w:rsidRPr="2AA1CA0C">
        <w:t xml:space="preserve"> The relevance of such results </w:t>
      </w:r>
      <w:r w:rsidR="652A5D3D" w:rsidRPr="2AA1CA0C">
        <w:t>is</w:t>
      </w:r>
      <w:r w:rsidR="50F09C51" w:rsidRPr="2AA1CA0C">
        <w:t xml:space="preserve"> </w:t>
      </w:r>
      <w:r w:rsidR="00D14AB3" w:rsidRPr="2AA1CA0C">
        <w:t xml:space="preserve">thus </w:t>
      </w:r>
      <w:r w:rsidR="50F09C51" w:rsidRPr="2AA1CA0C">
        <w:t>brought into question.</w:t>
      </w:r>
    </w:p>
    <w:p w14:paraId="090BF4EB" w14:textId="2405A610" w:rsidR="00057BF8" w:rsidRDefault="00057BF8" w:rsidP="00851D86">
      <w:pPr>
        <w:pStyle w:val="Caption"/>
      </w:pPr>
      <w:bookmarkStart w:id="76" w:name="_Ref184211441"/>
      <w:bookmarkStart w:id="77" w:name="_Ref187229022"/>
      <w:r>
        <w:t xml:space="preserve">Table </w:t>
      </w:r>
      <w:r w:rsidR="00707F6D">
        <w:fldChar w:fldCharType="begin"/>
      </w:r>
      <w:r w:rsidR="00707F6D">
        <w:instrText xml:space="preserve"> SEQ Table \* ARABIC </w:instrText>
      </w:r>
      <w:r w:rsidR="00707F6D">
        <w:fldChar w:fldCharType="separate"/>
      </w:r>
      <w:r w:rsidR="008F37D1">
        <w:rPr>
          <w:noProof/>
        </w:rPr>
        <w:t>20</w:t>
      </w:r>
      <w:r w:rsidR="00707F6D">
        <w:rPr>
          <w:noProof/>
        </w:rPr>
        <w:fldChar w:fldCharType="end"/>
      </w:r>
      <w:bookmarkEnd w:id="76"/>
      <w:r w:rsidR="00E002F8">
        <w:t>:</w:t>
      </w:r>
      <w:r>
        <w:t xml:space="preserve"> ESG compared to LSG for people with </w:t>
      </w:r>
      <w:r w:rsidR="008F5EBB">
        <w:t>class</w:t>
      </w:r>
      <w:r>
        <w:t xml:space="preserve"> II or </w:t>
      </w:r>
      <w:r w:rsidR="008F5EBB">
        <w:t>class</w:t>
      </w:r>
      <w:r>
        <w:t xml:space="preserve"> III obesity</w:t>
      </w:r>
      <w:bookmarkEnd w:id="77"/>
    </w:p>
    <w:tbl>
      <w:tblPr>
        <w:tblW w:w="5000" w:type="pct"/>
        <w:tblLayout w:type="fixed"/>
        <w:tblCellMar>
          <w:top w:w="75" w:type="dxa"/>
          <w:left w:w="75" w:type="dxa"/>
          <w:bottom w:w="75" w:type="dxa"/>
          <w:right w:w="75" w:type="dxa"/>
        </w:tblCellMar>
        <w:tblLook w:val="04A0" w:firstRow="1" w:lastRow="0" w:firstColumn="1" w:lastColumn="0" w:noHBand="0" w:noVBand="1"/>
      </w:tblPr>
      <w:tblGrid>
        <w:gridCol w:w="1419"/>
        <w:gridCol w:w="1275"/>
        <w:gridCol w:w="1419"/>
        <w:gridCol w:w="990"/>
        <w:gridCol w:w="1275"/>
        <w:gridCol w:w="1134"/>
        <w:gridCol w:w="1504"/>
      </w:tblGrid>
      <w:tr w:rsidR="001F08FF" w:rsidRPr="004E313E" w14:paraId="13299FA6" w14:textId="77777777" w:rsidTr="00BB5E10">
        <w:trPr>
          <w:cantSplit/>
          <w:trHeight w:val="1006"/>
          <w:tblHeader/>
        </w:trPr>
        <w:tc>
          <w:tcPr>
            <w:tcW w:w="787" w:type="pct"/>
            <w:tcBorders>
              <w:top w:val="single" w:sz="4" w:space="0" w:color="auto"/>
              <w:left w:val="single" w:sz="4" w:space="0" w:color="auto"/>
              <w:right w:val="single" w:sz="6" w:space="0" w:color="EFEFEF"/>
            </w:tcBorders>
            <w:shd w:val="clear" w:color="auto" w:fill="3271AA"/>
            <w:vAlign w:val="bottom"/>
            <w:hideMark/>
          </w:tcPr>
          <w:p w14:paraId="799C213D" w14:textId="2CC21441" w:rsidR="00A32AC2" w:rsidRPr="004E313E" w:rsidRDefault="00A32AC2">
            <w:pPr>
              <w:spacing w:before="0" w:after="0" w:line="240" w:lineRule="auto"/>
              <w:jc w:val="center"/>
              <w:rPr>
                <w:rFonts w:ascii="Arial Narrow" w:eastAsia="Times New Roman" w:hAnsi="Arial Narrow" w:cs="Times New Roman"/>
                <w:color w:val="FFFFFF"/>
                <w:sz w:val="20"/>
                <w:szCs w:val="20"/>
                <w:lang w:val="en-US"/>
              </w:rPr>
            </w:pPr>
            <w:r w:rsidRPr="004E313E">
              <w:rPr>
                <w:rFonts w:ascii="Arial Narrow" w:eastAsia="Times New Roman" w:hAnsi="Arial Narrow" w:cs="Times New Roman"/>
                <w:color w:val="FFFFFF"/>
                <w:sz w:val="20"/>
                <w:szCs w:val="20"/>
                <w:lang w:val="en-US"/>
              </w:rPr>
              <w:t>Outcomes</w:t>
            </w:r>
          </w:p>
        </w:tc>
        <w:tc>
          <w:tcPr>
            <w:tcW w:w="1494" w:type="pct"/>
            <w:gridSpan w:val="2"/>
            <w:tcBorders>
              <w:top w:val="single" w:sz="4" w:space="0" w:color="auto"/>
              <w:right w:val="single" w:sz="6" w:space="0" w:color="EFEFEF"/>
            </w:tcBorders>
            <w:shd w:val="clear" w:color="auto" w:fill="E0E0E0"/>
            <w:vAlign w:val="bottom"/>
            <w:hideMark/>
          </w:tcPr>
          <w:p w14:paraId="75B427E1" w14:textId="77777777" w:rsidR="00A32AC2" w:rsidRPr="004E313E" w:rsidRDefault="00A32AC2">
            <w:pPr>
              <w:spacing w:before="0" w:after="0" w:line="240" w:lineRule="auto"/>
              <w:jc w:val="center"/>
              <w:rPr>
                <w:rFonts w:ascii="Arial Narrow" w:eastAsia="Times New Roman" w:hAnsi="Arial Narrow" w:cs="Times New Roman"/>
                <w:b/>
                <w:sz w:val="20"/>
                <w:szCs w:val="20"/>
                <w:lang w:val="en-US"/>
              </w:rPr>
            </w:pPr>
            <w:r w:rsidRPr="004E313E">
              <w:rPr>
                <w:rFonts w:ascii="Arial Narrow" w:eastAsia="Times New Roman" w:hAnsi="Arial Narrow" w:cs="Times New Roman"/>
                <w:b/>
                <w:sz w:val="20"/>
                <w:szCs w:val="20"/>
                <w:lang w:val="en-US"/>
              </w:rPr>
              <w:t>Anticipated absolute effects</w:t>
            </w:r>
            <w:r w:rsidRPr="004E313E">
              <w:rPr>
                <w:rFonts w:ascii="Arial Narrow" w:eastAsia="Times New Roman" w:hAnsi="Arial Narrow" w:cs="Times New Roman"/>
                <w:b/>
                <w:sz w:val="20"/>
                <w:szCs w:val="20"/>
                <w:vertAlign w:val="superscript"/>
                <w:lang w:val="en-US"/>
              </w:rPr>
              <w:t>*</w:t>
            </w:r>
            <w:r w:rsidRPr="004E313E">
              <w:rPr>
                <w:rFonts w:ascii="Arial Narrow" w:eastAsia="Times New Roman" w:hAnsi="Arial Narrow" w:cs="Times New Roman"/>
                <w:b/>
                <w:sz w:val="20"/>
                <w:szCs w:val="20"/>
                <w:lang w:val="en-US"/>
              </w:rPr>
              <w:t xml:space="preserve"> </w:t>
            </w:r>
            <w:r w:rsidRPr="004E313E">
              <w:rPr>
                <w:rFonts w:ascii="Arial Narrow" w:eastAsia="Times New Roman" w:hAnsi="Arial Narrow" w:cs="Times New Roman"/>
                <w:sz w:val="20"/>
                <w:szCs w:val="20"/>
                <w:lang w:val="en-US"/>
              </w:rPr>
              <w:t>(95% CI)</w:t>
            </w:r>
          </w:p>
        </w:tc>
        <w:tc>
          <w:tcPr>
            <w:tcW w:w="549" w:type="pct"/>
            <w:tcBorders>
              <w:top w:val="single" w:sz="4" w:space="0" w:color="auto"/>
              <w:right w:val="single" w:sz="6" w:space="0" w:color="EFEFEF"/>
            </w:tcBorders>
            <w:shd w:val="clear" w:color="auto" w:fill="3271AA"/>
            <w:vAlign w:val="bottom"/>
            <w:hideMark/>
          </w:tcPr>
          <w:p w14:paraId="1B6AD35C" w14:textId="77777777" w:rsidR="00A32AC2" w:rsidRPr="004E313E" w:rsidRDefault="00A32AC2">
            <w:pPr>
              <w:spacing w:before="0" w:after="0" w:line="240" w:lineRule="auto"/>
              <w:jc w:val="center"/>
              <w:rPr>
                <w:rFonts w:ascii="Arial Narrow" w:eastAsia="Times New Roman" w:hAnsi="Arial Narrow" w:cs="Times New Roman"/>
                <w:color w:val="FFFFFF"/>
                <w:sz w:val="20"/>
                <w:szCs w:val="20"/>
                <w:lang w:val="en-US"/>
              </w:rPr>
            </w:pPr>
            <w:r w:rsidRPr="004E313E">
              <w:rPr>
                <w:rFonts w:ascii="Arial Narrow" w:eastAsia="Times New Roman" w:hAnsi="Arial Narrow" w:cs="Times New Roman"/>
                <w:color w:val="FFFFFF"/>
                <w:sz w:val="20"/>
                <w:szCs w:val="20"/>
                <w:lang w:val="en-US"/>
              </w:rPr>
              <w:t>Relative effect</w:t>
            </w:r>
            <w:r w:rsidRPr="004E313E">
              <w:rPr>
                <w:rFonts w:ascii="Arial Narrow" w:eastAsia="Times New Roman" w:hAnsi="Arial Narrow" w:cs="Times New Roman"/>
                <w:color w:val="FFFFFF"/>
                <w:sz w:val="20"/>
                <w:szCs w:val="20"/>
                <w:lang w:val="en-US"/>
              </w:rPr>
              <w:br/>
              <w:t>(95% CI)</w:t>
            </w:r>
          </w:p>
        </w:tc>
        <w:tc>
          <w:tcPr>
            <w:tcW w:w="707" w:type="pct"/>
            <w:tcBorders>
              <w:top w:val="single" w:sz="4" w:space="0" w:color="auto"/>
              <w:right w:val="single" w:sz="6" w:space="0" w:color="EFEFEF"/>
            </w:tcBorders>
            <w:shd w:val="clear" w:color="auto" w:fill="3271AA"/>
            <w:vAlign w:val="bottom"/>
            <w:hideMark/>
          </w:tcPr>
          <w:p w14:paraId="6C3B2432" w14:textId="77777777" w:rsidR="00A32AC2" w:rsidRPr="004E313E" w:rsidRDefault="00A32AC2">
            <w:pPr>
              <w:spacing w:before="0" w:after="0" w:line="240" w:lineRule="auto"/>
              <w:jc w:val="center"/>
              <w:rPr>
                <w:rFonts w:ascii="Arial Narrow" w:eastAsia="Times New Roman" w:hAnsi="Arial Narrow" w:cs="Times New Roman"/>
                <w:color w:val="FFFFFF"/>
                <w:sz w:val="20"/>
                <w:szCs w:val="20"/>
                <w:lang w:val="en-US"/>
              </w:rPr>
            </w:pPr>
            <w:r w:rsidRPr="004E313E">
              <w:rPr>
                <w:rFonts w:ascii="Arial Narrow" w:eastAsia="Times New Roman" w:hAnsi="Arial Narrow" w:cs="Times New Roman"/>
                <w:color w:val="FFFFFF"/>
                <w:sz w:val="20"/>
                <w:szCs w:val="20"/>
                <w:lang w:val="en-US"/>
              </w:rPr>
              <w:t>№ of participants</w:t>
            </w:r>
            <w:r w:rsidRPr="004E313E">
              <w:rPr>
                <w:rFonts w:ascii="Arial Narrow" w:eastAsia="Times New Roman" w:hAnsi="Arial Narrow" w:cs="Times New Roman"/>
                <w:color w:val="FFFFFF"/>
                <w:sz w:val="20"/>
                <w:szCs w:val="20"/>
                <w:lang w:val="en-US"/>
              </w:rPr>
              <w:br/>
              <w:t>(studies)</w:t>
            </w:r>
          </w:p>
        </w:tc>
        <w:tc>
          <w:tcPr>
            <w:tcW w:w="629" w:type="pct"/>
            <w:tcBorders>
              <w:top w:val="single" w:sz="4" w:space="0" w:color="auto"/>
              <w:right w:val="single" w:sz="6" w:space="0" w:color="EFEFEF"/>
            </w:tcBorders>
            <w:shd w:val="clear" w:color="auto" w:fill="3271AA"/>
            <w:vAlign w:val="bottom"/>
            <w:hideMark/>
          </w:tcPr>
          <w:p w14:paraId="33E87FB6" w14:textId="77777777" w:rsidR="00A32AC2" w:rsidRPr="004E313E" w:rsidRDefault="00A32AC2">
            <w:pPr>
              <w:spacing w:before="0" w:after="0" w:line="240" w:lineRule="auto"/>
              <w:jc w:val="center"/>
              <w:rPr>
                <w:rFonts w:ascii="Arial Narrow" w:eastAsia="Times New Roman" w:hAnsi="Arial Narrow" w:cs="Times New Roman"/>
                <w:color w:val="FFFFFF"/>
                <w:sz w:val="20"/>
                <w:szCs w:val="20"/>
                <w:lang w:val="en-US"/>
              </w:rPr>
            </w:pPr>
            <w:r w:rsidRPr="004E313E">
              <w:rPr>
                <w:rFonts w:ascii="Arial Narrow" w:eastAsia="Times New Roman" w:hAnsi="Arial Narrow" w:cs="Times New Roman"/>
                <w:color w:val="FFFFFF"/>
                <w:sz w:val="20"/>
                <w:szCs w:val="20"/>
                <w:lang w:val="en-US"/>
              </w:rPr>
              <w:t>Certainty of the evidence</w:t>
            </w:r>
            <w:r w:rsidRPr="004E313E">
              <w:rPr>
                <w:rFonts w:ascii="Arial Narrow" w:eastAsia="Times New Roman" w:hAnsi="Arial Narrow" w:cs="Times New Roman"/>
                <w:color w:val="FFFFFF"/>
                <w:sz w:val="20"/>
                <w:szCs w:val="20"/>
                <w:lang w:val="en-US"/>
              </w:rPr>
              <w:br/>
              <w:t>(GRADE)</w:t>
            </w:r>
          </w:p>
        </w:tc>
        <w:tc>
          <w:tcPr>
            <w:tcW w:w="834" w:type="pct"/>
            <w:tcBorders>
              <w:top w:val="single" w:sz="4" w:space="0" w:color="auto"/>
              <w:right w:val="single" w:sz="4" w:space="0" w:color="auto"/>
            </w:tcBorders>
            <w:shd w:val="clear" w:color="auto" w:fill="3271AA"/>
            <w:vAlign w:val="bottom"/>
            <w:hideMark/>
          </w:tcPr>
          <w:p w14:paraId="7978322B" w14:textId="77777777" w:rsidR="00A32AC2" w:rsidRPr="004E313E" w:rsidRDefault="00A32AC2">
            <w:pPr>
              <w:spacing w:before="0" w:after="0" w:line="240" w:lineRule="auto"/>
              <w:jc w:val="center"/>
              <w:rPr>
                <w:rFonts w:ascii="Arial Narrow" w:eastAsia="Times New Roman" w:hAnsi="Arial Narrow" w:cs="Times New Roman"/>
                <w:color w:val="FFFFFF"/>
                <w:sz w:val="20"/>
                <w:szCs w:val="20"/>
                <w:lang w:val="en-US"/>
              </w:rPr>
            </w:pPr>
            <w:r w:rsidRPr="004E313E">
              <w:rPr>
                <w:rFonts w:ascii="Arial Narrow" w:eastAsia="Times New Roman" w:hAnsi="Arial Narrow" w:cs="Times New Roman"/>
                <w:color w:val="FFFFFF"/>
                <w:sz w:val="20"/>
                <w:szCs w:val="20"/>
                <w:lang w:val="en-US"/>
              </w:rPr>
              <w:t>Comments</w:t>
            </w:r>
          </w:p>
        </w:tc>
      </w:tr>
      <w:tr w:rsidR="001F08FF" w:rsidRPr="004E313E" w14:paraId="7534EFFF" w14:textId="77777777" w:rsidTr="00BB5E10">
        <w:trPr>
          <w:cantSplit/>
          <w:trHeight w:val="234"/>
          <w:tblHeader/>
        </w:trPr>
        <w:tc>
          <w:tcPr>
            <w:tcW w:w="787" w:type="pct"/>
            <w:tcBorders>
              <w:top w:val="single" w:sz="4" w:space="0" w:color="auto"/>
              <w:left w:val="single" w:sz="4" w:space="0" w:color="auto"/>
              <w:right w:val="single" w:sz="6" w:space="0" w:color="EFEFEF"/>
            </w:tcBorders>
            <w:shd w:val="clear" w:color="auto" w:fill="3271AA"/>
            <w:vAlign w:val="bottom"/>
          </w:tcPr>
          <w:p w14:paraId="2D538AB9" w14:textId="77777777" w:rsidR="00B115FF" w:rsidRPr="004E313E" w:rsidRDefault="00B115FF">
            <w:pPr>
              <w:spacing w:before="0" w:after="0" w:line="240" w:lineRule="auto"/>
              <w:jc w:val="center"/>
              <w:rPr>
                <w:rFonts w:ascii="Arial Narrow" w:eastAsia="Times New Roman" w:hAnsi="Arial Narrow" w:cs="Times New Roman"/>
                <w:color w:val="FFFFFF"/>
                <w:sz w:val="20"/>
                <w:szCs w:val="20"/>
                <w:lang w:val="en-US"/>
              </w:rPr>
            </w:pPr>
          </w:p>
        </w:tc>
        <w:tc>
          <w:tcPr>
            <w:tcW w:w="707" w:type="pct"/>
            <w:tcBorders>
              <w:top w:val="single" w:sz="4" w:space="0" w:color="auto"/>
              <w:right w:val="single" w:sz="6" w:space="0" w:color="EFEFEF"/>
            </w:tcBorders>
            <w:shd w:val="clear" w:color="auto" w:fill="E0E0E0"/>
            <w:vAlign w:val="bottom"/>
          </w:tcPr>
          <w:p w14:paraId="096F8585" w14:textId="67582028" w:rsidR="00B115FF" w:rsidRPr="004E313E" w:rsidRDefault="00B115FF">
            <w:pPr>
              <w:spacing w:before="0" w:after="0" w:line="240" w:lineRule="auto"/>
              <w:jc w:val="center"/>
              <w:rPr>
                <w:rFonts w:ascii="Arial Narrow" w:eastAsia="Times New Roman" w:hAnsi="Arial Narrow" w:cs="Times New Roman"/>
                <w:b/>
                <w:sz w:val="20"/>
                <w:szCs w:val="20"/>
                <w:vertAlign w:val="superscript"/>
                <w:lang w:val="en-US"/>
              </w:rPr>
            </w:pPr>
            <w:r w:rsidRPr="004E313E">
              <w:rPr>
                <w:rFonts w:ascii="Arial Narrow" w:eastAsia="Times New Roman" w:hAnsi="Arial Narrow" w:cs="Times New Roman"/>
                <w:b/>
                <w:sz w:val="20"/>
                <w:szCs w:val="20"/>
                <w:lang w:val="en-US"/>
              </w:rPr>
              <w:t xml:space="preserve">Risk with </w:t>
            </w:r>
            <w:r w:rsidRPr="004E313E">
              <w:rPr>
                <w:rFonts w:ascii="Arial Narrow" w:eastAsia="Times New Roman" w:hAnsi="Arial Narrow" w:cs="Times New Roman"/>
                <w:b/>
                <w:bCs/>
                <w:sz w:val="20"/>
                <w:szCs w:val="20"/>
                <w:lang w:val="en-US"/>
              </w:rPr>
              <w:t>LSG</w:t>
            </w:r>
          </w:p>
        </w:tc>
        <w:tc>
          <w:tcPr>
            <w:tcW w:w="786" w:type="pct"/>
            <w:tcBorders>
              <w:top w:val="single" w:sz="4" w:space="0" w:color="auto"/>
              <w:right w:val="single" w:sz="6" w:space="0" w:color="EFEFEF"/>
            </w:tcBorders>
            <w:shd w:val="clear" w:color="auto" w:fill="E0E0E0"/>
            <w:vAlign w:val="bottom"/>
          </w:tcPr>
          <w:p w14:paraId="78FDAFA6" w14:textId="60569CFC" w:rsidR="00B115FF" w:rsidRPr="004E313E" w:rsidRDefault="00B115FF">
            <w:pPr>
              <w:spacing w:before="0" w:after="0" w:line="240" w:lineRule="auto"/>
              <w:jc w:val="center"/>
              <w:rPr>
                <w:rFonts w:ascii="Arial Narrow" w:eastAsia="Times New Roman" w:hAnsi="Arial Narrow" w:cs="Times New Roman"/>
                <w:b/>
                <w:sz w:val="20"/>
                <w:szCs w:val="20"/>
                <w:lang w:val="en-US"/>
              </w:rPr>
            </w:pPr>
            <w:r w:rsidRPr="004E313E">
              <w:rPr>
                <w:rFonts w:ascii="Arial Narrow" w:eastAsia="Times New Roman" w:hAnsi="Arial Narrow" w:cs="Times New Roman"/>
                <w:b/>
                <w:sz w:val="20"/>
                <w:szCs w:val="20"/>
                <w:lang w:val="en-US"/>
              </w:rPr>
              <w:t>Risk with ESG</w:t>
            </w:r>
          </w:p>
        </w:tc>
        <w:tc>
          <w:tcPr>
            <w:tcW w:w="549" w:type="pct"/>
            <w:tcBorders>
              <w:top w:val="single" w:sz="4" w:space="0" w:color="auto"/>
              <w:right w:val="single" w:sz="6" w:space="0" w:color="EFEFEF"/>
            </w:tcBorders>
            <w:shd w:val="clear" w:color="auto" w:fill="3271AA"/>
            <w:vAlign w:val="bottom"/>
          </w:tcPr>
          <w:p w14:paraId="37486858" w14:textId="77777777" w:rsidR="00B115FF" w:rsidRPr="004E313E" w:rsidRDefault="00B115FF">
            <w:pPr>
              <w:spacing w:before="0" w:after="0" w:line="240" w:lineRule="auto"/>
              <w:jc w:val="center"/>
              <w:rPr>
                <w:rFonts w:ascii="Arial Narrow" w:eastAsia="Times New Roman" w:hAnsi="Arial Narrow" w:cs="Times New Roman"/>
                <w:color w:val="FFFFFF"/>
                <w:sz w:val="20"/>
                <w:szCs w:val="20"/>
                <w:lang w:val="en-US"/>
              </w:rPr>
            </w:pPr>
          </w:p>
        </w:tc>
        <w:tc>
          <w:tcPr>
            <w:tcW w:w="707" w:type="pct"/>
            <w:tcBorders>
              <w:top w:val="single" w:sz="4" w:space="0" w:color="auto"/>
              <w:right w:val="single" w:sz="6" w:space="0" w:color="EFEFEF"/>
            </w:tcBorders>
            <w:shd w:val="clear" w:color="auto" w:fill="3271AA"/>
            <w:vAlign w:val="bottom"/>
          </w:tcPr>
          <w:p w14:paraId="6FD7C751" w14:textId="77777777" w:rsidR="00B115FF" w:rsidRPr="004E313E" w:rsidRDefault="00B115FF">
            <w:pPr>
              <w:spacing w:before="0" w:after="0" w:line="240" w:lineRule="auto"/>
              <w:jc w:val="center"/>
              <w:rPr>
                <w:rFonts w:ascii="Arial Narrow" w:eastAsia="Times New Roman" w:hAnsi="Arial Narrow" w:cs="Times New Roman"/>
                <w:color w:val="FFFFFF"/>
                <w:sz w:val="20"/>
                <w:szCs w:val="20"/>
                <w:lang w:val="en-US"/>
              </w:rPr>
            </w:pPr>
          </w:p>
        </w:tc>
        <w:tc>
          <w:tcPr>
            <w:tcW w:w="629" w:type="pct"/>
            <w:tcBorders>
              <w:top w:val="single" w:sz="4" w:space="0" w:color="auto"/>
              <w:right w:val="single" w:sz="6" w:space="0" w:color="EFEFEF"/>
            </w:tcBorders>
            <w:shd w:val="clear" w:color="auto" w:fill="3271AA"/>
            <w:vAlign w:val="bottom"/>
          </w:tcPr>
          <w:p w14:paraId="440655FA" w14:textId="77777777" w:rsidR="00B115FF" w:rsidRPr="004E313E" w:rsidRDefault="00B115FF">
            <w:pPr>
              <w:spacing w:before="0" w:after="0" w:line="240" w:lineRule="auto"/>
              <w:jc w:val="center"/>
              <w:rPr>
                <w:rFonts w:ascii="Arial Narrow" w:eastAsia="Times New Roman" w:hAnsi="Arial Narrow" w:cs="Times New Roman"/>
                <w:color w:val="FFFFFF"/>
                <w:sz w:val="20"/>
                <w:szCs w:val="20"/>
                <w:lang w:val="en-US"/>
              </w:rPr>
            </w:pPr>
          </w:p>
        </w:tc>
        <w:tc>
          <w:tcPr>
            <w:tcW w:w="834" w:type="pct"/>
            <w:tcBorders>
              <w:top w:val="single" w:sz="4" w:space="0" w:color="auto"/>
              <w:right w:val="single" w:sz="4" w:space="0" w:color="auto"/>
            </w:tcBorders>
            <w:shd w:val="clear" w:color="auto" w:fill="3271AA"/>
            <w:vAlign w:val="bottom"/>
          </w:tcPr>
          <w:p w14:paraId="421D32DC" w14:textId="77777777" w:rsidR="00B115FF" w:rsidRPr="004E313E" w:rsidRDefault="00B115FF">
            <w:pPr>
              <w:spacing w:before="0" w:after="0" w:line="240" w:lineRule="auto"/>
              <w:jc w:val="center"/>
              <w:rPr>
                <w:rFonts w:ascii="Arial Narrow" w:eastAsia="Times New Roman" w:hAnsi="Arial Narrow" w:cs="Times New Roman"/>
                <w:color w:val="FFFFFF"/>
                <w:sz w:val="20"/>
                <w:szCs w:val="20"/>
                <w:lang w:val="en-US"/>
              </w:rPr>
            </w:pPr>
          </w:p>
        </w:tc>
      </w:tr>
      <w:tr w:rsidR="00057CC1" w:rsidRPr="004E313E" w14:paraId="594CB63F" w14:textId="77777777" w:rsidTr="00BB5E10">
        <w:trPr>
          <w:cantSplit/>
          <w:trHeight w:val="1006"/>
          <w:tblHeader/>
        </w:trPr>
        <w:tc>
          <w:tcPr>
            <w:tcW w:w="787" w:type="pct"/>
            <w:tcBorders>
              <w:top w:val="single" w:sz="6" w:space="0" w:color="000000" w:themeColor="text1"/>
              <w:left w:val="single" w:sz="4" w:space="0" w:color="auto"/>
              <w:bottom w:val="single" w:sz="6" w:space="0" w:color="000000" w:themeColor="text1"/>
              <w:right w:val="nil"/>
            </w:tcBorders>
            <w:vAlign w:val="center"/>
          </w:tcPr>
          <w:p w14:paraId="4C60C606" w14:textId="21C10BCC" w:rsidR="00B115FF" w:rsidRPr="004E313E" w:rsidRDefault="00B115FF" w:rsidP="00B115FF">
            <w:pPr>
              <w:spacing w:before="0" w:after="0" w:line="240" w:lineRule="auto"/>
              <w:jc w:val="center"/>
              <w:rPr>
                <w:rFonts w:ascii="Arial Narrow" w:eastAsia="Times New Roman" w:hAnsi="Arial Narrow" w:cs="Times New Roman"/>
                <w:color w:val="FFFFFF"/>
                <w:sz w:val="20"/>
                <w:szCs w:val="20"/>
                <w:lang w:val="en-US"/>
              </w:rPr>
            </w:pPr>
            <w:r w:rsidRPr="004E313E">
              <w:rPr>
                <w:rFonts w:ascii="Arial Narrow" w:eastAsia="Calibri" w:hAnsi="Arial Narrow" w:cs="Arial"/>
                <w:sz w:val="20"/>
                <w:szCs w:val="20"/>
              </w:rPr>
              <w:t xml:space="preserve">%TBWL </w:t>
            </w:r>
            <w:r w:rsidRPr="004E313E">
              <w:rPr>
                <w:rFonts w:ascii="Arial Narrow" w:hAnsi="Arial Narrow"/>
                <w:sz w:val="20"/>
                <w:szCs w:val="20"/>
              </w:rPr>
              <w:t>at 12 months</w:t>
            </w:r>
            <w:r w:rsidRPr="004E313E">
              <w:rPr>
                <w:rFonts w:ascii="Arial Narrow" w:eastAsia="Calibri" w:hAnsi="Arial Narrow" w:cs="Arial"/>
                <w:sz w:val="20"/>
                <w:szCs w:val="20"/>
              </w:rPr>
              <w:t xml:space="preserve"> (s</w:t>
            </w:r>
            <w:r w:rsidRPr="004E313E">
              <w:rPr>
                <w:rFonts w:ascii="Arial Narrow" w:hAnsi="Arial Narrow"/>
                <w:sz w:val="20"/>
                <w:szCs w:val="20"/>
              </w:rPr>
              <w:br/>
              <w:t>cale 0</w:t>
            </w:r>
            <w:r w:rsidRPr="004E313E">
              <w:rPr>
                <w:rFonts w:ascii="Arial Narrow" w:eastAsia="Calibri" w:hAnsi="Arial Narrow" w:cs="Arial"/>
                <w:sz w:val="20"/>
                <w:szCs w:val="20"/>
              </w:rPr>
              <w:t>–</w:t>
            </w:r>
            <w:r w:rsidRPr="004E313E">
              <w:rPr>
                <w:rFonts w:ascii="Arial Narrow" w:hAnsi="Arial Narrow"/>
                <w:sz w:val="20"/>
                <w:szCs w:val="20"/>
              </w:rPr>
              <w:t>100</w:t>
            </w:r>
            <w:r w:rsidRPr="004E313E">
              <w:rPr>
                <w:rFonts w:ascii="Arial Narrow" w:eastAsia="Calibri" w:hAnsi="Arial Narrow" w:cs="Arial"/>
                <w:sz w:val="20"/>
                <w:szCs w:val="20"/>
              </w:rPr>
              <w:t>)</w:t>
            </w:r>
            <w:r w:rsidRPr="004E313E">
              <w:rPr>
                <w:rFonts w:ascii="Arial Narrow" w:hAnsi="Arial Narrow"/>
                <w:sz w:val="20"/>
                <w:szCs w:val="20"/>
              </w:rPr>
              <w:br/>
              <w:t>follow-up: 12 months</w:t>
            </w:r>
          </w:p>
        </w:tc>
        <w:tc>
          <w:tcPr>
            <w:tcW w:w="707" w:type="pct"/>
            <w:tcBorders>
              <w:top w:val="single" w:sz="6" w:space="0" w:color="000000" w:themeColor="text1"/>
              <w:left w:val="nil"/>
              <w:bottom w:val="single" w:sz="6" w:space="0" w:color="000000" w:themeColor="text1"/>
              <w:right w:val="nil"/>
            </w:tcBorders>
            <w:shd w:val="clear" w:color="auto" w:fill="ECECEC"/>
            <w:vAlign w:val="center"/>
          </w:tcPr>
          <w:p w14:paraId="7B8991B4" w14:textId="3DB5062B" w:rsidR="00B115FF" w:rsidRPr="004E313E" w:rsidRDefault="62F749C1" w:rsidP="00B115FF">
            <w:pPr>
              <w:spacing w:before="0" w:after="0" w:line="240" w:lineRule="auto"/>
              <w:jc w:val="center"/>
              <w:rPr>
                <w:rFonts w:ascii="Arial Narrow" w:eastAsia="Times New Roman" w:hAnsi="Arial Narrow" w:cs="Times New Roman"/>
                <w:b/>
                <w:sz w:val="20"/>
                <w:szCs w:val="20"/>
                <w:lang w:val="en-US"/>
              </w:rPr>
            </w:pPr>
            <w:r w:rsidRPr="004E313E">
              <w:rPr>
                <w:rFonts w:ascii="Arial Narrow" w:eastAsia="Times New Roman" w:hAnsi="Arial Narrow" w:cs="Times New Roman"/>
                <w:b/>
                <w:sz w:val="20"/>
                <w:szCs w:val="20"/>
                <w:vertAlign w:val="superscript"/>
                <w:lang w:val="en-US"/>
              </w:rPr>
              <w:t>a</w:t>
            </w:r>
          </w:p>
        </w:tc>
        <w:tc>
          <w:tcPr>
            <w:tcW w:w="786" w:type="pct"/>
            <w:tcBorders>
              <w:top w:val="single" w:sz="6" w:space="0" w:color="000000" w:themeColor="text1"/>
              <w:left w:val="nil"/>
              <w:bottom w:val="single" w:sz="6" w:space="0" w:color="000000" w:themeColor="text1"/>
              <w:right w:val="nil"/>
            </w:tcBorders>
            <w:shd w:val="clear" w:color="auto" w:fill="EBEBEB"/>
          </w:tcPr>
          <w:p w14:paraId="55F1FDF5" w14:textId="77777777" w:rsidR="00B115FF" w:rsidRPr="004E313E" w:rsidRDefault="00B115FF" w:rsidP="00B115FF">
            <w:pPr>
              <w:jc w:val="center"/>
              <w:rPr>
                <w:rFonts w:ascii="Arial Narrow" w:hAnsi="Arial Narrow"/>
                <w:sz w:val="20"/>
                <w:szCs w:val="20"/>
              </w:rPr>
            </w:pPr>
          </w:p>
          <w:p w14:paraId="3FA87F50" w14:textId="77777777" w:rsidR="00B115FF" w:rsidRPr="004E313E" w:rsidRDefault="00B115FF" w:rsidP="00B115FF">
            <w:pPr>
              <w:jc w:val="center"/>
              <w:rPr>
                <w:rFonts w:ascii="Arial Narrow" w:hAnsi="Arial Narrow"/>
                <w:sz w:val="20"/>
                <w:szCs w:val="20"/>
              </w:rPr>
            </w:pPr>
          </w:p>
          <w:p w14:paraId="3799A3FB" w14:textId="5F16E3C3" w:rsidR="00B115FF" w:rsidRPr="004E313E" w:rsidRDefault="00B115FF" w:rsidP="00B115FF">
            <w:pPr>
              <w:spacing w:before="0" w:after="0" w:line="240" w:lineRule="auto"/>
              <w:jc w:val="center"/>
              <w:rPr>
                <w:rFonts w:ascii="Arial Narrow" w:eastAsia="Times New Roman" w:hAnsi="Arial Narrow" w:cs="Times New Roman"/>
                <w:b/>
                <w:sz w:val="20"/>
                <w:szCs w:val="20"/>
                <w:lang w:val="en-US"/>
              </w:rPr>
            </w:pPr>
            <w:r w:rsidRPr="004E313E">
              <w:rPr>
                <w:rFonts w:ascii="Arial Narrow" w:eastAsia="Calibri" w:hAnsi="Arial Narrow" w:cs="Arial"/>
                <w:sz w:val="20"/>
                <w:szCs w:val="20"/>
              </w:rPr>
              <w:t>M</w:t>
            </w:r>
            <w:r w:rsidRPr="004E313E">
              <w:rPr>
                <w:rFonts w:ascii="Arial Narrow" w:hAnsi="Arial Narrow"/>
                <w:sz w:val="20"/>
                <w:szCs w:val="20"/>
              </w:rPr>
              <w:t xml:space="preserve">ean </w:t>
            </w:r>
            <w:r w:rsidRPr="004E313E">
              <w:rPr>
                <w:rFonts w:ascii="Arial Narrow" w:hAnsi="Arial Narrow"/>
                <w:b/>
                <w:sz w:val="20"/>
                <w:szCs w:val="20"/>
              </w:rPr>
              <w:t>9.95% lower</w:t>
            </w:r>
            <w:r w:rsidRPr="004E313E">
              <w:rPr>
                <w:rFonts w:ascii="Arial Narrow" w:hAnsi="Arial Narrow"/>
              </w:rPr>
              <w:br/>
            </w:r>
            <w:r w:rsidRPr="004E313E">
              <w:rPr>
                <w:rFonts w:ascii="Arial Narrow" w:hAnsi="Arial Narrow"/>
                <w:sz w:val="20"/>
                <w:szCs w:val="20"/>
              </w:rPr>
              <w:t>(10.7</w:t>
            </w:r>
            <w:r w:rsidRPr="004E313E">
              <w:rPr>
                <w:rFonts w:ascii="Arial Narrow" w:eastAsia="Calibri" w:hAnsi="Arial Narrow" w:cs="Arial"/>
                <w:sz w:val="20"/>
                <w:szCs w:val="20"/>
              </w:rPr>
              <w:t>%</w:t>
            </w:r>
            <w:r w:rsidRPr="004E313E">
              <w:rPr>
                <w:rFonts w:ascii="Arial Narrow" w:hAnsi="Arial Narrow"/>
                <w:sz w:val="20"/>
                <w:szCs w:val="20"/>
              </w:rPr>
              <w:t xml:space="preserve"> lower to 9.19</w:t>
            </w:r>
            <w:r w:rsidRPr="004E313E">
              <w:rPr>
                <w:rFonts w:ascii="Arial Narrow" w:eastAsia="Calibri" w:hAnsi="Arial Narrow" w:cs="Arial"/>
                <w:sz w:val="20"/>
                <w:szCs w:val="20"/>
              </w:rPr>
              <w:t>%</w:t>
            </w:r>
            <w:r w:rsidRPr="004E313E">
              <w:rPr>
                <w:rFonts w:ascii="Arial Narrow" w:hAnsi="Arial Narrow"/>
                <w:sz w:val="20"/>
                <w:szCs w:val="20"/>
              </w:rPr>
              <w:t xml:space="preserve"> lower)</w:t>
            </w:r>
          </w:p>
        </w:tc>
        <w:tc>
          <w:tcPr>
            <w:tcW w:w="549" w:type="pct"/>
            <w:tcBorders>
              <w:top w:val="single" w:sz="6" w:space="0" w:color="000000" w:themeColor="text1"/>
              <w:left w:val="nil"/>
              <w:bottom w:val="single" w:sz="6" w:space="0" w:color="000000" w:themeColor="text1"/>
              <w:right w:val="nil"/>
            </w:tcBorders>
            <w:vAlign w:val="center"/>
          </w:tcPr>
          <w:p w14:paraId="1C3498D2" w14:textId="31733B9F" w:rsidR="00B115FF" w:rsidRPr="004E313E" w:rsidRDefault="00B115FF" w:rsidP="00B115FF">
            <w:pPr>
              <w:spacing w:before="0" w:after="0" w:line="240" w:lineRule="auto"/>
              <w:jc w:val="center"/>
              <w:rPr>
                <w:rFonts w:ascii="Arial Narrow" w:eastAsia="Times New Roman" w:hAnsi="Arial Narrow" w:cs="Times New Roman"/>
                <w:color w:val="FFFFFF"/>
                <w:sz w:val="20"/>
                <w:szCs w:val="20"/>
                <w:lang w:val="en-US"/>
              </w:rPr>
            </w:pPr>
            <w:r w:rsidRPr="004E313E">
              <w:rPr>
                <w:rFonts w:ascii="Arial Narrow" w:hAnsi="Arial Narrow"/>
                <w:sz w:val="20"/>
                <w:szCs w:val="20"/>
              </w:rPr>
              <w:t>-</w:t>
            </w:r>
          </w:p>
        </w:tc>
        <w:tc>
          <w:tcPr>
            <w:tcW w:w="707" w:type="pct"/>
            <w:tcBorders>
              <w:top w:val="single" w:sz="6" w:space="0" w:color="000000" w:themeColor="text1"/>
              <w:left w:val="nil"/>
              <w:bottom w:val="single" w:sz="6" w:space="0" w:color="000000" w:themeColor="text1"/>
              <w:right w:val="nil"/>
            </w:tcBorders>
            <w:vAlign w:val="center"/>
          </w:tcPr>
          <w:p w14:paraId="28D77274" w14:textId="655CBA1C" w:rsidR="00B115FF" w:rsidRPr="004E313E" w:rsidRDefault="00B115FF" w:rsidP="00B115FF">
            <w:pPr>
              <w:spacing w:before="0" w:after="0" w:line="240" w:lineRule="auto"/>
              <w:jc w:val="center"/>
              <w:rPr>
                <w:rFonts w:ascii="Arial Narrow" w:eastAsia="Times New Roman" w:hAnsi="Arial Narrow" w:cs="Times New Roman"/>
                <w:color w:val="FFFFFF"/>
                <w:sz w:val="20"/>
                <w:szCs w:val="20"/>
                <w:lang w:val="en-US"/>
              </w:rPr>
            </w:pPr>
            <w:r w:rsidRPr="004E313E">
              <w:rPr>
                <w:rFonts w:ascii="Arial Narrow" w:eastAsia="Times New Roman" w:hAnsi="Arial Narrow" w:cs="Arial"/>
                <w:sz w:val="20"/>
                <w:szCs w:val="20"/>
              </w:rPr>
              <w:t>51135,113</w:t>
            </w:r>
            <w:r w:rsidRPr="004E313E">
              <w:rPr>
                <w:rFonts w:ascii="Arial Narrow" w:hAnsi="Arial Narrow"/>
                <w:sz w:val="20"/>
                <w:szCs w:val="20"/>
              </w:rPr>
              <w:br/>
              <w:t>(4 non-randomised studies)</w:t>
            </w:r>
          </w:p>
        </w:tc>
        <w:tc>
          <w:tcPr>
            <w:tcW w:w="629" w:type="pct"/>
            <w:tcBorders>
              <w:top w:val="single" w:sz="6" w:space="0" w:color="000000" w:themeColor="text1"/>
              <w:left w:val="nil"/>
              <w:bottom w:val="single" w:sz="6" w:space="0" w:color="000000" w:themeColor="text1"/>
              <w:right w:val="nil"/>
            </w:tcBorders>
            <w:vAlign w:val="center"/>
          </w:tcPr>
          <w:p w14:paraId="6C4E8E86" w14:textId="64BA6A49" w:rsidR="00B115FF" w:rsidRPr="004E313E" w:rsidRDefault="00B115FF" w:rsidP="00B115FF">
            <w:pPr>
              <w:spacing w:before="0" w:after="0" w:line="240" w:lineRule="auto"/>
              <w:jc w:val="center"/>
              <w:rPr>
                <w:rFonts w:ascii="Arial Narrow" w:eastAsia="Times New Roman" w:hAnsi="Arial Narrow" w:cs="Times New Roman"/>
                <w:color w:val="FFFFFF"/>
                <w:sz w:val="20"/>
                <w:szCs w:val="20"/>
                <w:lang w:val="en-US"/>
              </w:rPr>
            </w:pPr>
            <w:r w:rsidRPr="004E313E">
              <w:rPr>
                <w:rFonts w:ascii="Cambria Math" w:hAnsi="Cambria Math" w:cs="Cambria Math"/>
                <w:sz w:val="20"/>
                <w:szCs w:val="20"/>
              </w:rPr>
              <w:t>⨁⨁⨁◯</w:t>
            </w:r>
            <w:r w:rsidRPr="004E313E">
              <w:rPr>
                <w:rFonts w:ascii="Arial Narrow" w:hAnsi="Arial Narrow"/>
              </w:rPr>
              <w:br/>
            </w:r>
            <w:r w:rsidRPr="004E313E">
              <w:rPr>
                <w:rFonts w:ascii="Arial Narrow" w:hAnsi="Arial Narrow"/>
                <w:sz w:val="20"/>
                <w:szCs w:val="20"/>
              </w:rPr>
              <w:t xml:space="preserve">Moderate </w:t>
            </w:r>
            <w:r w:rsidR="27823046" w:rsidRPr="004E313E">
              <w:rPr>
                <w:rFonts w:ascii="Arial Narrow" w:hAnsi="Arial Narrow"/>
                <w:sz w:val="20"/>
                <w:szCs w:val="20"/>
                <w:vertAlign w:val="superscript"/>
              </w:rPr>
              <w:t>b</w:t>
            </w:r>
          </w:p>
        </w:tc>
        <w:tc>
          <w:tcPr>
            <w:tcW w:w="834" w:type="pct"/>
            <w:tcBorders>
              <w:top w:val="single" w:sz="6" w:space="0" w:color="000000" w:themeColor="text1"/>
              <w:left w:val="nil"/>
              <w:bottom w:val="single" w:sz="6" w:space="0" w:color="000000" w:themeColor="text1"/>
              <w:right w:val="single" w:sz="4" w:space="0" w:color="auto"/>
            </w:tcBorders>
            <w:vAlign w:val="center"/>
          </w:tcPr>
          <w:p w14:paraId="1CBEA856" w14:textId="5499E71E" w:rsidR="00B115FF" w:rsidRPr="004E313E" w:rsidRDefault="00B115FF" w:rsidP="00B115FF">
            <w:pPr>
              <w:spacing w:before="0" w:after="0" w:line="240" w:lineRule="auto"/>
              <w:jc w:val="center"/>
              <w:rPr>
                <w:rFonts w:ascii="Arial Narrow" w:eastAsia="Times New Roman" w:hAnsi="Arial Narrow" w:cs="Times New Roman"/>
                <w:color w:val="FFFFFF"/>
                <w:sz w:val="20"/>
                <w:szCs w:val="20"/>
                <w:lang w:val="en-US"/>
              </w:rPr>
            </w:pPr>
            <w:r w:rsidRPr="004E313E">
              <w:rPr>
                <w:rFonts w:ascii="Arial Narrow" w:hAnsi="Arial Narrow"/>
                <w:sz w:val="20"/>
                <w:szCs w:val="20"/>
              </w:rPr>
              <w:t xml:space="preserve">ESG likely results in a lower total body weight loss compared to LSG at 12 months but this difference is small and likely not clinically </w:t>
            </w:r>
            <w:r w:rsidR="344F1B60" w:rsidRPr="004E313E">
              <w:rPr>
                <w:rFonts w:ascii="Arial Narrow" w:hAnsi="Arial Narrow"/>
                <w:sz w:val="20"/>
                <w:szCs w:val="20"/>
              </w:rPr>
              <w:t>significant</w:t>
            </w:r>
            <w:r w:rsidR="1BBA8FF1" w:rsidRPr="004E313E">
              <w:rPr>
                <w:rFonts w:ascii="Arial Narrow" w:hAnsi="Arial Narrow"/>
                <w:sz w:val="20"/>
                <w:szCs w:val="20"/>
                <w:vertAlign w:val="superscript"/>
              </w:rPr>
              <w:t>d</w:t>
            </w:r>
            <w:r w:rsidRPr="004E313E">
              <w:rPr>
                <w:rFonts w:ascii="Arial Narrow" w:hAnsi="Arial Narrow"/>
                <w:sz w:val="20"/>
                <w:szCs w:val="20"/>
              </w:rPr>
              <w:t>, as noted by expert clinical opinion</w:t>
            </w:r>
            <w:r w:rsidR="00D5781E" w:rsidRPr="004E313E">
              <w:rPr>
                <w:rFonts w:ascii="Arial Narrow" w:hAnsi="Arial Narrow"/>
                <w:sz w:val="20"/>
                <w:szCs w:val="20"/>
              </w:rPr>
              <w:t xml:space="preserve"> in the ADAR</w:t>
            </w:r>
            <w:r w:rsidRPr="004E313E">
              <w:rPr>
                <w:rFonts w:ascii="Arial Narrow" w:hAnsi="Arial Narrow"/>
                <w:sz w:val="20"/>
                <w:szCs w:val="20"/>
              </w:rPr>
              <w:t xml:space="preserve">. </w:t>
            </w:r>
          </w:p>
        </w:tc>
      </w:tr>
      <w:tr w:rsidR="00392B6A" w:rsidRPr="004E313E" w14:paraId="1D201F04" w14:textId="77777777" w:rsidTr="00BB5E10">
        <w:trPr>
          <w:cantSplit/>
          <w:trHeight w:val="1006"/>
          <w:tblHeader/>
        </w:trPr>
        <w:tc>
          <w:tcPr>
            <w:tcW w:w="787" w:type="pct"/>
            <w:tcBorders>
              <w:top w:val="single" w:sz="6" w:space="0" w:color="000000" w:themeColor="text1"/>
              <w:left w:val="single" w:sz="4" w:space="0" w:color="auto"/>
              <w:bottom w:val="single" w:sz="4" w:space="0" w:color="auto"/>
              <w:right w:val="nil"/>
            </w:tcBorders>
            <w:vAlign w:val="center"/>
          </w:tcPr>
          <w:p w14:paraId="324F408E" w14:textId="18639E8D" w:rsidR="00B115FF" w:rsidRPr="004E313E" w:rsidRDefault="00B115FF" w:rsidP="00B115FF">
            <w:pPr>
              <w:spacing w:before="0" w:after="0" w:line="240" w:lineRule="auto"/>
              <w:jc w:val="center"/>
              <w:rPr>
                <w:rFonts w:ascii="Arial Narrow" w:eastAsia="Times New Roman" w:hAnsi="Arial Narrow" w:cs="Times New Roman"/>
                <w:color w:val="FFFFFF"/>
                <w:sz w:val="20"/>
                <w:szCs w:val="20"/>
                <w:lang w:val="en-US"/>
              </w:rPr>
            </w:pPr>
            <w:r w:rsidRPr="004E313E">
              <w:rPr>
                <w:rFonts w:ascii="Arial Narrow" w:eastAsia="Times New Roman" w:hAnsi="Arial Narrow" w:cs="Segoe UI"/>
                <w:sz w:val="20"/>
                <w:szCs w:val="20"/>
                <w:lang w:eastAsia="en-AU"/>
              </w:rPr>
              <w:t>%EWL</w:t>
            </w:r>
            <w:r w:rsidRPr="004E313E">
              <w:rPr>
                <w:rFonts w:ascii="Arial Narrow" w:eastAsia="Calibri" w:hAnsi="Arial Narrow" w:cs="Arial"/>
                <w:sz w:val="20"/>
                <w:szCs w:val="20"/>
              </w:rPr>
              <w:t xml:space="preserve"> </w:t>
            </w:r>
            <w:r w:rsidRPr="004E313E">
              <w:rPr>
                <w:rFonts w:ascii="Arial Narrow" w:hAnsi="Arial Narrow"/>
                <w:sz w:val="20"/>
                <w:szCs w:val="20"/>
              </w:rPr>
              <w:t xml:space="preserve">at 12 months </w:t>
            </w:r>
            <w:r w:rsidRPr="004E313E">
              <w:rPr>
                <w:rFonts w:ascii="Arial Narrow" w:eastAsia="Calibri" w:hAnsi="Arial Narrow" w:cs="Arial"/>
                <w:sz w:val="20"/>
                <w:szCs w:val="20"/>
              </w:rPr>
              <w:t>(s</w:t>
            </w:r>
            <w:r w:rsidRPr="004E313E">
              <w:rPr>
                <w:rFonts w:ascii="Arial Narrow" w:hAnsi="Arial Narrow"/>
                <w:sz w:val="20"/>
                <w:szCs w:val="20"/>
              </w:rPr>
              <w:br/>
              <w:t>cale 0</w:t>
            </w:r>
            <w:r w:rsidRPr="004E313E">
              <w:rPr>
                <w:rFonts w:ascii="Arial Narrow" w:eastAsia="Calibri" w:hAnsi="Arial Narrow" w:cs="Arial"/>
                <w:sz w:val="20"/>
                <w:szCs w:val="20"/>
              </w:rPr>
              <w:t>–</w:t>
            </w:r>
            <w:r w:rsidRPr="004E313E">
              <w:rPr>
                <w:rFonts w:ascii="Arial Narrow" w:hAnsi="Arial Narrow"/>
                <w:sz w:val="20"/>
                <w:szCs w:val="20"/>
              </w:rPr>
              <w:t>100</w:t>
            </w:r>
            <w:r w:rsidRPr="004E313E">
              <w:rPr>
                <w:rFonts w:ascii="Arial Narrow" w:eastAsia="Calibri" w:hAnsi="Arial Narrow" w:cs="Arial"/>
                <w:sz w:val="20"/>
                <w:szCs w:val="20"/>
              </w:rPr>
              <w:t>)</w:t>
            </w:r>
            <w:r w:rsidRPr="004E313E">
              <w:rPr>
                <w:rFonts w:ascii="Arial Narrow" w:hAnsi="Arial Narrow"/>
                <w:sz w:val="20"/>
                <w:szCs w:val="20"/>
              </w:rPr>
              <w:br/>
              <w:t>follow-up: 12 months</w:t>
            </w:r>
            <w:r w:rsidRPr="004E313E">
              <w:rPr>
                <w:rFonts w:ascii="Arial Narrow" w:eastAsia="Calibri" w:hAnsi="Arial Narrow" w:cs="Arial"/>
                <w:sz w:val="20"/>
                <w:szCs w:val="20"/>
              </w:rPr>
              <w:t xml:space="preserve"> </w:t>
            </w:r>
          </w:p>
        </w:tc>
        <w:tc>
          <w:tcPr>
            <w:tcW w:w="707" w:type="pct"/>
            <w:tcBorders>
              <w:top w:val="single" w:sz="6" w:space="0" w:color="000000" w:themeColor="text1"/>
              <w:left w:val="nil"/>
              <w:bottom w:val="single" w:sz="4" w:space="0" w:color="auto"/>
              <w:right w:val="nil"/>
            </w:tcBorders>
            <w:shd w:val="clear" w:color="auto" w:fill="EBEBEB"/>
            <w:vAlign w:val="center"/>
          </w:tcPr>
          <w:p w14:paraId="256C4E9F" w14:textId="40C656A6" w:rsidR="00B115FF" w:rsidRPr="004E313E" w:rsidRDefault="00B115FF" w:rsidP="00B115FF">
            <w:pPr>
              <w:spacing w:before="0" w:after="0" w:line="240" w:lineRule="auto"/>
              <w:jc w:val="center"/>
              <w:rPr>
                <w:rFonts w:ascii="Arial Narrow" w:eastAsia="Times New Roman" w:hAnsi="Arial Narrow" w:cs="Times New Roman"/>
                <w:b/>
                <w:sz w:val="20"/>
                <w:szCs w:val="20"/>
                <w:lang w:val="en-US"/>
              </w:rPr>
            </w:pPr>
            <w:r w:rsidRPr="004E313E">
              <w:rPr>
                <w:rFonts w:ascii="Arial Narrow" w:eastAsia="Calibri" w:hAnsi="Arial Narrow" w:cs="Arial"/>
                <w:sz w:val="20"/>
                <w:szCs w:val="20"/>
              </w:rPr>
              <w:t>M</w:t>
            </w:r>
            <w:r w:rsidRPr="004E313E">
              <w:rPr>
                <w:rFonts w:ascii="Arial Narrow" w:hAnsi="Arial Narrow"/>
                <w:sz w:val="20"/>
                <w:szCs w:val="20"/>
              </w:rPr>
              <w:t xml:space="preserve">ean </w:t>
            </w:r>
            <w:r w:rsidRPr="004E313E">
              <w:rPr>
                <w:rFonts w:ascii="Arial Narrow" w:eastAsia="Times New Roman" w:hAnsi="Arial Narrow" w:cs="Segoe UI"/>
                <w:sz w:val="20"/>
                <w:szCs w:val="20"/>
                <w:lang w:eastAsia="en-AU"/>
              </w:rPr>
              <w:t>%EWL</w:t>
            </w:r>
            <w:r w:rsidRPr="004E313E">
              <w:rPr>
                <w:rFonts w:ascii="Arial Narrow" w:eastAsia="Calibri" w:hAnsi="Arial Narrow" w:cs="Arial"/>
                <w:sz w:val="20"/>
                <w:szCs w:val="20"/>
              </w:rPr>
              <w:t xml:space="preserve"> </w:t>
            </w:r>
            <w:r w:rsidRPr="004E313E">
              <w:rPr>
                <w:rFonts w:ascii="Arial Narrow" w:hAnsi="Arial Narrow"/>
                <w:sz w:val="20"/>
                <w:szCs w:val="20"/>
              </w:rPr>
              <w:t xml:space="preserve">at 12 months </w:t>
            </w:r>
            <w:r w:rsidRPr="004E313E">
              <w:rPr>
                <w:rFonts w:ascii="Arial Narrow" w:hAnsi="Arial Narrow"/>
                <w:b/>
                <w:sz w:val="20"/>
                <w:szCs w:val="20"/>
              </w:rPr>
              <w:t>0%</w:t>
            </w:r>
          </w:p>
        </w:tc>
        <w:tc>
          <w:tcPr>
            <w:tcW w:w="786" w:type="pct"/>
            <w:tcBorders>
              <w:top w:val="single" w:sz="6" w:space="0" w:color="000000" w:themeColor="text1"/>
              <w:left w:val="nil"/>
              <w:bottom w:val="single" w:sz="4" w:space="0" w:color="auto"/>
              <w:right w:val="nil"/>
            </w:tcBorders>
            <w:shd w:val="clear" w:color="auto" w:fill="EBEBEB"/>
          </w:tcPr>
          <w:p w14:paraId="13F6E677" w14:textId="77777777" w:rsidR="00B115FF" w:rsidRPr="004E313E" w:rsidRDefault="00B115FF" w:rsidP="00B115FF">
            <w:pPr>
              <w:jc w:val="center"/>
              <w:rPr>
                <w:rFonts w:ascii="Arial Narrow" w:hAnsi="Arial Narrow"/>
                <w:sz w:val="20"/>
                <w:szCs w:val="20"/>
              </w:rPr>
            </w:pPr>
          </w:p>
          <w:p w14:paraId="01F413A3" w14:textId="77777777" w:rsidR="00B115FF" w:rsidRPr="004E313E" w:rsidRDefault="00B115FF" w:rsidP="00B115FF">
            <w:pPr>
              <w:jc w:val="center"/>
              <w:rPr>
                <w:rFonts w:ascii="Arial Narrow" w:hAnsi="Arial Narrow"/>
                <w:sz w:val="20"/>
                <w:szCs w:val="20"/>
              </w:rPr>
            </w:pPr>
          </w:p>
          <w:p w14:paraId="4710E4BB" w14:textId="4EB45674" w:rsidR="00B115FF" w:rsidRPr="004E313E" w:rsidRDefault="00B115FF" w:rsidP="00B115FF">
            <w:pPr>
              <w:spacing w:before="0" w:after="0" w:line="240" w:lineRule="auto"/>
              <w:rPr>
                <w:rFonts w:ascii="Arial Narrow" w:eastAsia="Times New Roman" w:hAnsi="Arial Narrow" w:cs="Times New Roman"/>
                <w:b/>
                <w:sz w:val="20"/>
                <w:szCs w:val="20"/>
                <w:lang w:val="en-US"/>
              </w:rPr>
            </w:pPr>
            <w:r w:rsidRPr="004E313E">
              <w:rPr>
                <w:rFonts w:ascii="Arial Narrow" w:eastAsia="Calibri" w:hAnsi="Arial Narrow" w:cs="Arial"/>
                <w:sz w:val="20"/>
                <w:szCs w:val="20"/>
              </w:rPr>
              <w:t>M</w:t>
            </w:r>
            <w:r w:rsidRPr="004E313E">
              <w:rPr>
                <w:rFonts w:ascii="Arial Narrow" w:hAnsi="Arial Narrow"/>
                <w:sz w:val="20"/>
                <w:szCs w:val="20"/>
              </w:rPr>
              <w:t xml:space="preserve">ean </w:t>
            </w:r>
            <w:r w:rsidRPr="004E313E">
              <w:rPr>
                <w:rFonts w:ascii="Arial Narrow" w:hAnsi="Arial Narrow"/>
                <w:b/>
                <w:sz w:val="20"/>
                <w:szCs w:val="20"/>
              </w:rPr>
              <w:t>18.0% lower</w:t>
            </w:r>
            <w:r w:rsidRPr="004E313E">
              <w:rPr>
                <w:rFonts w:ascii="Arial Narrow" w:hAnsi="Arial Narrow"/>
                <w:sz w:val="20"/>
                <w:szCs w:val="20"/>
              </w:rPr>
              <w:br/>
              <w:t>(19.32</w:t>
            </w:r>
            <w:r w:rsidRPr="004E313E">
              <w:rPr>
                <w:rFonts w:ascii="Arial Narrow" w:eastAsia="Calibri" w:hAnsi="Arial Narrow" w:cs="Arial"/>
                <w:sz w:val="20"/>
                <w:szCs w:val="20"/>
              </w:rPr>
              <w:t>%</w:t>
            </w:r>
            <w:r w:rsidRPr="004E313E">
              <w:rPr>
                <w:rFonts w:ascii="Arial Narrow" w:hAnsi="Arial Narrow"/>
                <w:sz w:val="20"/>
                <w:szCs w:val="20"/>
              </w:rPr>
              <w:t xml:space="preserve"> lower to 16.7</w:t>
            </w:r>
            <w:r w:rsidRPr="004E313E">
              <w:rPr>
                <w:rFonts w:ascii="Arial Narrow" w:eastAsia="Calibri" w:hAnsi="Arial Narrow" w:cs="Arial"/>
                <w:sz w:val="20"/>
                <w:szCs w:val="20"/>
              </w:rPr>
              <w:t>%</w:t>
            </w:r>
            <w:r w:rsidRPr="004E313E">
              <w:rPr>
                <w:rFonts w:ascii="Arial Narrow" w:hAnsi="Arial Narrow"/>
                <w:sz w:val="20"/>
                <w:szCs w:val="20"/>
              </w:rPr>
              <w:t xml:space="preserve"> lower)</w:t>
            </w:r>
          </w:p>
        </w:tc>
        <w:tc>
          <w:tcPr>
            <w:tcW w:w="549" w:type="pct"/>
            <w:tcBorders>
              <w:top w:val="single" w:sz="6" w:space="0" w:color="000000" w:themeColor="text1"/>
              <w:left w:val="nil"/>
              <w:bottom w:val="single" w:sz="4" w:space="0" w:color="auto"/>
              <w:right w:val="nil"/>
            </w:tcBorders>
            <w:vAlign w:val="center"/>
          </w:tcPr>
          <w:p w14:paraId="6E23B1E6" w14:textId="64020C78" w:rsidR="00B115FF" w:rsidRPr="004E313E" w:rsidRDefault="00B115FF" w:rsidP="00B115FF">
            <w:pPr>
              <w:spacing w:before="0" w:after="0" w:line="240" w:lineRule="auto"/>
              <w:jc w:val="center"/>
              <w:rPr>
                <w:rFonts w:ascii="Arial Narrow" w:eastAsia="Times New Roman" w:hAnsi="Arial Narrow" w:cs="Times New Roman"/>
                <w:color w:val="FFFFFF"/>
                <w:sz w:val="20"/>
                <w:szCs w:val="20"/>
                <w:lang w:val="en-US"/>
              </w:rPr>
            </w:pPr>
            <w:r w:rsidRPr="004E313E">
              <w:rPr>
                <w:rFonts w:ascii="Arial Narrow" w:hAnsi="Arial Narrow"/>
                <w:sz w:val="20"/>
                <w:szCs w:val="20"/>
              </w:rPr>
              <w:t>-</w:t>
            </w:r>
          </w:p>
        </w:tc>
        <w:tc>
          <w:tcPr>
            <w:tcW w:w="707" w:type="pct"/>
            <w:tcBorders>
              <w:top w:val="single" w:sz="6" w:space="0" w:color="000000" w:themeColor="text1"/>
              <w:left w:val="nil"/>
              <w:bottom w:val="single" w:sz="4" w:space="0" w:color="auto"/>
              <w:right w:val="nil"/>
            </w:tcBorders>
            <w:vAlign w:val="center"/>
          </w:tcPr>
          <w:p w14:paraId="6A6CA7D5" w14:textId="3DA553D1" w:rsidR="00B115FF" w:rsidRPr="004E313E" w:rsidRDefault="00B115FF" w:rsidP="00B115FF">
            <w:pPr>
              <w:spacing w:before="0" w:after="0" w:line="240" w:lineRule="auto"/>
              <w:jc w:val="center"/>
              <w:rPr>
                <w:rFonts w:ascii="Arial Narrow" w:eastAsia="Times New Roman" w:hAnsi="Arial Narrow" w:cs="Times New Roman"/>
                <w:color w:val="FFFFFF"/>
                <w:sz w:val="20"/>
                <w:szCs w:val="20"/>
                <w:lang w:val="en-US"/>
              </w:rPr>
            </w:pPr>
            <w:r w:rsidRPr="004E313E">
              <w:rPr>
                <w:rFonts w:ascii="Arial Narrow" w:eastAsia="Times New Roman" w:hAnsi="Arial Narrow" w:cs="Arial"/>
                <w:sz w:val="20"/>
                <w:szCs w:val="20"/>
              </w:rPr>
              <w:t>46424,642</w:t>
            </w:r>
            <w:r w:rsidRPr="004E313E">
              <w:rPr>
                <w:rFonts w:ascii="Arial Narrow" w:hAnsi="Arial Narrow"/>
                <w:sz w:val="20"/>
                <w:szCs w:val="20"/>
              </w:rPr>
              <w:br/>
              <w:t>(2 non-randomised studies)</w:t>
            </w:r>
          </w:p>
        </w:tc>
        <w:tc>
          <w:tcPr>
            <w:tcW w:w="629" w:type="pct"/>
            <w:tcBorders>
              <w:top w:val="single" w:sz="6" w:space="0" w:color="000000" w:themeColor="text1"/>
              <w:left w:val="nil"/>
              <w:bottom w:val="single" w:sz="4" w:space="0" w:color="auto"/>
              <w:right w:val="nil"/>
            </w:tcBorders>
            <w:vAlign w:val="center"/>
          </w:tcPr>
          <w:p w14:paraId="656F8A24" w14:textId="5E8C5FC3" w:rsidR="00B115FF" w:rsidRPr="004E313E" w:rsidRDefault="00B115FF" w:rsidP="00B115FF">
            <w:pPr>
              <w:spacing w:before="0" w:after="0" w:line="240" w:lineRule="auto"/>
              <w:jc w:val="center"/>
              <w:rPr>
                <w:rFonts w:ascii="Arial Narrow" w:eastAsia="Times New Roman" w:hAnsi="Arial Narrow" w:cs="Times New Roman"/>
                <w:color w:val="FFFFFF"/>
                <w:sz w:val="20"/>
                <w:szCs w:val="20"/>
                <w:lang w:val="en-US"/>
              </w:rPr>
            </w:pPr>
            <w:r w:rsidRPr="004E313E">
              <w:rPr>
                <w:rFonts w:ascii="Cambria Math" w:hAnsi="Cambria Math" w:cs="Cambria Math"/>
                <w:sz w:val="20"/>
                <w:szCs w:val="20"/>
              </w:rPr>
              <w:t>⨁⨁⨁◯</w:t>
            </w:r>
            <w:r w:rsidRPr="004E313E">
              <w:rPr>
                <w:rFonts w:ascii="Arial Narrow" w:hAnsi="Arial Narrow"/>
              </w:rPr>
              <w:br/>
            </w:r>
            <w:r w:rsidRPr="004E313E">
              <w:rPr>
                <w:rFonts w:ascii="Arial Narrow" w:hAnsi="Arial Narrow"/>
                <w:sz w:val="20"/>
                <w:szCs w:val="20"/>
              </w:rPr>
              <w:t xml:space="preserve">Moderate </w:t>
            </w:r>
            <w:r w:rsidR="0B428B58" w:rsidRPr="004E313E">
              <w:rPr>
                <w:rFonts w:ascii="Arial Narrow" w:hAnsi="Arial Narrow"/>
                <w:sz w:val="20"/>
                <w:szCs w:val="20"/>
                <w:vertAlign w:val="superscript"/>
              </w:rPr>
              <w:t>c</w:t>
            </w:r>
          </w:p>
        </w:tc>
        <w:tc>
          <w:tcPr>
            <w:tcW w:w="834" w:type="pct"/>
            <w:tcBorders>
              <w:top w:val="single" w:sz="6" w:space="0" w:color="000000" w:themeColor="text1"/>
              <w:left w:val="nil"/>
              <w:bottom w:val="single" w:sz="4" w:space="0" w:color="auto"/>
              <w:right w:val="single" w:sz="4" w:space="0" w:color="auto"/>
            </w:tcBorders>
            <w:vAlign w:val="center"/>
          </w:tcPr>
          <w:p w14:paraId="03137946" w14:textId="694E4AA7" w:rsidR="00B115FF" w:rsidRPr="004E313E" w:rsidRDefault="00B115FF" w:rsidP="00B115FF">
            <w:pPr>
              <w:spacing w:before="0" w:after="0" w:line="240" w:lineRule="auto"/>
              <w:jc w:val="center"/>
              <w:rPr>
                <w:rFonts w:ascii="Arial Narrow" w:eastAsia="Times New Roman" w:hAnsi="Arial Narrow" w:cs="Times New Roman"/>
                <w:color w:val="FFFFFF"/>
                <w:sz w:val="20"/>
                <w:szCs w:val="20"/>
                <w:lang w:val="en-US"/>
              </w:rPr>
            </w:pPr>
            <w:r w:rsidRPr="004E313E">
              <w:rPr>
                <w:rFonts w:ascii="Arial Narrow" w:hAnsi="Arial Narrow"/>
                <w:sz w:val="20"/>
                <w:szCs w:val="20"/>
              </w:rPr>
              <w:t>ESG likely results in a lower excess body weight loss compared to LSG at 12 months</w:t>
            </w:r>
            <w:r w:rsidRPr="004E313E">
              <w:rPr>
                <w:rFonts w:ascii="Arial Narrow" w:eastAsia="Times New Roman" w:hAnsi="Arial Narrow" w:cs="Arial"/>
                <w:sz w:val="20"/>
                <w:szCs w:val="20"/>
              </w:rPr>
              <w:t>;</w:t>
            </w:r>
            <w:r w:rsidRPr="004E313E">
              <w:rPr>
                <w:rFonts w:ascii="Arial Narrow" w:hAnsi="Arial Narrow"/>
                <w:sz w:val="20"/>
                <w:szCs w:val="20"/>
              </w:rPr>
              <w:t xml:space="preserve"> however</w:t>
            </w:r>
            <w:r w:rsidRPr="004E313E">
              <w:rPr>
                <w:rFonts w:ascii="Arial Narrow" w:eastAsia="Times New Roman" w:hAnsi="Arial Narrow" w:cs="Arial"/>
                <w:sz w:val="20"/>
                <w:szCs w:val="20"/>
              </w:rPr>
              <w:t>,</w:t>
            </w:r>
            <w:r w:rsidRPr="004E313E">
              <w:rPr>
                <w:rFonts w:ascii="Arial Narrow" w:hAnsi="Arial Narrow"/>
                <w:sz w:val="20"/>
                <w:szCs w:val="20"/>
              </w:rPr>
              <w:t xml:space="preserve"> the excess weight loss achieved by ESG is still clinically significant. </w:t>
            </w:r>
          </w:p>
        </w:tc>
      </w:tr>
    </w:tbl>
    <w:p w14:paraId="0FAC811C" w14:textId="534E795C" w:rsidR="00CD711B" w:rsidRPr="00851D86" w:rsidRDefault="00CD711B" w:rsidP="00ED651B">
      <w:pPr>
        <w:pStyle w:val="TableFigureFooter"/>
        <w:rPr>
          <w:rFonts w:ascii="Montserrat" w:hAnsi="Montserrat"/>
          <w:lang w:val="en"/>
        </w:rPr>
      </w:pPr>
      <w:r w:rsidRPr="00D76EFB">
        <w:t>Abbreviations:</w:t>
      </w:r>
      <w:r w:rsidRPr="0D4DB3AA">
        <w:t xml:space="preserve"> </w:t>
      </w:r>
      <w:r w:rsidR="00053D49" w:rsidRPr="00D76EFB">
        <w:t>CI</w:t>
      </w:r>
      <w:r w:rsidR="00F80520">
        <w:t>:</w:t>
      </w:r>
      <w:r w:rsidR="00053D49" w:rsidRPr="0D4DB3AA">
        <w:t xml:space="preserve"> confidence interval</w:t>
      </w:r>
      <w:r w:rsidR="00F80520">
        <w:t>;</w:t>
      </w:r>
      <w:r w:rsidR="00053D49" w:rsidRPr="0D4DB3AA">
        <w:t xml:space="preserve"> </w:t>
      </w:r>
      <w:r w:rsidRPr="00D76EFB">
        <w:t>ESG</w:t>
      </w:r>
      <w:r w:rsidRPr="0D4DB3AA">
        <w:t xml:space="preserve">: </w:t>
      </w:r>
      <w:r w:rsidR="00F80520">
        <w:t>e</w:t>
      </w:r>
      <w:r w:rsidRPr="0D4DB3AA">
        <w:t xml:space="preserve">ndoscopic </w:t>
      </w:r>
      <w:r w:rsidR="00F80520">
        <w:t>s</w:t>
      </w:r>
      <w:r w:rsidRPr="0D4DB3AA">
        <w:t xml:space="preserve">leeve </w:t>
      </w:r>
      <w:r w:rsidR="00F80520">
        <w:t>g</w:t>
      </w:r>
      <w:r w:rsidRPr="0D4DB3AA">
        <w:t xml:space="preserve">astroplasty; </w:t>
      </w:r>
      <w:r w:rsidRPr="00D76EFB">
        <w:t>GORD</w:t>
      </w:r>
      <w:r w:rsidRPr="0D4DB3AA">
        <w:t xml:space="preserve">: </w:t>
      </w:r>
      <w:r w:rsidR="00F80520">
        <w:t>g</w:t>
      </w:r>
      <w:r w:rsidRPr="0D4DB3AA">
        <w:t>astro-</w:t>
      </w:r>
      <w:r w:rsidR="00F80520">
        <w:t>o</w:t>
      </w:r>
      <w:r w:rsidRPr="0D4DB3AA">
        <w:t xml:space="preserve">esophageal </w:t>
      </w:r>
      <w:r w:rsidR="00F80520">
        <w:t>r</w:t>
      </w:r>
      <w:r w:rsidRPr="0D4DB3AA">
        <w:t xml:space="preserve">eflux </w:t>
      </w:r>
      <w:r w:rsidR="00F80520">
        <w:t>d</w:t>
      </w:r>
      <w:r w:rsidRPr="0D4DB3AA">
        <w:t xml:space="preserve">isease; </w:t>
      </w:r>
      <w:r w:rsidRPr="00D76EFB">
        <w:t>LSG</w:t>
      </w:r>
      <w:r w:rsidRPr="0D4DB3AA">
        <w:t xml:space="preserve">: </w:t>
      </w:r>
      <w:r w:rsidR="00F80520">
        <w:t>l</w:t>
      </w:r>
      <w:r w:rsidRPr="0D4DB3AA">
        <w:t xml:space="preserve">aparoscopic </w:t>
      </w:r>
      <w:r w:rsidR="00F80520">
        <w:t>s</w:t>
      </w:r>
      <w:r w:rsidRPr="0D4DB3AA">
        <w:t xml:space="preserve">leeve </w:t>
      </w:r>
      <w:r w:rsidR="00F80520">
        <w:t>g</w:t>
      </w:r>
      <w:r w:rsidRPr="0D4DB3AA">
        <w:t xml:space="preserve">astrectomy; </w:t>
      </w:r>
      <w:r w:rsidR="00053D49" w:rsidRPr="00D76EFB">
        <w:t>RCT</w:t>
      </w:r>
      <w:r w:rsidR="00053D49" w:rsidRPr="0D4DB3AA">
        <w:t xml:space="preserve">; randomised controlled trial, </w:t>
      </w:r>
      <w:r w:rsidRPr="00D76EFB">
        <w:t>%</w:t>
      </w:r>
      <w:r w:rsidR="006F337A" w:rsidRPr="00D76EFB">
        <w:t>EWL</w:t>
      </w:r>
      <w:r w:rsidR="006F337A" w:rsidRPr="0D4DB3AA">
        <w:t xml:space="preserve">: </w:t>
      </w:r>
      <w:r w:rsidR="006F337A">
        <w:t>p</w:t>
      </w:r>
      <w:r w:rsidR="006F337A" w:rsidRPr="0D4DB3AA">
        <w:t>er</w:t>
      </w:r>
      <w:r w:rsidR="006F337A">
        <w:t xml:space="preserve"> </w:t>
      </w:r>
      <w:r w:rsidR="006F337A" w:rsidRPr="0D4DB3AA">
        <w:t xml:space="preserve">cent </w:t>
      </w:r>
      <w:r w:rsidR="006F337A">
        <w:t>e</w:t>
      </w:r>
      <w:r w:rsidR="006F337A" w:rsidRPr="0D4DB3AA">
        <w:t xml:space="preserve">xcess </w:t>
      </w:r>
      <w:r w:rsidR="006F337A">
        <w:t>w</w:t>
      </w:r>
      <w:r w:rsidR="006F337A" w:rsidRPr="0D4DB3AA">
        <w:t xml:space="preserve">eight </w:t>
      </w:r>
      <w:r w:rsidR="006F337A">
        <w:t>l</w:t>
      </w:r>
      <w:r w:rsidR="006F337A" w:rsidRPr="0D4DB3AA">
        <w:t xml:space="preserve">oss; </w:t>
      </w:r>
      <w:r w:rsidRPr="00D76EFB">
        <w:t>%TBWL</w:t>
      </w:r>
      <w:r w:rsidRPr="0D4DB3AA">
        <w:t xml:space="preserve">: </w:t>
      </w:r>
      <w:r w:rsidR="00F80520">
        <w:t>p</w:t>
      </w:r>
      <w:r w:rsidRPr="0D4DB3AA">
        <w:t>er</w:t>
      </w:r>
      <w:r w:rsidR="00F80520">
        <w:t xml:space="preserve"> </w:t>
      </w:r>
      <w:r w:rsidRPr="0D4DB3AA">
        <w:t xml:space="preserve">cent </w:t>
      </w:r>
      <w:r w:rsidR="00F80520">
        <w:t>t</w:t>
      </w:r>
      <w:r w:rsidRPr="0D4DB3AA">
        <w:t xml:space="preserve">otal </w:t>
      </w:r>
      <w:r w:rsidR="00F80520">
        <w:t>b</w:t>
      </w:r>
      <w:r w:rsidRPr="0D4DB3AA">
        <w:t xml:space="preserve">ody </w:t>
      </w:r>
      <w:r w:rsidR="00F80520">
        <w:t>w</w:t>
      </w:r>
      <w:r w:rsidRPr="0D4DB3AA">
        <w:t xml:space="preserve">eight </w:t>
      </w:r>
      <w:r w:rsidR="00F80520">
        <w:t>l</w:t>
      </w:r>
      <w:r w:rsidRPr="0D4DB3AA">
        <w:t>oss</w:t>
      </w:r>
    </w:p>
    <w:p w14:paraId="36BFCFCB" w14:textId="046EC3AC" w:rsidR="00A31490" w:rsidRPr="00E07058" w:rsidRDefault="00A026B7" w:rsidP="00ED651B">
      <w:pPr>
        <w:pStyle w:val="TableFigureFooter"/>
        <w:rPr>
          <w:lang w:val="en"/>
        </w:rPr>
      </w:pPr>
      <w:r w:rsidRPr="00D76EFB">
        <w:rPr>
          <w:rFonts w:eastAsia="Calibri"/>
          <w:lang w:val="en"/>
        </w:rPr>
        <w:t>Notes:</w:t>
      </w:r>
      <w:r w:rsidR="00F80520" w:rsidRPr="313E2475">
        <w:rPr>
          <w:lang w:val="en"/>
        </w:rPr>
        <w:t xml:space="preserve"> </w:t>
      </w:r>
      <w:r w:rsidR="00A31490" w:rsidRPr="00D76EFB">
        <w:rPr>
          <w:color w:val="000000" w:themeColor="text1"/>
          <w:lang w:val="en-US"/>
        </w:rPr>
        <w:t>a</w:t>
      </w:r>
      <w:r w:rsidR="1C9B31AB" w:rsidRPr="313E2475">
        <w:rPr>
          <w:lang w:val="en"/>
        </w:rPr>
        <w:t xml:space="preserve"> </w:t>
      </w:r>
      <w:r w:rsidR="398E5E8A" w:rsidRPr="313E2475">
        <w:rPr>
          <w:lang w:val="en"/>
        </w:rPr>
        <w:t xml:space="preserve">This cell </w:t>
      </w:r>
      <w:r w:rsidR="00496FF7">
        <w:rPr>
          <w:lang w:val="en"/>
        </w:rPr>
        <w:t>in</w:t>
      </w:r>
      <w:r w:rsidR="398E5E8A" w:rsidRPr="313E2475">
        <w:rPr>
          <w:lang w:val="en"/>
        </w:rPr>
        <w:t xml:space="preserve">complete within the </w:t>
      </w:r>
      <w:r w:rsidR="398E5E8A" w:rsidRPr="0CCCA725">
        <w:rPr>
          <w:lang w:val="en"/>
        </w:rPr>
        <w:t>ADAR document. Reasons unclear.</w:t>
      </w:r>
    </w:p>
    <w:p w14:paraId="5D76F27E" w14:textId="6CCA96A1" w:rsidR="00A31490" w:rsidRPr="00E07058" w:rsidRDefault="6E66C549" w:rsidP="00ED651B">
      <w:pPr>
        <w:pStyle w:val="TableFigureFooter"/>
        <w:rPr>
          <w:lang w:val="en"/>
        </w:rPr>
      </w:pPr>
      <w:r w:rsidRPr="00D76EFB">
        <w:rPr>
          <w:lang w:val="en-US"/>
        </w:rPr>
        <w:t>b</w:t>
      </w:r>
      <w:r w:rsidR="00A31490" w:rsidRPr="0D4DB3AA">
        <w:rPr>
          <w:lang w:val="en-US"/>
        </w:rPr>
        <w:t xml:space="preserve"> Three of the </w:t>
      </w:r>
      <w:r w:rsidR="00A026B7" w:rsidRPr="0D4DB3AA">
        <w:rPr>
          <w:lang w:val="en-US"/>
        </w:rPr>
        <w:t xml:space="preserve">4 </w:t>
      </w:r>
      <w:r w:rsidR="00A31490" w:rsidRPr="0D4DB3AA">
        <w:rPr>
          <w:lang w:val="en-US"/>
        </w:rPr>
        <w:t xml:space="preserve">included studies </w:t>
      </w:r>
      <w:r w:rsidR="00EE3716">
        <w:rPr>
          <w:lang w:val="en-US"/>
        </w:rPr>
        <w:t>we</w:t>
      </w:r>
      <w:r w:rsidR="00A31490" w:rsidRPr="0D4DB3AA">
        <w:rPr>
          <w:lang w:val="en-US"/>
        </w:rPr>
        <w:t>re assessed to have moderate risk of bias due to the potential for confounding and missing data, while the fourth study has a low risk of bias. Certainty of evidence downgraded.</w:t>
      </w:r>
    </w:p>
    <w:p w14:paraId="2A92876E" w14:textId="33019EEB" w:rsidR="00B75AA3" w:rsidRDefault="69548FD8" w:rsidP="00ED651B">
      <w:pPr>
        <w:pStyle w:val="TableFigureFooter"/>
        <w:rPr>
          <w:color w:val="000000" w:themeColor="text1"/>
          <w:szCs w:val="18"/>
          <w:lang w:val="en-US"/>
        </w:rPr>
      </w:pPr>
      <w:r w:rsidRPr="00D76EFB">
        <w:rPr>
          <w:color w:val="000000" w:themeColor="text1"/>
          <w:szCs w:val="18"/>
          <w:lang w:val="en-US"/>
        </w:rPr>
        <w:t>c</w:t>
      </w:r>
      <w:r w:rsidR="00A31490" w:rsidRPr="0D4DB3AA">
        <w:rPr>
          <w:color w:val="000000" w:themeColor="text1"/>
          <w:szCs w:val="18"/>
          <w:lang w:val="en-US"/>
        </w:rPr>
        <w:t xml:space="preserve"> Two studies were assessed as having a moderate risk of bias mainly due to missing data and confounding. Certainty of evidence downgraded. </w:t>
      </w:r>
    </w:p>
    <w:p w14:paraId="7EF8DD1E" w14:textId="7A285252" w:rsidR="480F6F79" w:rsidRDefault="36F661AC" w:rsidP="00ED651B">
      <w:pPr>
        <w:pStyle w:val="TableFigureFooter"/>
        <w:rPr>
          <w:color w:val="000000" w:themeColor="text1"/>
          <w:szCs w:val="18"/>
        </w:rPr>
      </w:pPr>
      <w:r w:rsidRPr="48B4EFE1">
        <w:rPr>
          <w:color w:val="000000" w:themeColor="text1"/>
          <w:szCs w:val="18"/>
          <w:lang w:val="en-US"/>
        </w:rPr>
        <w:t>d</w:t>
      </w:r>
      <w:r w:rsidR="480F6F79" w:rsidRPr="58C73E62">
        <w:rPr>
          <w:color w:val="000000" w:themeColor="text1"/>
          <w:szCs w:val="18"/>
          <w:lang w:val="en-US"/>
        </w:rPr>
        <w:t xml:space="preserve"> </w:t>
      </w:r>
      <w:r w:rsidR="006C1497">
        <w:rPr>
          <w:color w:val="000000" w:themeColor="text1"/>
          <w:szCs w:val="18"/>
          <w:lang w:val="en-US"/>
        </w:rPr>
        <w:t>M</w:t>
      </w:r>
      <w:r w:rsidR="480F6F79" w:rsidRPr="58C73E62">
        <w:rPr>
          <w:color w:val="000000" w:themeColor="text1"/>
          <w:szCs w:val="18"/>
          <w:lang w:val="en-US"/>
        </w:rPr>
        <w:t xml:space="preserve">inimal clinically important difference </w:t>
      </w:r>
      <w:r w:rsidR="480F6F79" w:rsidRPr="1162FEF6">
        <w:rPr>
          <w:color w:val="000000" w:themeColor="text1"/>
          <w:szCs w:val="18"/>
          <w:lang w:val="en-US"/>
        </w:rPr>
        <w:t>defined</w:t>
      </w:r>
      <w:r w:rsidR="480F6F79" w:rsidRPr="58C73E62">
        <w:rPr>
          <w:color w:val="000000" w:themeColor="text1"/>
          <w:szCs w:val="18"/>
          <w:lang w:val="en-US"/>
        </w:rPr>
        <w:t xml:space="preserve"> at 10%</w:t>
      </w:r>
      <w:r w:rsidR="23A54AD2" w:rsidRPr="0CCCA725">
        <w:rPr>
          <w:color w:val="000000" w:themeColor="text1"/>
          <w:szCs w:val="18"/>
          <w:lang w:val="en-US"/>
        </w:rPr>
        <w:t>.</w:t>
      </w:r>
      <w:r w:rsidR="00317EED">
        <w:rPr>
          <w:color w:val="000000" w:themeColor="text1"/>
          <w:szCs w:val="18"/>
          <w:lang w:val="en-US"/>
        </w:rPr>
        <w:br/>
      </w:r>
      <w:r w:rsidR="00317EED">
        <w:rPr>
          <w:color w:val="000000" w:themeColor="text1"/>
          <w:szCs w:val="18"/>
        </w:rPr>
        <w:t xml:space="preserve">Source: Table </w:t>
      </w:r>
      <w:r w:rsidR="00954B57">
        <w:rPr>
          <w:color w:val="000000" w:themeColor="text1"/>
          <w:szCs w:val="18"/>
        </w:rPr>
        <w:t>4.5 pg. 236 from ADAR</w:t>
      </w:r>
    </w:p>
    <w:p w14:paraId="1F11B932" w14:textId="6858FC3E" w:rsidR="1EF4B727" w:rsidRPr="00DC46A2" w:rsidRDefault="1EF4B727" w:rsidP="007D18A3">
      <w:pPr>
        <w:pStyle w:val="Heading4"/>
      </w:pPr>
      <w:r w:rsidRPr="00DC46A2">
        <w:t>Durability of weight loss</w:t>
      </w:r>
    </w:p>
    <w:p w14:paraId="4E89776D" w14:textId="5294285E" w:rsidR="31F74B5B" w:rsidRDefault="0171E6DF" w:rsidP="007D18A3">
      <w:r w:rsidRPr="2AA1CA0C">
        <w:t xml:space="preserve">One non-randomised </w:t>
      </w:r>
      <w:r w:rsidR="443B48C4" w:rsidRPr="2AA1CA0C">
        <w:t>study</w:t>
      </w:r>
      <w:r w:rsidR="5BE25CEC" w:rsidRPr="2AA1CA0C">
        <w:t xml:space="preserve"> </w:t>
      </w:r>
      <w:r w:rsidR="6CB9535E" w:rsidRPr="2AA1CA0C">
        <w:t>investigated %TBWL up to 3 years post-procedure</w:t>
      </w:r>
      <w:r w:rsidR="00210D7C" w:rsidRPr="2AA1CA0C">
        <w:t>.</w:t>
      </w:r>
      <w:r w:rsidR="008C6D8A" w:rsidRPr="00D76EFB">
        <w:rPr>
          <w:vertAlign w:val="superscript"/>
        </w:rPr>
        <w:fldChar w:fldCharType="begin"/>
      </w:r>
      <w:r w:rsidR="008C6D8A" w:rsidRPr="00D76EFB">
        <w:rPr>
          <w:vertAlign w:val="superscript"/>
        </w:rPr>
        <w:instrText xml:space="preserve"> NOTEREF _Ref187068959 \h </w:instrText>
      </w:r>
      <w:r w:rsidR="008C6D8A" w:rsidRPr="00A87D94">
        <w:rPr>
          <w:vertAlign w:val="superscript"/>
        </w:rPr>
        <w:instrText xml:space="preserve"> </w:instrText>
      </w:r>
      <w:r w:rsidR="008C6D8A">
        <w:rPr>
          <w:vertAlign w:val="superscript"/>
        </w:rPr>
        <w:instrText xml:space="preserve">\* MERGEFORMAT </w:instrText>
      </w:r>
      <w:r w:rsidR="008C6D8A" w:rsidRPr="00D76EFB">
        <w:rPr>
          <w:vertAlign w:val="superscript"/>
        </w:rPr>
      </w:r>
      <w:r w:rsidR="008C6D8A" w:rsidRPr="00D76EFB">
        <w:rPr>
          <w:vertAlign w:val="superscript"/>
        </w:rPr>
        <w:fldChar w:fldCharType="separate"/>
      </w:r>
      <w:r w:rsidR="008F37D1">
        <w:rPr>
          <w:vertAlign w:val="superscript"/>
        </w:rPr>
        <w:t>27</w:t>
      </w:r>
      <w:r w:rsidR="008C6D8A" w:rsidRPr="00D76EFB">
        <w:rPr>
          <w:vertAlign w:val="superscript"/>
        </w:rPr>
        <w:fldChar w:fldCharType="end"/>
      </w:r>
      <w:r w:rsidR="6CB9535E" w:rsidRPr="2AA1CA0C">
        <w:t xml:space="preserve"> The mean %TBWL at 36 months for the ESG group was 14.0% (SD 12.1%) and for the LSG group </w:t>
      </w:r>
      <w:r w:rsidR="00BF1B43" w:rsidRPr="2AA1CA0C">
        <w:t xml:space="preserve">it </w:t>
      </w:r>
      <w:r w:rsidR="6CB9535E" w:rsidRPr="2AA1CA0C">
        <w:t>was 18.8% (SD 7.5</w:t>
      </w:r>
      <w:r w:rsidR="00BF1B43" w:rsidRPr="2AA1CA0C">
        <w:t>%</w:t>
      </w:r>
      <w:r w:rsidR="6CB9535E" w:rsidRPr="2AA1CA0C">
        <w:t>), with a mean difference of –4.8% (–1.5, 8.7</w:t>
      </w:r>
      <w:r w:rsidR="573A5AFB" w:rsidRPr="2AA1CA0C">
        <w:t xml:space="preserve"> CI</w:t>
      </w:r>
      <w:r w:rsidR="6CB9535E" w:rsidRPr="2AA1CA0C">
        <w:t xml:space="preserve">). </w:t>
      </w:r>
      <w:r w:rsidR="056CFD60" w:rsidRPr="2AA1CA0C">
        <w:t xml:space="preserve">The ADAR states that due to the non-inferiority measure of 10%, </w:t>
      </w:r>
      <w:r w:rsidR="7C9A290B" w:rsidRPr="2AA1CA0C">
        <w:t xml:space="preserve">ESG </w:t>
      </w:r>
      <w:r w:rsidR="2D25768A" w:rsidRPr="2AA1CA0C">
        <w:t>is</w:t>
      </w:r>
      <w:r w:rsidR="056CFD60" w:rsidRPr="2AA1CA0C">
        <w:t xml:space="preserve"> n</w:t>
      </w:r>
      <w:r w:rsidR="2250F033" w:rsidRPr="2AA1CA0C">
        <w:t>on-inferior to LSG</w:t>
      </w:r>
      <w:r w:rsidR="00313A08" w:rsidRPr="2AA1CA0C">
        <w:rPr>
          <w:rStyle w:val="CommentReference"/>
          <w:rFonts w:ascii="Calibri" w:eastAsia="Times New Roman" w:hAnsi="Calibri" w:cs="Times New Roman"/>
          <w:color w:val="000000" w:themeColor="text1"/>
          <w:lang w:eastAsia="en-AU"/>
        </w:rPr>
        <w:t xml:space="preserve">, </w:t>
      </w:r>
      <w:r w:rsidR="10F22965" w:rsidRPr="2AA1CA0C">
        <w:t>demonstrat</w:t>
      </w:r>
      <w:r w:rsidR="00313A08" w:rsidRPr="2AA1CA0C">
        <w:t>ing</w:t>
      </w:r>
      <w:r w:rsidR="10F22965" w:rsidRPr="2AA1CA0C">
        <w:t xml:space="preserve"> the short</w:t>
      </w:r>
      <w:r w:rsidR="360CB735" w:rsidRPr="2AA1CA0C">
        <w:t>-</w:t>
      </w:r>
      <w:r w:rsidR="10F22965" w:rsidRPr="2AA1CA0C">
        <w:t xml:space="preserve"> and long</w:t>
      </w:r>
      <w:r w:rsidR="360CB735" w:rsidRPr="2AA1CA0C">
        <w:t>-</w:t>
      </w:r>
      <w:r w:rsidR="10F22965" w:rsidRPr="2AA1CA0C">
        <w:t>term durability of ESG</w:t>
      </w:r>
      <w:r w:rsidR="00210D7C" w:rsidRPr="2AA1CA0C">
        <w:t>.</w:t>
      </w:r>
      <w:r w:rsidR="001F360E" w:rsidRPr="00D76EFB">
        <w:rPr>
          <w:vertAlign w:val="superscript"/>
        </w:rPr>
        <w:fldChar w:fldCharType="begin"/>
      </w:r>
      <w:r w:rsidR="001F360E" w:rsidRPr="00D76EFB">
        <w:rPr>
          <w:vertAlign w:val="superscript"/>
        </w:rPr>
        <w:instrText xml:space="preserve"> NOTEREF _Ref187068959 \h </w:instrText>
      </w:r>
      <w:r w:rsidR="001F360E" w:rsidRPr="00A87D94">
        <w:rPr>
          <w:vertAlign w:val="superscript"/>
        </w:rPr>
        <w:instrText xml:space="preserve"> </w:instrText>
      </w:r>
      <w:r w:rsidR="001F360E">
        <w:rPr>
          <w:vertAlign w:val="superscript"/>
        </w:rPr>
        <w:instrText xml:space="preserve">\* MERGEFORMAT </w:instrText>
      </w:r>
      <w:r w:rsidR="001F360E" w:rsidRPr="00D76EFB">
        <w:rPr>
          <w:vertAlign w:val="superscript"/>
        </w:rPr>
      </w:r>
      <w:r w:rsidR="001F360E" w:rsidRPr="00D76EFB">
        <w:rPr>
          <w:vertAlign w:val="superscript"/>
        </w:rPr>
        <w:fldChar w:fldCharType="separate"/>
      </w:r>
      <w:r w:rsidR="008F37D1">
        <w:rPr>
          <w:vertAlign w:val="superscript"/>
        </w:rPr>
        <w:t>27</w:t>
      </w:r>
      <w:r w:rsidR="001F360E" w:rsidRPr="00D76EFB">
        <w:rPr>
          <w:vertAlign w:val="superscript"/>
        </w:rPr>
        <w:fldChar w:fldCharType="end"/>
      </w:r>
    </w:p>
    <w:p w14:paraId="092F10AC" w14:textId="01CFC7EA" w:rsidR="00F0296F" w:rsidRDefault="42DDE5F4" w:rsidP="007D18A3">
      <w:r w:rsidRPr="2AA1CA0C">
        <w:t xml:space="preserve">Although such evidence suggests a non-inferiority margin in the durability of ESG compared to LSG, </w:t>
      </w:r>
      <w:r w:rsidR="1AD5A164" w:rsidRPr="2AA1CA0C">
        <w:t xml:space="preserve">only </w:t>
      </w:r>
      <w:r w:rsidRPr="2AA1CA0C">
        <w:t>one non-randomised study provides the evidence base for this claim</w:t>
      </w:r>
      <w:r w:rsidR="3CEFFB80" w:rsidRPr="2AA1CA0C">
        <w:t xml:space="preserve">. This study </w:t>
      </w:r>
      <w:r w:rsidR="005E6B5A">
        <w:t>included</w:t>
      </w:r>
      <w:r w:rsidR="3CEFFB80" w:rsidRPr="2AA1CA0C">
        <w:t xml:space="preserve"> a population that does not align with the proposed population of PICO 2</w:t>
      </w:r>
      <w:r w:rsidR="00210D7C" w:rsidRPr="2AA1CA0C">
        <w:t>.</w:t>
      </w:r>
      <w:r w:rsidRPr="2AA1CA0C">
        <w:rPr>
          <w:vertAlign w:val="superscript"/>
        </w:rPr>
        <w:fldChar w:fldCharType="begin"/>
      </w:r>
      <w:r w:rsidRPr="2AA1CA0C">
        <w:rPr>
          <w:vertAlign w:val="superscript"/>
        </w:rPr>
        <w:instrText xml:space="preserve"> NOTEREF _Ref187068959 \h  \* MERGEFORMAT </w:instrText>
      </w:r>
      <w:r w:rsidRPr="2AA1CA0C">
        <w:rPr>
          <w:vertAlign w:val="superscript"/>
        </w:rPr>
      </w:r>
      <w:r w:rsidRPr="2AA1CA0C">
        <w:rPr>
          <w:vertAlign w:val="superscript"/>
        </w:rPr>
        <w:fldChar w:fldCharType="separate"/>
      </w:r>
      <w:r w:rsidR="008F37D1">
        <w:rPr>
          <w:vertAlign w:val="superscript"/>
        </w:rPr>
        <w:t>27</w:t>
      </w:r>
      <w:r w:rsidRPr="2AA1CA0C">
        <w:rPr>
          <w:vertAlign w:val="superscript"/>
        </w:rPr>
        <w:fldChar w:fldCharType="end"/>
      </w:r>
      <w:r w:rsidRPr="2AA1CA0C">
        <w:t xml:space="preserve"> Additionally, a 3</w:t>
      </w:r>
      <w:r w:rsidR="07854356" w:rsidRPr="2AA1CA0C">
        <w:t>-</w:t>
      </w:r>
      <w:r w:rsidRPr="2AA1CA0C">
        <w:t xml:space="preserve">year timeframe to assess longevity of such procedures </w:t>
      </w:r>
      <w:r w:rsidR="466E0723" w:rsidRPr="2AA1CA0C">
        <w:t xml:space="preserve">may be </w:t>
      </w:r>
      <w:r w:rsidR="008C6B54" w:rsidRPr="2AA1CA0C">
        <w:t>in</w:t>
      </w:r>
      <w:r w:rsidR="466E0723" w:rsidRPr="2AA1CA0C">
        <w:t xml:space="preserve">sufficient </w:t>
      </w:r>
      <w:r w:rsidR="60F8F1A8" w:rsidRPr="2AA1CA0C">
        <w:t>to assess</w:t>
      </w:r>
      <w:r w:rsidR="466E0723" w:rsidRPr="2AA1CA0C">
        <w:t xml:space="preserve"> long</w:t>
      </w:r>
      <w:r w:rsidR="60F8F1A8" w:rsidRPr="2AA1CA0C">
        <w:t>-</w:t>
      </w:r>
      <w:r w:rsidR="466E0723" w:rsidRPr="2AA1CA0C">
        <w:t xml:space="preserve">term </w:t>
      </w:r>
      <w:r w:rsidR="60F8F1A8" w:rsidRPr="2AA1CA0C">
        <w:t xml:space="preserve">efficacy. </w:t>
      </w:r>
      <w:r w:rsidR="7FD4016E" w:rsidRPr="2AA1CA0C">
        <w:t>Further</w:t>
      </w:r>
      <w:r w:rsidR="008C6B54" w:rsidRPr="2AA1CA0C">
        <w:t xml:space="preserve">, </w:t>
      </w:r>
      <w:r w:rsidR="7FD4016E" w:rsidRPr="2AA1CA0C">
        <w:t xml:space="preserve">as previously explained, the 10% non-inferiority margin was not substantiated by the study </w:t>
      </w:r>
      <w:r w:rsidR="44F64C65" w:rsidRPr="2AA1CA0C">
        <w:t>from which it was derived</w:t>
      </w:r>
      <w:r w:rsidR="008C6B54" w:rsidRPr="2AA1CA0C">
        <w:t>. T</w:t>
      </w:r>
      <w:r w:rsidR="7FBBFAEE" w:rsidRPr="2AA1CA0C">
        <w:t xml:space="preserve">he </w:t>
      </w:r>
      <w:r w:rsidR="005E6B5A">
        <w:t xml:space="preserve">clinical </w:t>
      </w:r>
      <w:r w:rsidR="7FBBFAEE" w:rsidRPr="2AA1CA0C">
        <w:t xml:space="preserve">significance of such findings </w:t>
      </w:r>
      <w:r w:rsidR="008C6B54" w:rsidRPr="2AA1CA0C">
        <w:t xml:space="preserve">is </w:t>
      </w:r>
      <w:r w:rsidR="00542F26" w:rsidRPr="2AA1CA0C">
        <w:t>uncertain</w:t>
      </w:r>
      <w:r w:rsidR="00A40C1A">
        <w:t xml:space="preserve">. </w:t>
      </w:r>
    </w:p>
    <w:p w14:paraId="438A16D3" w14:textId="2F0B4933" w:rsidR="1EF4B727" w:rsidRDefault="1EF4B727" w:rsidP="007D18A3">
      <w:pPr>
        <w:pStyle w:val="Heading4"/>
      </w:pPr>
      <w:r>
        <w:t>Weight</w:t>
      </w:r>
      <w:r w:rsidR="008C6B54">
        <w:t>-</w:t>
      </w:r>
      <w:r>
        <w:t>related comorbidities</w:t>
      </w:r>
    </w:p>
    <w:p w14:paraId="5FEF2540" w14:textId="6FED1F68" w:rsidR="0274196D" w:rsidRDefault="0274196D" w:rsidP="007D18A3">
      <w:r>
        <w:t>The ADAR suggests that several studies support the finding of improvements in obesity-related comorbidities</w:t>
      </w:r>
      <w:r w:rsidR="008C6B54">
        <w:t>,</w:t>
      </w:r>
      <w:r>
        <w:t xml:space="preserve"> as observed within the MERIT study in PICO 1</w:t>
      </w:r>
      <w:r w:rsidR="49B0F405">
        <w:t xml:space="preserve"> for ESG</w:t>
      </w:r>
      <w:r w:rsidR="00210D7C">
        <w:t>.</w:t>
      </w:r>
      <w:r w:rsidR="00B41340" w:rsidRPr="00D76EFB">
        <w:rPr>
          <w:vertAlign w:val="superscript"/>
        </w:rPr>
        <w:fldChar w:fldCharType="begin"/>
      </w:r>
      <w:r w:rsidR="00B41340" w:rsidRPr="00D76EFB">
        <w:rPr>
          <w:vertAlign w:val="superscript"/>
        </w:rPr>
        <w:instrText xml:space="preserve"> NOTEREF _Ref187068959 \h </w:instrText>
      </w:r>
      <w:r w:rsidR="00B41340">
        <w:rPr>
          <w:vertAlign w:val="superscript"/>
        </w:rPr>
        <w:instrText xml:space="preserve"> \* MERGEFORMAT </w:instrText>
      </w:r>
      <w:r w:rsidR="00B41340" w:rsidRPr="00D76EFB">
        <w:rPr>
          <w:vertAlign w:val="superscript"/>
        </w:rPr>
      </w:r>
      <w:r w:rsidR="00B41340" w:rsidRPr="00D76EFB">
        <w:rPr>
          <w:vertAlign w:val="superscript"/>
        </w:rPr>
        <w:fldChar w:fldCharType="separate"/>
      </w:r>
      <w:r w:rsidR="008F37D1">
        <w:rPr>
          <w:vertAlign w:val="superscript"/>
        </w:rPr>
        <w:t>27</w:t>
      </w:r>
      <w:r w:rsidR="00B41340" w:rsidRPr="00D76EFB">
        <w:rPr>
          <w:vertAlign w:val="superscript"/>
        </w:rPr>
        <w:fldChar w:fldCharType="end"/>
      </w:r>
      <w:r w:rsidR="00B41340" w:rsidRPr="00D76EFB">
        <w:rPr>
          <w:vertAlign w:val="superscript"/>
        </w:rPr>
        <w:t xml:space="preserve">, </w:t>
      </w:r>
      <w:r w:rsidR="00B41340" w:rsidRPr="00D76EFB">
        <w:rPr>
          <w:vertAlign w:val="superscript"/>
        </w:rPr>
        <w:fldChar w:fldCharType="begin"/>
      </w:r>
      <w:r w:rsidR="00B41340" w:rsidRPr="00D76EFB">
        <w:rPr>
          <w:vertAlign w:val="superscript"/>
        </w:rPr>
        <w:instrText xml:space="preserve"> NOTEREF _Ref187069109 \h </w:instrText>
      </w:r>
      <w:r w:rsidR="00B41340">
        <w:rPr>
          <w:vertAlign w:val="superscript"/>
        </w:rPr>
        <w:instrText xml:space="preserve"> \* MERGEFORMAT </w:instrText>
      </w:r>
      <w:r w:rsidR="00B41340" w:rsidRPr="00D76EFB">
        <w:rPr>
          <w:vertAlign w:val="superscript"/>
        </w:rPr>
      </w:r>
      <w:r w:rsidR="00B41340" w:rsidRPr="00D76EFB">
        <w:rPr>
          <w:vertAlign w:val="superscript"/>
        </w:rPr>
        <w:fldChar w:fldCharType="separate"/>
      </w:r>
      <w:r w:rsidR="008F37D1">
        <w:rPr>
          <w:vertAlign w:val="superscript"/>
        </w:rPr>
        <w:t>38</w:t>
      </w:r>
      <w:r w:rsidR="00B41340" w:rsidRPr="00D76EFB">
        <w:rPr>
          <w:vertAlign w:val="superscript"/>
        </w:rPr>
        <w:fldChar w:fldCharType="end"/>
      </w:r>
      <w:r w:rsidR="6639B405">
        <w:t xml:space="preserve"> </w:t>
      </w:r>
      <w:r w:rsidR="41D6172F">
        <w:t xml:space="preserve">A meta-analysis of </w:t>
      </w:r>
      <w:r w:rsidR="000C226F">
        <w:t xml:space="preserve">2 </w:t>
      </w:r>
      <w:r w:rsidR="41D6172F">
        <w:t>non-randomised stud</w:t>
      </w:r>
      <w:r w:rsidR="000C226F">
        <w:t xml:space="preserve">ies </w:t>
      </w:r>
      <w:r w:rsidR="41D6172F">
        <w:t xml:space="preserve">revealed that the total mean difference for </w:t>
      </w:r>
      <w:r w:rsidR="61D303BC">
        <w:t>remission or improvement in type II diabetes was 0.78 (0.68, 0.91</w:t>
      </w:r>
      <w:r w:rsidR="2C333842">
        <w:t xml:space="preserve"> CI</w:t>
      </w:r>
      <w:r w:rsidR="61D303BC">
        <w:t>) in favour of LSG, whil</w:t>
      </w:r>
      <w:r w:rsidR="000C226F">
        <w:t>e</w:t>
      </w:r>
      <w:r w:rsidR="61D303BC">
        <w:t xml:space="preserve"> the mean difference in hypertension was 1.12% (0.86, 1.47</w:t>
      </w:r>
      <w:r w:rsidR="55162BEE">
        <w:t xml:space="preserve"> CI</w:t>
      </w:r>
      <w:r w:rsidR="61D303BC">
        <w:t>) in favour of ESG</w:t>
      </w:r>
      <w:r w:rsidR="0F23C9DB">
        <w:t>, as identified by overall reduction in HbA1c</w:t>
      </w:r>
      <w:r w:rsidR="7592F94A">
        <w:t xml:space="preserve"> </w:t>
      </w:r>
      <w:r w:rsidR="0F23C9DB">
        <w:t xml:space="preserve">and </w:t>
      </w:r>
      <w:r w:rsidR="1D28BD24">
        <w:t>lipid</w:t>
      </w:r>
      <w:r w:rsidR="7592F94A">
        <w:t xml:space="preserve"> </w:t>
      </w:r>
      <w:r w:rsidR="09856103">
        <w:t>blood measures</w:t>
      </w:r>
      <w:r w:rsidR="001D2AAD">
        <w:t>,</w:t>
      </w:r>
      <w:r w:rsidR="09856103">
        <w:t xml:space="preserve"> respectively</w:t>
      </w:r>
      <w:r w:rsidR="7592F94A">
        <w:t xml:space="preserve"> </w:t>
      </w:r>
      <w:r w:rsidR="006C2ADF" w:rsidRPr="00712A11">
        <w:t>(</w:t>
      </w:r>
      <w:r w:rsidR="006B5215">
        <w:fldChar w:fldCharType="begin"/>
      </w:r>
      <w:r w:rsidR="006B5215">
        <w:instrText xml:space="preserve"> REF _Ref184211471 \h </w:instrText>
      </w:r>
      <w:r w:rsidR="006B5215">
        <w:fldChar w:fldCharType="separate"/>
      </w:r>
      <w:r w:rsidR="008F37D1">
        <w:t xml:space="preserve">Table </w:t>
      </w:r>
      <w:r w:rsidR="008F37D1">
        <w:rPr>
          <w:noProof/>
        </w:rPr>
        <w:t>21</w:t>
      </w:r>
      <w:r w:rsidR="006B5215">
        <w:fldChar w:fldCharType="end"/>
      </w:r>
      <w:r w:rsidR="006C2ADF">
        <w:t>)</w:t>
      </w:r>
      <w:r w:rsidR="61D303BC">
        <w:t>.</w:t>
      </w:r>
      <w:r w:rsidR="5C6FEF5F">
        <w:t xml:space="preserve"> In one study assessing com</w:t>
      </w:r>
      <w:r w:rsidR="26C1FC51">
        <w:t>o</w:t>
      </w:r>
      <w:r w:rsidR="5C6FEF5F">
        <w:t>rbidity outcomes up to 6 months, improvements in hypertension</w:t>
      </w:r>
      <w:r w:rsidR="3A21FC07">
        <w:t xml:space="preserve"> (ESG 66.6%, LSG 42.8%)</w:t>
      </w:r>
      <w:r w:rsidR="5C6FEF5F">
        <w:t xml:space="preserve">, type 2 </w:t>
      </w:r>
      <w:r w:rsidR="748F8B0D">
        <w:t>diabetes</w:t>
      </w:r>
      <w:r w:rsidR="2357B1CE">
        <w:t xml:space="preserve"> (</w:t>
      </w:r>
      <w:r w:rsidR="00A54011">
        <w:t xml:space="preserve">ESG </w:t>
      </w:r>
      <w:r w:rsidR="2357B1CE">
        <w:t>50.0%, LSG 66.6%)</w:t>
      </w:r>
      <w:r w:rsidR="569C6CA9">
        <w:t>,</w:t>
      </w:r>
      <w:r w:rsidR="5C6FEF5F">
        <w:t xml:space="preserve"> sleep apnoea</w:t>
      </w:r>
      <w:r w:rsidR="1A4B2E4D">
        <w:t xml:space="preserve"> (ESG 40.0%, LSG 33.3%)</w:t>
      </w:r>
      <w:r w:rsidR="5C6FEF5F">
        <w:t xml:space="preserve"> </w:t>
      </w:r>
      <w:r w:rsidR="199AFBB7">
        <w:t xml:space="preserve">and joint pain (ESG 57.0%, LSG 50.0%) </w:t>
      </w:r>
      <w:r w:rsidR="5C6FEF5F">
        <w:t>were reported</w:t>
      </w:r>
      <w:r w:rsidR="00210D7C">
        <w:t>.</w:t>
      </w:r>
      <w:r w:rsidR="006D287B" w:rsidRPr="00D76EFB">
        <w:rPr>
          <w:vertAlign w:val="superscript"/>
        </w:rPr>
        <w:fldChar w:fldCharType="begin"/>
      </w:r>
      <w:r w:rsidR="006D287B" w:rsidRPr="00D76EFB">
        <w:rPr>
          <w:vertAlign w:val="superscript"/>
        </w:rPr>
        <w:instrText xml:space="preserve"> NOTEREF _Ref187069109 \h </w:instrText>
      </w:r>
      <w:r w:rsidR="006D287B">
        <w:rPr>
          <w:vertAlign w:val="superscript"/>
        </w:rPr>
        <w:instrText xml:space="preserve"> \* MERGEFORMAT </w:instrText>
      </w:r>
      <w:r w:rsidR="006D287B" w:rsidRPr="00D76EFB">
        <w:rPr>
          <w:vertAlign w:val="superscript"/>
        </w:rPr>
      </w:r>
      <w:r w:rsidR="006D287B" w:rsidRPr="00D76EFB">
        <w:rPr>
          <w:vertAlign w:val="superscript"/>
        </w:rPr>
        <w:fldChar w:fldCharType="separate"/>
      </w:r>
      <w:r w:rsidR="008F37D1">
        <w:rPr>
          <w:vertAlign w:val="superscript"/>
        </w:rPr>
        <w:t>38</w:t>
      </w:r>
      <w:r w:rsidR="006D287B" w:rsidRPr="00D76EFB">
        <w:rPr>
          <w:vertAlign w:val="superscript"/>
        </w:rPr>
        <w:fldChar w:fldCharType="end"/>
      </w:r>
      <w:r w:rsidR="32EEBDA3">
        <w:t xml:space="preserve"> </w:t>
      </w:r>
      <w:r w:rsidR="401AF72C">
        <w:t>Th</w:t>
      </w:r>
      <w:r w:rsidR="00A54011">
        <w:t>e</w:t>
      </w:r>
      <w:r w:rsidR="401AF72C">
        <w:t xml:space="preserve"> study also identified no </w:t>
      </w:r>
      <w:r w:rsidR="00A54011">
        <w:t>new-o</w:t>
      </w:r>
      <w:r w:rsidR="401AF72C">
        <w:t>nset GORD within the ESG group, whil</w:t>
      </w:r>
      <w:r w:rsidR="00A54011">
        <w:t>e</w:t>
      </w:r>
      <w:r w:rsidR="401AF72C">
        <w:t xml:space="preserve"> 30.7% of patients in the LSG group reported new-onset GORD following the procedure, aligning with currently available clinical evidence</w:t>
      </w:r>
      <w:r w:rsidR="00210D7C">
        <w:t>.</w:t>
      </w:r>
      <w:r w:rsidR="006D287B" w:rsidRPr="00D76EFB">
        <w:rPr>
          <w:vertAlign w:val="superscript"/>
        </w:rPr>
        <w:fldChar w:fldCharType="begin"/>
      </w:r>
      <w:r w:rsidR="006D287B" w:rsidRPr="00D76EFB">
        <w:rPr>
          <w:vertAlign w:val="superscript"/>
        </w:rPr>
        <w:instrText xml:space="preserve"> NOTEREF _Ref187069109 \h </w:instrText>
      </w:r>
      <w:r w:rsidR="006D287B">
        <w:rPr>
          <w:vertAlign w:val="superscript"/>
        </w:rPr>
        <w:instrText xml:space="preserve"> \* MERGEFORMAT </w:instrText>
      </w:r>
      <w:r w:rsidR="006D287B" w:rsidRPr="00D76EFB">
        <w:rPr>
          <w:vertAlign w:val="superscript"/>
        </w:rPr>
      </w:r>
      <w:r w:rsidR="006D287B" w:rsidRPr="00D76EFB">
        <w:rPr>
          <w:vertAlign w:val="superscript"/>
        </w:rPr>
        <w:fldChar w:fldCharType="separate"/>
      </w:r>
      <w:r w:rsidR="008F37D1">
        <w:rPr>
          <w:vertAlign w:val="superscript"/>
        </w:rPr>
        <w:t>38</w:t>
      </w:r>
      <w:r w:rsidR="006D287B" w:rsidRPr="00D76EFB">
        <w:rPr>
          <w:vertAlign w:val="superscript"/>
        </w:rPr>
        <w:fldChar w:fldCharType="end"/>
      </w:r>
      <w:r w:rsidR="00CC3EF4">
        <w:rPr>
          <w:vertAlign w:val="superscript"/>
        </w:rPr>
        <w:t xml:space="preserve">, </w:t>
      </w:r>
      <w:r w:rsidR="0052642F">
        <w:rPr>
          <w:rStyle w:val="FootnoteReference"/>
        </w:rPr>
        <w:footnoteReference w:id="45"/>
      </w:r>
      <w:r w:rsidR="00C309BF">
        <w:rPr>
          <w:vertAlign w:val="superscript"/>
        </w:rPr>
        <w:t xml:space="preserve">, </w:t>
      </w:r>
      <w:r w:rsidR="0052642F">
        <w:rPr>
          <w:rStyle w:val="FootnoteReference"/>
        </w:rPr>
        <w:footnoteReference w:id="46"/>
      </w:r>
      <w:r w:rsidR="401AF72C">
        <w:t xml:space="preserve"> </w:t>
      </w:r>
      <w:r w:rsidR="32EEBDA3">
        <w:t>Other studies report significant decreases in</w:t>
      </w:r>
      <w:r w:rsidR="06117CF9">
        <w:t xml:space="preserve"> </w:t>
      </w:r>
      <w:r w:rsidR="32EEBDA3">
        <w:t xml:space="preserve">markers for diabetes from 5% (SD 0.3%) at baseline to 4.7% (SD 0.3%) for ESG and </w:t>
      </w:r>
      <w:r w:rsidR="3BB4851C">
        <w:t>5.3% (SD 0.5%) at baseline to 5.2% (SD 0.7%) for LSG at 12 months</w:t>
      </w:r>
      <w:r w:rsidR="00210D7C">
        <w:t>.</w:t>
      </w:r>
      <w:r w:rsidR="00A23820" w:rsidRPr="00D76EFB">
        <w:rPr>
          <w:vertAlign w:val="superscript"/>
        </w:rPr>
        <w:fldChar w:fldCharType="begin"/>
      </w:r>
      <w:r w:rsidR="00A23820" w:rsidRPr="00D76EFB">
        <w:rPr>
          <w:vertAlign w:val="superscript"/>
        </w:rPr>
        <w:instrText xml:space="preserve"> NOTEREF _Ref187069132 \h </w:instrText>
      </w:r>
      <w:r w:rsidR="00A23820">
        <w:rPr>
          <w:vertAlign w:val="superscript"/>
        </w:rPr>
        <w:instrText xml:space="preserve"> \* MERGEFORMAT </w:instrText>
      </w:r>
      <w:r w:rsidR="00A23820" w:rsidRPr="00D76EFB">
        <w:rPr>
          <w:vertAlign w:val="superscript"/>
        </w:rPr>
      </w:r>
      <w:r w:rsidR="00A23820" w:rsidRPr="00D76EFB">
        <w:rPr>
          <w:vertAlign w:val="superscript"/>
        </w:rPr>
        <w:fldChar w:fldCharType="separate"/>
      </w:r>
      <w:r w:rsidR="008F37D1">
        <w:rPr>
          <w:vertAlign w:val="superscript"/>
        </w:rPr>
        <w:t>36</w:t>
      </w:r>
      <w:r w:rsidR="00A23820" w:rsidRPr="00D76EFB">
        <w:rPr>
          <w:vertAlign w:val="superscript"/>
        </w:rPr>
        <w:fldChar w:fldCharType="end"/>
      </w:r>
      <w:r w:rsidR="5EF14968">
        <w:t xml:space="preserve"> </w:t>
      </w:r>
      <w:r w:rsidR="77099AAF">
        <w:t>Carr et al.</w:t>
      </w:r>
      <w:r w:rsidR="5EF14968">
        <w:t xml:space="preserve"> also identified non-significant reductions in total cholesterol (ESG 5.6 mmol/L to 4.5 mmol/L; LSG 5.1 mmol/L to 4.7 mmol/L) and sign</w:t>
      </w:r>
      <w:r w:rsidR="6B6ABC76">
        <w:t>ificant</w:t>
      </w:r>
      <w:r w:rsidR="5EF14968">
        <w:t xml:space="preserve"> improvement</w:t>
      </w:r>
      <w:r w:rsidR="48ADBC0E">
        <w:t>s</w:t>
      </w:r>
      <w:r w:rsidR="5EF14968">
        <w:t xml:space="preserve"> in</w:t>
      </w:r>
      <w:r w:rsidR="77604B7B">
        <w:t xml:space="preserve"> high density lipoprotein</w:t>
      </w:r>
      <w:r w:rsidR="5EF14968">
        <w:t xml:space="preserve"> </w:t>
      </w:r>
      <w:r w:rsidR="0226319F">
        <w:t>(</w:t>
      </w:r>
      <w:r w:rsidR="5EF14968">
        <w:t>HDL</w:t>
      </w:r>
      <w:r w:rsidR="30D5C00D">
        <w:t>)</w:t>
      </w:r>
      <w:r w:rsidR="00E51564">
        <w:t>,</w:t>
      </w:r>
      <w:r w:rsidR="5EF14968">
        <w:t xml:space="preserve"> cholesterol and triglycerides from baseline to 12 months</w:t>
      </w:r>
      <w:r w:rsidR="012D95A8">
        <w:t xml:space="preserve"> </w:t>
      </w:r>
      <w:r w:rsidR="5EF14968">
        <w:t>(</w:t>
      </w:r>
      <w:r w:rsidR="248CCF80">
        <w:t xml:space="preserve">ESG </w:t>
      </w:r>
      <w:r w:rsidR="5EF14968">
        <w:t xml:space="preserve">1.2 mmol/L to 1.4 mmol/L and </w:t>
      </w:r>
      <w:r w:rsidR="7D62AAA8">
        <w:t>LSG 1.</w:t>
      </w:r>
      <w:r w:rsidR="5EF14968">
        <w:t>4 mmol/L to 1.0 mmol/L</w:t>
      </w:r>
      <w:r w:rsidR="00F23F4D">
        <w:t>)</w:t>
      </w:r>
      <w:r w:rsidR="00210D7C">
        <w:t>.</w:t>
      </w:r>
      <w:r w:rsidR="00A23820" w:rsidRPr="00D76EFB">
        <w:rPr>
          <w:vertAlign w:val="superscript"/>
        </w:rPr>
        <w:fldChar w:fldCharType="begin"/>
      </w:r>
      <w:r w:rsidR="00A23820" w:rsidRPr="00D76EFB">
        <w:rPr>
          <w:vertAlign w:val="superscript"/>
        </w:rPr>
        <w:instrText xml:space="preserve"> NOTEREF _Ref187069132 \h </w:instrText>
      </w:r>
      <w:r w:rsidR="00A23820">
        <w:rPr>
          <w:vertAlign w:val="superscript"/>
        </w:rPr>
        <w:instrText xml:space="preserve"> \* MERGEFORMAT </w:instrText>
      </w:r>
      <w:r w:rsidR="00A23820" w:rsidRPr="00D76EFB">
        <w:rPr>
          <w:vertAlign w:val="superscript"/>
        </w:rPr>
      </w:r>
      <w:r w:rsidR="00A23820" w:rsidRPr="00D76EFB">
        <w:rPr>
          <w:vertAlign w:val="superscript"/>
        </w:rPr>
        <w:fldChar w:fldCharType="separate"/>
      </w:r>
      <w:r w:rsidR="008F37D1">
        <w:rPr>
          <w:vertAlign w:val="superscript"/>
        </w:rPr>
        <w:t>36</w:t>
      </w:r>
      <w:r w:rsidR="00A23820" w:rsidRPr="00D76EFB">
        <w:rPr>
          <w:vertAlign w:val="superscript"/>
        </w:rPr>
        <w:fldChar w:fldCharType="end"/>
      </w:r>
    </w:p>
    <w:p w14:paraId="2E53BA52" w14:textId="406A9F45" w:rsidR="3C14812A" w:rsidRDefault="00F23F4D" w:rsidP="007D18A3">
      <w:r w:rsidRPr="2AA1CA0C">
        <w:t>T</w:t>
      </w:r>
      <w:r w:rsidR="3D7915FC" w:rsidRPr="2AA1CA0C">
        <w:t xml:space="preserve">he ADAR </w:t>
      </w:r>
      <w:r w:rsidRPr="2AA1CA0C">
        <w:t xml:space="preserve">authors </w:t>
      </w:r>
      <w:r w:rsidR="3D7915FC" w:rsidRPr="2AA1CA0C">
        <w:t>claim that the effect</w:t>
      </w:r>
      <w:r w:rsidR="00547363" w:rsidRPr="2AA1CA0C">
        <w:t>s</w:t>
      </w:r>
      <w:r w:rsidR="3D7915FC" w:rsidRPr="2AA1CA0C">
        <w:t xml:space="preserve"> of </w:t>
      </w:r>
      <w:r w:rsidR="2A557A7A" w:rsidRPr="2AA1CA0C">
        <w:t>ESG and LSG on obesity-related comorbidities are comparable</w:t>
      </w:r>
      <w:r w:rsidRPr="2AA1CA0C">
        <w:t>.</w:t>
      </w:r>
      <w:r w:rsidR="2A557A7A" w:rsidRPr="2AA1CA0C">
        <w:t xml:space="preserve"> </w:t>
      </w:r>
      <w:r w:rsidRPr="2AA1CA0C">
        <w:t>H</w:t>
      </w:r>
      <w:r w:rsidR="2A557A7A" w:rsidRPr="2AA1CA0C">
        <w:t>owever</w:t>
      </w:r>
      <w:r w:rsidRPr="2AA1CA0C">
        <w:t>,</w:t>
      </w:r>
      <w:r w:rsidR="2A557A7A" w:rsidRPr="2AA1CA0C">
        <w:t xml:space="preserve"> in considering </w:t>
      </w:r>
      <w:r w:rsidR="376B0B21" w:rsidRPr="2AA1CA0C">
        <w:t xml:space="preserve">the current evidence, there is an apparent superior effect on </w:t>
      </w:r>
      <w:r w:rsidR="363D1164" w:rsidRPr="2AA1CA0C">
        <w:t>improving diabetes symptoms for LSG, whil</w:t>
      </w:r>
      <w:r w:rsidR="00CB7239" w:rsidRPr="2AA1CA0C">
        <w:t>e</w:t>
      </w:r>
      <w:r w:rsidR="363D1164" w:rsidRPr="2AA1CA0C">
        <w:t xml:space="preserve"> the </w:t>
      </w:r>
      <w:r w:rsidR="00CB7239" w:rsidRPr="2AA1CA0C">
        <w:t>effect on</w:t>
      </w:r>
      <w:r w:rsidR="363D1164" w:rsidRPr="2AA1CA0C">
        <w:t xml:space="preserve"> hypertension management </w:t>
      </w:r>
      <w:r w:rsidR="005E6B5A">
        <w:t>appears to be</w:t>
      </w:r>
      <w:r w:rsidR="5D7BD0D1" w:rsidRPr="2AA1CA0C">
        <w:t xml:space="preserve"> similar between the </w:t>
      </w:r>
      <w:r w:rsidR="005E6B5A">
        <w:t>two</w:t>
      </w:r>
      <w:r w:rsidR="005E6B5A" w:rsidRPr="2AA1CA0C">
        <w:t xml:space="preserve"> </w:t>
      </w:r>
      <w:r w:rsidR="5D7BD0D1" w:rsidRPr="2AA1CA0C">
        <w:t xml:space="preserve">interventions. </w:t>
      </w:r>
      <w:r w:rsidR="10B17A1F" w:rsidRPr="2AA1CA0C">
        <w:t>The comorbidity results fro</w:t>
      </w:r>
      <w:r w:rsidR="77E34904" w:rsidRPr="2AA1CA0C">
        <w:t>m Fiorello et al</w:t>
      </w:r>
      <w:r w:rsidR="00CB7239" w:rsidRPr="2AA1CA0C">
        <w:t>. 2020 s</w:t>
      </w:r>
      <w:r w:rsidR="77E34904" w:rsidRPr="2AA1CA0C">
        <w:t xml:space="preserve">hould be interpreted </w:t>
      </w:r>
      <w:r w:rsidR="00CB7239" w:rsidRPr="2AA1CA0C">
        <w:t xml:space="preserve">with </w:t>
      </w:r>
      <w:r w:rsidR="77E34904" w:rsidRPr="2AA1CA0C">
        <w:t>cautio</w:t>
      </w:r>
      <w:r w:rsidR="00CB7239" w:rsidRPr="2AA1CA0C">
        <w:t>n</w:t>
      </w:r>
      <w:r w:rsidR="77E34904" w:rsidRPr="2AA1CA0C">
        <w:t>, as th</w:t>
      </w:r>
      <w:r w:rsidR="00CB7239" w:rsidRPr="2AA1CA0C">
        <w:t>ese</w:t>
      </w:r>
      <w:r w:rsidR="77E34904" w:rsidRPr="2AA1CA0C">
        <w:t xml:space="preserve"> </w:t>
      </w:r>
      <w:r w:rsidR="00CB7239" w:rsidRPr="2AA1CA0C">
        <w:t>are</w:t>
      </w:r>
      <w:r w:rsidR="77E34904" w:rsidRPr="2AA1CA0C">
        <w:t xml:space="preserve"> short-term, raw data</w:t>
      </w:r>
      <w:r w:rsidR="57D6F991" w:rsidRPr="2AA1CA0C">
        <w:t>points</w:t>
      </w:r>
      <w:r w:rsidR="114417EA" w:rsidRPr="2AA1CA0C">
        <w:t xml:space="preserve"> that have not </w:t>
      </w:r>
      <w:r w:rsidR="57D6F991" w:rsidRPr="2AA1CA0C">
        <w:t>been tested for</w:t>
      </w:r>
      <w:r w:rsidR="77E34904" w:rsidRPr="2AA1CA0C">
        <w:t xml:space="preserve"> </w:t>
      </w:r>
      <w:r w:rsidR="57D6F991" w:rsidRPr="2AA1CA0C">
        <w:t>significance</w:t>
      </w:r>
      <w:r w:rsidR="00210D7C" w:rsidRPr="2AA1CA0C">
        <w:t>.</w:t>
      </w:r>
      <w:r w:rsidR="00883E02" w:rsidRPr="00D76EFB">
        <w:rPr>
          <w:vertAlign w:val="superscript"/>
        </w:rPr>
        <w:fldChar w:fldCharType="begin"/>
      </w:r>
      <w:r w:rsidR="00883E02" w:rsidRPr="00D76EFB">
        <w:rPr>
          <w:vertAlign w:val="superscript"/>
        </w:rPr>
        <w:instrText xml:space="preserve"> NOTEREF _Ref187069109 \h </w:instrText>
      </w:r>
      <w:r w:rsidR="00883E02">
        <w:rPr>
          <w:vertAlign w:val="superscript"/>
        </w:rPr>
        <w:instrText xml:space="preserve"> \* MERGEFORMAT </w:instrText>
      </w:r>
      <w:r w:rsidR="00883E02" w:rsidRPr="00D76EFB">
        <w:rPr>
          <w:vertAlign w:val="superscript"/>
        </w:rPr>
      </w:r>
      <w:r w:rsidR="00883E02" w:rsidRPr="00D76EFB">
        <w:rPr>
          <w:vertAlign w:val="superscript"/>
        </w:rPr>
        <w:fldChar w:fldCharType="separate"/>
      </w:r>
      <w:r w:rsidR="008F37D1">
        <w:rPr>
          <w:vertAlign w:val="superscript"/>
        </w:rPr>
        <w:t>38</w:t>
      </w:r>
      <w:r w:rsidR="00883E02" w:rsidRPr="00D76EFB">
        <w:rPr>
          <w:vertAlign w:val="superscript"/>
        </w:rPr>
        <w:fldChar w:fldCharType="end"/>
      </w:r>
    </w:p>
    <w:p w14:paraId="776DD49E" w14:textId="36412B91" w:rsidR="00A31E95" w:rsidRDefault="0031331C" w:rsidP="007D18A3">
      <w:pPr>
        <w:pStyle w:val="Caption"/>
      </w:pPr>
      <w:bookmarkStart w:id="78" w:name="_Ref184211471"/>
      <w:r>
        <w:t xml:space="preserve">Table </w:t>
      </w:r>
      <w:r w:rsidR="00707F6D">
        <w:fldChar w:fldCharType="begin"/>
      </w:r>
      <w:r w:rsidR="00707F6D">
        <w:instrText xml:space="preserve"> SEQ Table \* ARABIC </w:instrText>
      </w:r>
      <w:r w:rsidR="00707F6D">
        <w:fldChar w:fldCharType="separate"/>
      </w:r>
      <w:r w:rsidR="008F37D1">
        <w:rPr>
          <w:noProof/>
        </w:rPr>
        <w:t>21</w:t>
      </w:r>
      <w:r w:rsidR="00707F6D">
        <w:rPr>
          <w:noProof/>
        </w:rPr>
        <w:fldChar w:fldCharType="end"/>
      </w:r>
      <w:bookmarkEnd w:id="78"/>
      <w:r w:rsidR="00A31E95">
        <w:t xml:space="preserve">: </w:t>
      </w:r>
      <w:r w:rsidR="71070E53">
        <w:t>Meta-analysis of c</w:t>
      </w:r>
      <w:r w:rsidR="00A31E95">
        <w:t>hanges in hypertension and type 2 diabetes</w:t>
      </w:r>
    </w:p>
    <w:tbl>
      <w:tblPr>
        <w:tblStyle w:val="TableGrid"/>
        <w:tblW w:w="0" w:type="auto"/>
        <w:tblLook w:val="04A0" w:firstRow="1" w:lastRow="0" w:firstColumn="1" w:lastColumn="0" w:noHBand="0" w:noVBand="1"/>
      </w:tblPr>
      <w:tblGrid>
        <w:gridCol w:w="3397"/>
        <w:gridCol w:w="5493"/>
      </w:tblGrid>
      <w:tr w:rsidR="00396179" w14:paraId="66E4E4D8" w14:textId="77777777" w:rsidTr="00F60F08">
        <w:trPr>
          <w:trHeight w:val="300"/>
        </w:trPr>
        <w:tc>
          <w:tcPr>
            <w:tcW w:w="3397" w:type="dxa"/>
            <w:shd w:val="clear" w:color="auto" w:fill="FFFFFF" w:themeFill="background1"/>
          </w:tcPr>
          <w:p w14:paraId="3BB5E550" w14:textId="62AFF6F3" w:rsidR="00396179" w:rsidRPr="009967EF" w:rsidRDefault="00F54E19" w:rsidP="009967EF">
            <w:pPr>
              <w:pStyle w:val="Tabletext0"/>
              <w:rPr>
                <w:b/>
              </w:rPr>
            </w:pPr>
            <w:r w:rsidRPr="009967EF">
              <w:rPr>
                <w:b/>
              </w:rPr>
              <w:t>Subtotal (95%</w:t>
            </w:r>
            <w:r w:rsidR="00A31E95" w:rsidRPr="009967EF">
              <w:rPr>
                <w:b/>
              </w:rPr>
              <w:t>CI)</w:t>
            </w:r>
          </w:p>
        </w:tc>
        <w:tc>
          <w:tcPr>
            <w:tcW w:w="5493" w:type="dxa"/>
            <w:shd w:val="clear" w:color="auto" w:fill="FFFFFF" w:themeFill="background1"/>
          </w:tcPr>
          <w:p w14:paraId="2A64F462" w14:textId="62DB3BD3" w:rsidR="00396179" w:rsidRPr="009967EF" w:rsidRDefault="0A7FABB1" w:rsidP="0D77DCC5">
            <w:pPr>
              <w:pStyle w:val="Tabletext0"/>
              <w:rPr>
                <w:b/>
                <w:bCs/>
              </w:rPr>
            </w:pPr>
            <w:r w:rsidRPr="0D77DCC5">
              <w:rPr>
                <w:b/>
                <w:bCs/>
              </w:rPr>
              <w:t>Risk ratio (M</w:t>
            </w:r>
            <w:r w:rsidR="00920964" w:rsidRPr="0D77DCC5">
              <w:rPr>
                <w:b/>
                <w:bCs/>
              </w:rPr>
              <w:t>–</w:t>
            </w:r>
            <w:r w:rsidRPr="0D77DCC5">
              <w:rPr>
                <w:b/>
                <w:bCs/>
              </w:rPr>
              <w:t xml:space="preserve">H, random, </w:t>
            </w:r>
            <w:r w:rsidR="78AA7C1F" w:rsidRPr="0D77DCC5">
              <w:rPr>
                <w:b/>
                <w:bCs/>
              </w:rPr>
              <w:t>95% CI)</w:t>
            </w:r>
          </w:p>
        </w:tc>
      </w:tr>
      <w:tr w:rsidR="00396179" w14:paraId="4A0C8EC7" w14:textId="77777777" w:rsidTr="7D413406">
        <w:trPr>
          <w:trHeight w:val="300"/>
        </w:trPr>
        <w:tc>
          <w:tcPr>
            <w:tcW w:w="3397" w:type="dxa"/>
          </w:tcPr>
          <w:p w14:paraId="762C14FF" w14:textId="612C673C" w:rsidR="00396179" w:rsidRDefault="00F54E19" w:rsidP="009967EF">
            <w:pPr>
              <w:pStyle w:val="Tabletext0"/>
            </w:pPr>
            <w:r>
              <w:t>Improvement in hypertension</w:t>
            </w:r>
          </w:p>
        </w:tc>
        <w:tc>
          <w:tcPr>
            <w:tcW w:w="5493" w:type="dxa"/>
          </w:tcPr>
          <w:p w14:paraId="5559855E" w14:textId="521CCBCC" w:rsidR="00396179" w:rsidRDefault="00A31E95" w:rsidP="009967EF">
            <w:pPr>
              <w:pStyle w:val="Tabletext0"/>
            </w:pPr>
            <w:r>
              <w:t>1.12 [0.86, 1.47]</w:t>
            </w:r>
          </w:p>
        </w:tc>
      </w:tr>
      <w:tr w:rsidR="00396179" w14:paraId="384C403F" w14:textId="77777777" w:rsidTr="7D413406">
        <w:trPr>
          <w:trHeight w:val="300"/>
        </w:trPr>
        <w:tc>
          <w:tcPr>
            <w:tcW w:w="3397" w:type="dxa"/>
          </w:tcPr>
          <w:p w14:paraId="5ECE4FB1" w14:textId="3FA26308" w:rsidR="00396179" w:rsidRDefault="00F54E19" w:rsidP="009967EF">
            <w:pPr>
              <w:pStyle w:val="Tabletext0"/>
            </w:pPr>
            <w:r>
              <w:t>Improvement in type 2 diabetes</w:t>
            </w:r>
          </w:p>
        </w:tc>
        <w:tc>
          <w:tcPr>
            <w:tcW w:w="5493" w:type="dxa"/>
          </w:tcPr>
          <w:p w14:paraId="05C071C8" w14:textId="041C876B" w:rsidR="00396179" w:rsidRDefault="00A31E95" w:rsidP="009967EF">
            <w:pPr>
              <w:pStyle w:val="Tabletext0"/>
            </w:pPr>
            <w:r>
              <w:t>0.78 [0.68, 0.91]</w:t>
            </w:r>
          </w:p>
        </w:tc>
      </w:tr>
    </w:tbl>
    <w:p w14:paraId="36ED0C35" w14:textId="734B4573" w:rsidR="00A2696A" w:rsidRDefault="00974FDE" w:rsidP="006367D4">
      <w:pPr>
        <w:pStyle w:val="TableFigureFooter"/>
      </w:pPr>
      <w:bookmarkStart w:id="79" w:name="_Hlk183791676"/>
      <w:r w:rsidRPr="00D76EFB">
        <w:t>Abbreviations:</w:t>
      </w:r>
      <w:r w:rsidRPr="73C3B142">
        <w:t xml:space="preserve"> </w:t>
      </w:r>
      <w:r w:rsidRPr="00D76EFB">
        <w:t>CI</w:t>
      </w:r>
      <w:r w:rsidRPr="73C3B142">
        <w:t>; confidence interval</w:t>
      </w:r>
      <w:r w:rsidR="00850B5B">
        <w:t>;</w:t>
      </w:r>
      <w:r w:rsidR="00EC58B6" w:rsidRPr="73C3B142">
        <w:t xml:space="preserve"> </w:t>
      </w:r>
      <w:r w:rsidR="00EC58B6" w:rsidRPr="00D76EFB">
        <w:t>M</w:t>
      </w:r>
      <w:r w:rsidR="00850B5B" w:rsidRPr="00D76EFB">
        <w:t>–</w:t>
      </w:r>
      <w:r w:rsidR="00EC58B6" w:rsidRPr="00D76EFB">
        <w:t>H</w:t>
      </w:r>
      <w:r w:rsidR="00EC58B6" w:rsidRPr="73C3B142">
        <w:t>:</w:t>
      </w:r>
      <w:r w:rsidR="00126387" w:rsidRPr="0D4DB3AA">
        <w:t xml:space="preserve"> </w:t>
      </w:r>
      <w:r w:rsidR="00126387" w:rsidRPr="73C3B142">
        <w:t>Mantel</w:t>
      </w:r>
      <w:r w:rsidR="00920964" w:rsidRPr="73C3B142">
        <w:t>–</w:t>
      </w:r>
      <w:r w:rsidR="00126387" w:rsidRPr="73C3B142">
        <w:t>Haenszel</w:t>
      </w:r>
      <w:r w:rsidR="61198A82" w:rsidRPr="73C3B142">
        <w:t xml:space="preserve"> test/method</w:t>
      </w:r>
      <w:r w:rsidR="007F0AE4">
        <w:br/>
        <w:t>Source: Figure 220 pg</w:t>
      </w:r>
      <w:r w:rsidR="0097229E">
        <w:t>. 121 from ADAR</w:t>
      </w:r>
    </w:p>
    <w:bookmarkEnd w:id="79"/>
    <w:p w14:paraId="0C681299" w14:textId="76157F84" w:rsidR="4270F317" w:rsidRDefault="4270F317" w:rsidP="007D18A3">
      <w:pPr>
        <w:pStyle w:val="Heading4"/>
      </w:pPr>
      <w:r w:rsidRPr="00DC46A2">
        <w:t>Revision/conversion to bariatric surgery</w:t>
      </w:r>
    </w:p>
    <w:p w14:paraId="40756315" w14:textId="35913FD9" w:rsidR="000222B4" w:rsidRDefault="6999D9DC" w:rsidP="007D18A3">
      <w:r w:rsidRPr="2AA1CA0C">
        <w:t xml:space="preserve">One </w:t>
      </w:r>
      <w:r w:rsidR="14E179D6" w:rsidRPr="2AA1CA0C">
        <w:t xml:space="preserve">non-randomised </w:t>
      </w:r>
      <w:r w:rsidRPr="2AA1CA0C">
        <w:t xml:space="preserve">study directly comparing revision rates between ESG and LSG </w:t>
      </w:r>
      <w:r w:rsidR="03745DCE" w:rsidRPr="2AA1CA0C">
        <w:t>was identified, following patients 3 years postoperatively</w:t>
      </w:r>
      <w:r w:rsidR="5216B905" w:rsidRPr="2AA1CA0C">
        <w:t xml:space="preserve"> </w:t>
      </w:r>
      <w:r w:rsidR="00727182" w:rsidRPr="2AA1CA0C">
        <w:t>(</w:t>
      </w:r>
      <w:r w:rsidR="006B5215">
        <w:fldChar w:fldCharType="begin"/>
      </w:r>
      <w:r w:rsidR="006B5215">
        <w:instrText xml:space="preserve"> REF _Ref184211488 \h </w:instrText>
      </w:r>
      <w:r w:rsidR="006B5215">
        <w:fldChar w:fldCharType="separate"/>
      </w:r>
      <w:r w:rsidR="008F37D1">
        <w:t xml:space="preserve">Table </w:t>
      </w:r>
      <w:r w:rsidR="008F37D1">
        <w:rPr>
          <w:noProof/>
        </w:rPr>
        <w:t>22</w:t>
      </w:r>
      <w:r w:rsidR="006B5215">
        <w:fldChar w:fldCharType="end"/>
      </w:r>
      <w:r w:rsidR="00727182" w:rsidRPr="2AA1CA0C">
        <w:t>)</w:t>
      </w:r>
      <w:r w:rsidR="00210D7C" w:rsidRPr="2AA1CA0C">
        <w:t>.</w:t>
      </w:r>
      <w:r w:rsidR="006508C7" w:rsidRPr="00D76EFB">
        <w:rPr>
          <w:vertAlign w:val="superscript"/>
        </w:rPr>
        <w:fldChar w:fldCharType="begin"/>
      </w:r>
      <w:r w:rsidR="006508C7" w:rsidRPr="00D76EFB">
        <w:rPr>
          <w:vertAlign w:val="superscript"/>
        </w:rPr>
        <w:instrText xml:space="preserve"> NOTEREF _Ref187070487 \h </w:instrText>
      </w:r>
      <w:r w:rsidR="006508C7" w:rsidRPr="00A87D94">
        <w:rPr>
          <w:vertAlign w:val="superscript"/>
        </w:rPr>
        <w:instrText xml:space="preserve"> </w:instrText>
      </w:r>
      <w:r w:rsidR="006508C7">
        <w:rPr>
          <w:vertAlign w:val="superscript"/>
        </w:rPr>
        <w:instrText xml:space="preserve">\* MERGEFORMAT </w:instrText>
      </w:r>
      <w:r w:rsidR="006508C7" w:rsidRPr="00D76EFB">
        <w:rPr>
          <w:vertAlign w:val="superscript"/>
        </w:rPr>
      </w:r>
      <w:r w:rsidR="006508C7" w:rsidRPr="00D76EFB">
        <w:rPr>
          <w:vertAlign w:val="superscript"/>
        </w:rPr>
        <w:fldChar w:fldCharType="separate"/>
      </w:r>
      <w:r w:rsidR="008F37D1">
        <w:rPr>
          <w:vertAlign w:val="superscript"/>
        </w:rPr>
        <w:t>35</w:t>
      </w:r>
      <w:r w:rsidR="006508C7" w:rsidRPr="00D76EFB">
        <w:rPr>
          <w:vertAlign w:val="superscript"/>
        </w:rPr>
        <w:fldChar w:fldCharType="end"/>
      </w:r>
      <w:r w:rsidR="03745DCE" w:rsidRPr="2AA1CA0C">
        <w:t xml:space="preserve"> </w:t>
      </w:r>
      <w:r w:rsidR="2DC48F74" w:rsidRPr="2AA1CA0C">
        <w:t>A total of 28 patients (0.9%</w:t>
      </w:r>
      <w:r w:rsidR="005A3820" w:rsidRPr="2AA1CA0C">
        <w:t xml:space="preserve"> of total patients</w:t>
      </w:r>
      <w:r w:rsidR="2DC48F74" w:rsidRPr="2AA1CA0C">
        <w:t>) had a repeat ESG and 80 patients (2.7%</w:t>
      </w:r>
      <w:r w:rsidR="005A3820" w:rsidRPr="2AA1CA0C">
        <w:t xml:space="preserve"> of total patients</w:t>
      </w:r>
      <w:r w:rsidR="2DC48F74" w:rsidRPr="2AA1CA0C">
        <w:t>) underwent conversion to LSG. No weight-related conversion was completed in LSG patients</w:t>
      </w:r>
      <w:r w:rsidR="00210D7C" w:rsidRPr="2AA1CA0C">
        <w:t>.</w:t>
      </w:r>
      <w:r w:rsidR="000E7407" w:rsidRPr="00D76EFB">
        <w:rPr>
          <w:vertAlign w:val="superscript"/>
        </w:rPr>
        <w:fldChar w:fldCharType="begin"/>
      </w:r>
      <w:r w:rsidR="000E7407" w:rsidRPr="00D76EFB">
        <w:rPr>
          <w:vertAlign w:val="superscript"/>
        </w:rPr>
        <w:instrText xml:space="preserve"> NOTEREF _Ref187070487 \h </w:instrText>
      </w:r>
      <w:r w:rsidR="000E7407" w:rsidRPr="00A87D94">
        <w:rPr>
          <w:vertAlign w:val="superscript"/>
        </w:rPr>
        <w:instrText xml:space="preserve"> </w:instrText>
      </w:r>
      <w:r w:rsidR="000E7407">
        <w:rPr>
          <w:vertAlign w:val="superscript"/>
        </w:rPr>
        <w:instrText xml:space="preserve">\* MERGEFORMAT </w:instrText>
      </w:r>
      <w:r w:rsidR="000E7407" w:rsidRPr="00D76EFB">
        <w:rPr>
          <w:vertAlign w:val="superscript"/>
        </w:rPr>
      </w:r>
      <w:r w:rsidR="000E7407" w:rsidRPr="00D76EFB">
        <w:rPr>
          <w:vertAlign w:val="superscript"/>
        </w:rPr>
        <w:fldChar w:fldCharType="separate"/>
      </w:r>
      <w:r w:rsidR="008F37D1">
        <w:rPr>
          <w:vertAlign w:val="superscript"/>
        </w:rPr>
        <w:t>35</w:t>
      </w:r>
      <w:r w:rsidR="000E7407" w:rsidRPr="00D76EFB">
        <w:rPr>
          <w:vertAlign w:val="superscript"/>
        </w:rPr>
        <w:fldChar w:fldCharType="end"/>
      </w:r>
    </w:p>
    <w:p w14:paraId="45A8EA3A" w14:textId="65D37DB7" w:rsidR="31F74B5B" w:rsidRDefault="6E179236" w:rsidP="007D18A3">
      <w:r w:rsidRPr="2AA1CA0C">
        <w:t xml:space="preserve">The ADAR suggests that the overall rate for revision in ESG is low, as identified in the evidence for PICO 1 and as suggested by </w:t>
      </w:r>
      <w:r w:rsidR="0A97F888" w:rsidRPr="2AA1CA0C">
        <w:t xml:space="preserve">clinicians. </w:t>
      </w:r>
      <w:r w:rsidR="0053026C" w:rsidRPr="2AA1CA0C">
        <w:t>C</w:t>
      </w:r>
      <w:r w:rsidR="0D38FACD" w:rsidRPr="2AA1CA0C">
        <w:t xml:space="preserve">linicians also suggest a higher risk of complications in revision for LSG, which may contribute to the overall </w:t>
      </w:r>
      <w:r w:rsidR="000C77FB" w:rsidRPr="2AA1CA0C">
        <w:t>risk</w:t>
      </w:r>
      <w:r w:rsidR="0D38FACD" w:rsidRPr="2AA1CA0C">
        <w:t xml:space="preserve"> of revision procedures. The</w:t>
      </w:r>
      <w:r w:rsidR="0D38FACD" w:rsidRPr="2AA1CA0C" w:rsidDel="009C419C">
        <w:t xml:space="preserve"> </w:t>
      </w:r>
      <w:r w:rsidR="0D38FACD" w:rsidRPr="2AA1CA0C">
        <w:t>ADAR suggest</w:t>
      </w:r>
      <w:r w:rsidR="009C419C">
        <w:t>s</w:t>
      </w:r>
      <w:r w:rsidR="0D38FACD" w:rsidRPr="2AA1CA0C">
        <w:t xml:space="preserve"> t</w:t>
      </w:r>
      <w:r w:rsidR="12A40E7B" w:rsidRPr="2AA1CA0C">
        <w:t>hat the revision rate for LSG may be underestimated</w:t>
      </w:r>
      <w:r w:rsidR="4D8DAF38" w:rsidRPr="2AA1CA0C">
        <w:t xml:space="preserve">, citing </w:t>
      </w:r>
      <w:r w:rsidR="005C79B3" w:rsidRPr="2AA1CA0C">
        <w:t>t</w:t>
      </w:r>
      <w:r w:rsidR="4D8DAF38" w:rsidRPr="2AA1CA0C">
        <w:t xml:space="preserve">he Bariatric Surgery Registry </w:t>
      </w:r>
      <w:r w:rsidR="00E05D16" w:rsidRPr="2AA1CA0C">
        <w:t>a</w:t>
      </w:r>
      <w:r w:rsidR="4D8DAF38" w:rsidRPr="2AA1CA0C">
        <w:t xml:space="preserve">nnual </w:t>
      </w:r>
      <w:r w:rsidR="00E05D16" w:rsidRPr="2AA1CA0C">
        <w:t>r</w:t>
      </w:r>
      <w:r w:rsidR="4D8DAF38" w:rsidRPr="2AA1CA0C">
        <w:t xml:space="preserve">eport </w:t>
      </w:r>
      <w:r w:rsidR="0053670B" w:rsidRPr="2AA1CA0C">
        <w:t xml:space="preserve">2023 </w:t>
      </w:r>
      <w:r w:rsidR="4D8DAF38" w:rsidRPr="2AA1CA0C">
        <w:t xml:space="preserve">and </w:t>
      </w:r>
      <w:r w:rsidR="030F1C9E" w:rsidRPr="2AA1CA0C">
        <w:t>indications of a 9% complication rate in revision procedures</w:t>
      </w:r>
      <w:r w:rsidR="00E05D16" w:rsidRPr="2AA1CA0C">
        <w:t>,</w:t>
      </w:r>
      <w:r w:rsidR="030F1C9E" w:rsidRPr="2AA1CA0C">
        <w:t xml:space="preserve"> as compared to 2% in primary procedures</w:t>
      </w:r>
      <w:r w:rsidR="00210D7C" w:rsidRPr="2AA1CA0C">
        <w:t>.</w:t>
      </w:r>
      <w:r w:rsidRPr="2AA1CA0C">
        <w:rPr>
          <w:rStyle w:val="FootnoteReference"/>
        </w:rPr>
        <w:footnoteReference w:id="47"/>
      </w:r>
      <w:r w:rsidR="1761BA32" w:rsidRPr="2AA1CA0C">
        <w:t xml:space="preserve"> </w:t>
      </w:r>
      <w:r w:rsidR="030F1C9E" w:rsidRPr="2AA1CA0C">
        <w:t xml:space="preserve"> Consulting clinicians </w:t>
      </w:r>
      <w:r w:rsidR="008A7256" w:rsidRPr="2AA1CA0C">
        <w:t>advise</w:t>
      </w:r>
      <w:r w:rsidR="030F1C9E" w:rsidRPr="2AA1CA0C">
        <w:t xml:space="preserve"> that the risk of revision and retightening in ESG is likely lower than </w:t>
      </w:r>
      <w:r w:rsidR="008A7256" w:rsidRPr="2AA1CA0C">
        <w:t xml:space="preserve">the </w:t>
      </w:r>
      <w:r w:rsidR="030F1C9E" w:rsidRPr="2AA1CA0C">
        <w:t>risks observed in LSG.</w:t>
      </w:r>
    </w:p>
    <w:p w14:paraId="1608B645" w14:textId="7F54957C" w:rsidR="030F1C9E" w:rsidRDefault="030F1C9E" w:rsidP="007D18A3">
      <w:r w:rsidRPr="2AA1CA0C">
        <w:t>Although the risk of revision surgery may be greater in LSG</w:t>
      </w:r>
      <w:r w:rsidR="30E4FA00" w:rsidRPr="2AA1CA0C">
        <w:t xml:space="preserve"> as compared to ESG</w:t>
      </w:r>
      <w:r w:rsidRPr="2AA1CA0C">
        <w:t xml:space="preserve">, there is no current </w:t>
      </w:r>
      <w:r w:rsidR="2F604080" w:rsidRPr="2AA1CA0C">
        <w:t>evidence suggesting a higher rate of revision within LSG patients</w:t>
      </w:r>
      <w:r w:rsidR="2FE97D54" w:rsidRPr="2AA1CA0C">
        <w:t xml:space="preserve"> compared to ESG</w:t>
      </w:r>
      <w:r w:rsidR="2F604080" w:rsidRPr="2AA1CA0C">
        <w:t xml:space="preserve">. </w:t>
      </w:r>
      <w:r w:rsidR="0C0EBC35" w:rsidRPr="2AA1CA0C">
        <w:t xml:space="preserve">Evidence presented in the Bariatric Surgery </w:t>
      </w:r>
      <w:r w:rsidR="09EB088A" w:rsidRPr="2AA1CA0C">
        <w:t>R</w:t>
      </w:r>
      <w:r w:rsidR="0C0EBC35" w:rsidRPr="2AA1CA0C">
        <w:t>egistry and</w:t>
      </w:r>
      <w:r w:rsidR="464604A8" w:rsidRPr="2AA1CA0C">
        <w:t xml:space="preserve"> </w:t>
      </w:r>
      <w:r w:rsidR="007B7634" w:rsidRPr="2AA1CA0C">
        <w:t>a</w:t>
      </w:r>
      <w:r w:rsidR="464604A8" w:rsidRPr="2AA1CA0C">
        <w:t xml:space="preserve">nnual </w:t>
      </w:r>
      <w:r w:rsidR="007B7634" w:rsidRPr="2AA1CA0C">
        <w:t>r</w:t>
      </w:r>
      <w:r w:rsidR="0C0EBC35" w:rsidRPr="2AA1CA0C">
        <w:t xml:space="preserve">eport offers no insight into the rates of revision in LSG patients generally, nor does it compare or evaluate the risks and </w:t>
      </w:r>
      <w:r w:rsidR="3C30CC22" w:rsidRPr="2AA1CA0C">
        <w:t>rate of revision in ESG patients</w:t>
      </w:r>
      <w:r w:rsidR="000222B4" w:rsidRPr="2AA1CA0C">
        <w:t xml:space="preserve">. </w:t>
      </w:r>
      <w:r w:rsidR="40F0099E" w:rsidRPr="2AA1CA0C">
        <w:t xml:space="preserve">Further research is required to better </w:t>
      </w:r>
      <w:r w:rsidR="00152D9F" w:rsidRPr="2AA1CA0C">
        <w:t xml:space="preserve">investigate </w:t>
      </w:r>
      <w:r w:rsidR="40F0099E" w:rsidRPr="2AA1CA0C">
        <w:t>revision among ESG and LSG</w:t>
      </w:r>
      <w:r w:rsidR="00152D9F" w:rsidRPr="2AA1CA0C">
        <w:t xml:space="preserve"> patients</w:t>
      </w:r>
      <w:r w:rsidR="40F0099E" w:rsidRPr="2AA1CA0C">
        <w:t>, beyond the single non-randomised study utilised within the ADAR</w:t>
      </w:r>
      <w:r w:rsidR="00152D9F" w:rsidRPr="2AA1CA0C">
        <w:t xml:space="preserve"> that had </w:t>
      </w:r>
      <w:r w:rsidR="170AA5BE" w:rsidRPr="2AA1CA0C">
        <w:t>a high attrition rate</w:t>
      </w:r>
      <w:r w:rsidR="00210D7C" w:rsidRPr="2AA1CA0C">
        <w:t>.</w:t>
      </w:r>
      <w:r w:rsidR="00F82613" w:rsidRPr="00D76EFB">
        <w:rPr>
          <w:vertAlign w:val="superscript"/>
        </w:rPr>
        <w:fldChar w:fldCharType="begin"/>
      </w:r>
      <w:r w:rsidR="00F82613" w:rsidRPr="00D76EFB">
        <w:rPr>
          <w:vertAlign w:val="superscript"/>
        </w:rPr>
        <w:instrText xml:space="preserve"> NOTEREF _Ref187069073 \h </w:instrText>
      </w:r>
      <w:r w:rsidR="00F82613">
        <w:rPr>
          <w:vertAlign w:val="superscript"/>
        </w:rPr>
        <w:instrText xml:space="preserve"> \* MERGEFORMAT </w:instrText>
      </w:r>
      <w:r w:rsidR="00F82613" w:rsidRPr="00D76EFB">
        <w:rPr>
          <w:vertAlign w:val="superscript"/>
        </w:rPr>
      </w:r>
      <w:r w:rsidR="00F82613" w:rsidRPr="00D76EFB">
        <w:rPr>
          <w:vertAlign w:val="superscript"/>
        </w:rPr>
        <w:fldChar w:fldCharType="separate"/>
      </w:r>
      <w:r w:rsidR="008F37D1">
        <w:rPr>
          <w:vertAlign w:val="superscript"/>
        </w:rPr>
        <w:t>32</w:t>
      </w:r>
      <w:r w:rsidR="00F82613" w:rsidRPr="00D76EFB">
        <w:rPr>
          <w:vertAlign w:val="superscript"/>
        </w:rPr>
        <w:fldChar w:fldCharType="end"/>
      </w:r>
      <w:r w:rsidR="7552E7B0" w:rsidRPr="2AA1CA0C">
        <w:t xml:space="preserve"> </w:t>
      </w:r>
      <w:r w:rsidR="009D658F">
        <w:t>The commentary</w:t>
      </w:r>
      <w:r w:rsidR="7552E7B0" w:rsidRPr="2AA1CA0C">
        <w:t xml:space="preserve"> also noted that the population evaluated in the included study for this outcome is </w:t>
      </w:r>
      <w:r w:rsidR="57149FA8" w:rsidRPr="2AA1CA0C">
        <w:t xml:space="preserve">not highly relevant to the population explored in the PICO, </w:t>
      </w:r>
      <w:r w:rsidR="06CE3659" w:rsidRPr="2AA1CA0C">
        <w:t xml:space="preserve">with the patient population having a significantly lower BMI than </w:t>
      </w:r>
      <w:r w:rsidR="00020AD3" w:rsidRPr="2AA1CA0C">
        <w:t>t</w:t>
      </w:r>
      <w:r w:rsidR="06CE3659" w:rsidRPr="2AA1CA0C">
        <w:t>hat established within the ADAR, potentially influencing outcomes</w:t>
      </w:r>
      <w:r w:rsidR="7552E7B0" w:rsidRPr="2AA1CA0C">
        <w:t>.</w:t>
      </w:r>
    </w:p>
    <w:p w14:paraId="2344D4D2" w14:textId="254D11B7" w:rsidR="00523723" w:rsidRDefault="00523723" w:rsidP="00590F37">
      <w:pPr>
        <w:pStyle w:val="Caption"/>
      </w:pPr>
      <w:bookmarkStart w:id="80" w:name="_Ref184211488"/>
      <w:r>
        <w:t xml:space="preserve">Table </w:t>
      </w:r>
      <w:r w:rsidR="00707F6D">
        <w:fldChar w:fldCharType="begin"/>
      </w:r>
      <w:r w:rsidR="00707F6D">
        <w:instrText xml:space="preserve"> SEQ Table \* ARABIC </w:instrText>
      </w:r>
      <w:r w:rsidR="00707F6D">
        <w:fldChar w:fldCharType="separate"/>
      </w:r>
      <w:r w:rsidR="008F37D1">
        <w:rPr>
          <w:noProof/>
        </w:rPr>
        <w:t>22</w:t>
      </w:r>
      <w:r w:rsidR="00707F6D">
        <w:rPr>
          <w:noProof/>
        </w:rPr>
        <w:fldChar w:fldCharType="end"/>
      </w:r>
      <w:bookmarkEnd w:id="80"/>
      <w:r>
        <w:t>: Summary of included studies reporting on the proportion of patients undergoing repeat ESG or revision surgery</w:t>
      </w:r>
    </w:p>
    <w:tbl>
      <w:tblPr>
        <w:tblStyle w:val="HTATableshaded"/>
        <w:tblW w:w="0" w:type="auto"/>
        <w:tblLook w:val="04A0" w:firstRow="1" w:lastRow="0" w:firstColumn="1" w:lastColumn="0" w:noHBand="0" w:noVBand="1"/>
      </w:tblPr>
      <w:tblGrid>
        <w:gridCol w:w="1404"/>
        <w:gridCol w:w="2603"/>
        <w:gridCol w:w="2506"/>
        <w:gridCol w:w="2503"/>
      </w:tblGrid>
      <w:tr w:rsidR="00523723" w:rsidRPr="00523723" w14:paraId="23421BCB" w14:textId="77777777" w:rsidTr="00F60F08">
        <w:trPr>
          <w:cnfStyle w:val="100000000000" w:firstRow="1" w:lastRow="0" w:firstColumn="0" w:lastColumn="0" w:oddVBand="0" w:evenVBand="0" w:oddHBand="0" w:evenHBand="0" w:firstRowFirstColumn="0" w:firstRowLastColumn="0" w:lastRowFirstColumn="0" w:lastRowLastColumn="0"/>
        </w:trPr>
        <w:tc>
          <w:tcPr>
            <w:tcW w:w="0" w:type="auto"/>
            <w:shd w:val="clear" w:color="auto" w:fill="FFFFFF" w:themeFill="background1"/>
          </w:tcPr>
          <w:p w14:paraId="62EA730D" w14:textId="7BB801C1" w:rsidR="00523723" w:rsidRPr="00523723" w:rsidRDefault="00523723" w:rsidP="0D77DCC5">
            <w:pPr>
              <w:keepNext/>
              <w:keepLines/>
              <w:spacing w:before="20"/>
              <w:contextualSpacing/>
              <w:rPr>
                <w:rFonts w:ascii="Arial Narrow" w:eastAsia="Arial Narrow" w:hAnsi="Arial Narrow" w:cs="Arial Narrow"/>
                <w:b/>
                <w:sz w:val="20"/>
                <w:szCs w:val="20"/>
              </w:rPr>
            </w:pPr>
            <w:r w:rsidRPr="7D413406">
              <w:rPr>
                <w:rFonts w:ascii="Arial Narrow" w:eastAsia="Arial Narrow" w:hAnsi="Arial Narrow" w:cs="Arial Narrow"/>
                <w:b/>
                <w:sz w:val="20"/>
                <w:szCs w:val="20"/>
              </w:rPr>
              <w:t>Trial</w:t>
            </w:r>
          </w:p>
        </w:tc>
        <w:tc>
          <w:tcPr>
            <w:tcW w:w="0" w:type="auto"/>
            <w:shd w:val="clear" w:color="auto" w:fill="FFFFFF" w:themeFill="background1"/>
          </w:tcPr>
          <w:p w14:paraId="574C92F6" w14:textId="77777777" w:rsidR="00523723" w:rsidRPr="00523723" w:rsidRDefault="00523723" w:rsidP="00523723">
            <w:pPr>
              <w:keepNext/>
              <w:keepLines/>
              <w:spacing w:before="20"/>
              <w:contextualSpacing/>
              <w:rPr>
                <w:rFonts w:ascii="Arial Narrow" w:eastAsia="Arial Narrow" w:hAnsi="Arial Narrow" w:cs="Arial Narrow"/>
                <w:b/>
                <w:sz w:val="20"/>
                <w:szCs w:val="20"/>
                <w:vertAlign w:val="superscript"/>
              </w:rPr>
            </w:pPr>
            <w:r w:rsidRPr="7D413406">
              <w:rPr>
                <w:rFonts w:ascii="Arial Narrow" w:eastAsia="Arial Narrow" w:hAnsi="Arial Narrow" w:cs="Arial Narrow"/>
                <w:b/>
                <w:sz w:val="20"/>
                <w:szCs w:val="20"/>
              </w:rPr>
              <w:t>Proportion of patients after ESG undergoing repeat ESG n (%)</w:t>
            </w:r>
          </w:p>
        </w:tc>
        <w:tc>
          <w:tcPr>
            <w:tcW w:w="0" w:type="auto"/>
            <w:shd w:val="clear" w:color="auto" w:fill="FFFFFF" w:themeFill="background1"/>
          </w:tcPr>
          <w:p w14:paraId="2FAECE05" w14:textId="77777777" w:rsidR="00523723" w:rsidRPr="00523723" w:rsidRDefault="00523723" w:rsidP="00523723">
            <w:pPr>
              <w:keepNext/>
              <w:keepLines/>
              <w:spacing w:before="20"/>
              <w:contextualSpacing/>
              <w:rPr>
                <w:rFonts w:ascii="Arial Narrow" w:eastAsia="Arial Narrow" w:hAnsi="Arial Narrow" w:cs="Arial Narrow"/>
                <w:b/>
                <w:sz w:val="20"/>
                <w:szCs w:val="20"/>
                <w:vertAlign w:val="superscript"/>
              </w:rPr>
            </w:pPr>
            <w:r w:rsidRPr="7D413406">
              <w:rPr>
                <w:rFonts w:ascii="Arial Narrow" w:eastAsia="Arial Narrow" w:hAnsi="Arial Narrow" w:cs="Arial Narrow"/>
                <w:b/>
                <w:sz w:val="20"/>
                <w:szCs w:val="20"/>
              </w:rPr>
              <w:t>Proportion of patients after ESG undergoing revision n (%)</w:t>
            </w:r>
          </w:p>
        </w:tc>
        <w:tc>
          <w:tcPr>
            <w:tcW w:w="0" w:type="auto"/>
            <w:shd w:val="clear" w:color="auto" w:fill="FFFFFF" w:themeFill="background1"/>
          </w:tcPr>
          <w:p w14:paraId="602269CF" w14:textId="77777777" w:rsidR="00523723" w:rsidRPr="00523723" w:rsidRDefault="00523723" w:rsidP="00523723">
            <w:pPr>
              <w:keepNext/>
              <w:keepLines/>
              <w:spacing w:before="20"/>
              <w:contextualSpacing/>
              <w:rPr>
                <w:rFonts w:ascii="Arial Narrow" w:eastAsia="Arial Narrow" w:hAnsi="Arial Narrow" w:cs="Arial Narrow"/>
                <w:b/>
                <w:sz w:val="20"/>
                <w:szCs w:val="20"/>
              </w:rPr>
            </w:pPr>
            <w:r w:rsidRPr="7D413406">
              <w:rPr>
                <w:rFonts w:ascii="Arial Narrow" w:eastAsia="Arial Narrow" w:hAnsi="Arial Narrow" w:cs="Arial Narrow"/>
                <w:b/>
                <w:sz w:val="20"/>
                <w:szCs w:val="20"/>
              </w:rPr>
              <w:t>Proportion of patients after LSG undergoing revision n (%)</w:t>
            </w:r>
          </w:p>
        </w:tc>
      </w:tr>
      <w:tr w:rsidR="00523723" w:rsidRPr="00523723" w14:paraId="6BDDE39A" w14:textId="77777777" w:rsidTr="0D77DCC5">
        <w:tc>
          <w:tcPr>
            <w:tcW w:w="0" w:type="auto"/>
          </w:tcPr>
          <w:p w14:paraId="3A30FC4F" w14:textId="77777777" w:rsidR="00523723" w:rsidRPr="00523723" w:rsidRDefault="00523723" w:rsidP="00523723">
            <w:pPr>
              <w:keepNext/>
              <w:keepLines/>
              <w:spacing w:before="20"/>
              <w:rPr>
                <w:rFonts w:ascii="Arial Narrow" w:eastAsia="Arial Narrow" w:hAnsi="Arial Narrow" w:cs="Arial Narrow"/>
                <w:sz w:val="20"/>
                <w:szCs w:val="20"/>
              </w:rPr>
            </w:pPr>
            <w:r w:rsidRPr="7D413406">
              <w:rPr>
                <w:rFonts w:ascii="Arial Narrow" w:eastAsia="Arial Narrow" w:hAnsi="Arial Narrow" w:cs="Arial Narrow"/>
                <w:sz w:val="20"/>
                <w:szCs w:val="20"/>
              </w:rPr>
              <w:t>Alqahtani 2022 (36 months)</w:t>
            </w:r>
          </w:p>
        </w:tc>
        <w:tc>
          <w:tcPr>
            <w:tcW w:w="0" w:type="auto"/>
          </w:tcPr>
          <w:p w14:paraId="044C3A12" w14:textId="77777777" w:rsidR="00523723" w:rsidRPr="00523723" w:rsidRDefault="00523723" w:rsidP="00523723">
            <w:pPr>
              <w:keepNext/>
              <w:keepLines/>
              <w:spacing w:before="20"/>
              <w:rPr>
                <w:rFonts w:ascii="Arial Narrow" w:eastAsia="Arial Narrow" w:hAnsi="Arial Narrow" w:cs="Arial Narrow"/>
                <w:sz w:val="20"/>
                <w:szCs w:val="20"/>
              </w:rPr>
            </w:pPr>
            <w:r w:rsidRPr="7D413406">
              <w:rPr>
                <w:rFonts w:ascii="Arial Narrow" w:eastAsia="Arial Narrow" w:hAnsi="Arial Narrow" w:cs="Arial Narrow"/>
                <w:sz w:val="20"/>
                <w:szCs w:val="20"/>
              </w:rPr>
              <w:t>28 (0.9)</w:t>
            </w:r>
          </w:p>
        </w:tc>
        <w:tc>
          <w:tcPr>
            <w:tcW w:w="0" w:type="auto"/>
          </w:tcPr>
          <w:p w14:paraId="7B5C7012" w14:textId="77777777" w:rsidR="00523723" w:rsidRPr="00523723" w:rsidRDefault="00523723" w:rsidP="00523723">
            <w:pPr>
              <w:keepNext/>
              <w:keepLines/>
              <w:spacing w:before="20"/>
              <w:rPr>
                <w:rFonts w:ascii="Arial Narrow" w:eastAsia="Arial Narrow" w:hAnsi="Arial Narrow" w:cs="Arial Narrow"/>
                <w:sz w:val="20"/>
                <w:szCs w:val="20"/>
              </w:rPr>
            </w:pPr>
            <w:r w:rsidRPr="7D413406">
              <w:rPr>
                <w:rFonts w:ascii="Arial Narrow" w:eastAsia="Arial Narrow" w:hAnsi="Arial Narrow" w:cs="Arial Narrow"/>
                <w:sz w:val="20"/>
                <w:szCs w:val="20"/>
              </w:rPr>
              <w:t>80 (2.7)</w:t>
            </w:r>
          </w:p>
        </w:tc>
        <w:tc>
          <w:tcPr>
            <w:tcW w:w="0" w:type="auto"/>
          </w:tcPr>
          <w:p w14:paraId="244450D6" w14:textId="77777777" w:rsidR="00523723" w:rsidRPr="00523723" w:rsidRDefault="00523723" w:rsidP="00523723">
            <w:pPr>
              <w:keepNext/>
              <w:keepLines/>
              <w:spacing w:before="20"/>
              <w:rPr>
                <w:rFonts w:ascii="Arial Narrow" w:eastAsia="Arial Narrow" w:hAnsi="Arial Narrow" w:cs="Arial Narrow"/>
                <w:sz w:val="20"/>
                <w:szCs w:val="20"/>
              </w:rPr>
            </w:pPr>
            <w:r w:rsidRPr="7D413406">
              <w:rPr>
                <w:rFonts w:ascii="Arial Narrow" w:eastAsia="Arial Narrow" w:hAnsi="Arial Narrow" w:cs="Arial Narrow"/>
                <w:sz w:val="20"/>
                <w:szCs w:val="20"/>
              </w:rPr>
              <w:t>0</w:t>
            </w:r>
          </w:p>
        </w:tc>
      </w:tr>
    </w:tbl>
    <w:p w14:paraId="78D915FC" w14:textId="4712F86B" w:rsidR="3C14812A" w:rsidRPr="00C8307F" w:rsidRDefault="00126387" w:rsidP="006367D4">
      <w:pPr>
        <w:pStyle w:val="TableFigureFooter"/>
      </w:pPr>
      <w:r w:rsidRPr="00D76EFB">
        <w:t>Abbreviations:</w:t>
      </w:r>
      <w:r w:rsidRPr="0D77DCC5">
        <w:t xml:space="preserve"> </w:t>
      </w:r>
      <w:r w:rsidR="006D1E91" w:rsidRPr="00D76EFB">
        <w:t>ESG</w:t>
      </w:r>
      <w:r w:rsidR="00850B5B">
        <w:t>:</w:t>
      </w:r>
      <w:r w:rsidR="006D1E91" w:rsidRPr="0D77DCC5">
        <w:t xml:space="preserve"> endoscopic sleeve </w:t>
      </w:r>
      <w:r w:rsidR="003745E8" w:rsidRPr="0D77DCC5">
        <w:t>gastr</w:t>
      </w:r>
      <w:r w:rsidR="001E1B13">
        <w:t>oplast</w:t>
      </w:r>
      <w:r w:rsidR="003745E8" w:rsidRPr="0D77DCC5">
        <w:t>y</w:t>
      </w:r>
      <w:r w:rsidR="00850B5B">
        <w:t>;</w:t>
      </w:r>
      <w:r w:rsidR="006D1E91" w:rsidRPr="0D77DCC5">
        <w:t xml:space="preserve"> </w:t>
      </w:r>
      <w:r w:rsidR="006D1E91" w:rsidRPr="00D76EFB">
        <w:t>LSG</w:t>
      </w:r>
      <w:r w:rsidR="00850B5B">
        <w:t>:</w:t>
      </w:r>
      <w:r w:rsidR="006D1E91" w:rsidRPr="0D77DCC5">
        <w:t xml:space="preserve"> laparoscopic sleeve gastrectomy.</w:t>
      </w:r>
      <w:r w:rsidR="0097229E">
        <w:br/>
        <w:t xml:space="preserve">Source: </w:t>
      </w:r>
      <w:r w:rsidR="00C72A8D">
        <w:t>Table 277</w:t>
      </w:r>
      <w:r w:rsidR="00F9070E">
        <w:t>, pg. 119 from ADAR</w:t>
      </w:r>
    </w:p>
    <w:p w14:paraId="486C2B91" w14:textId="43FAD8BA" w:rsidR="345ABBD7" w:rsidRPr="00DC46A2" w:rsidRDefault="345ABBD7" w:rsidP="007D18A3">
      <w:pPr>
        <w:pStyle w:val="Heading4"/>
      </w:pPr>
      <w:r w:rsidRPr="005F6F4A">
        <w:t>Patient</w:t>
      </w:r>
      <w:r w:rsidR="00491A4D" w:rsidRPr="005F6F4A">
        <w:t>-</w:t>
      </w:r>
      <w:r w:rsidRPr="005F6F4A">
        <w:t xml:space="preserve">reported </w:t>
      </w:r>
      <w:r>
        <w:t>endpoints</w:t>
      </w:r>
    </w:p>
    <w:p w14:paraId="3F2F9730" w14:textId="10960465" w:rsidR="00A31E95" w:rsidRDefault="00491A4D" w:rsidP="007D18A3">
      <w:r w:rsidRPr="2AA1CA0C">
        <w:t>HRQoL</w:t>
      </w:r>
      <w:r w:rsidR="7758C9C7" w:rsidRPr="2AA1CA0C">
        <w:t xml:space="preserve"> was reported in </w:t>
      </w:r>
      <w:r w:rsidRPr="2AA1CA0C">
        <w:t xml:space="preserve">2 </w:t>
      </w:r>
      <w:r w:rsidR="7758C9C7" w:rsidRPr="2AA1CA0C">
        <w:t xml:space="preserve">non-randomised observational studies. A non-statistically significant improvement </w:t>
      </w:r>
      <w:r w:rsidR="300300DC" w:rsidRPr="2AA1CA0C">
        <w:t>for the ESG group</w:t>
      </w:r>
      <w:r w:rsidR="7758C9C7" w:rsidRPr="2AA1CA0C">
        <w:t xml:space="preserve"> </w:t>
      </w:r>
      <w:r w:rsidR="00955D27" w:rsidRPr="2AA1CA0C">
        <w:t>was identified (</w:t>
      </w:r>
      <w:r w:rsidR="73215DE5" w:rsidRPr="2AA1CA0C">
        <w:t xml:space="preserve">using </w:t>
      </w:r>
      <w:r w:rsidR="00752485" w:rsidRPr="2AA1CA0C">
        <w:t>t</w:t>
      </w:r>
      <w:r w:rsidR="7D8DD208" w:rsidRPr="2AA1CA0C">
        <w:t>he Impact of Weight on Quality of Life</w:t>
      </w:r>
      <w:r w:rsidR="00931632" w:rsidRPr="2AA1CA0C">
        <w:t>–</w:t>
      </w:r>
      <w:r w:rsidR="7D8DD208" w:rsidRPr="2AA1CA0C">
        <w:t>Lite</w:t>
      </w:r>
      <w:r w:rsidR="00931632" w:rsidRPr="2AA1CA0C">
        <w:t xml:space="preserve"> measure)</w:t>
      </w:r>
      <w:r w:rsidR="78AFDBD6" w:rsidRPr="2AA1CA0C">
        <w:t>, whil</w:t>
      </w:r>
      <w:r w:rsidR="00931632" w:rsidRPr="2AA1CA0C">
        <w:t>e</w:t>
      </w:r>
      <w:r w:rsidR="78AFDBD6" w:rsidRPr="2AA1CA0C">
        <w:t xml:space="preserve"> a statistically significant improvement </w:t>
      </w:r>
      <w:r w:rsidR="605FF477" w:rsidRPr="2AA1CA0C">
        <w:t>in HRQoL was identified for the LSG group</w:t>
      </w:r>
      <w:r w:rsidR="0012314C" w:rsidRPr="2AA1CA0C">
        <w:t>.</w:t>
      </w:r>
      <w:r w:rsidRPr="2AA1CA0C">
        <w:rPr>
          <w:vertAlign w:val="superscript"/>
        </w:rPr>
        <w:fldChar w:fldCharType="begin"/>
      </w:r>
      <w:r w:rsidRPr="2AA1CA0C">
        <w:rPr>
          <w:vertAlign w:val="superscript"/>
        </w:rPr>
        <w:instrText xml:space="preserve"> NOTEREF _Ref187069132 \h  \* MERGEFORMAT </w:instrText>
      </w:r>
      <w:r w:rsidRPr="2AA1CA0C">
        <w:rPr>
          <w:vertAlign w:val="superscript"/>
        </w:rPr>
      </w:r>
      <w:r w:rsidRPr="2AA1CA0C">
        <w:rPr>
          <w:vertAlign w:val="superscript"/>
        </w:rPr>
        <w:fldChar w:fldCharType="separate"/>
      </w:r>
      <w:r w:rsidR="008F37D1">
        <w:rPr>
          <w:vertAlign w:val="superscript"/>
        </w:rPr>
        <w:t>36</w:t>
      </w:r>
      <w:r w:rsidRPr="2AA1CA0C">
        <w:rPr>
          <w:vertAlign w:val="superscript"/>
        </w:rPr>
        <w:fldChar w:fldCharType="end"/>
      </w:r>
      <w:r w:rsidR="605FF477" w:rsidRPr="2AA1CA0C">
        <w:t xml:space="preserve"> In a </w:t>
      </w:r>
      <w:r w:rsidR="4578D6D6" w:rsidRPr="2AA1CA0C">
        <w:t>separate</w:t>
      </w:r>
      <w:r w:rsidR="605FF477" w:rsidRPr="2AA1CA0C">
        <w:t xml:space="preserve"> study, QoL measures showed no difference between patients treated with ESG </w:t>
      </w:r>
      <w:r w:rsidR="00C13261" w:rsidRPr="2AA1CA0C">
        <w:t xml:space="preserve">or </w:t>
      </w:r>
      <w:r w:rsidR="605FF477" w:rsidRPr="2AA1CA0C">
        <w:t>LSG, with authors noting signifi</w:t>
      </w:r>
      <w:r w:rsidR="70B63D8C" w:rsidRPr="2AA1CA0C">
        <w:t xml:space="preserve">cantly superior </w:t>
      </w:r>
      <w:r w:rsidR="0BE80EAF" w:rsidRPr="2AA1CA0C">
        <w:t>scores</w:t>
      </w:r>
      <w:r w:rsidR="70B63D8C" w:rsidRPr="2AA1CA0C">
        <w:t xml:space="preserve"> for the ESG group in the </w:t>
      </w:r>
      <w:r w:rsidR="00C21CD0" w:rsidRPr="2AA1CA0C">
        <w:t xml:space="preserve">GI </w:t>
      </w:r>
      <w:r w:rsidR="70B63D8C" w:rsidRPr="2AA1CA0C">
        <w:t xml:space="preserve">symptoms subdomain </w:t>
      </w:r>
      <w:r w:rsidR="5A4F68D8" w:rsidRPr="2AA1CA0C">
        <w:t xml:space="preserve">of the assessment </w:t>
      </w:r>
      <w:r w:rsidR="70B63D8C" w:rsidRPr="2AA1CA0C">
        <w:t>(</w:t>
      </w:r>
      <w:r w:rsidR="7134E999" w:rsidRPr="2AA1CA0C">
        <w:t xml:space="preserve">ESG </w:t>
      </w:r>
      <w:r w:rsidR="70B63D8C" w:rsidRPr="2AA1CA0C">
        <w:t>66.5 (61–70.5</w:t>
      </w:r>
      <w:r w:rsidR="1C266A49" w:rsidRPr="2AA1CA0C">
        <w:t xml:space="preserve"> CI</w:t>
      </w:r>
      <w:r w:rsidR="70B63D8C" w:rsidRPr="2AA1CA0C">
        <w:t xml:space="preserve">) vs </w:t>
      </w:r>
      <w:r w:rsidR="013BA049" w:rsidRPr="2AA1CA0C">
        <w:t xml:space="preserve">LSG </w:t>
      </w:r>
      <w:r w:rsidR="70B63D8C" w:rsidRPr="2AA1CA0C">
        <w:t>59 (55–63</w:t>
      </w:r>
      <w:r w:rsidR="7BADBCF5" w:rsidRPr="2AA1CA0C">
        <w:t xml:space="preserve"> CI</w:t>
      </w:r>
      <w:r w:rsidR="70B63D8C" w:rsidRPr="2AA1CA0C">
        <w:t>); p</w:t>
      </w:r>
      <w:r w:rsidR="00DE55FE" w:rsidRPr="2AA1CA0C">
        <w:t> </w:t>
      </w:r>
      <w:r w:rsidR="70B63D8C" w:rsidRPr="2AA1CA0C">
        <w:t>=</w:t>
      </w:r>
      <w:r w:rsidR="00DE55FE" w:rsidRPr="2AA1CA0C">
        <w:t> </w:t>
      </w:r>
      <w:r w:rsidR="70B63D8C" w:rsidRPr="2AA1CA0C">
        <w:t>0.001)</w:t>
      </w:r>
      <w:r w:rsidR="0012314C" w:rsidRPr="2AA1CA0C">
        <w:t>.</w:t>
      </w:r>
      <w:r w:rsidRPr="2AA1CA0C">
        <w:rPr>
          <w:vertAlign w:val="superscript"/>
        </w:rPr>
        <w:fldChar w:fldCharType="begin"/>
      </w:r>
      <w:r w:rsidRPr="2AA1CA0C">
        <w:rPr>
          <w:vertAlign w:val="superscript"/>
        </w:rPr>
        <w:instrText xml:space="preserve"> NOTEREF _Ref187069109 \h  \* MERGEFORMAT </w:instrText>
      </w:r>
      <w:r w:rsidRPr="2AA1CA0C">
        <w:rPr>
          <w:vertAlign w:val="superscript"/>
        </w:rPr>
      </w:r>
      <w:r w:rsidRPr="2AA1CA0C">
        <w:rPr>
          <w:vertAlign w:val="superscript"/>
        </w:rPr>
        <w:fldChar w:fldCharType="separate"/>
      </w:r>
      <w:r w:rsidR="008F37D1">
        <w:rPr>
          <w:vertAlign w:val="superscript"/>
        </w:rPr>
        <w:t>38</w:t>
      </w:r>
      <w:r w:rsidRPr="2AA1CA0C">
        <w:rPr>
          <w:vertAlign w:val="superscript"/>
        </w:rPr>
        <w:fldChar w:fldCharType="end"/>
      </w:r>
      <w:r w:rsidR="78B256C7" w:rsidRPr="2AA1CA0C">
        <w:t xml:space="preserve"> </w:t>
      </w:r>
      <w:r w:rsidR="70B63D8C" w:rsidRPr="2AA1CA0C">
        <w:t>The ADAR states that the non-</w:t>
      </w:r>
      <w:r w:rsidR="3E32B4B7" w:rsidRPr="2AA1CA0C">
        <w:t>statistically</w:t>
      </w:r>
      <w:r w:rsidR="70B63D8C" w:rsidRPr="2AA1CA0C">
        <w:t xml:space="preserve"> significant results identified for the first study </w:t>
      </w:r>
      <w:r w:rsidR="0A060F0C" w:rsidRPr="2AA1CA0C">
        <w:t>w</w:t>
      </w:r>
      <w:r w:rsidR="004C2FCF" w:rsidRPr="2AA1CA0C">
        <w:t>ere</w:t>
      </w:r>
      <w:r w:rsidR="0A060F0C" w:rsidRPr="2AA1CA0C">
        <w:t xml:space="preserve"> due to a very small population size (n</w:t>
      </w:r>
      <w:r w:rsidR="004C2FCF" w:rsidRPr="2AA1CA0C">
        <w:t> </w:t>
      </w:r>
      <w:r w:rsidR="0A060F0C" w:rsidRPr="2AA1CA0C">
        <w:t>=</w:t>
      </w:r>
      <w:r w:rsidR="004C2FCF" w:rsidRPr="2AA1CA0C">
        <w:t> </w:t>
      </w:r>
      <w:r w:rsidR="0A060F0C" w:rsidRPr="2AA1CA0C">
        <w:t>9) assessed at 12 months.</w:t>
      </w:r>
    </w:p>
    <w:p w14:paraId="213924C6" w14:textId="11D5654C" w:rsidR="00772829" w:rsidRPr="00223664" w:rsidRDefault="00772829" w:rsidP="007D18A3">
      <w:pPr>
        <w:pStyle w:val="Heading3"/>
      </w:pPr>
      <w:r w:rsidRPr="00223664">
        <w:t>Clinical claim</w:t>
      </w:r>
    </w:p>
    <w:p w14:paraId="3CA4FE15" w14:textId="24A483D1" w:rsidR="28276B2B" w:rsidRDefault="003B1B80" w:rsidP="007D18A3">
      <w:r w:rsidRPr="2AA1CA0C">
        <w:t>For PICO 1</w:t>
      </w:r>
      <w:r w:rsidR="004E3A91" w:rsidRPr="2AA1CA0C">
        <w:t>, the ADAR c</w:t>
      </w:r>
      <w:r w:rsidR="00DF5D04" w:rsidRPr="2AA1CA0C">
        <w:t>laimed</w:t>
      </w:r>
      <w:r w:rsidR="004E3A91" w:rsidRPr="2AA1CA0C">
        <w:t xml:space="preserve"> </w:t>
      </w:r>
      <w:r w:rsidR="00AA75E5" w:rsidRPr="2AA1CA0C">
        <w:t>that ESG</w:t>
      </w:r>
      <w:r w:rsidR="00A34A2A" w:rsidRPr="2AA1CA0C">
        <w:t>—</w:t>
      </w:r>
      <w:r w:rsidR="00AA75E5" w:rsidRPr="2AA1CA0C">
        <w:t xml:space="preserve">when combined with </w:t>
      </w:r>
      <w:r w:rsidR="00862C01" w:rsidRPr="2AA1CA0C">
        <w:t>lifestyle</w:t>
      </w:r>
      <w:r w:rsidR="00AA75E5" w:rsidRPr="2AA1CA0C">
        <w:t xml:space="preserve"> interventions</w:t>
      </w:r>
      <w:r w:rsidR="00A34A2A" w:rsidRPr="2AA1CA0C">
        <w:t>—</w:t>
      </w:r>
      <w:r w:rsidR="00AA75E5" w:rsidRPr="2AA1CA0C">
        <w:t>has su</w:t>
      </w:r>
      <w:r w:rsidR="00862C01" w:rsidRPr="2AA1CA0C">
        <w:t xml:space="preserve">perior efficacy </w:t>
      </w:r>
      <w:r w:rsidR="002A4B51" w:rsidRPr="2AA1CA0C">
        <w:t>and inferior but manage</w:t>
      </w:r>
      <w:r w:rsidR="003D69B6" w:rsidRPr="2AA1CA0C">
        <w:t xml:space="preserve">able </w:t>
      </w:r>
      <w:r w:rsidR="006A3448" w:rsidRPr="2AA1CA0C">
        <w:t>safety at short</w:t>
      </w:r>
      <w:r w:rsidR="00A34A2A" w:rsidRPr="2AA1CA0C">
        <w:t>-</w:t>
      </w:r>
      <w:r w:rsidR="006A3448" w:rsidRPr="2AA1CA0C">
        <w:t xml:space="preserve">term timepoints. </w:t>
      </w:r>
      <w:r w:rsidR="000F47FF" w:rsidRPr="2AA1CA0C">
        <w:t>The ADAR indicate</w:t>
      </w:r>
      <w:r w:rsidR="007C4D7A" w:rsidRPr="2AA1CA0C">
        <w:t>d</w:t>
      </w:r>
      <w:r w:rsidR="000F47FF" w:rsidRPr="2AA1CA0C">
        <w:t xml:space="preserve"> that </w:t>
      </w:r>
      <w:r w:rsidR="00F329D2" w:rsidRPr="2AA1CA0C">
        <w:t xml:space="preserve">inferior safety </w:t>
      </w:r>
      <w:r w:rsidR="007C4D7A" w:rsidRPr="2AA1CA0C">
        <w:t>wa</w:t>
      </w:r>
      <w:r w:rsidR="002A1D9D" w:rsidRPr="2AA1CA0C">
        <w:t xml:space="preserve">s anticipated for ESG, as </w:t>
      </w:r>
      <w:r w:rsidR="001E5A5E" w:rsidRPr="2AA1CA0C">
        <w:t xml:space="preserve">lifestyle modification is a </w:t>
      </w:r>
      <w:r w:rsidR="00270217" w:rsidRPr="2AA1CA0C">
        <w:t>non-surgical</w:t>
      </w:r>
      <w:r w:rsidR="00E22A94" w:rsidRPr="2AA1CA0C">
        <w:t xml:space="preserve"> intervention. </w:t>
      </w:r>
      <w:r w:rsidR="00677A67" w:rsidRPr="2AA1CA0C">
        <w:t xml:space="preserve">The </w:t>
      </w:r>
      <w:r w:rsidR="0005573A" w:rsidRPr="2AA1CA0C">
        <w:t>ADAR</w:t>
      </w:r>
      <w:r w:rsidR="00677A67" w:rsidRPr="2AA1CA0C">
        <w:t xml:space="preserve"> suggest</w:t>
      </w:r>
      <w:r w:rsidR="007C4D7A" w:rsidRPr="2AA1CA0C">
        <w:t>ed</w:t>
      </w:r>
      <w:r w:rsidR="00677A67" w:rsidRPr="2AA1CA0C">
        <w:t xml:space="preserve"> that the </w:t>
      </w:r>
      <w:r w:rsidR="00563921" w:rsidRPr="2AA1CA0C">
        <w:t xml:space="preserve">clinical evidence presented </w:t>
      </w:r>
      <w:r w:rsidR="0095073B" w:rsidRPr="2AA1CA0C">
        <w:t xml:space="preserve">demonstrates that ESG is </w:t>
      </w:r>
      <w:r w:rsidR="00A30375" w:rsidRPr="2AA1CA0C">
        <w:t xml:space="preserve">safe, with a low rate of </w:t>
      </w:r>
      <w:r w:rsidR="0020299E" w:rsidRPr="2AA1CA0C">
        <w:t>AEs</w:t>
      </w:r>
      <w:r w:rsidR="00A30375" w:rsidRPr="2AA1CA0C">
        <w:t xml:space="preserve"> identified. </w:t>
      </w:r>
      <w:r w:rsidR="000F3BAD" w:rsidRPr="2AA1CA0C">
        <w:t xml:space="preserve">It </w:t>
      </w:r>
      <w:r w:rsidR="00E07541" w:rsidRPr="2AA1CA0C">
        <w:t>wa</w:t>
      </w:r>
      <w:r w:rsidR="000F3BAD" w:rsidRPr="2AA1CA0C">
        <w:t xml:space="preserve">s also suggested that </w:t>
      </w:r>
      <w:r w:rsidR="003451DE" w:rsidRPr="2AA1CA0C">
        <w:t>long-term safety post</w:t>
      </w:r>
      <w:r w:rsidR="0020299E" w:rsidRPr="2AA1CA0C">
        <w:t>-</w:t>
      </w:r>
      <w:r w:rsidR="003451DE" w:rsidRPr="2AA1CA0C">
        <w:t>ESG will be non-inferio</w:t>
      </w:r>
      <w:r w:rsidR="004D6579" w:rsidRPr="2AA1CA0C">
        <w:t xml:space="preserve">r to </w:t>
      </w:r>
      <w:r w:rsidR="003C1B1F" w:rsidRPr="2AA1CA0C">
        <w:t xml:space="preserve">lifestyle </w:t>
      </w:r>
      <w:r w:rsidR="00F37190" w:rsidRPr="2AA1CA0C">
        <w:t>modifications</w:t>
      </w:r>
      <w:r w:rsidR="003C1B1F" w:rsidRPr="2AA1CA0C">
        <w:t>.</w:t>
      </w:r>
    </w:p>
    <w:p w14:paraId="5666516A" w14:textId="09618D7E" w:rsidR="28276B2B" w:rsidRDefault="00A01551" w:rsidP="007D18A3">
      <w:r>
        <w:t>The commentary</w:t>
      </w:r>
      <w:r w:rsidR="6055FCD3">
        <w:t xml:space="preserve"> suggests that the clinical claim be reworded as follows:</w:t>
      </w:r>
    </w:p>
    <w:p w14:paraId="35DEB0E6" w14:textId="1907689A" w:rsidR="28276B2B" w:rsidRPr="00851D86" w:rsidRDefault="6055FCD3" w:rsidP="2AA1CA0C">
      <w:pPr>
        <w:rPr>
          <w:i/>
          <w:iCs/>
        </w:rPr>
      </w:pPr>
      <w:bookmarkStart w:id="81" w:name="_Hlk184206485"/>
      <w:r w:rsidRPr="2AA1CA0C">
        <w:rPr>
          <w:i/>
          <w:iCs/>
        </w:rPr>
        <w:t>Current clinical evidence indicates that ESG combined with lifestyle interventions is superior in efficacy and inferior but manageable in regard to shor</w:t>
      </w:r>
      <w:r w:rsidR="007B722E" w:rsidRPr="2AA1CA0C">
        <w:rPr>
          <w:i/>
          <w:iCs/>
        </w:rPr>
        <w:t>t-</w:t>
      </w:r>
      <w:r w:rsidRPr="2AA1CA0C">
        <w:rPr>
          <w:i/>
          <w:iCs/>
        </w:rPr>
        <w:t xml:space="preserve">term safety. Although few severe </w:t>
      </w:r>
      <w:r w:rsidR="007B722E" w:rsidRPr="2AA1CA0C">
        <w:rPr>
          <w:i/>
          <w:iCs/>
        </w:rPr>
        <w:t>AE</w:t>
      </w:r>
      <w:r w:rsidRPr="2AA1CA0C">
        <w:rPr>
          <w:i/>
          <w:iCs/>
        </w:rPr>
        <w:t>s were identified within</w:t>
      </w:r>
      <w:r w:rsidR="007B722E" w:rsidRPr="2AA1CA0C">
        <w:rPr>
          <w:i/>
          <w:iCs/>
        </w:rPr>
        <w:t xml:space="preserve"> the</w:t>
      </w:r>
      <w:r w:rsidRPr="2AA1CA0C">
        <w:rPr>
          <w:i/>
          <w:iCs/>
        </w:rPr>
        <w:t xml:space="preserve"> current clinical evidence, further investigation is warranted into </w:t>
      </w:r>
      <w:r w:rsidR="006F32EC" w:rsidRPr="2AA1CA0C">
        <w:rPr>
          <w:i/>
          <w:iCs/>
        </w:rPr>
        <w:t xml:space="preserve">the </w:t>
      </w:r>
      <w:r w:rsidRPr="2AA1CA0C">
        <w:rPr>
          <w:i/>
          <w:iCs/>
        </w:rPr>
        <w:t>long</w:t>
      </w:r>
      <w:r w:rsidR="006F32EC" w:rsidRPr="2AA1CA0C">
        <w:rPr>
          <w:i/>
          <w:iCs/>
        </w:rPr>
        <w:t>-</w:t>
      </w:r>
      <w:r w:rsidRPr="2AA1CA0C">
        <w:rPr>
          <w:i/>
          <w:iCs/>
        </w:rPr>
        <w:t>term safety and efficacy of ESG due to a lack of long-term safety and efficacy data.</w:t>
      </w:r>
    </w:p>
    <w:bookmarkEnd w:id="81"/>
    <w:p w14:paraId="7F2B24C5" w14:textId="664EBED8" w:rsidR="28276B2B" w:rsidRDefault="6055FCD3" w:rsidP="00EC6FAC">
      <w:r w:rsidRPr="2AA1CA0C">
        <w:t xml:space="preserve">For PICO 2, the ADAR </w:t>
      </w:r>
      <w:r w:rsidR="00DF5D04" w:rsidRPr="2AA1CA0C">
        <w:t>claimed</w:t>
      </w:r>
      <w:r w:rsidRPr="2AA1CA0C">
        <w:t xml:space="preserve"> that ESG for patients who are eligible for bariatric surgery is non-inferior </w:t>
      </w:r>
      <w:r w:rsidR="00A96525" w:rsidRPr="2AA1CA0C">
        <w:t xml:space="preserve">efficacy </w:t>
      </w:r>
      <w:r w:rsidRPr="2AA1CA0C">
        <w:t xml:space="preserve">for weight loss, </w:t>
      </w:r>
      <w:r w:rsidR="00FD21E6" w:rsidRPr="2AA1CA0C">
        <w:t xml:space="preserve">for </w:t>
      </w:r>
      <w:r w:rsidRPr="2AA1CA0C">
        <w:t xml:space="preserve">reduction in comorbidities and HRQoL outcomes. The report also </w:t>
      </w:r>
      <w:r w:rsidR="00466330" w:rsidRPr="2AA1CA0C">
        <w:t xml:space="preserve">claims superior safety compared to </w:t>
      </w:r>
      <w:r w:rsidR="001534BF" w:rsidRPr="2AA1CA0C">
        <w:t>LSG, stating</w:t>
      </w:r>
      <w:r w:rsidRPr="2AA1CA0C">
        <w:t xml:space="preserve"> that ESG produces clinically significantly lowered risks of severe </w:t>
      </w:r>
      <w:r w:rsidR="007E2EE3" w:rsidRPr="2AA1CA0C">
        <w:t>AEs,</w:t>
      </w:r>
      <w:r w:rsidRPr="2AA1CA0C">
        <w:t xml:space="preserve"> based on comparative, non</w:t>
      </w:r>
      <w:r w:rsidR="007E2EE3" w:rsidRPr="2AA1CA0C">
        <w:t>-</w:t>
      </w:r>
      <w:r w:rsidRPr="2AA1CA0C">
        <w:t xml:space="preserve">randomised studies. </w:t>
      </w:r>
    </w:p>
    <w:p w14:paraId="44F20FE0" w14:textId="67EB5C65" w:rsidR="28276B2B" w:rsidRDefault="6055FCD3" w:rsidP="00EC6FAC">
      <w:r>
        <w:t xml:space="preserve">This </w:t>
      </w:r>
      <w:r w:rsidR="00D022B9">
        <w:t>commentary</w:t>
      </w:r>
      <w:r>
        <w:t xml:space="preserve"> suggests that the clinical claim be reworded as follows:</w:t>
      </w:r>
    </w:p>
    <w:p w14:paraId="34E879C9" w14:textId="15FC75EC" w:rsidR="28276B2B" w:rsidRDefault="6055FCD3" w:rsidP="007D18A3">
      <w:bookmarkStart w:id="82" w:name="_Hlk184206559"/>
      <w:r w:rsidRPr="2AA1CA0C">
        <w:rPr>
          <w:i/>
          <w:iCs/>
        </w:rPr>
        <w:t>Current evidence suggests that LSG is superior at inducing weight loss and improving type 2 diabetes. ESG is non</w:t>
      </w:r>
      <w:r w:rsidR="00D92BF2" w:rsidRPr="2AA1CA0C">
        <w:rPr>
          <w:i/>
          <w:iCs/>
        </w:rPr>
        <w:t>-</w:t>
      </w:r>
      <w:r w:rsidRPr="2AA1CA0C">
        <w:rPr>
          <w:i/>
          <w:iCs/>
        </w:rPr>
        <w:t xml:space="preserve">inferior to LSG for reduction of other comorbidities such as hypertension. Evidence </w:t>
      </w:r>
      <w:r w:rsidR="009839B1" w:rsidRPr="2AA1CA0C">
        <w:rPr>
          <w:i/>
          <w:iCs/>
        </w:rPr>
        <w:t>suggests</w:t>
      </w:r>
      <w:r w:rsidR="00EE2AB6" w:rsidRPr="2AA1CA0C">
        <w:rPr>
          <w:i/>
          <w:iCs/>
        </w:rPr>
        <w:t xml:space="preserve"> </w:t>
      </w:r>
      <w:r w:rsidR="00E53298" w:rsidRPr="2AA1CA0C">
        <w:rPr>
          <w:i/>
          <w:iCs/>
        </w:rPr>
        <w:t>a</w:t>
      </w:r>
      <w:r w:rsidR="00EE2AB6" w:rsidRPr="2AA1CA0C">
        <w:rPr>
          <w:i/>
          <w:iCs/>
        </w:rPr>
        <w:t xml:space="preserve"> non-statistically significant </w:t>
      </w:r>
      <w:r w:rsidR="009839B1" w:rsidRPr="2AA1CA0C">
        <w:rPr>
          <w:i/>
          <w:iCs/>
        </w:rPr>
        <w:t xml:space="preserve">improvement in </w:t>
      </w:r>
      <w:r w:rsidRPr="2AA1CA0C">
        <w:rPr>
          <w:i/>
          <w:iCs/>
        </w:rPr>
        <w:t xml:space="preserve">the </w:t>
      </w:r>
      <w:r w:rsidR="00EE2AB6" w:rsidRPr="2AA1CA0C">
        <w:rPr>
          <w:i/>
          <w:iCs/>
        </w:rPr>
        <w:t xml:space="preserve">rates of severe AEs </w:t>
      </w:r>
      <w:r w:rsidR="006A4B14" w:rsidRPr="2AA1CA0C">
        <w:rPr>
          <w:i/>
          <w:iCs/>
        </w:rPr>
        <w:t>favouring</w:t>
      </w:r>
      <w:r w:rsidR="00EE2AB6" w:rsidRPr="2AA1CA0C">
        <w:rPr>
          <w:i/>
          <w:iCs/>
        </w:rPr>
        <w:t xml:space="preserve"> ESG compared to LSG</w:t>
      </w:r>
      <w:r w:rsidR="009839B1" w:rsidRPr="2AA1CA0C">
        <w:rPr>
          <w:i/>
          <w:iCs/>
        </w:rPr>
        <w:t>. Further</w:t>
      </w:r>
      <w:r w:rsidRPr="2AA1CA0C">
        <w:rPr>
          <w:i/>
          <w:iCs/>
        </w:rPr>
        <w:t xml:space="preserve"> randomised and comparative studies </w:t>
      </w:r>
      <w:r w:rsidR="009839B1" w:rsidRPr="2AA1CA0C">
        <w:rPr>
          <w:i/>
          <w:iCs/>
        </w:rPr>
        <w:t>are needed</w:t>
      </w:r>
      <w:r w:rsidRPr="2AA1CA0C">
        <w:rPr>
          <w:i/>
          <w:iCs/>
        </w:rPr>
        <w:t xml:space="preserve"> to </w:t>
      </w:r>
      <w:r w:rsidR="009839B1" w:rsidRPr="2AA1CA0C">
        <w:rPr>
          <w:i/>
          <w:iCs/>
        </w:rPr>
        <w:t>more clearly assess</w:t>
      </w:r>
      <w:r w:rsidRPr="2AA1CA0C">
        <w:rPr>
          <w:i/>
          <w:iCs/>
        </w:rPr>
        <w:t xml:space="preserve"> the safety of ESG and its comparators.</w:t>
      </w:r>
      <w:bookmarkEnd w:id="82"/>
    </w:p>
    <w:p w14:paraId="0D09C9E4" w14:textId="06588E42" w:rsidR="00772829" w:rsidRPr="00CE28E3" w:rsidRDefault="00772829" w:rsidP="00361335">
      <w:pPr>
        <w:pStyle w:val="Heading2"/>
        <w:numPr>
          <w:ilvl w:val="0"/>
          <w:numId w:val="26"/>
        </w:numPr>
        <w:ind w:hanging="720"/>
      </w:pPr>
      <w:bookmarkStart w:id="83" w:name="_Toc69491425"/>
      <w:r w:rsidRPr="00CE28E3">
        <w:t>Economic evaluation</w:t>
      </w:r>
      <w:bookmarkEnd w:id="83"/>
    </w:p>
    <w:p w14:paraId="0B58153B" w14:textId="3D7AAD3F" w:rsidR="009844F3" w:rsidRDefault="002727FA" w:rsidP="00A82B33">
      <w:r>
        <w:t xml:space="preserve">Two economic analyses </w:t>
      </w:r>
      <w:r w:rsidR="00D751D7">
        <w:t>we</w:t>
      </w:r>
      <w:r>
        <w:t xml:space="preserve">re presented in the </w:t>
      </w:r>
      <w:r w:rsidR="00D751D7">
        <w:t>ADAR</w:t>
      </w:r>
      <w:r w:rsidR="00965043">
        <w:t xml:space="preserve">: </w:t>
      </w:r>
      <w:r w:rsidR="00AE4376">
        <w:t>a CUA</w:t>
      </w:r>
      <w:r w:rsidR="00A61FD6">
        <w:t xml:space="preserve"> comparing ESG to lifestyle modification </w:t>
      </w:r>
      <w:r w:rsidR="00AC35C2">
        <w:t xml:space="preserve">in people with </w:t>
      </w:r>
      <w:r w:rsidR="008F5EBB">
        <w:t>class</w:t>
      </w:r>
      <w:r w:rsidR="00AC35C2">
        <w:t xml:space="preserve"> I or II obesity with or without comorbidities</w:t>
      </w:r>
      <w:r w:rsidR="009D10C3">
        <w:t xml:space="preserve"> (</w:t>
      </w:r>
      <w:r w:rsidR="00965043" w:rsidRPr="0086001A">
        <w:t>S</w:t>
      </w:r>
      <w:r w:rsidR="0058315A" w:rsidRPr="0086001A">
        <w:t>ection 10</w:t>
      </w:r>
      <w:r w:rsidR="00A82AAF" w:rsidRPr="0086001A">
        <w:t>.1</w:t>
      </w:r>
      <w:r w:rsidR="00A82AAF">
        <w:t>)</w:t>
      </w:r>
      <w:r w:rsidR="00965043">
        <w:t>, and a</w:t>
      </w:r>
      <w:r w:rsidR="00635392">
        <w:t xml:space="preserve"> cost-minimisation analysis</w:t>
      </w:r>
      <w:r w:rsidR="00DD40E2">
        <w:t xml:space="preserve"> comparing ESG to LSG in patients eligible to receive MBS</w:t>
      </w:r>
      <w:r w:rsidR="00BF2931">
        <w:t>-funded bariatric procedure</w:t>
      </w:r>
      <w:r w:rsidR="00360B7E">
        <w:t>s</w:t>
      </w:r>
      <w:r w:rsidR="00A82AAF">
        <w:t xml:space="preserve"> (</w:t>
      </w:r>
      <w:r w:rsidR="00965043" w:rsidRPr="0086001A">
        <w:t>S</w:t>
      </w:r>
      <w:r w:rsidR="00A82AAF" w:rsidRPr="0086001A">
        <w:t>ection 10.2</w:t>
      </w:r>
      <w:r w:rsidR="00BD1CF5" w:rsidRPr="0086001A">
        <w:t>)</w:t>
      </w:r>
      <w:r w:rsidR="00360B7E" w:rsidRPr="0086001A">
        <w:t>.</w:t>
      </w:r>
      <w:r w:rsidR="00360B7E">
        <w:t xml:space="preserve"> </w:t>
      </w:r>
    </w:p>
    <w:p w14:paraId="48291B24" w14:textId="2B4E27FC" w:rsidR="003E4AC1" w:rsidRDefault="003E4AC1" w:rsidP="007D18A3">
      <w:pPr>
        <w:pStyle w:val="Heading3"/>
      </w:pPr>
      <w:bookmarkStart w:id="84" w:name="_Ref183608616"/>
      <w:r>
        <w:t xml:space="preserve">10.1 </w:t>
      </w:r>
      <w:r w:rsidR="000142C5">
        <w:t xml:space="preserve">PICO set 1: </w:t>
      </w:r>
      <w:r w:rsidR="00813864" w:rsidRPr="00CB0FFF">
        <w:rPr>
          <w:rFonts w:eastAsia="Times New Roman" w:cs="Arial"/>
          <w:bCs/>
          <w:snapToGrid w:val="0"/>
          <w:lang w:eastAsia="en-AU"/>
        </w:rPr>
        <w:t>c</w:t>
      </w:r>
      <w:r w:rsidRPr="00CB0FFF">
        <w:rPr>
          <w:rFonts w:eastAsia="Times New Roman" w:cs="Arial"/>
          <w:bCs/>
          <w:snapToGrid w:val="0"/>
          <w:lang w:eastAsia="en-AU"/>
        </w:rPr>
        <w:t>ost-utility analysis</w:t>
      </w:r>
      <w:r w:rsidRPr="007E720C">
        <w:rPr>
          <w:rFonts w:asciiTheme="minorHAnsi" w:eastAsia="Times New Roman" w:hAnsiTheme="minorHAnsi" w:cs="Arial"/>
          <w:b/>
          <w:snapToGrid w:val="0"/>
          <w:lang w:eastAsia="en-AU"/>
        </w:rPr>
        <w:t xml:space="preserve"> </w:t>
      </w:r>
      <w:bookmarkEnd w:id="84"/>
    </w:p>
    <w:p w14:paraId="4370B302" w14:textId="067FF35D" w:rsidR="001D124B" w:rsidRDefault="00A82B33" w:rsidP="00361335">
      <w:pPr>
        <w:rPr>
          <w:rFonts w:ascii="Arial Narrow" w:hAnsi="Arial Narrow"/>
          <w:b/>
          <w:bCs/>
        </w:rPr>
      </w:pPr>
      <w:r w:rsidRPr="2AA1CA0C">
        <w:t xml:space="preserve">A </w:t>
      </w:r>
      <w:r w:rsidR="00965043" w:rsidRPr="2AA1CA0C">
        <w:t>CUA</w:t>
      </w:r>
      <w:r w:rsidRPr="2AA1CA0C">
        <w:t xml:space="preserve"> </w:t>
      </w:r>
      <w:r w:rsidR="00571847" w:rsidRPr="2AA1CA0C">
        <w:t>wa</w:t>
      </w:r>
      <w:r w:rsidRPr="2AA1CA0C">
        <w:t>s presented in the submission that compare</w:t>
      </w:r>
      <w:r w:rsidR="00571847" w:rsidRPr="2AA1CA0C">
        <w:t>d</w:t>
      </w:r>
      <w:r w:rsidRPr="2AA1CA0C">
        <w:t xml:space="preserve"> ESG to lifestyle intervention </w:t>
      </w:r>
      <w:r w:rsidR="00432986" w:rsidRPr="2AA1CA0C">
        <w:t xml:space="preserve">for </w:t>
      </w:r>
      <w:r w:rsidR="00432986">
        <w:t xml:space="preserve">treating </w:t>
      </w:r>
      <w:r w:rsidR="00432986" w:rsidRPr="2AA1CA0C">
        <w:t xml:space="preserve">patients </w:t>
      </w:r>
      <w:r w:rsidRPr="2AA1CA0C">
        <w:t xml:space="preserve">with </w:t>
      </w:r>
      <w:r w:rsidR="008F5EBB" w:rsidRPr="2AA1CA0C">
        <w:t>class</w:t>
      </w:r>
      <w:r w:rsidRPr="2AA1CA0C">
        <w:t xml:space="preserve"> I or II obesity with or without comorbidities </w:t>
      </w:r>
      <w:r w:rsidR="00187E70" w:rsidRPr="2AA1CA0C">
        <w:t xml:space="preserve">from an </w:t>
      </w:r>
      <w:r w:rsidRPr="2AA1CA0C">
        <w:t xml:space="preserve">Australian healthcare system perspective. This approach </w:t>
      </w:r>
      <w:r w:rsidR="00571847" w:rsidRPr="2AA1CA0C">
        <w:t>wa</w:t>
      </w:r>
      <w:r w:rsidRPr="2AA1CA0C">
        <w:t>s appropriate</w:t>
      </w:r>
      <w:r w:rsidR="00AB73EF" w:rsidRPr="2AA1CA0C">
        <w:t>,</w:t>
      </w:r>
      <w:r w:rsidRPr="2AA1CA0C">
        <w:t xml:space="preserve"> given the claim of clinical superiority. A Markov model was developed in Microsoft Excel to estimate the incremental cost per QALY gained </w:t>
      </w:r>
      <w:r w:rsidR="003E47A3" w:rsidRPr="2AA1CA0C">
        <w:t>for</w:t>
      </w:r>
      <w:r w:rsidRPr="2AA1CA0C">
        <w:t xml:space="preserve"> patients treated </w:t>
      </w:r>
      <w:r w:rsidR="006A1DFD" w:rsidRPr="2AA1CA0C">
        <w:t>with</w:t>
      </w:r>
      <w:r w:rsidR="006A1DFD" w:rsidRPr="004056A9">
        <w:t xml:space="preserve"> </w:t>
      </w:r>
      <w:r w:rsidR="006A1DFD" w:rsidRPr="2AA1CA0C">
        <w:t xml:space="preserve">ESG plus lifestyle modification compared </w:t>
      </w:r>
      <w:r w:rsidRPr="2AA1CA0C">
        <w:t>to lifestyle modification</w:t>
      </w:r>
      <w:r w:rsidR="00206DCD" w:rsidRPr="2AA1CA0C">
        <w:t xml:space="preserve"> alone</w:t>
      </w:r>
      <w:r w:rsidRPr="2AA1CA0C">
        <w:t xml:space="preserve">. </w:t>
      </w:r>
      <w:r w:rsidR="00E31F2A">
        <w:t xml:space="preserve">The ADAR reported </w:t>
      </w:r>
      <w:r w:rsidR="00E31F2A" w:rsidRPr="00E31F2A">
        <w:t>that in the ESG group, patients receive more intensive lifestyle modification,</w:t>
      </w:r>
      <w:r w:rsidR="003041BD">
        <w:rPr>
          <w:rStyle w:val="FootnoteReference"/>
        </w:rPr>
        <w:footnoteReference w:id="48"/>
      </w:r>
      <w:r w:rsidR="00E31F2A" w:rsidRPr="00E31F2A">
        <w:t xml:space="preserve"> incurring costs associated with more frequent visits with dietetics and specialist appointments in the first year after ESG. From second year onwards, the same lifestyle modifications were applied to both ESG and control group</w:t>
      </w:r>
      <w:r w:rsidR="003041BD">
        <w:t>.</w:t>
      </w:r>
      <w:r w:rsidR="00617BB5">
        <w:t xml:space="preserve"> </w:t>
      </w:r>
      <w:r w:rsidRPr="2AA1CA0C">
        <w:t xml:space="preserve">The model consists of </w:t>
      </w:r>
      <w:r w:rsidR="00362DDA" w:rsidRPr="2AA1CA0C">
        <w:t xml:space="preserve">5 </w:t>
      </w:r>
      <w:r w:rsidRPr="2AA1CA0C">
        <w:t>BMI-based health states</w:t>
      </w:r>
      <w:r w:rsidR="00362DDA" w:rsidRPr="2AA1CA0C">
        <w:t>,</w:t>
      </w:r>
      <w:r w:rsidRPr="2AA1CA0C">
        <w:t xml:space="preserve"> </w:t>
      </w:r>
      <w:r w:rsidR="0075760F" w:rsidRPr="2AA1CA0C">
        <w:t>comprising</w:t>
      </w:r>
      <w:r w:rsidRPr="2AA1CA0C">
        <w:t xml:space="preserve"> healthy weight, overweight, </w:t>
      </w:r>
      <w:r w:rsidR="008F5EBB" w:rsidRPr="2AA1CA0C">
        <w:t>class</w:t>
      </w:r>
      <w:r w:rsidRPr="2AA1CA0C">
        <w:t xml:space="preserve"> I obesity, </w:t>
      </w:r>
      <w:r w:rsidR="008F5EBB" w:rsidRPr="2AA1CA0C">
        <w:t>class</w:t>
      </w:r>
      <w:r w:rsidRPr="2AA1CA0C">
        <w:t xml:space="preserve"> II obesity and </w:t>
      </w:r>
      <w:r w:rsidR="008F5EBB" w:rsidRPr="2AA1CA0C">
        <w:t>class</w:t>
      </w:r>
      <w:r w:rsidRPr="2AA1CA0C">
        <w:t xml:space="preserve"> III obesity</w:t>
      </w:r>
      <w:r w:rsidR="00362DDA" w:rsidRPr="2AA1CA0C">
        <w:t>,</w:t>
      </w:r>
      <w:r w:rsidRPr="2AA1CA0C">
        <w:t xml:space="preserve"> and an absorbing death s</w:t>
      </w:r>
      <w:r w:rsidR="000A17C9" w:rsidRPr="2AA1CA0C">
        <w:t>t</w:t>
      </w:r>
      <w:r w:rsidRPr="2AA1CA0C">
        <w:t xml:space="preserve">ate. Patients enter the model in either </w:t>
      </w:r>
      <w:r w:rsidR="0071786E" w:rsidRPr="2AA1CA0C">
        <w:t xml:space="preserve">the </w:t>
      </w:r>
      <w:r w:rsidR="008F5EBB" w:rsidRPr="2AA1CA0C">
        <w:t>class</w:t>
      </w:r>
      <w:r w:rsidRPr="2AA1CA0C">
        <w:t xml:space="preserve"> I or </w:t>
      </w:r>
      <w:r w:rsidR="008F5EBB" w:rsidRPr="2AA1CA0C">
        <w:t>class</w:t>
      </w:r>
      <w:r w:rsidRPr="2AA1CA0C">
        <w:t xml:space="preserve"> II obesity states</w:t>
      </w:r>
      <w:r w:rsidR="00E1579A" w:rsidRPr="2AA1CA0C">
        <w:t>,</w:t>
      </w:r>
      <w:r w:rsidRPr="2AA1CA0C">
        <w:t xml:space="preserve"> </w:t>
      </w:r>
      <w:r w:rsidR="00E1579A" w:rsidRPr="2AA1CA0C">
        <w:t xml:space="preserve">from </w:t>
      </w:r>
      <w:r w:rsidRPr="2AA1CA0C">
        <w:t xml:space="preserve">where they receive ESG </w:t>
      </w:r>
      <w:r w:rsidR="00E1579A" w:rsidRPr="2AA1CA0C">
        <w:t>plus</w:t>
      </w:r>
      <w:r w:rsidRPr="2AA1CA0C">
        <w:t xml:space="preserve"> lifestyle modification or lifestyle modification alone. Health state allocations were based on MERIT trial data for the first 2 years</w:t>
      </w:r>
      <w:r w:rsidR="00E1579A" w:rsidRPr="2AA1CA0C">
        <w:t>,</w:t>
      </w:r>
      <w:r w:rsidRPr="2AA1CA0C">
        <w:t xml:space="preserve"> followed by assumption-based projections.</w:t>
      </w:r>
      <w:r w:rsidR="00926BB5" w:rsidRPr="2AA1CA0C">
        <w:t xml:space="preserve"> The </w:t>
      </w:r>
      <w:r w:rsidR="00E1579A" w:rsidRPr="2AA1CA0C">
        <w:t>CUA</w:t>
      </w:r>
      <w:r w:rsidR="00926BB5" w:rsidRPr="2AA1CA0C">
        <w:t xml:space="preserve"> </w:t>
      </w:r>
      <w:r w:rsidR="002B5082" w:rsidRPr="2AA1CA0C">
        <w:t>extrapolated for</w:t>
      </w:r>
      <w:r w:rsidR="008B0B79" w:rsidRPr="2AA1CA0C">
        <w:t xml:space="preserve"> </w:t>
      </w:r>
      <w:r w:rsidR="00E1579A" w:rsidRPr="2AA1CA0C">
        <w:t xml:space="preserve">a </w:t>
      </w:r>
      <w:r w:rsidR="008B0B79" w:rsidRPr="2AA1CA0C">
        <w:t>40-year time ho</w:t>
      </w:r>
      <w:r w:rsidR="002B327B" w:rsidRPr="2AA1CA0C">
        <w:t>rizon</w:t>
      </w:r>
      <w:r w:rsidR="77516030" w:rsidRPr="2AA1CA0C">
        <w:t>,</w:t>
      </w:r>
      <w:r w:rsidR="002B5082" w:rsidRPr="2AA1CA0C">
        <w:t xml:space="preserve"> </w:t>
      </w:r>
      <w:r w:rsidR="00242C1A" w:rsidRPr="2AA1CA0C">
        <w:t>which</w:t>
      </w:r>
      <w:r w:rsidR="002B5082" w:rsidRPr="2AA1CA0C">
        <w:t xml:space="preserve"> was </w:t>
      </w:r>
      <w:r w:rsidR="008F62FB" w:rsidRPr="2AA1CA0C">
        <w:t>used as the basis for the base case analysis</w:t>
      </w:r>
      <w:r w:rsidR="00CF4A38" w:rsidRPr="2AA1CA0C">
        <w:t>.</w:t>
      </w:r>
      <w:r w:rsidR="0004602B" w:rsidRPr="2AA1CA0C">
        <w:t xml:space="preserve"> This was</w:t>
      </w:r>
      <w:r w:rsidR="005479AA" w:rsidRPr="2AA1CA0C">
        <w:t xml:space="preserve"> </w:t>
      </w:r>
      <w:r w:rsidR="00D443E1" w:rsidRPr="2AA1CA0C">
        <w:t xml:space="preserve">further applied </w:t>
      </w:r>
      <w:r w:rsidR="00356C25" w:rsidRPr="2AA1CA0C">
        <w:t xml:space="preserve">in the </w:t>
      </w:r>
      <w:r w:rsidRPr="2AA1CA0C">
        <w:t>sensitivity analyses</w:t>
      </w:r>
      <w:r w:rsidR="00660879" w:rsidRPr="2AA1CA0C">
        <w:t xml:space="preserve"> to compare the model outcomes.</w:t>
      </w:r>
      <w:r w:rsidRPr="2AA1CA0C">
        <w:t xml:space="preserve"> The extrapolated analyses were included with </w:t>
      </w:r>
      <w:r w:rsidR="00D64DC1" w:rsidRPr="2AA1CA0C">
        <w:t>horizons of</w:t>
      </w:r>
      <w:r w:rsidRPr="2AA1CA0C">
        <w:t xml:space="preserve"> 5, 10, 15, 20, 30</w:t>
      </w:r>
      <w:r w:rsidR="00726D7A" w:rsidRPr="2AA1CA0C">
        <w:t xml:space="preserve"> and</w:t>
      </w:r>
      <w:r w:rsidR="00BC7A95" w:rsidRPr="2AA1CA0C">
        <w:t xml:space="preserve"> 40</w:t>
      </w:r>
      <w:r w:rsidRPr="2AA1CA0C">
        <w:t xml:space="preserve"> years and lifetime.</w:t>
      </w:r>
      <w:r w:rsidR="00726D7A" w:rsidRPr="2AA1CA0C">
        <w:t xml:space="preserve"> M</w:t>
      </w:r>
      <w:r w:rsidR="003D56B2" w:rsidRPr="2AA1CA0C">
        <w:t>odel outcomes</w:t>
      </w:r>
      <w:r w:rsidR="00726D7A" w:rsidRPr="2AA1CA0C">
        <w:t>,</w:t>
      </w:r>
      <w:r w:rsidR="003D56B2" w:rsidRPr="2AA1CA0C">
        <w:t xml:space="preserve"> including costs, QALYs and </w:t>
      </w:r>
      <w:r w:rsidR="007634E9" w:rsidRPr="2AA1CA0C">
        <w:t>ICERs</w:t>
      </w:r>
      <w:r w:rsidR="00726D7A" w:rsidRPr="2AA1CA0C">
        <w:t>,</w:t>
      </w:r>
      <w:r w:rsidR="007634E9" w:rsidRPr="2AA1CA0C">
        <w:t xml:space="preserve"> were estimated </w:t>
      </w:r>
      <w:r w:rsidR="00380A7B" w:rsidRPr="2AA1CA0C">
        <w:t xml:space="preserve">separately </w:t>
      </w:r>
      <w:r w:rsidR="00D51F1F" w:rsidRPr="2AA1CA0C">
        <w:t xml:space="preserve">for patients in </w:t>
      </w:r>
      <w:r w:rsidR="00F40147" w:rsidRPr="2AA1CA0C">
        <w:t xml:space="preserve">obesity </w:t>
      </w:r>
      <w:r w:rsidR="008F5EBB" w:rsidRPr="2AA1CA0C">
        <w:t>class</w:t>
      </w:r>
      <w:r w:rsidR="00F40147" w:rsidRPr="2AA1CA0C">
        <w:t xml:space="preserve"> I and </w:t>
      </w:r>
      <w:r w:rsidR="008F5EBB" w:rsidRPr="2AA1CA0C">
        <w:t>class</w:t>
      </w:r>
      <w:r w:rsidR="00726D7A" w:rsidRPr="2AA1CA0C">
        <w:t xml:space="preserve"> </w:t>
      </w:r>
      <w:r w:rsidR="00F40147" w:rsidRPr="2AA1CA0C">
        <w:t xml:space="preserve">II. </w:t>
      </w:r>
      <w:r w:rsidRPr="2AA1CA0C">
        <w:t xml:space="preserve">A brief overview of model elements is provided in </w:t>
      </w:r>
      <w:r>
        <w:fldChar w:fldCharType="begin"/>
      </w:r>
      <w:r>
        <w:instrText xml:space="preserve"> REF _Ref184196228 \h </w:instrText>
      </w:r>
      <w:r>
        <w:fldChar w:fldCharType="separate"/>
      </w:r>
      <w:r w:rsidR="008F37D1">
        <w:t xml:space="preserve">Table </w:t>
      </w:r>
      <w:r w:rsidR="008F37D1">
        <w:rPr>
          <w:noProof/>
        </w:rPr>
        <w:t>23</w:t>
      </w:r>
      <w:r>
        <w:fldChar w:fldCharType="end"/>
      </w:r>
      <w:r w:rsidR="00D445E0" w:rsidRPr="2AA1CA0C">
        <w:t>.</w:t>
      </w:r>
    </w:p>
    <w:p w14:paraId="77EDD3EE" w14:textId="46AD7A46" w:rsidR="001F1B9F" w:rsidRPr="001F1B9F" w:rsidRDefault="00E8447B" w:rsidP="00515F6A">
      <w:pPr>
        <w:pStyle w:val="Caption"/>
        <w:keepLines/>
      </w:pPr>
      <w:bookmarkStart w:id="85" w:name="_Ref184227451"/>
      <w:bookmarkStart w:id="86" w:name="_Ref184196228"/>
      <w:r>
        <w:t>Table</w:t>
      </w:r>
      <w:bookmarkEnd w:id="85"/>
      <w:r>
        <w:t xml:space="preserve"> </w:t>
      </w:r>
      <w:r w:rsidR="00707F6D">
        <w:fldChar w:fldCharType="begin"/>
      </w:r>
      <w:r w:rsidR="00707F6D">
        <w:instrText xml:space="preserve"> SEQ Table \* ARABIC </w:instrText>
      </w:r>
      <w:r w:rsidR="00707F6D">
        <w:fldChar w:fldCharType="separate"/>
      </w:r>
      <w:r w:rsidR="008F37D1">
        <w:rPr>
          <w:noProof/>
        </w:rPr>
        <w:t>23</w:t>
      </w:r>
      <w:r w:rsidR="00707F6D">
        <w:rPr>
          <w:noProof/>
        </w:rPr>
        <w:fldChar w:fldCharType="end"/>
      </w:r>
      <w:bookmarkEnd w:id="86"/>
      <w:r>
        <w:t>: Summary of cost-utility analysis</w:t>
      </w:r>
    </w:p>
    <w:tbl>
      <w:tblPr>
        <w:tblStyle w:val="TableGrid1"/>
        <w:tblW w:w="5000" w:type="pct"/>
        <w:tblLook w:val="06A0" w:firstRow="1" w:lastRow="0" w:firstColumn="1" w:lastColumn="0" w:noHBand="1" w:noVBand="1"/>
      </w:tblPr>
      <w:tblGrid>
        <w:gridCol w:w="2387"/>
        <w:gridCol w:w="6629"/>
      </w:tblGrid>
      <w:tr w:rsidR="008B7E8C" w:rsidRPr="005234FC" w14:paraId="7830E749" w14:textId="77777777" w:rsidTr="2AA1CA0C">
        <w:trPr>
          <w:cnfStyle w:val="100000000000" w:firstRow="1" w:lastRow="0" w:firstColumn="0" w:lastColumn="0" w:oddVBand="0" w:evenVBand="0" w:oddHBand="0" w:evenHBand="0" w:firstRowFirstColumn="0" w:firstRowLastColumn="0" w:lastRowFirstColumn="0" w:lastRowLastColumn="0"/>
          <w:trHeight w:val="20"/>
          <w:tblHeader/>
        </w:trPr>
        <w:tc>
          <w:tcPr>
            <w:tcW w:w="1324" w:type="pct"/>
          </w:tcPr>
          <w:p w14:paraId="27E0649E" w14:textId="6486F588" w:rsidR="008B7E8C" w:rsidRPr="00D76EFB" w:rsidRDefault="008B7E8C" w:rsidP="00515F6A">
            <w:pPr>
              <w:pStyle w:val="Tabletext0"/>
              <w:keepNext/>
              <w:keepLines/>
              <w:spacing w:before="0" w:after="0"/>
              <w:rPr>
                <w:b/>
                <w:bCs/>
                <w:color w:val="000000" w:themeColor="text1"/>
              </w:rPr>
            </w:pPr>
            <w:r w:rsidRPr="2AA1CA0C">
              <w:rPr>
                <w:b/>
                <w:bCs/>
              </w:rPr>
              <w:t>Component</w:t>
            </w:r>
          </w:p>
        </w:tc>
        <w:tc>
          <w:tcPr>
            <w:tcW w:w="3676" w:type="pct"/>
          </w:tcPr>
          <w:p w14:paraId="6680D9D0" w14:textId="77777777" w:rsidR="008B7E8C" w:rsidRPr="00D76EFB" w:rsidRDefault="008B7E8C" w:rsidP="00515F6A">
            <w:pPr>
              <w:pStyle w:val="Tabletext0"/>
              <w:keepNext/>
              <w:keepLines/>
              <w:spacing w:before="0" w:after="0"/>
              <w:rPr>
                <w:b/>
                <w:color w:val="000000" w:themeColor="text1"/>
              </w:rPr>
            </w:pPr>
            <w:r w:rsidRPr="0045204C">
              <w:rPr>
                <w:b/>
              </w:rPr>
              <w:t>Description</w:t>
            </w:r>
          </w:p>
        </w:tc>
      </w:tr>
      <w:tr w:rsidR="008B7E8C" w:rsidRPr="00950FB7" w14:paraId="67F29A3A" w14:textId="77777777" w:rsidTr="2AA1CA0C">
        <w:trPr>
          <w:trHeight w:val="20"/>
        </w:trPr>
        <w:tc>
          <w:tcPr>
            <w:tcW w:w="1324" w:type="pct"/>
          </w:tcPr>
          <w:p w14:paraId="0725DCD9" w14:textId="77777777" w:rsidR="008B7E8C" w:rsidRPr="00D76EFB" w:rsidRDefault="008B7E8C" w:rsidP="00515F6A">
            <w:pPr>
              <w:pStyle w:val="Tabletext0"/>
              <w:keepNext/>
              <w:keepLines/>
              <w:spacing w:before="0" w:after="0"/>
              <w:rPr>
                <w:color w:val="000000" w:themeColor="text1"/>
              </w:rPr>
            </w:pPr>
            <w:r w:rsidRPr="0045204C">
              <w:t>Perspective</w:t>
            </w:r>
          </w:p>
        </w:tc>
        <w:tc>
          <w:tcPr>
            <w:tcW w:w="3676" w:type="pct"/>
          </w:tcPr>
          <w:p w14:paraId="52963817" w14:textId="03A7AFF4" w:rsidR="008B7E8C" w:rsidRPr="00D76EFB" w:rsidRDefault="008B7E8C" w:rsidP="00515F6A">
            <w:pPr>
              <w:pStyle w:val="Tabletext0"/>
              <w:keepNext/>
              <w:keepLines/>
              <w:spacing w:before="0" w:after="0"/>
              <w:rPr>
                <w:color w:val="000000" w:themeColor="text1"/>
              </w:rPr>
            </w:pPr>
            <w:r w:rsidRPr="0045204C">
              <w:t>Australian healthcare system perspective</w:t>
            </w:r>
          </w:p>
        </w:tc>
      </w:tr>
      <w:tr w:rsidR="008B7E8C" w:rsidRPr="00950FB7" w14:paraId="64C1D59B" w14:textId="77777777" w:rsidTr="2AA1CA0C">
        <w:trPr>
          <w:trHeight w:val="20"/>
        </w:trPr>
        <w:tc>
          <w:tcPr>
            <w:tcW w:w="1324" w:type="pct"/>
          </w:tcPr>
          <w:p w14:paraId="61139509" w14:textId="77777777" w:rsidR="008B7E8C" w:rsidRPr="00D76EFB" w:rsidRDefault="008B7E8C" w:rsidP="00515F6A">
            <w:pPr>
              <w:pStyle w:val="Tabletext0"/>
              <w:keepNext/>
              <w:keepLines/>
              <w:spacing w:before="0" w:after="0"/>
              <w:rPr>
                <w:color w:val="000000" w:themeColor="text1"/>
              </w:rPr>
            </w:pPr>
            <w:r w:rsidRPr="0045204C">
              <w:t>Population</w:t>
            </w:r>
          </w:p>
        </w:tc>
        <w:tc>
          <w:tcPr>
            <w:tcW w:w="3676" w:type="pct"/>
          </w:tcPr>
          <w:p w14:paraId="47495EAC" w14:textId="2900912E" w:rsidR="008B7E8C" w:rsidRPr="0045204C" w:rsidRDefault="008C2269" w:rsidP="00515F6A">
            <w:pPr>
              <w:pStyle w:val="Tabletext0"/>
              <w:keepNext/>
              <w:keepLines/>
              <w:spacing w:before="0" w:after="0"/>
            </w:pPr>
            <w:r w:rsidRPr="0045204C">
              <w:t>Adult</w:t>
            </w:r>
            <w:r>
              <w:t>s</w:t>
            </w:r>
            <w:r w:rsidRPr="0045204C">
              <w:t xml:space="preserve"> with </w:t>
            </w:r>
            <w:r w:rsidR="008F5EBB">
              <w:t>class</w:t>
            </w:r>
            <w:r w:rsidR="008B7E8C" w:rsidRPr="0045204C">
              <w:t xml:space="preserve"> I or </w:t>
            </w:r>
            <w:r w:rsidR="008F5EBB">
              <w:t>class</w:t>
            </w:r>
            <w:r w:rsidR="008B7E8C" w:rsidRPr="0045204C">
              <w:t xml:space="preserve"> II obesity (BMI 30</w:t>
            </w:r>
            <w:r w:rsidR="00171E8B" w:rsidRPr="0045204C">
              <w:t>–</w:t>
            </w:r>
            <w:r w:rsidR="008B7E8C" w:rsidRPr="0045204C">
              <w:t>39.9</w:t>
            </w:r>
            <w:r w:rsidR="00171E8B" w:rsidRPr="0045204C">
              <w:t> </w:t>
            </w:r>
            <w:r w:rsidR="008B7E8C" w:rsidRPr="0045204C">
              <w:t>kg/m</w:t>
            </w:r>
            <w:r w:rsidR="008B7E8C" w:rsidRPr="0045204C">
              <w:rPr>
                <w:vertAlign w:val="superscript"/>
              </w:rPr>
              <w:t>2</w:t>
            </w:r>
            <w:r w:rsidR="008B7E8C" w:rsidRPr="0045204C">
              <w:t>) with or without comorbidities</w:t>
            </w:r>
          </w:p>
        </w:tc>
      </w:tr>
      <w:tr w:rsidR="008B7E8C" w:rsidRPr="00950FB7" w14:paraId="2C1FDCA9" w14:textId="77777777" w:rsidTr="2AA1CA0C">
        <w:trPr>
          <w:trHeight w:val="20"/>
        </w:trPr>
        <w:tc>
          <w:tcPr>
            <w:tcW w:w="1324" w:type="pct"/>
          </w:tcPr>
          <w:p w14:paraId="7B2C9570" w14:textId="77777777" w:rsidR="008B7E8C" w:rsidRPr="00D76EFB" w:rsidRDefault="008B7E8C" w:rsidP="00515F6A">
            <w:pPr>
              <w:pStyle w:val="Tabletext0"/>
              <w:keepNext/>
              <w:keepLines/>
              <w:spacing w:before="0" w:after="0"/>
              <w:rPr>
                <w:color w:val="000000" w:themeColor="text1"/>
              </w:rPr>
            </w:pPr>
            <w:r w:rsidRPr="0045204C">
              <w:t xml:space="preserve">Intervention </w:t>
            </w:r>
          </w:p>
        </w:tc>
        <w:tc>
          <w:tcPr>
            <w:tcW w:w="3676" w:type="pct"/>
          </w:tcPr>
          <w:p w14:paraId="786DECBC" w14:textId="2434C82A" w:rsidR="008B7E8C" w:rsidRPr="00D76EFB" w:rsidRDefault="003204D2" w:rsidP="00515F6A">
            <w:pPr>
              <w:pStyle w:val="Tabletext0"/>
              <w:keepNext/>
              <w:keepLines/>
              <w:spacing w:before="0" w:after="0"/>
              <w:rPr>
                <w:color w:val="000000" w:themeColor="text1"/>
              </w:rPr>
            </w:pPr>
            <w:r w:rsidRPr="0045204C">
              <w:t>ESG with lifestyle modification</w:t>
            </w:r>
          </w:p>
        </w:tc>
      </w:tr>
      <w:tr w:rsidR="008B7E8C" w:rsidRPr="00950FB7" w14:paraId="271DAFF5" w14:textId="77777777" w:rsidTr="2AA1CA0C">
        <w:trPr>
          <w:trHeight w:val="20"/>
        </w:trPr>
        <w:tc>
          <w:tcPr>
            <w:tcW w:w="1324" w:type="pct"/>
          </w:tcPr>
          <w:p w14:paraId="5D611CAE" w14:textId="77777777" w:rsidR="008B7E8C" w:rsidRPr="00D76EFB" w:rsidRDefault="008B7E8C" w:rsidP="00515F6A">
            <w:pPr>
              <w:pStyle w:val="Tabletext0"/>
              <w:keepNext/>
              <w:keepLines/>
              <w:spacing w:before="0" w:after="0"/>
              <w:rPr>
                <w:color w:val="000000" w:themeColor="text1"/>
              </w:rPr>
            </w:pPr>
            <w:r w:rsidRPr="0045204C">
              <w:t>Comparator</w:t>
            </w:r>
          </w:p>
        </w:tc>
        <w:tc>
          <w:tcPr>
            <w:tcW w:w="3676" w:type="pct"/>
          </w:tcPr>
          <w:p w14:paraId="71961E84" w14:textId="5C265ECE" w:rsidR="008B7E8C" w:rsidRPr="00D76EFB" w:rsidRDefault="008B7E8C" w:rsidP="00515F6A">
            <w:pPr>
              <w:pStyle w:val="Tabletext0"/>
              <w:keepNext/>
              <w:keepLines/>
              <w:spacing w:before="0" w:after="0"/>
              <w:rPr>
                <w:color w:val="000000" w:themeColor="text1"/>
              </w:rPr>
            </w:pPr>
            <w:r w:rsidRPr="0045204C">
              <w:t>L</w:t>
            </w:r>
            <w:r w:rsidR="00527123" w:rsidRPr="0045204C">
              <w:t>ifestyle modification</w:t>
            </w:r>
            <w:r w:rsidRPr="0045204C">
              <w:t xml:space="preserve"> alone</w:t>
            </w:r>
          </w:p>
        </w:tc>
      </w:tr>
      <w:tr w:rsidR="008B7E8C" w:rsidRPr="00950FB7" w14:paraId="7236D123" w14:textId="77777777" w:rsidTr="2AA1CA0C">
        <w:trPr>
          <w:trHeight w:val="20"/>
        </w:trPr>
        <w:tc>
          <w:tcPr>
            <w:tcW w:w="1324" w:type="pct"/>
          </w:tcPr>
          <w:p w14:paraId="38F4032D" w14:textId="77777777" w:rsidR="008B7E8C" w:rsidRPr="00D76EFB" w:rsidRDefault="008B7E8C" w:rsidP="00515F6A">
            <w:pPr>
              <w:pStyle w:val="Tabletext0"/>
              <w:keepNext/>
              <w:keepLines/>
              <w:spacing w:before="0" w:after="0"/>
              <w:rPr>
                <w:color w:val="000000" w:themeColor="text1"/>
              </w:rPr>
            </w:pPr>
            <w:r w:rsidRPr="0045204C">
              <w:t>Type of economic evaluation</w:t>
            </w:r>
          </w:p>
        </w:tc>
        <w:tc>
          <w:tcPr>
            <w:tcW w:w="3676" w:type="pct"/>
          </w:tcPr>
          <w:p w14:paraId="042A9F88" w14:textId="77777777" w:rsidR="008B7E8C" w:rsidRPr="00D76EFB" w:rsidRDefault="008B7E8C" w:rsidP="00515F6A">
            <w:pPr>
              <w:pStyle w:val="Tabletext0"/>
              <w:keepNext/>
              <w:keepLines/>
              <w:spacing w:before="0" w:after="0"/>
              <w:rPr>
                <w:color w:val="000000" w:themeColor="text1"/>
              </w:rPr>
            </w:pPr>
            <w:r w:rsidRPr="0045204C">
              <w:t>Cost-utility analysis</w:t>
            </w:r>
          </w:p>
        </w:tc>
      </w:tr>
      <w:tr w:rsidR="008B7E8C" w:rsidRPr="00950FB7" w14:paraId="4859D0C4" w14:textId="77777777" w:rsidTr="2AA1CA0C">
        <w:trPr>
          <w:trHeight w:val="20"/>
        </w:trPr>
        <w:tc>
          <w:tcPr>
            <w:tcW w:w="1324" w:type="pct"/>
          </w:tcPr>
          <w:p w14:paraId="3C02166A" w14:textId="77777777" w:rsidR="008B7E8C" w:rsidRPr="00D76EFB" w:rsidRDefault="008B7E8C" w:rsidP="00515F6A">
            <w:pPr>
              <w:pStyle w:val="Tabletext0"/>
              <w:keepNext/>
              <w:keepLines/>
              <w:spacing w:before="0" w:after="0"/>
              <w:rPr>
                <w:color w:val="000000" w:themeColor="text1"/>
              </w:rPr>
            </w:pPr>
            <w:r w:rsidRPr="0045204C">
              <w:t>Start age</w:t>
            </w:r>
          </w:p>
        </w:tc>
        <w:tc>
          <w:tcPr>
            <w:tcW w:w="3676" w:type="pct"/>
          </w:tcPr>
          <w:p w14:paraId="3722AD29" w14:textId="77777777" w:rsidR="008B7E8C" w:rsidRPr="00D76EFB" w:rsidRDefault="008B7E8C" w:rsidP="00515F6A">
            <w:pPr>
              <w:pStyle w:val="Tabletext0"/>
              <w:keepNext/>
              <w:keepLines/>
              <w:spacing w:before="0" w:after="0"/>
              <w:rPr>
                <w:color w:val="000000" w:themeColor="text1"/>
              </w:rPr>
            </w:pPr>
            <w:r w:rsidRPr="0045204C">
              <w:t>47.3 years</w:t>
            </w:r>
          </w:p>
        </w:tc>
      </w:tr>
      <w:tr w:rsidR="008B7E8C" w:rsidRPr="00950FB7" w14:paraId="5DB42F6A" w14:textId="77777777" w:rsidTr="2AA1CA0C">
        <w:trPr>
          <w:trHeight w:val="20"/>
        </w:trPr>
        <w:tc>
          <w:tcPr>
            <w:tcW w:w="1324" w:type="pct"/>
          </w:tcPr>
          <w:p w14:paraId="38AAC4FF" w14:textId="77777777" w:rsidR="008B7E8C" w:rsidRPr="00D76EFB" w:rsidRDefault="008B7E8C" w:rsidP="00515F6A">
            <w:pPr>
              <w:pStyle w:val="Tabletext0"/>
              <w:keepNext/>
              <w:keepLines/>
              <w:spacing w:before="0" w:after="0"/>
              <w:rPr>
                <w:color w:val="000000" w:themeColor="text1"/>
              </w:rPr>
            </w:pPr>
            <w:r w:rsidRPr="0045204C">
              <w:t>Time horizon</w:t>
            </w:r>
          </w:p>
        </w:tc>
        <w:tc>
          <w:tcPr>
            <w:tcW w:w="3676" w:type="pct"/>
          </w:tcPr>
          <w:p w14:paraId="0A5443A8" w14:textId="6CEC5842" w:rsidR="008B7E8C" w:rsidRPr="0045204C" w:rsidRDefault="00BC7A95" w:rsidP="00515F6A">
            <w:pPr>
              <w:pStyle w:val="Tabletext0"/>
              <w:keepNext/>
              <w:keepLines/>
              <w:spacing w:before="0" w:after="0"/>
            </w:pPr>
            <w:r w:rsidRPr="0045204C">
              <w:t>E</w:t>
            </w:r>
            <w:r w:rsidR="003F7637" w:rsidRPr="0045204C">
              <w:t>xtrapolated 5, 10, 15, 20, 30</w:t>
            </w:r>
            <w:r w:rsidRPr="0045204C">
              <w:t>, 40</w:t>
            </w:r>
            <w:r w:rsidR="00E85B96" w:rsidRPr="0045204C">
              <w:t xml:space="preserve"> </w:t>
            </w:r>
            <w:r w:rsidR="003F7637" w:rsidRPr="0045204C">
              <w:t>years and lifetime horizon</w:t>
            </w:r>
            <w:r w:rsidR="00C73BC6" w:rsidRPr="0045204C">
              <w:t xml:space="preserve">; </w:t>
            </w:r>
            <w:r w:rsidR="00E52C6D" w:rsidRPr="0045204C">
              <w:t xml:space="preserve">40-year </w:t>
            </w:r>
            <w:r w:rsidR="00D64B75" w:rsidRPr="0045204C">
              <w:t xml:space="preserve">time horizon </w:t>
            </w:r>
            <w:r w:rsidR="00CE39C7" w:rsidRPr="0045204C">
              <w:t>used in base case analysis</w:t>
            </w:r>
          </w:p>
        </w:tc>
      </w:tr>
      <w:tr w:rsidR="008B7E8C" w:rsidRPr="00950FB7" w14:paraId="6A040B3D" w14:textId="77777777" w:rsidTr="2AA1CA0C">
        <w:trPr>
          <w:trHeight w:val="20"/>
        </w:trPr>
        <w:tc>
          <w:tcPr>
            <w:tcW w:w="1324" w:type="pct"/>
          </w:tcPr>
          <w:p w14:paraId="648BD5DD" w14:textId="77777777" w:rsidR="008B7E8C" w:rsidRPr="00D76EFB" w:rsidRDefault="008B7E8C" w:rsidP="00515F6A">
            <w:pPr>
              <w:pStyle w:val="Tabletext0"/>
              <w:keepNext/>
              <w:keepLines/>
              <w:spacing w:before="0" w:after="0"/>
              <w:rPr>
                <w:color w:val="000000" w:themeColor="text1"/>
              </w:rPr>
            </w:pPr>
            <w:r w:rsidRPr="0045204C">
              <w:t>Outcomes</w:t>
            </w:r>
          </w:p>
        </w:tc>
        <w:tc>
          <w:tcPr>
            <w:tcW w:w="3676" w:type="pct"/>
          </w:tcPr>
          <w:p w14:paraId="63986FC0" w14:textId="2F0B738B" w:rsidR="008B7E8C" w:rsidRPr="00D76EFB" w:rsidRDefault="008B7E8C" w:rsidP="00515F6A">
            <w:pPr>
              <w:pStyle w:val="Tabletext0"/>
              <w:keepNext/>
              <w:keepLines/>
              <w:spacing w:before="0" w:after="0"/>
              <w:rPr>
                <w:color w:val="000000" w:themeColor="text1"/>
              </w:rPr>
            </w:pPr>
            <w:r w:rsidRPr="0045204C">
              <w:t>QALYs and LY</w:t>
            </w:r>
            <w:r w:rsidR="008C0360" w:rsidRPr="0045204C">
              <w:t>s gained</w:t>
            </w:r>
          </w:p>
        </w:tc>
      </w:tr>
      <w:tr w:rsidR="008B7E8C" w:rsidRPr="00950FB7" w14:paraId="414F0342" w14:textId="77777777" w:rsidTr="2AA1CA0C">
        <w:trPr>
          <w:trHeight w:val="20"/>
        </w:trPr>
        <w:tc>
          <w:tcPr>
            <w:tcW w:w="1324" w:type="pct"/>
          </w:tcPr>
          <w:p w14:paraId="383011FB" w14:textId="77777777" w:rsidR="008B7E8C" w:rsidRPr="00D76EFB" w:rsidRDefault="008B7E8C" w:rsidP="00515F6A">
            <w:pPr>
              <w:pStyle w:val="Tabletext0"/>
              <w:keepNext/>
              <w:keepLines/>
              <w:spacing w:before="0" w:after="0"/>
              <w:rPr>
                <w:color w:val="000000" w:themeColor="text1"/>
              </w:rPr>
            </w:pPr>
            <w:r w:rsidRPr="0045204C">
              <w:t>Computational method</w:t>
            </w:r>
          </w:p>
        </w:tc>
        <w:tc>
          <w:tcPr>
            <w:tcW w:w="3676" w:type="pct"/>
          </w:tcPr>
          <w:p w14:paraId="272E9676" w14:textId="77777777" w:rsidR="008B7E8C" w:rsidRPr="00D76EFB" w:rsidRDefault="008B7E8C" w:rsidP="00515F6A">
            <w:pPr>
              <w:pStyle w:val="Tabletext0"/>
              <w:keepNext/>
              <w:keepLines/>
              <w:spacing w:before="0" w:after="0"/>
              <w:rPr>
                <w:color w:val="000000" w:themeColor="text1"/>
              </w:rPr>
            </w:pPr>
            <w:r w:rsidRPr="0045204C">
              <w:t>Markov model</w:t>
            </w:r>
          </w:p>
        </w:tc>
      </w:tr>
      <w:tr w:rsidR="008B7E8C" w:rsidRPr="00950FB7" w14:paraId="456E5BCF" w14:textId="77777777" w:rsidTr="2AA1CA0C">
        <w:trPr>
          <w:trHeight w:val="20"/>
        </w:trPr>
        <w:tc>
          <w:tcPr>
            <w:tcW w:w="1324" w:type="pct"/>
          </w:tcPr>
          <w:p w14:paraId="0F3CE561" w14:textId="77777777" w:rsidR="008B7E8C" w:rsidRPr="00D76EFB" w:rsidRDefault="008B7E8C" w:rsidP="00515F6A">
            <w:pPr>
              <w:pStyle w:val="Tabletext0"/>
              <w:keepNext/>
              <w:keepLines/>
              <w:spacing w:before="0" w:after="0"/>
              <w:rPr>
                <w:color w:val="000000" w:themeColor="text1"/>
              </w:rPr>
            </w:pPr>
            <w:r w:rsidRPr="0045204C">
              <w:t>Generation of the base case</w:t>
            </w:r>
          </w:p>
        </w:tc>
        <w:tc>
          <w:tcPr>
            <w:tcW w:w="3676" w:type="pct"/>
          </w:tcPr>
          <w:p w14:paraId="2E386B05" w14:textId="77777777" w:rsidR="008B7E8C" w:rsidRPr="00D76EFB" w:rsidRDefault="008B7E8C" w:rsidP="00515F6A">
            <w:pPr>
              <w:pStyle w:val="Tabletext0"/>
              <w:keepNext/>
              <w:keepLines/>
              <w:spacing w:before="0" w:after="0"/>
              <w:rPr>
                <w:color w:val="000000" w:themeColor="text1"/>
              </w:rPr>
            </w:pPr>
            <w:r w:rsidRPr="0045204C">
              <w:t xml:space="preserve">Modelled evaluation </w:t>
            </w:r>
          </w:p>
        </w:tc>
      </w:tr>
      <w:tr w:rsidR="008B7E8C" w:rsidRPr="00950FB7" w14:paraId="5C4C38D1" w14:textId="77777777" w:rsidTr="2AA1CA0C">
        <w:trPr>
          <w:trHeight w:val="20"/>
        </w:trPr>
        <w:tc>
          <w:tcPr>
            <w:tcW w:w="1324" w:type="pct"/>
          </w:tcPr>
          <w:p w14:paraId="35C4E87F" w14:textId="77777777" w:rsidR="008B7E8C" w:rsidRPr="00D76EFB" w:rsidRDefault="008B7E8C" w:rsidP="00515F6A">
            <w:pPr>
              <w:pStyle w:val="Tabletext0"/>
              <w:keepNext/>
              <w:keepLines/>
              <w:spacing w:before="0" w:after="0"/>
              <w:rPr>
                <w:color w:val="000000" w:themeColor="text1"/>
              </w:rPr>
            </w:pPr>
            <w:r w:rsidRPr="0045204C">
              <w:t>Health states</w:t>
            </w:r>
          </w:p>
        </w:tc>
        <w:tc>
          <w:tcPr>
            <w:tcW w:w="3676" w:type="pct"/>
          </w:tcPr>
          <w:p w14:paraId="5E1810E0" w14:textId="7535D339" w:rsidR="008B7E8C" w:rsidRPr="0045204C" w:rsidRDefault="009E0825" w:rsidP="00515F6A">
            <w:pPr>
              <w:pStyle w:val="Tabletext0"/>
              <w:keepNext/>
              <w:keepLines/>
              <w:spacing w:before="0" w:after="0"/>
            </w:pPr>
            <w:r>
              <w:t xml:space="preserve">6 health states: </w:t>
            </w:r>
            <w:r w:rsidR="004D3688">
              <w:t>5 BMI-based (</w:t>
            </w:r>
            <w:r w:rsidR="00686591">
              <w:t>h</w:t>
            </w:r>
            <w:r w:rsidR="008B7E8C" w:rsidRPr="0045204C">
              <w:t xml:space="preserve">ealthy weight, </w:t>
            </w:r>
            <w:r w:rsidR="008C0360" w:rsidRPr="0045204C">
              <w:t>o</w:t>
            </w:r>
            <w:r w:rsidR="008B7E8C" w:rsidRPr="0045204C">
              <w:t xml:space="preserve">verweight, </w:t>
            </w:r>
            <w:r w:rsidR="008C0360" w:rsidRPr="0045204C">
              <w:t>o</w:t>
            </w:r>
            <w:r w:rsidR="008B7E8C" w:rsidRPr="0045204C">
              <w:t xml:space="preserve">besity </w:t>
            </w:r>
            <w:r w:rsidR="008F5EBB">
              <w:t>class</w:t>
            </w:r>
            <w:r w:rsidR="008B7E8C" w:rsidRPr="0045204C">
              <w:t xml:space="preserve"> I, </w:t>
            </w:r>
            <w:r w:rsidR="008C0360" w:rsidRPr="0045204C">
              <w:t>o</w:t>
            </w:r>
            <w:r w:rsidR="008B7E8C" w:rsidRPr="0045204C">
              <w:t xml:space="preserve">besity </w:t>
            </w:r>
            <w:r w:rsidR="008F5EBB">
              <w:t>class</w:t>
            </w:r>
            <w:r w:rsidR="008B7E8C" w:rsidRPr="0045204C">
              <w:t xml:space="preserve"> II, </w:t>
            </w:r>
            <w:r w:rsidR="008C0360" w:rsidRPr="0045204C">
              <w:t>o</w:t>
            </w:r>
            <w:r w:rsidR="008B7E8C" w:rsidRPr="0045204C">
              <w:t xml:space="preserve">besity </w:t>
            </w:r>
            <w:r w:rsidR="008F5EBB">
              <w:t>class</w:t>
            </w:r>
            <w:r w:rsidR="008B7E8C" w:rsidRPr="0045204C">
              <w:t xml:space="preserve"> III</w:t>
            </w:r>
            <w:r w:rsidR="00686591">
              <w:t xml:space="preserve">) and </w:t>
            </w:r>
            <w:r w:rsidR="008C0360" w:rsidRPr="0045204C">
              <w:t>d</w:t>
            </w:r>
            <w:r w:rsidR="008B7E8C" w:rsidRPr="0045204C">
              <w:t>ead</w:t>
            </w:r>
          </w:p>
        </w:tc>
      </w:tr>
      <w:tr w:rsidR="008B7E8C" w:rsidRPr="00950FB7" w14:paraId="2AB85543" w14:textId="77777777" w:rsidTr="2AA1CA0C">
        <w:trPr>
          <w:trHeight w:val="20"/>
        </w:trPr>
        <w:tc>
          <w:tcPr>
            <w:tcW w:w="1324" w:type="pct"/>
          </w:tcPr>
          <w:p w14:paraId="732C82CA" w14:textId="77777777" w:rsidR="008B7E8C" w:rsidRPr="00D76EFB" w:rsidRDefault="008B7E8C" w:rsidP="00515F6A">
            <w:pPr>
              <w:pStyle w:val="Tabletext0"/>
              <w:keepNext/>
              <w:keepLines/>
              <w:spacing w:before="0" w:after="0"/>
              <w:rPr>
                <w:color w:val="000000" w:themeColor="text1"/>
              </w:rPr>
            </w:pPr>
            <w:r w:rsidRPr="0045204C">
              <w:t>Cycle length</w:t>
            </w:r>
          </w:p>
        </w:tc>
        <w:tc>
          <w:tcPr>
            <w:tcW w:w="3676" w:type="pct"/>
          </w:tcPr>
          <w:p w14:paraId="0DA2698F" w14:textId="77777777" w:rsidR="008B7E8C" w:rsidRPr="00D76EFB" w:rsidRDefault="008B7E8C" w:rsidP="00515F6A">
            <w:pPr>
              <w:pStyle w:val="Tabletext0"/>
              <w:keepNext/>
              <w:keepLines/>
              <w:spacing w:before="0" w:after="0"/>
              <w:rPr>
                <w:color w:val="000000" w:themeColor="text1"/>
              </w:rPr>
            </w:pPr>
            <w:r w:rsidRPr="0045204C">
              <w:t xml:space="preserve">6 months </w:t>
            </w:r>
          </w:p>
        </w:tc>
      </w:tr>
      <w:tr w:rsidR="008B7E8C" w:rsidRPr="00950FB7" w14:paraId="30829F88" w14:textId="77777777" w:rsidTr="2AA1CA0C">
        <w:trPr>
          <w:trHeight w:val="20"/>
        </w:trPr>
        <w:tc>
          <w:tcPr>
            <w:tcW w:w="1324" w:type="pct"/>
          </w:tcPr>
          <w:p w14:paraId="7CABBBA9" w14:textId="77777777" w:rsidR="008B7E8C" w:rsidRPr="00D76EFB" w:rsidRDefault="008B7E8C" w:rsidP="00515F6A">
            <w:pPr>
              <w:pStyle w:val="Tabletext0"/>
              <w:keepNext/>
              <w:keepLines/>
              <w:spacing w:before="0" w:after="0"/>
              <w:rPr>
                <w:color w:val="000000" w:themeColor="text1"/>
              </w:rPr>
            </w:pPr>
            <w:r w:rsidRPr="0045204C">
              <w:t>Transition probabilities</w:t>
            </w:r>
          </w:p>
        </w:tc>
        <w:tc>
          <w:tcPr>
            <w:tcW w:w="3676" w:type="pct"/>
          </w:tcPr>
          <w:p w14:paraId="0BDE1E20" w14:textId="77777777" w:rsidR="00641A8B" w:rsidRPr="00D76EFB" w:rsidRDefault="00641A8B" w:rsidP="00515F6A">
            <w:pPr>
              <w:pStyle w:val="Tabletext0"/>
              <w:keepNext/>
              <w:keepLines/>
              <w:spacing w:before="0" w:after="0"/>
              <w:rPr>
                <w:color w:val="000000" w:themeColor="text1"/>
              </w:rPr>
            </w:pPr>
            <w:r w:rsidRPr="0045204C">
              <w:t xml:space="preserve">Health state allocation: </w:t>
            </w:r>
            <w:r>
              <w:t xml:space="preserve">individual patient data from the </w:t>
            </w:r>
            <w:r w:rsidRPr="0045204C">
              <w:t xml:space="preserve">MERIT trial for </w:t>
            </w:r>
            <w:r>
              <w:t xml:space="preserve">the </w:t>
            </w:r>
            <w:r w:rsidRPr="0045204C">
              <w:t>first 2 years for ESG and 1 year for lifestyle modification</w:t>
            </w:r>
          </w:p>
          <w:p w14:paraId="633674C2" w14:textId="77777777" w:rsidR="00641A8B" w:rsidRPr="00D76EFB" w:rsidRDefault="00641A8B" w:rsidP="00515F6A">
            <w:pPr>
              <w:pStyle w:val="Tabletext0"/>
              <w:keepNext/>
              <w:keepLines/>
              <w:spacing w:before="0" w:after="0"/>
              <w:rPr>
                <w:color w:val="000000" w:themeColor="text1"/>
              </w:rPr>
            </w:pPr>
            <w:r w:rsidRPr="0045204C">
              <w:t xml:space="preserve">Assumptions: </w:t>
            </w:r>
          </w:p>
          <w:p w14:paraId="3B2A2D17" w14:textId="77777777" w:rsidR="00641A8B" w:rsidRPr="00D76EFB" w:rsidRDefault="00641A8B" w:rsidP="00515F6A">
            <w:pPr>
              <w:pStyle w:val="Tabletext0"/>
              <w:keepNext/>
              <w:keepLines/>
              <w:numPr>
                <w:ilvl w:val="0"/>
                <w:numId w:val="14"/>
              </w:numPr>
              <w:spacing w:before="0" w:after="0"/>
              <w:rPr>
                <w:color w:val="000000" w:themeColor="text1"/>
              </w:rPr>
            </w:pPr>
            <w:r>
              <w:t>3–5 years (80% remain in the same health state as at the end of year 2; 20% regress to baseline BMI; 100% remain in the higher obesity class for those who gain weight during first 2 years)</w:t>
            </w:r>
          </w:p>
          <w:p w14:paraId="5C10936F" w14:textId="77777777" w:rsidR="00641A8B" w:rsidRPr="00D76EFB" w:rsidRDefault="00641A8B" w:rsidP="00515F6A">
            <w:pPr>
              <w:pStyle w:val="Tabletext0"/>
              <w:keepNext/>
              <w:keepLines/>
              <w:numPr>
                <w:ilvl w:val="0"/>
                <w:numId w:val="14"/>
              </w:numPr>
              <w:spacing w:before="0" w:after="0"/>
              <w:rPr>
                <w:color w:val="000000" w:themeColor="text1"/>
              </w:rPr>
            </w:pPr>
            <w:r w:rsidRPr="0045204C">
              <w:t xml:space="preserve">5 years onwards (remain in the same health state as at </w:t>
            </w:r>
            <w:r>
              <w:t xml:space="preserve">the </w:t>
            </w:r>
            <w:r w:rsidRPr="0045204C">
              <w:t>end of year 5)</w:t>
            </w:r>
          </w:p>
          <w:p w14:paraId="02F4FF7D" w14:textId="77777777" w:rsidR="00641A8B" w:rsidRPr="00D76EFB" w:rsidRDefault="00641A8B" w:rsidP="00515F6A">
            <w:pPr>
              <w:pStyle w:val="Tabletext0"/>
              <w:keepNext/>
              <w:keepLines/>
              <w:spacing w:before="0" w:after="0"/>
              <w:rPr>
                <w:color w:val="000000" w:themeColor="text1"/>
              </w:rPr>
            </w:pPr>
            <w:r w:rsidRPr="0045204C">
              <w:t xml:space="preserve">Mortality (end of each cycle): </w:t>
            </w:r>
          </w:p>
          <w:p w14:paraId="0BFA230C" w14:textId="77777777" w:rsidR="00641A8B" w:rsidRPr="00D76EFB" w:rsidRDefault="00641A8B" w:rsidP="00515F6A">
            <w:pPr>
              <w:pStyle w:val="Tabletext0"/>
              <w:keepNext/>
              <w:keepLines/>
              <w:numPr>
                <w:ilvl w:val="0"/>
                <w:numId w:val="15"/>
              </w:numPr>
              <w:spacing w:before="0" w:after="0"/>
              <w:rPr>
                <w:color w:val="000000" w:themeColor="text1"/>
              </w:rPr>
            </w:pPr>
            <w:r w:rsidRPr="0045204C">
              <w:t>based on Australian life table</w:t>
            </w:r>
            <w:r>
              <w:t>s</w:t>
            </w:r>
          </w:p>
          <w:p w14:paraId="1837D211" w14:textId="161F4587" w:rsidR="008B7E8C" w:rsidRPr="00D76EFB" w:rsidRDefault="00641A8B" w:rsidP="00515F6A">
            <w:pPr>
              <w:pStyle w:val="Tabletext0"/>
              <w:keepNext/>
              <w:keepLines/>
              <w:numPr>
                <w:ilvl w:val="0"/>
                <w:numId w:val="15"/>
              </w:numPr>
              <w:spacing w:before="0" w:after="0"/>
              <w:rPr>
                <w:color w:val="000000" w:themeColor="text1"/>
              </w:rPr>
            </w:pPr>
            <w:r w:rsidRPr="0045204C">
              <w:t xml:space="preserve">relative risk of death applied to the higher obesity </w:t>
            </w:r>
            <w:r>
              <w:t>class</w:t>
            </w:r>
            <w:r w:rsidRPr="0045204C">
              <w:t>es</w:t>
            </w:r>
          </w:p>
        </w:tc>
      </w:tr>
      <w:tr w:rsidR="008B7E8C" w:rsidRPr="00950FB7" w14:paraId="4FF4DF12" w14:textId="77777777" w:rsidTr="2AA1CA0C">
        <w:trPr>
          <w:trHeight w:val="20"/>
        </w:trPr>
        <w:tc>
          <w:tcPr>
            <w:tcW w:w="1324" w:type="pct"/>
          </w:tcPr>
          <w:p w14:paraId="1E2EF794" w14:textId="77777777" w:rsidR="008B7E8C" w:rsidRPr="00D76EFB" w:rsidRDefault="008B7E8C" w:rsidP="00515F6A">
            <w:pPr>
              <w:pStyle w:val="Tabletext0"/>
              <w:keepNext/>
              <w:keepLines/>
              <w:spacing w:before="0" w:after="0"/>
              <w:rPr>
                <w:color w:val="000000" w:themeColor="text1"/>
              </w:rPr>
            </w:pPr>
            <w:r w:rsidRPr="0045204C">
              <w:t>Discount rate</w:t>
            </w:r>
          </w:p>
        </w:tc>
        <w:tc>
          <w:tcPr>
            <w:tcW w:w="3676" w:type="pct"/>
          </w:tcPr>
          <w:p w14:paraId="0ADCB412" w14:textId="77777777" w:rsidR="008B7E8C" w:rsidRPr="00D76EFB" w:rsidRDefault="008B7E8C" w:rsidP="00515F6A">
            <w:pPr>
              <w:pStyle w:val="Tabletext0"/>
              <w:keepNext/>
              <w:keepLines/>
              <w:spacing w:before="0" w:after="0"/>
              <w:rPr>
                <w:color w:val="000000" w:themeColor="text1"/>
              </w:rPr>
            </w:pPr>
            <w:r w:rsidRPr="0045204C">
              <w:t>5% for both costs and effects</w:t>
            </w:r>
          </w:p>
        </w:tc>
      </w:tr>
      <w:tr w:rsidR="008B7E8C" w:rsidRPr="00950FB7" w14:paraId="73D856A7" w14:textId="77777777" w:rsidTr="2AA1CA0C">
        <w:trPr>
          <w:trHeight w:val="20"/>
        </w:trPr>
        <w:tc>
          <w:tcPr>
            <w:tcW w:w="1324" w:type="pct"/>
          </w:tcPr>
          <w:p w14:paraId="001E88CA" w14:textId="77777777" w:rsidR="008B7E8C" w:rsidRPr="00D76EFB" w:rsidRDefault="008B7E8C" w:rsidP="00515F6A">
            <w:pPr>
              <w:pStyle w:val="Tabletext0"/>
              <w:keepNext/>
              <w:keepLines/>
              <w:spacing w:before="0" w:after="0"/>
              <w:rPr>
                <w:color w:val="000000" w:themeColor="text1"/>
              </w:rPr>
            </w:pPr>
            <w:r w:rsidRPr="0045204C">
              <w:t>Software used</w:t>
            </w:r>
          </w:p>
        </w:tc>
        <w:tc>
          <w:tcPr>
            <w:tcW w:w="3676" w:type="pct"/>
          </w:tcPr>
          <w:p w14:paraId="2E72594B" w14:textId="77777777" w:rsidR="008B7E8C" w:rsidRPr="00D76EFB" w:rsidRDefault="008B7E8C" w:rsidP="00515F6A">
            <w:pPr>
              <w:pStyle w:val="Tabletext0"/>
              <w:keepNext/>
              <w:keepLines/>
              <w:spacing w:before="0" w:after="0"/>
              <w:rPr>
                <w:color w:val="000000" w:themeColor="text1"/>
              </w:rPr>
            </w:pPr>
            <w:r w:rsidRPr="0045204C">
              <w:t>Microsoft Excel</w:t>
            </w:r>
          </w:p>
        </w:tc>
      </w:tr>
    </w:tbl>
    <w:p w14:paraId="4B7AECE8" w14:textId="58C1260F" w:rsidR="00746201" w:rsidRPr="00850B5B" w:rsidRDefault="008B7E8C" w:rsidP="00515F6A">
      <w:pPr>
        <w:pStyle w:val="TableFigureFooter"/>
        <w:keepNext/>
        <w:keepLines/>
      </w:pPr>
      <w:r w:rsidRPr="00D76EFB">
        <w:t>Abbreviations:</w:t>
      </w:r>
      <w:r w:rsidRPr="00C31B4D">
        <w:t xml:space="preserve"> </w:t>
      </w:r>
      <w:r w:rsidR="00850B5B" w:rsidRPr="00D76EFB">
        <w:t>BMI</w:t>
      </w:r>
      <w:r w:rsidR="00850B5B" w:rsidRPr="00850B5B">
        <w:t>:</w:t>
      </w:r>
      <w:r w:rsidR="00850B5B" w:rsidRPr="00C31B4D">
        <w:t xml:space="preserve"> </w:t>
      </w:r>
      <w:r w:rsidR="00850B5B">
        <w:t>b</w:t>
      </w:r>
      <w:r w:rsidR="00850B5B" w:rsidRPr="00C31B4D">
        <w:t xml:space="preserve">ody </w:t>
      </w:r>
      <w:r w:rsidR="00850B5B">
        <w:t>m</w:t>
      </w:r>
      <w:r w:rsidR="00850B5B" w:rsidRPr="00C31B4D">
        <w:t xml:space="preserve">ass </w:t>
      </w:r>
      <w:r w:rsidR="00850B5B">
        <w:t>i</w:t>
      </w:r>
      <w:r w:rsidR="00850B5B" w:rsidRPr="00C31B4D">
        <w:t xml:space="preserve">ndex; </w:t>
      </w:r>
      <w:r w:rsidRPr="00D76EFB">
        <w:t>ESG</w:t>
      </w:r>
      <w:r w:rsidR="00270D1E">
        <w:t>:</w:t>
      </w:r>
      <w:r w:rsidRPr="00C31B4D">
        <w:t xml:space="preserve"> </w:t>
      </w:r>
      <w:r w:rsidR="00850B5B">
        <w:t>e</w:t>
      </w:r>
      <w:r w:rsidRPr="00C31B4D">
        <w:t xml:space="preserve">ndoscopic sleeve gastroplasty; </w:t>
      </w:r>
      <w:r w:rsidRPr="00D76EFB">
        <w:t>MERIT</w:t>
      </w:r>
      <w:r w:rsidR="005E63BD" w:rsidRPr="00850B5B">
        <w:t>:</w:t>
      </w:r>
      <w:r w:rsidRPr="00C31B4D">
        <w:t xml:space="preserve"> Multicentre Endoscopic Sleeve Gastroplasty Randomised Interventional Trial; </w:t>
      </w:r>
      <w:r w:rsidRPr="00D76EFB">
        <w:t>LY</w:t>
      </w:r>
      <w:r w:rsidR="005E63BD" w:rsidRPr="00850B5B">
        <w:t>:</w:t>
      </w:r>
      <w:r w:rsidRPr="00C31B4D">
        <w:t xml:space="preserve"> </w:t>
      </w:r>
      <w:r w:rsidR="00850B5B">
        <w:t>l</w:t>
      </w:r>
      <w:r w:rsidRPr="00C31B4D">
        <w:t xml:space="preserve">ife years; </w:t>
      </w:r>
      <w:r w:rsidRPr="00D76EFB">
        <w:t>QALY</w:t>
      </w:r>
      <w:r w:rsidR="005E63BD" w:rsidRPr="00850B5B">
        <w:t>:</w:t>
      </w:r>
      <w:r w:rsidRPr="00C31B4D">
        <w:t xml:space="preserve"> </w:t>
      </w:r>
      <w:r w:rsidR="00850B5B">
        <w:t>q</w:t>
      </w:r>
      <w:r w:rsidRPr="00C31B4D">
        <w:t>uality-adjusted life years</w:t>
      </w:r>
    </w:p>
    <w:p w14:paraId="112E06EA" w14:textId="5F040FDB" w:rsidR="00816409" w:rsidRDefault="00746201" w:rsidP="00515F6A">
      <w:pPr>
        <w:pStyle w:val="TableFigureFooter"/>
        <w:keepNext/>
        <w:keepLines/>
      </w:pPr>
      <w:r w:rsidRPr="00D76EFB">
        <w:t>Source:</w:t>
      </w:r>
      <w:r w:rsidRPr="00C31B4D">
        <w:t xml:space="preserve"> Submission Table 3</w:t>
      </w:r>
      <w:r w:rsidR="00850B5B">
        <w:t>–</w:t>
      </w:r>
      <w:r w:rsidRPr="00C31B4D">
        <w:t>4 (pp. 127)</w:t>
      </w:r>
      <w:r>
        <w:t>;</w:t>
      </w:r>
      <w:r w:rsidRPr="00C31B4D">
        <w:t xml:space="preserve"> Summary of economic evaluation</w:t>
      </w:r>
    </w:p>
    <w:p w14:paraId="5BCF7CAD" w14:textId="346003D5" w:rsidR="00F64D36" w:rsidRDefault="00533F7C" w:rsidP="004C29D3">
      <w:pPr>
        <w:pStyle w:val="Heading4"/>
        <w:rPr>
          <w:strike/>
        </w:rPr>
      </w:pPr>
      <w:r w:rsidRPr="007D18A3">
        <w:t xml:space="preserve">Transition probabilities and </w:t>
      </w:r>
      <w:r w:rsidRPr="006C7A8B">
        <w:rPr>
          <w:color w:val="000000" w:themeColor="text1"/>
        </w:rPr>
        <w:t>variables</w:t>
      </w:r>
    </w:p>
    <w:p w14:paraId="2384FFCF" w14:textId="7A9C593D" w:rsidR="00F64D36" w:rsidRDefault="00007CFB" w:rsidP="007E720C">
      <w:pPr>
        <w:pStyle w:val="Instructionaltext"/>
        <w:rPr>
          <w:color w:val="auto"/>
        </w:rPr>
      </w:pPr>
      <w:r>
        <w:rPr>
          <w:color w:val="auto"/>
        </w:rPr>
        <w:t xml:space="preserve">Transition probabilities for the model were </w:t>
      </w:r>
      <w:r w:rsidR="00CD0048">
        <w:rPr>
          <w:color w:val="auto"/>
        </w:rPr>
        <w:t>derived</w:t>
      </w:r>
      <w:r>
        <w:rPr>
          <w:color w:val="auto"/>
        </w:rPr>
        <w:t xml:space="preserve"> from the </w:t>
      </w:r>
      <w:r w:rsidR="00CD0048">
        <w:rPr>
          <w:color w:val="auto"/>
        </w:rPr>
        <w:t>2-year MERIT trial</w:t>
      </w:r>
      <w:r w:rsidR="00F5027F">
        <w:rPr>
          <w:color w:val="auto"/>
        </w:rPr>
        <w:t xml:space="preserve">’s </w:t>
      </w:r>
      <w:r w:rsidR="00AD1355">
        <w:rPr>
          <w:color w:val="auto"/>
        </w:rPr>
        <w:t>individual patient</w:t>
      </w:r>
      <w:r w:rsidR="00CD0048">
        <w:rPr>
          <w:color w:val="auto"/>
        </w:rPr>
        <w:t xml:space="preserve"> </w:t>
      </w:r>
      <w:r w:rsidR="00477510">
        <w:rPr>
          <w:color w:val="auto"/>
        </w:rPr>
        <w:t xml:space="preserve">data and converted to </w:t>
      </w:r>
      <w:r w:rsidR="00CC3199">
        <w:rPr>
          <w:color w:val="auto"/>
        </w:rPr>
        <w:t>6-month</w:t>
      </w:r>
      <w:r w:rsidR="009743A5">
        <w:rPr>
          <w:color w:val="auto"/>
        </w:rPr>
        <w:t xml:space="preserve"> transition probabilities</w:t>
      </w:r>
      <w:r w:rsidR="00CC3199">
        <w:rPr>
          <w:color w:val="auto"/>
        </w:rPr>
        <w:t>.</w:t>
      </w:r>
      <w:r w:rsidR="00D25AC1" w:rsidDel="00FF07A2">
        <w:rPr>
          <w:color w:val="auto"/>
        </w:rPr>
        <w:t xml:space="preserve"> </w:t>
      </w:r>
      <w:r w:rsidR="00FF07A2">
        <w:rPr>
          <w:color w:val="auto"/>
        </w:rPr>
        <w:t xml:space="preserve">It </w:t>
      </w:r>
      <w:r w:rsidR="00A23158">
        <w:rPr>
          <w:color w:val="auto"/>
        </w:rPr>
        <w:t xml:space="preserve">was </w:t>
      </w:r>
      <w:r w:rsidR="00FF07A2">
        <w:rPr>
          <w:color w:val="auto"/>
        </w:rPr>
        <w:t xml:space="preserve">unclear </w:t>
      </w:r>
      <w:r w:rsidR="00D25AC1">
        <w:rPr>
          <w:color w:val="auto"/>
        </w:rPr>
        <w:t xml:space="preserve">how </w:t>
      </w:r>
      <w:r w:rsidR="001570F3">
        <w:rPr>
          <w:color w:val="auto"/>
        </w:rPr>
        <w:t>the reported clinical trial data w</w:t>
      </w:r>
      <w:r w:rsidR="00FF07A2">
        <w:rPr>
          <w:color w:val="auto"/>
        </w:rPr>
        <w:t>ere</w:t>
      </w:r>
      <w:r w:rsidR="001570F3">
        <w:rPr>
          <w:color w:val="auto"/>
        </w:rPr>
        <w:t xml:space="preserve"> converted to transition probabilities</w:t>
      </w:r>
      <w:r w:rsidR="00A64EA0">
        <w:rPr>
          <w:color w:val="auto"/>
        </w:rPr>
        <w:t xml:space="preserve"> between the BMI </w:t>
      </w:r>
      <w:r w:rsidR="008F5EBB">
        <w:rPr>
          <w:color w:val="auto"/>
        </w:rPr>
        <w:t>class</w:t>
      </w:r>
      <w:r w:rsidR="00A64EA0">
        <w:rPr>
          <w:color w:val="auto"/>
        </w:rPr>
        <w:t>es.</w:t>
      </w:r>
    </w:p>
    <w:p w14:paraId="75327C0D" w14:textId="079CA19C" w:rsidR="005C5D33" w:rsidRDefault="002A493C" w:rsidP="2AA1CA0C">
      <w:pPr>
        <w:pStyle w:val="Instructionaltext"/>
        <w:rPr>
          <w:color w:val="auto"/>
        </w:rPr>
      </w:pPr>
      <w:r w:rsidRPr="2AA1CA0C">
        <w:rPr>
          <w:color w:val="auto"/>
        </w:rPr>
        <w:t xml:space="preserve">Transitions across </w:t>
      </w:r>
      <w:r w:rsidR="0072213E" w:rsidRPr="2AA1CA0C">
        <w:rPr>
          <w:color w:val="auto"/>
        </w:rPr>
        <w:t xml:space="preserve">obesity </w:t>
      </w:r>
      <w:r w:rsidR="008F5EBB" w:rsidRPr="2AA1CA0C">
        <w:rPr>
          <w:color w:val="auto"/>
        </w:rPr>
        <w:t>class</w:t>
      </w:r>
      <w:r w:rsidRPr="2AA1CA0C">
        <w:rPr>
          <w:color w:val="auto"/>
        </w:rPr>
        <w:t xml:space="preserve">es in the first 2 years were based on </w:t>
      </w:r>
      <w:r w:rsidR="00AD1355" w:rsidRPr="2AA1CA0C">
        <w:rPr>
          <w:color w:val="auto"/>
        </w:rPr>
        <w:t xml:space="preserve">individual patient data from </w:t>
      </w:r>
      <w:r w:rsidRPr="2AA1CA0C">
        <w:rPr>
          <w:color w:val="auto"/>
        </w:rPr>
        <w:t>the MERIT trial</w:t>
      </w:r>
      <w:r w:rsidR="00703AB6" w:rsidRPr="2AA1CA0C">
        <w:rPr>
          <w:color w:val="auto"/>
        </w:rPr>
        <w:t xml:space="preserve">. </w:t>
      </w:r>
      <w:r w:rsidR="00A77BE0" w:rsidRPr="2AA1CA0C">
        <w:rPr>
          <w:color w:val="auto"/>
        </w:rPr>
        <w:t>Beyond year 2</w:t>
      </w:r>
      <w:r w:rsidR="00644A91" w:rsidRPr="2AA1CA0C">
        <w:rPr>
          <w:color w:val="auto"/>
        </w:rPr>
        <w:t xml:space="preserve">, assumptions </w:t>
      </w:r>
      <w:r w:rsidR="00B63042" w:rsidRPr="2AA1CA0C">
        <w:rPr>
          <w:color w:val="auto"/>
        </w:rPr>
        <w:t xml:space="preserve">(detailed </w:t>
      </w:r>
      <w:r w:rsidR="00B63042" w:rsidRPr="00F82637">
        <w:rPr>
          <w:color w:val="auto"/>
        </w:rPr>
        <w:t>in</w:t>
      </w:r>
      <w:r w:rsidR="00D445E0" w:rsidRPr="00F82637">
        <w:rPr>
          <w:color w:val="auto"/>
        </w:rPr>
        <w:t xml:space="preserve"> </w:t>
      </w:r>
      <w:r w:rsidR="00D445E0" w:rsidRPr="00C35222">
        <w:rPr>
          <w:color w:val="000000" w:themeColor="text1"/>
        </w:rPr>
        <w:fldChar w:fldCharType="begin"/>
      </w:r>
      <w:r w:rsidR="00D445E0" w:rsidRPr="00C35222">
        <w:rPr>
          <w:color w:val="000000" w:themeColor="text1"/>
        </w:rPr>
        <w:instrText xml:space="preserve"> REF _Ref184196228 \h </w:instrText>
      </w:r>
      <w:r w:rsidR="00D445E0" w:rsidRPr="00C35222">
        <w:rPr>
          <w:color w:val="000000" w:themeColor="text1"/>
        </w:rPr>
      </w:r>
      <w:r w:rsidR="00D445E0" w:rsidRPr="00C35222">
        <w:rPr>
          <w:color w:val="000000" w:themeColor="text1"/>
        </w:rPr>
        <w:fldChar w:fldCharType="separate"/>
      </w:r>
      <w:r w:rsidR="008F37D1">
        <w:t xml:space="preserve">Table </w:t>
      </w:r>
      <w:r w:rsidR="008F37D1">
        <w:rPr>
          <w:noProof/>
        </w:rPr>
        <w:t>23</w:t>
      </w:r>
      <w:r w:rsidR="00D445E0" w:rsidRPr="00C35222">
        <w:rPr>
          <w:color w:val="000000" w:themeColor="text1"/>
        </w:rPr>
        <w:fldChar w:fldCharType="end"/>
      </w:r>
      <w:r w:rsidR="00B63042" w:rsidRPr="00C35222">
        <w:rPr>
          <w:color w:val="000000" w:themeColor="text1"/>
        </w:rPr>
        <w:t>)</w:t>
      </w:r>
      <w:r w:rsidR="00644A91" w:rsidRPr="2AA1CA0C">
        <w:rPr>
          <w:color w:val="auto"/>
        </w:rPr>
        <w:t xml:space="preserve"> were applied to both obesity </w:t>
      </w:r>
      <w:r w:rsidR="008F5EBB" w:rsidRPr="2AA1CA0C">
        <w:rPr>
          <w:color w:val="auto"/>
        </w:rPr>
        <w:t>class</w:t>
      </w:r>
      <w:r w:rsidR="00644A91" w:rsidRPr="2AA1CA0C">
        <w:rPr>
          <w:color w:val="auto"/>
        </w:rPr>
        <w:t xml:space="preserve"> I and </w:t>
      </w:r>
      <w:r w:rsidR="008F5EBB" w:rsidRPr="2AA1CA0C">
        <w:rPr>
          <w:color w:val="auto"/>
        </w:rPr>
        <w:t>class</w:t>
      </w:r>
      <w:r w:rsidR="00644A91" w:rsidRPr="2AA1CA0C">
        <w:rPr>
          <w:color w:val="auto"/>
        </w:rPr>
        <w:t xml:space="preserve"> II</w:t>
      </w:r>
      <w:r w:rsidR="00A7394A" w:rsidRPr="2AA1CA0C">
        <w:rPr>
          <w:color w:val="auto"/>
        </w:rPr>
        <w:t xml:space="preserve"> </w:t>
      </w:r>
      <w:r w:rsidR="00764BB7" w:rsidRPr="2AA1CA0C">
        <w:rPr>
          <w:color w:val="auto"/>
        </w:rPr>
        <w:t xml:space="preserve">to </w:t>
      </w:r>
      <w:r w:rsidR="00B63042" w:rsidRPr="2AA1CA0C">
        <w:rPr>
          <w:color w:val="auto"/>
        </w:rPr>
        <w:t>inform</w:t>
      </w:r>
      <w:r w:rsidR="00764BB7" w:rsidRPr="2AA1CA0C">
        <w:rPr>
          <w:color w:val="auto"/>
        </w:rPr>
        <w:t xml:space="preserve"> </w:t>
      </w:r>
      <w:r w:rsidR="00B63042" w:rsidRPr="2AA1CA0C">
        <w:rPr>
          <w:color w:val="auto"/>
        </w:rPr>
        <w:t xml:space="preserve">the </w:t>
      </w:r>
      <w:r w:rsidR="00764BB7" w:rsidRPr="2AA1CA0C">
        <w:rPr>
          <w:color w:val="auto"/>
        </w:rPr>
        <w:t>health state transition</w:t>
      </w:r>
      <w:r w:rsidR="00B63042" w:rsidRPr="2AA1CA0C">
        <w:rPr>
          <w:color w:val="auto"/>
        </w:rPr>
        <w:t>s</w:t>
      </w:r>
      <w:r w:rsidR="00764BB7" w:rsidRPr="2AA1CA0C">
        <w:rPr>
          <w:color w:val="auto"/>
        </w:rPr>
        <w:t xml:space="preserve"> </w:t>
      </w:r>
      <w:r w:rsidR="00B63042" w:rsidRPr="2AA1CA0C">
        <w:rPr>
          <w:color w:val="auto"/>
        </w:rPr>
        <w:t xml:space="preserve">occurring between </w:t>
      </w:r>
      <w:r w:rsidR="007A7D98" w:rsidRPr="2AA1CA0C">
        <w:rPr>
          <w:color w:val="auto"/>
        </w:rPr>
        <w:t>the end of the trial period and the end of the model (40-years in the base case)</w:t>
      </w:r>
      <w:r w:rsidR="00EE3A20" w:rsidRPr="2AA1CA0C">
        <w:rPr>
          <w:color w:val="auto"/>
        </w:rPr>
        <w:t>.</w:t>
      </w:r>
      <w:r w:rsidR="007A7D98" w:rsidRPr="2AA1CA0C">
        <w:rPr>
          <w:color w:val="auto"/>
        </w:rPr>
        <w:t xml:space="preserve"> </w:t>
      </w:r>
      <w:r w:rsidR="005C5D33" w:rsidRPr="2AA1CA0C">
        <w:rPr>
          <w:color w:val="auto"/>
        </w:rPr>
        <w:t xml:space="preserve">The durability </w:t>
      </w:r>
      <w:r w:rsidR="00F923AD" w:rsidRPr="2AA1CA0C">
        <w:rPr>
          <w:color w:val="auto"/>
        </w:rPr>
        <w:t xml:space="preserve">and long-term safety of ESG </w:t>
      </w:r>
      <w:r w:rsidR="00342522" w:rsidRPr="2AA1CA0C">
        <w:rPr>
          <w:color w:val="auto"/>
        </w:rPr>
        <w:t xml:space="preserve">remain an area </w:t>
      </w:r>
      <w:r w:rsidR="00F923AD" w:rsidRPr="2AA1CA0C">
        <w:rPr>
          <w:color w:val="auto"/>
        </w:rPr>
        <w:t>of uncertainty; therefore</w:t>
      </w:r>
      <w:r w:rsidR="0076638C" w:rsidRPr="2AA1CA0C">
        <w:rPr>
          <w:color w:val="auto"/>
        </w:rPr>
        <w:t>,</w:t>
      </w:r>
      <w:r w:rsidR="009A562C" w:rsidRPr="2AA1CA0C">
        <w:rPr>
          <w:color w:val="auto"/>
        </w:rPr>
        <w:t xml:space="preserve"> there is a high degree of uncertainty in the longer-term cost-effectiveness results.</w:t>
      </w:r>
      <w:r w:rsidR="00F923AD" w:rsidRPr="2AA1CA0C">
        <w:rPr>
          <w:color w:val="auto"/>
        </w:rPr>
        <w:t xml:space="preserve"> </w:t>
      </w:r>
      <w:r w:rsidR="00784198" w:rsidRPr="2AA1CA0C">
        <w:rPr>
          <w:color w:val="auto"/>
        </w:rPr>
        <w:t>The</w:t>
      </w:r>
      <w:r w:rsidR="0076638C" w:rsidRPr="2AA1CA0C">
        <w:rPr>
          <w:color w:val="auto"/>
        </w:rPr>
        <w:t xml:space="preserve"> impact of baseline BMI on longer-term weight loss outcomes is unclear</w:t>
      </w:r>
      <w:r w:rsidR="00C478F8" w:rsidRPr="2AA1CA0C">
        <w:rPr>
          <w:color w:val="auto"/>
        </w:rPr>
        <w:t>,</w:t>
      </w:r>
      <w:r w:rsidR="0076638C" w:rsidRPr="2AA1CA0C">
        <w:rPr>
          <w:color w:val="auto"/>
        </w:rPr>
        <w:t xml:space="preserve"> thus the relative </w:t>
      </w:r>
      <w:r w:rsidR="006F3A6D" w:rsidRPr="2AA1CA0C">
        <w:rPr>
          <w:color w:val="auto"/>
        </w:rPr>
        <w:t>applicability of these assumptions across the 2 models</w:t>
      </w:r>
      <w:r w:rsidR="0076638C" w:rsidRPr="2AA1CA0C">
        <w:rPr>
          <w:color w:val="auto"/>
        </w:rPr>
        <w:t xml:space="preserve"> </w:t>
      </w:r>
      <w:r w:rsidR="002931CB" w:rsidRPr="2AA1CA0C">
        <w:rPr>
          <w:color w:val="auto"/>
        </w:rPr>
        <w:t>may differ,</w:t>
      </w:r>
      <w:r w:rsidR="00A2440D" w:rsidRPr="2AA1CA0C">
        <w:rPr>
          <w:color w:val="auto"/>
        </w:rPr>
        <w:t xml:space="preserve"> </w:t>
      </w:r>
      <w:r w:rsidR="000340C4" w:rsidRPr="2AA1CA0C">
        <w:rPr>
          <w:color w:val="auto"/>
        </w:rPr>
        <w:t xml:space="preserve">requiring </w:t>
      </w:r>
      <w:r w:rsidR="00B52C21" w:rsidRPr="2AA1CA0C">
        <w:rPr>
          <w:color w:val="auto"/>
        </w:rPr>
        <w:t xml:space="preserve">further investigation to assess how baseline BMI influences </w:t>
      </w:r>
      <w:r w:rsidR="00F74F98" w:rsidRPr="2AA1CA0C">
        <w:rPr>
          <w:color w:val="auto"/>
        </w:rPr>
        <w:t xml:space="preserve">the effectiveness and sustainability of weight loss intervention over time. </w:t>
      </w:r>
    </w:p>
    <w:p w14:paraId="3C88D1AB" w14:textId="438290D3" w:rsidR="00F64D36" w:rsidRDefault="00784198" w:rsidP="2AA1CA0C">
      <w:pPr>
        <w:pStyle w:val="Instructionaltext"/>
        <w:rPr>
          <w:color w:val="000000" w:themeColor="text1"/>
        </w:rPr>
      </w:pPr>
      <w:r w:rsidRPr="2AA1CA0C">
        <w:rPr>
          <w:color w:val="000000" w:themeColor="text1"/>
        </w:rPr>
        <w:t>Moreover, w</w:t>
      </w:r>
      <w:r w:rsidR="003A7A73" w:rsidRPr="2AA1CA0C">
        <w:rPr>
          <w:color w:val="000000" w:themeColor="text1"/>
        </w:rPr>
        <w:t>eigh</w:t>
      </w:r>
      <w:r w:rsidR="00D93AAB" w:rsidRPr="2AA1CA0C">
        <w:rPr>
          <w:color w:val="000000" w:themeColor="text1"/>
        </w:rPr>
        <w:t xml:space="preserve">t </w:t>
      </w:r>
      <w:r w:rsidR="002931CB" w:rsidRPr="2AA1CA0C">
        <w:rPr>
          <w:color w:val="000000" w:themeColor="text1"/>
        </w:rPr>
        <w:t>re</w:t>
      </w:r>
      <w:r w:rsidR="00400908" w:rsidRPr="2AA1CA0C">
        <w:rPr>
          <w:color w:val="000000" w:themeColor="text1"/>
        </w:rPr>
        <w:t>-</w:t>
      </w:r>
      <w:r w:rsidR="002931CB" w:rsidRPr="2AA1CA0C">
        <w:rPr>
          <w:color w:val="000000" w:themeColor="text1"/>
        </w:rPr>
        <w:t>gain</w:t>
      </w:r>
      <w:r w:rsidR="001836E6" w:rsidRPr="2AA1CA0C">
        <w:rPr>
          <w:color w:val="000000" w:themeColor="text1"/>
        </w:rPr>
        <w:t xml:space="preserve"> or treatment failure </w:t>
      </w:r>
      <w:r w:rsidR="0036170A" w:rsidRPr="2AA1CA0C">
        <w:rPr>
          <w:color w:val="000000" w:themeColor="text1"/>
        </w:rPr>
        <w:t xml:space="preserve">is not currently accounted </w:t>
      </w:r>
      <w:r w:rsidR="005C1DB8" w:rsidRPr="2AA1CA0C">
        <w:rPr>
          <w:color w:val="000000" w:themeColor="text1"/>
        </w:rPr>
        <w:t xml:space="preserve">for </w:t>
      </w:r>
      <w:r w:rsidR="0036170A" w:rsidRPr="2AA1CA0C">
        <w:rPr>
          <w:color w:val="000000" w:themeColor="text1"/>
        </w:rPr>
        <w:t>in the model</w:t>
      </w:r>
      <w:r w:rsidR="0022187C" w:rsidRPr="2AA1CA0C">
        <w:rPr>
          <w:color w:val="000000" w:themeColor="text1"/>
        </w:rPr>
        <w:t xml:space="preserve">, even </w:t>
      </w:r>
      <w:r w:rsidR="00681DA2" w:rsidRPr="2AA1CA0C">
        <w:rPr>
          <w:color w:val="000000" w:themeColor="text1"/>
        </w:rPr>
        <w:t>though it can be managed clinically.</w:t>
      </w:r>
      <w:r w:rsidR="00AA2E31" w:rsidRPr="2AA1CA0C">
        <w:rPr>
          <w:color w:val="000000" w:themeColor="text1"/>
        </w:rPr>
        <w:t xml:space="preserve"> </w:t>
      </w:r>
      <w:r w:rsidR="00E517F3" w:rsidRPr="2AA1CA0C">
        <w:rPr>
          <w:color w:val="000000" w:themeColor="text1"/>
        </w:rPr>
        <w:t xml:space="preserve">A study by </w:t>
      </w:r>
      <w:r w:rsidR="00CD74EC" w:rsidRPr="2AA1CA0C">
        <w:rPr>
          <w:rFonts w:eastAsia="Montserrat" w:cs="Montserrat"/>
          <w:color w:val="000000" w:themeColor="text1"/>
        </w:rPr>
        <w:t xml:space="preserve">Alhayo and Devadas </w:t>
      </w:r>
      <w:r w:rsidR="00603AE3" w:rsidRPr="2AA1CA0C">
        <w:rPr>
          <w:rFonts w:eastAsia="Montserrat" w:cs="Montserrat"/>
          <w:color w:val="000000" w:themeColor="text1"/>
        </w:rPr>
        <w:t xml:space="preserve">in </w:t>
      </w:r>
      <w:r w:rsidR="00CD74EC" w:rsidRPr="2AA1CA0C">
        <w:rPr>
          <w:rFonts w:eastAsia="Montserrat" w:cs="Montserrat"/>
          <w:color w:val="000000" w:themeColor="text1"/>
        </w:rPr>
        <w:t>2019</w:t>
      </w:r>
      <w:r w:rsidR="00603AE3" w:rsidRPr="2AA1CA0C">
        <w:rPr>
          <w:rFonts w:eastAsia="Montserrat" w:cs="Montserrat"/>
          <w:color w:val="000000" w:themeColor="text1"/>
        </w:rPr>
        <w:t xml:space="preserve"> </w:t>
      </w:r>
      <w:r w:rsidRPr="2AA1CA0C">
        <w:rPr>
          <w:rStyle w:val="FootnoteReference"/>
          <w:rFonts w:eastAsia="Montserrat" w:cs="Montserrat"/>
          <w:color w:val="000000" w:themeColor="text1"/>
        </w:rPr>
        <w:footnoteReference w:id="49"/>
      </w:r>
      <w:r w:rsidR="00CD74EC" w:rsidRPr="2AA1CA0C">
        <w:rPr>
          <w:rFonts w:ascii="Montserrat" w:eastAsia="Montserrat" w:hAnsi="Montserrat" w:cs="Montserrat"/>
          <w:i/>
          <w:iCs/>
          <w:color w:val="000000" w:themeColor="text1"/>
          <w:sz w:val="18"/>
          <w:szCs w:val="18"/>
        </w:rPr>
        <w:t xml:space="preserve"> </w:t>
      </w:r>
      <w:r w:rsidR="003102A1" w:rsidRPr="2AA1CA0C">
        <w:rPr>
          <w:color w:val="000000" w:themeColor="text1"/>
        </w:rPr>
        <w:t xml:space="preserve">discussed </w:t>
      </w:r>
      <w:r w:rsidR="005C1DB8" w:rsidRPr="2AA1CA0C">
        <w:rPr>
          <w:color w:val="000000" w:themeColor="text1"/>
        </w:rPr>
        <w:t xml:space="preserve">an </w:t>
      </w:r>
      <w:r w:rsidR="005501B5" w:rsidRPr="2AA1CA0C">
        <w:rPr>
          <w:color w:val="000000" w:themeColor="text1"/>
        </w:rPr>
        <w:t xml:space="preserve">ESG failure rate </w:t>
      </w:r>
      <w:r w:rsidR="005C1DB8" w:rsidRPr="2AA1CA0C">
        <w:rPr>
          <w:color w:val="000000" w:themeColor="text1"/>
        </w:rPr>
        <w:t xml:space="preserve">of </w:t>
      </w:r>
      <w:r w:rsidR="006973B7" w:rsidRPr="2AA1CA0C">
        <w:rPr>
          <w:color w:val="000000" w:themeColor="text1"/>
        </w:rPr>
        <w:t>50</w:t>
      </w:r>
      <w:r w:rsidR="005C1DB8" w:rsidRPr="2AA1CA0C">
        <w:rPr>
          <w:color w:val="000000" w:themeColor="text1"/>
        </w:rPr>
        <w:t>–</w:t>
      </w:r>
      <w:r w:rsidR="003A0819" w:rsidRPr="2AA1CA0C">
        <w:rPr>
          <w:color w:val="000000" w:themeColor="text1"/>
        </w:rPr>
        <w:t>90</w:t>
      </w:r>
      <w:r w:rsidR="006973B7" w:rsidRPr="2AA1CA0C">
        <w:rPr>
          <w:color w:val="000000" w:themeColor="text1"/>
        </w:rPr>
        <w:t>%</w:t>
      </w:r>
      <w:r w:rsidR="000C4779" w:rsidRPr="2AA1CA0C">
        <w:rPr>
          <w:color w:val="000000" w:themeColor="text1"/>
        </w:rPr>
        <w:t xml:space="preserve">. As such, it is essential to include procedure </w:t>
      </w:r>
      <w:r w:rsidR="00CD0E09" w:rsidRPr="2AA1CA0C">
        <w:rPr>
          <w:color w:val="000000" w:themeColor="text1"/>
        </w:rPr>
        <w:t xml:space="preserve">failure as a parameter in the model, reflecting </w:t>
      </w:r>
      <w:r w:rsidR="00AD1B5F" w:rsidRPr="2AA1CA0C">
        <w:rPr>
          <w:color w:val="000000" w:themeColor="text1"/>
        </w:rPr>
        <w:t xml:space="preserve">its associated costs and QALYs. </w:t>
      </w:r>
    </w:p>
    <w:p w14:paraId="515F6BE4" w14:textId="1457A6F8" w:rsidR="00E875AE" w:rsidRPr="007D18A3" w:rsidRDefault="00E875AE" w:rsidP="004C29D3">
      <w:pPr>
        <w:pStyle w:val="Heading4"/>
      </w:pPr>
      <w:bookmarkStart w:id="87" w:name="Title_Table5"/>
      <w:bookmarkStart w:id="88" w:name="_Ref69725870"/>
      <w:bookmarkEnd w:id="87"/>
      <w:r w:rsidRPr="007D18A3">
        <w:t>H</w:t>
      </w:r>
      <w:bookmarkStart w:id="89" w:name="_Ref187231818"/>
      <w:r w:rsidRPr="007D18A3">
        <w:t>e</w:t>
      </w:r>
      <w:bookmarkEnd w:id="89"/>
      <w:r w:rsidRPr="007D18A3">
        <w:t>alth outcomes</w:t>
      </w:r>
      <w:r w:rsidR="004B6182">
        <w:t xml:space="preserve"> </w:t>
      </w:r>
    </w:p>
    <w:p w14:paraId="3B5C2303" w14:textId="15A927EC" w:rsidR="00F3040F" w:rsidRDefault="004C18FB" w:rsidP="005943EB">
      <w:r w:rsidRPr="2AA1CA0C">
        <w:t xml:space="preserve">In the base case analysis, </w:t>
      </w:r>
      <w:r w:rsidR="00500481" w:rsidRPr="2AA1CA0C">
        <w:t xml:space="preserve">health state utilities were derived from the </w:t>
      </w:r>
      <w:r w:rsidR="000E2ED1" w:rsidRPr="2AA1CA0C">
        <w:t xml:space="preserve">study </w:t>
      </w:r>
      <w:r w:rsidR="000E2ED1">
        <w:t xml:space="preserve">by </w:t>
      </w:r>
      <w:r w:rsidR="000E2ED1" w:rsidRPr="2AA1CA0C">
        <w:t xml:space="preserve">Kelly </w:t>
      </w:r>
      <w:r w:rsidR="00500481" w:rsidRPr="2AA1CA0C">
        <w:t>et al</w:t>
      </w:r>
      <w:r w:rsidR="00F87B36" w:rsidRPr="2AA1CA0C">
        <w:t>. which is based primarily on the MERIT trial</w:t>
      </w:r>
      <w:r w:rsidR="00500481" w:rsidRPr="2AA1CA0C">
        <w:t>.</w:t>
      </w:r>
      <w:r w:rsidR="007B3016" w:rsidRPr="2AA1CA0C">
        <w:t xml:space="preserve"> </w:t>
      </w:r>
      <w:bookmarkStart w:id="90" w:name="_Ref187231833"/>
      <w:r w:rsidR="004A708C" w:rsidRPr="2AA1CA0C">
        <w:rPr>
          <w:rStyle w:val="FootnoteReference"/>
        </w:rPr>
        <w:footnoteReference w:id="50"/>
      </w:r>
      <w:bookmarkEnd w:id="90"/>
      <w:r w:rsidR="007D5951" w:rsidRPr="2AA1CA0C">
        <w:t xml:space="preserve"> </w:t>
      </w:r>
      <w:r w:rsidR="00A00C50" w:rsidRPr="2AA1CA0C">
        <w:t>Equivalent u</w:t>
      </w:r>
      <w:r w:rsidR="001814B5" w:rsidRPr="2AA1CA0C">
        <w:t xml:space="preserve">tility </w:t>
      </w:r>
      <w:r w:rsidR="004F5226" w:rsidRPr="2AA1CA0C">
        <w:t>value</w:t>
      </w:r>
      <w:r w:rsidR="00D51C77" w:rsidRPr="2AA1CA0C">
        <w:t>s</w:t>
      </w:r>
      <w:r w:rsidR="004F5226" w:rsidRPr="2AA1CA0C">
        <w:t xml:space="preserve"> </w:t>
      </w:r>
      <w:r w:rsidR="00A00C50" w:rsidRPr="2AA1CA0C">
        <w:t xml:space="preserve">were </w:t>
      </w:r>
      <w:r w:rsidR="005943EB" w:rsidRPr="2AA1CA0C">
        <w:t>used</w:t>
      </w:r>
      <w:r w:rsidR="00A00C50" w:rsidRPr="2AA1CA0C">
        <w:t xml:space="preserve"> </w:t>
      </w:r>
      <w:r w:rsidR="004F5226" w:rsidRPr="2AA1CA0C">
        <w:t xml:space="preserve">for both </w:t>
      </w:r>
      <w:r w:rsidR="00E314E3" w:rsidRPr="2AA1CA0C">
        <w:t xml:space="preserve">the </w:t>
      </w:r>
      <w:r w:rsidR="004F5226" w:rsidRPr="2AA1CA0C">
        <w:t xml:space="preserve">intervention and control </w:t>
      </w:r>
      <w:r w:rsidR="00A00C50" w:rsidRPr="2AA1CA0C">
        <w:t>arm</w:t>
      </w:r>
      <w:r w:rsidR="00D51C77" w:rsidRPr="2AA1CA0C">
        <w:t>s,</w:t>
      </w:r>
      <w:r w:rsidR="00A00C50" w:rsidRPr="2AA1CA0C">
        <w:t xml:space="preserve"> </w:t>
      </w:r>
      <w:r w:rsidR="006B27F7" w:rsidRPr="2AA1CA0C">
        <w:t>based on the model health states</w:t>
      </w:r>
      <w:r w:rsidR="0083518A" w:rsidRPr="2AA1CA0C">
        <w:t xml:space="preserve">, </w:t>
      </w:r>
      <w:r w:rsidR="00C50067" w:rsidRPr="2AA1CA0C">
        <w:t xml:space="preserve">despite </w:t>
      </w:r>
      <w:r w:rsidR="0083518A" w:rsidRPr="2AA1CA0C">
        <w:t>comparative QoL data having been collected in</w:t>
      </w:r>
      <w:r w:rsidR="008626BC" w:rsidRPr="2AA1CA0C">
        <w:t xml:space="preserve"> </w:t>
      </w:r>
      <w:r w:rsidR="008E5D24" w:rsidRPr="2AA1CA0C">
        <w:t xml:space="preserve">the </w:t>
      </w:r>
      <w:r w:rsidR="008626BC" w:rsidRPr="2AA1CA0C">
        <w:t xml:space="preserve">MERIT trial. </w:t>
      </w:r>
      <w:r w:rsidR="00060F32" w:rsidRPr="2AA1CA0C">
        <w:t xml:space="preserve">In the </w:t>
      </w:r>
      <w:r w:rsidR="00AA5B1F" w:rsidRPr="2AA1CA0C">
        <w:t xml:space="preserve">sensitivity analyses, </w:t>
      </w:r>
      <w:r w:rsidR="00687123" w:rsidRPr="2AA1CA0C">
        <w:t>alt</w:t>
      </w:r>
      <w:r w:rsidR="000B2035" w:rsidRPr="2AA1CA0C">
        <w:t xml:space="preserve">ernate </w:t>
      </w:r>
      <w:r w:rsidR="000810D4" w:rsidRPr="2AA1CA0C">
        <w:t>literature</w:t>
      </w:r>
      <w:r w:rsidR="0060373E" w:rsidRPr="2AA1CA0C">
        <w:t>-</w:t>
      </w:r>
      <w:r w:rsidR="0083121A" w:rsidRPr="2AA1CA0C">
        <w:t xml:space="preserve">based </w:t>
      </w:r>
      <w:r w:rsidR="00C7072E" w:rsidRPr="2AA1CA0C">
        <w:t xml:space="preserve">sources were </w:t>
      </w:r>
      <w:r w:rsidR="005334D5" w:rsidRPr="2AA1CA0C">
        <w:t>applied</w:t>
      </w:r>
      <w:r w:rsidR="00604C40" w:rsidRPr="2AA1CA0C">
        <w:t xml:space="preserve">. </w:t>
      </w:r>
      <w:r w:rsidR="00D651B2" w:rsidRPr="2AA1CA0C">
        <w:t>The model</w:t>
      </w:r>
      <w:r w:rsidR="00E86CD2">
        <w:t>led ICERs</w:t>
      </w:r>
      <w:r w:rsidR="009019F5" w:rsidRPr="2AA1CA0C">
        <w:t xml:space="preserve"> </w:t>
      </w:r>
      <w:r w:rsidR="00060F2F">
        <w:t>in these analyses</w:t>
      </w:r>
      <w:r w:rsidR="00C3543B" w:rsidRPr="2AA1CA0C">
        <w:t xml:space="preserve"> </w:t>
      </w:r>
      <w:r w:rsidR="00E86CD2">
        <w:t xml:space="preserve">were </w:t>
      </w:r>
      <w:r w:rsidR="00B53A1F" w:rsidRPr="2AA1CA0C">
        <w:t>significant</w:t>
      </w:r>
      <w:r w:rsidR="008E6A99" w:rsidRPr="2AA1CA0C">
        <w:t xml:space="preserve">ly higher </w:t>
      </w:r>
      <w:r w:rsidR="00DB2086">
        <w:t>than</w:t>
      </w:r>
      <w:r w:rsidR="001763A6">
        <w:t xml:space="preserve"> </w:t>
      </w:r>
      <w:r w:rsidR="00DB2086">
        <w:t>in</w:t>
      </w:r>
      <w:r w:rsidR="008E6A99" w:rsidRPr="2AA1CA0C">
        <w:t xml:space="preserve"> </w:t>
      </w:r>
      <w:r w:rsidR="00882698" w:rsidRPr="2AA1CA0C">
        <w:t xml:space="preserve">the </w:t>
      </w:r>
      <w:r w:rsidR="008E6A99" w:rsidRPr="2AA1CA0C">
        <w:t>base case</w:t>
      </w:r>
      <w:r w:rsidR="00DB2086">
        <w:t xml:space="preserve"> analysis</w:t>
      </w:r>
      <w:r w:rsidR="008E6A99" w:rsidRPr="2AA1CA0C">
        <w:t xml:space="preserve">. </w:t>
      </w:r>
    </w:p>
    <w:p w14:paraId="5D910A0F" w14:textId="5151606F" w:rsidR="001274B6" w:rsidRDefault="00F9693A" w:rsidP="000A1DC8">
      <w:r w:rsidRPr="2AA1CA0C">
        <w:t xml:space="preserve">A </w:t>
      </w:r>
      <w:r w:rsidR="009F0267" w:rsidRPr="2AA1CA0C">
        <w:t xml:space="preserve">limited number of </w:t>
      </w:r>
      <w:r w:rsidRPr="2AA1CA0C">
        <w:t>AEs</w:t>
      </w:r>
      <w:r w:rsidR="009F0267" w:rsidRPr="2AA1CA0C">
        <w:t xml:space="preserve"> </w:t>
      </w:r>
      <w:r w:rsidR="00A6157A" w:rsidRPr="2AA1CA0C">
        <w:t>comprising</w:t>
      </w:r>
      <w:r w:rsidR="005D22F4" w:rsidRPr="2AA1CA0C">
        <w:t xml:space="preserve"> </w:t>
      </w:r>
      <w:r w:rsidR="00BF6F6D" w:rsidRPr="2AA1CA0C">
        <w:t xml:space="preserve">upper </w:t>
      </w:r>
      <w:r w:rsidR="00882698" w:rsidRPr="2AA1CA0C">
        <w:t xml:space="preserve">GI </w:t>
      </w:r>
      <w:r w:rsidR="00BF6F6D" w:rsidRPr="2AA1CA0C">
        <w:t>bleed, nausea/vomiting/pain and perigastric leak were considered in the model; however, bridging fibrosis, pulmonary embolism, stomach tears</w:t>
      </w:r>
      <w:r w:rsidR="00882698" w:rsidRPr="2AA1CA0C">
        <w:t xml:space="preserve"> and</w:t>
      </w:r>
      <w:r w:rsidR="00BF6F6D" w:rsidRPr="2AA1CA0C">
        <w:t xml:space="preserve"> infection were excluded, without clear reason. </w:t>
      </w:r>
      <w:r w:rsidR="009A028A" w:rsidRPr="2AA1CA0C">
        <w:t xml:space="preserve">This biases the </w:t>
      </w:r>
      <w:r w:rsidRPr="2AA1CA0C">
        <w:t>CUA</w:t>
      </w:r>
      <w:r w:rsidR="009A028A" w:rsidRPr="2AA1CA0C">
        <w:t xml:space="preserve"> </w:t>
      </w:r>
      <w:r w:rsidR="00CF50BD" w:rsidRPr="2AA1CA0C">
        <w:t>towards cost-effectiveness</w:t>
      </w:r>
      <w:r w:rsidRPr="2AA1CA0C">
        <w:t>,</w:t>
      </w:r>
      <w:r w:rsidR="00CF50BD" w:rsidRPr="2AA1CA0C">
        <w:t xml:space="preserve"> due to under</w:t>
      </w:r>
      <w:r w:rsidRPr="2AA1CA0C">
        <w:t>-</w:t>
      </w:r>
      <w:r w:rsidR="00CF50BD" w:rsidRPr="2AA1CA0C">
        <w:t xml:space="preserve">reporting of serious </w:t>
      </w:r>
      <w:r w:rsidRPr="2AA1CA0C">
        <w:t>AEs</w:t>
      </w:r>
      <w:r w:rsidR="00CF50BD" w:rsidRPr="2AA1CA0C">
        <w:t xml:space="preserve">. </w:t>
      </w:r>
      <w:r w:rsidR="000B0D16" w:rsidRPr="2AA1CA0C">
        <w:t xml:space="preserve">The ADAR </w:t>
      </w:r>
      <w:r w:rsidR="008B20C1" w:rsidRPr="2AA1CA0C">
        <w:t xml:space="preserve">used </w:t>
      </w:r>
      <w:r w:rsidR="008B20C1">
        <w:t xml:space="preserve">a </w:t>
      </w:r>
      <w:r w:rsidR="008B20C1" w:rsidRPr="2AA1CA0C">
        <w:t>meta-analysis of single</w:t>
      </w:r>
      <w:r w:rsidR="008B20C1">
        <w:t>-</w:t>
      </w:r>
      <w:r w:rsidR="008B20C1" w:rsidRPr="2AA1CA0C">
        <w:t xml:space="preserve">arm studies was used to inform AE incidence given the small sample size in </w:t>
      </w:r>
      <w:r w:rsidR="008B20C1">
        <w:t xml:space="preserve">the </w:t>
      </w:r>
      <w:r w:rsidR="008B20C1" w:rsidRPr="2AA1CA0C">
        <w:t xml:space="preserve">MERIT </w:t>
      </w:r>
      <w:r w:rsidR="000B0D16" w:rsidRPr="2AA1CA0C">
        <w:t>trial.</w:t>
      </w:r>
    </w:p>
    <w:p w14:paraId="569CA0CB" w14:textId="5DE199B5" w:rsidR="006929D3" w:rsidRPr="00851D86" w:rsidRDefault="006B4719" w:rsidP="00A4073D">
      <w:pPr>
        <w:pStyle w:val="Heading5"/>
        <w:rPr>
          <w:b/>
          <w:i/>
          <w:color w:val="auto"/>
          <w:sz w:val="24"/>
          <w:szCs w:val="24"/>
        </w:rPr>
      </w:pPr>
      <w:r w:rsidRPr="00851D86">
        <w:rPr>
          <w:b/>
          <w:i/>
          <w:color w:val="auto"/>
          <w:sz w:val="24"/>
          <w:szCs w:val="24"/>
        </w:rPr>
        <w:t xml:space="preserve">Adverse event </w:t>
      </w:r>
      <w:r w:rsidR="00947042" w:rsidRPr="00947042">
        <w:rPr>
          <w:b/>
          <w:bCs/>
          <w:i/>
          <w:iCs/>
          <w:color w:val="auto"/>
          <w:sz w:val="24"/>
          <w:szCs w:val="24"/>
        </w:rPr>
        <w:t>disutility</w:t>
      </w:r>
      <w:r w:rsidR="00A4073D" w:rsidRPr="00851D86">
        <w:rPr>
          <w:b/>
          <w:i/>
          <w:color w:val="auto"/>
          <w:sz w:val="24"/>
          <w:szCs w:val="24"/>
        </w:rPr>
        <w:t xml:space="preserve"> </w:t>
      </w:r>
    </w:p>
    <w:p w14:paraId="4F92B64C" w14:textId="364D007F" w:rsidR="00024277" w:rsidRPr="00B66CE0" w:rsidRDefault="00516647" w:rsidP="2AA1CA0C">
      <w:r w:rsidRPr="2AA1CA0C">
        <w:t>In the ADAR</w:t>
      </w:r>
      <w:r w:rsidR="00882698" w:rsidRPr="2AA1CA0C">
        <w:t>,</w:t>
      </w:r>
      <w:r w:rsidR="001C73EE" w:rsidRPr="2AA1CA0C">
        <w:t xml:space="preserve"> the </w:t>
      </w:r>
      <w:r w:rsidR="009F1694" w:rsidRPr="2AA1CA0C">
        <w:t>utility decrements associated with serious AE</w:t>
      </w:r>
      <w:r w:rsidR="00001AC5" w:rsidRPr="2AA1CA0C">
        <w:t>s</w:t>
      </w:r>
      <w:r w:rsidR="009F1694" w:rsidRPr="2AA1CA0C">
        <w:t xml:space="preserve"> </w:t>
      </w:r>
      <w:r w:rsidR="008B2DAE" w:rsidRPr="2AA1CA0C">
        <w:t>are considered separately f</w:t>
      </w:r>
      <w:r w:rsidR="00001AC5" w:rsidRPr="2AA1CA0C">
        <w:t>ro</w:t>
      </w:r>
      <w:r w:rsidR="008B2DAE" w:rsidRPr="2AA1CA0C">
        <w:t xml:space="preserve">m the health </w:t>
      </w:r>
      <w:r w:rsidR="00C2359A" w:rsidRPr="2AA1CA0C">
        <w:t>state utilities.</w:t>
      </w:r>
      <w:r w:rsidR="00B20A75" w:rsidRPr="2AA1CA0C">
        <w:t xml:space="preserve"> The serious AE</w:t>
      </w:r>
      <w:r w:rsidR="00A652ED" w:rsidRPr="2AA1CA0C">
        <w:t>s</w:t>
      </w:r>
      <w:r w:rsidR="00B20A75" w:rsidRPr="2AA1CA0C">
        <w:t xml:space="preserve"> </w:t>
      </w:r>
      <w:r w:rsidR="00BA71B3" w:rsidRPr="2AA1CA0C">
        <w:t xml:space="preserve">included upper GI bleeding, nausea/vomiting/pain and perigastric leak. </w:t>
      </w:r>
      <w:r w:rsidR="006242B5" w:rsidRPr="2AA1CA0C">
        <w:t xml:space="preserve">The incidence of </w:t>
      </w:r>
      <w:r w:rsidR="00BA71B3" w:rsidRPr="2AA1CA0C">
        <w:t xml:space="preserve">each included </w:t>
      </w:r>
      <w:r w:rsidR="00100D24" w:rsidRPr="2AA1CA0C">
        <w:t>procedure</w:t>
      </w:r>
      <w:r w:rsidR="00D42147" w:rsidRPr="2AA1CA0C">
        <w:t>-</w:t>
      </w:r>
      <w:r w:rsidR="00DE2F24" w:rsidRPr="2AA1CA0C">
        <w:t xml:space="preserve">related </w:t>
      </w:r>
      <w:r w:rsidR="00224E00" w:rsidRPr="2AA1CA0C">
        <w:t xml:space="preserve">serious </w:t>
      </w:r>
      <w:r w:rsidR="00D42147" w:rsidRPr="2AA1CA0C">
        <w:t>AE</w:t>
      </w:r>
      <w:r w:rsidR="007C52B3" w:rsidRPr="2AA1CA0C">
        <w:t xml:space="preserve"> </w:t>
      </w:r>
      <w:r w:rsidR="00E04CC1" w:rsidRPr="2AA1CA0C">
        <w:t>was</w:t>
      </w:r>
      <w:r w:rsidR="005C40AB" w:rsidRPr="2AA1CA0C">
        <w:t xml:space="preserve"> </w:t>
      </w:r>
      <w:r w:rsidR="00792527" w:rsidRPr="2AA1CA0C">
        <w:t xml:space="preserve">informed </w:t>
      </w:r>
      <w:r w:rsidR="005513AC" w:rsidRPr="2AA1CA0C">
        <w:t>b</w:t>
      </w:r>
      <w:r w:rsidR="00792527" w:rsidRPr="2AA1CA0C">
        <w:t xml:space="preserve">y </w:t>
      </w:r>
      <w:r w:rsidR="002B540F" w:rsidRPr="2AA1CA0C">
        <w:t>a meta-analysis of</w:t>
      </w:r>
      <w:r w:rsidR="00792527" w:rsidRPr="2AA1CA0C">
        <w:t xml:space="preserve"> single-arm </w:t>
      </w:r>
      <w:r w:rsidR="002B540F" w:rsidRPr="2AA1CA0C">
        <w:t>studies</w:t>
      </w:r>
      <w:r w:rsidR="006E79A6" w:rsidRPr="2AA1CA0C">
        <w:t>.</w:t>
      </w:r>
      <w:r w:rsidR="001D7DDA" w:rsidRPr="2AA1CA0C">
        <w:t xml:space="preserve"> </w:t>
      </w:r>
      <w:r w:rsidR="0040608F" w:rsidRPr="2AA1CA0C">
        <w:t>This was due to the larger</w:t>
      </w:r>
      <w:r w:rsidR="00BE7589" w:rsidRPr="2AA1CA0C">
        <w:t xml:space="preserve"> sample size</w:t>
      </w:r>
      <w:r w:rsidR="00143730" w:rsidRPr="2AA1CA0C">
        <w:t>,</w:t>
      </w:r>
      <w:r w:rsidR="00BE7589" w:rsidRPr="2AA1CA0C">
        <w:t xml:space="preserve"> </w:t>
      </w:r>
      <w:r w:rsidR="00143730" w:rsidRPr="2AA1CA0C">
        <w:t xml:space="preserve">which </w:t>
      </w:r>
      <w:r w:rsidR="00BE7589" w:rsidRPr="2AA1CA0C">
        <w:t xml:space="preserve">captured </w:t>
      </w:r>
      <w:r w:rsidR="00A413E5" w:rsidRPr="2AA1CA0C">
        <w:t xml:space="preserve">rarer </w:t>
      </w:r>
      <w:r w:rsidR="00143730" w:rsidRPr="2AA1CA0C">
        <w:t>AEs</w:t>
      </w:r>
      <w:r w:rsidR="00A413E5" w:rsidRPr="2AA1CA0C">
        <w:t xml:space="preserve"> than t</w:t>
      </w:r>
      <w:r w:rsidR="00143730" w:rsidRPr="2AA1CA0C">
        <w:t>hose</w:t>
      </w:r>
      <w:r w:rsidR="00A413E5" w:rsidRPr="2AA1CA0C">
        <w:t xml:space="preserve"> </w:t>
      </w:r>
      <w:r w:rsidR="00CA3466" w:rsidRPr="2AA1CA0C">
        <w:t xml:space="preserve">reported in the MERIT trial. </w:t>
      </w:r>
      <w:r w:rsidR="00024277" w:rsidRPr="2AA1CA0C">
        <w:t xml:space="preserve">The </w:t>
      </w:r>
      <w:r w:rsidR="00FD6F84" w:rsidRPr="2AA1CA0C">
        <w:t>assessment</w:t>
      </w:r>
      <w:r w:rsidR="00024277" w:rsidRPr="2AA1CA0C">
        <w:t xml:space="preserve"> group noted that </w:t>
      </w:r>
      <w:r w:rsidR="003703AA" w:rsidRPr="2AA1CA0C">
        <w:t>onl</w:t>
      </w:r>
      <w:r w:rsidR="001B3FA9" w:rsidRPr="2AA1CA0C">
        <w:t xml:space="preserve">y </w:t>
      </w:r>
      <w:r w:rsidR="00EE48DF" w:rsidRPr="2AA1CA0C">
        <w:t>a select number of AEs reported in the meta-analyses</w:t>
      </w:r>
      <w:r w:rsidR="003B7A6E" w:rsidRPr="2AA1CA0C">
        <w:t xml:space="preserve"> (Section 8)</w:t>
      </w:r>
      <w:r w:rsidR="00EE48DF" w:rsidRPr="2AA1CA0C">
        <w:t xml:space="preserve"> source documents are </w:t>
      </w:r>
      <w:r w:rsidR="003B7A6E" w:rsidRPr="2AA1CA0C">
        <w:t>included.</w:t>
      </w:r>
      <w:r w:rsidR="00B66CE0" w:rsidRPr="2AA1CA0C">
        <w:t xml:space="preserve"> For example,</w:t>
      </w:r>
      <w:r w:rsidR="00765B52" w:rsidRPr="2AA1CA0C">
        <w:t xml:space="preserve"> unreported </w:t>
      </w:r>
      <w:r w:rsidR="00682D5F" w:rsidRPr="2AA1CA0C">
        <w:t xml:space="preserve">serious AEs </w:t>
      </w:r>
      <w:r w:rsidR="00765B52" w:rsidRPr="2AA1CA0C">
        <w:t>from</w:t>
      </w:r>
      <w:r w:rsidR="00B66CE0" w:rsidRPr="2AA1CA0C">
        <w:t xml:space="preserve"> </w:t>
      </w:r>
      <w:r w:rsidR="008D58DA" w:rsidRPr="2AA1CA0C">
        <w:t xml:space="preserve">the study by </w:t>
      </w:r>
      <w:r w:rsidR="00B66CE0" w:rsidRPr="2AA1CA0C">
        <w:t xml:space="preserve">Hedjoudie, Abu Dayyeh et al. </w:t>
      </w:r>
      <w:r w:rsidR="005A4D85" w:rsidRPr="2AA1CA0C">
        <w:t>in</w:t>
      </w:r>
      <w:r w:rsidR="007C4678" w:rsidRPr="2AA1CA0C">
        <w:t xml:space="preserve"> 202</w:t>
      </w:r>
      <w:r w:rsidR="00A90DD8" w:rsidRPr="2AA1CA0C">
        <w:t>0 co</w:t>
      </w:r>
      <w:r w:rsidR="00B66CE0" w:rsidRPr="2AA1CA0C">
        <w:t>mprise pulmonary embolism (0.06%, n = 1) and pneumoperitoneum (0.06%, n = 1)</w:t>
      </w:r>
      <w:r w:rsidR="00857A4A" w:rsidRPr="2AA1CA0C">
        <w:t>.</w:t>
      </w:r>
      <w:r w:rsidR="00B6450D" w:rsidRPr="2AA1CA0C">
        <w:t xml:space="preserve"> </w:t>
      </w:r>
      <w:bookmarkStart w:id="91" w:name="_Ref187230197"/>
      <w:r w:rsidRPr="2AA1CA0C">
        <w:rPr>
          <w:rStyle w:val="FootnoteReference"/>
        </w:rPr>
        <w:footnoteReference w:id="51"/>
      </w:r>
      <w:bookmarkEnd w:id="91"/>
      <w:r w:rsidR="00772BC0" w:rsidRPr="2AA1CA0C">
        <w:t xml:space="preserve"> </w:t>
      </w:r>
      <w:r w:rsidR="00B86D22" w:rsidRPr="2AA1CA0C">
        <w:t>The reason</w:t>
      </w:r>
      <w:r w:rsidR="00992394" w:rsidRPr="2AA1CA0C">
        <w:t>ing</w:t>
      </w:r>
      <w:r w:rsidR="00B86D22" w:rsidRPr="2AA1CA0C">
        <w:t xml:space="preserve"> for the selective inclusion </w:t>
      </w:r>
      <w:r w:rsidR="00111D7B" w:rsidRPr="2AA1CA0C">
        <w:t>of serious AE</w:t>
      </w:r>
      <w:r w:rsidR="004B3EED" w:rsidRPr="2AA1CA0C">
        <w:t>s</w:t>
      </w:r>
      <w:r w:rsidR="00920EA6" w:rsidRPr="2AA1CA0C">
        <w:t xml:space="preserve"> is unclear, as a decision rule is not provided in the text. </w:t>
      </w:r>
      <w:r w:rsidR="00682D5F" w:rsidRPr="2AA1CA0C">
        <w:t xml:space="preserve">In addition, </w:t>
      </w:r>
      <w:r w:rsidR="00B86D22" w:rsidRPr="2AA1CA0C">
        <w:t>the assessment group note</w:t>
      </w:r>
      <w:r w:rsidR="007F2DE0" w:rsidRPr="2AA1CA0C">
        <w:t>d</w:t>
      </w:r>
      <w:r w:rsidR="00B86D22" w:rsidRPr="2AA1CA0C">
        <w:t xml:space="preserve"> that the </w:t>
      </w:r>
      <w:r w:rsidR="00682D5F" w:rsidRPr="2AA1CA0C">
        <w:t>other reviews and meta-analyses on ESG include</w:t>
      </w:r>
      <w:r w:rsidR="00693847" w:rsidRPr="2AA1CA0C">
        <w:t>d</w:t>
      </w:r>
      <w:r w:rsidR="00682D5F" w:rsidRPr="2AA1CA0C">
        <w:t xml:space="preserve"> infection and abscess</w:t>
      </w:r>
      <w:r w:rsidR="008317E9" w:rsidRPr="2AA1CA0C">
        <w:t>es</w:t>
      </w:r>
      <w:r w:rsidR="00682D5F" w:rsidRPr="2AA1CA0C">
        <w:t xml:space="preserve"> (caused by stomach tears from excessive tension around the surgical suture sites) as serious </w:t>
      </w:r>
      <w:r w:rsidR="00920EA6" w:rsidRPr="2AA1CA0C">
        <w:t>AE</w:t>
      </w:r>
      <w:r w:rsidR="008317E9" w:rsidRPr="2AA1CA0C">
        <w:t>s</w:t>
      </w:r>
      <w:r w:rsidR="00C054E6" w:rsidRPr="2AA1CA0C">
        <w:t>.</w:t>
      </w:r>
      <w:r w:rsidRPr="2AA1CA0C">
        <w:rPr>
          <w:vertAlign w:val="superscript"/>
        </w:rPr>
        <w:fldChar w:fldCharType="begin"/>
      </w:r>
      <w:r w:rsidRPr="2AA1CA0C">
        <w:rPr>
          <w:vertAlign w:val="superscript"/>
        </w:rPr>
        <w:instrText xml:space="preserve"> NOTEREF _Ref187069000 \h  \* MERGEFORMAT </w:instrText>
      </w:r>
      <w:r w:rsidRPr="2AA1CA0C">
        <w:rPr>
          <w:vertAlign w:val="superscript"/>
        </w:rPr>
      </w:r>
      <w:r w:rsidRPr="2AA1CA0C">
        <w:rPr>
          <w:vertAlign w:val="superscript"/>
        </w:rPr>
        <w:fldChar w:fldCharType="separate"/>
      </w:r>
      <w:r w:rsidR="008F37D1">
        <w:rPr>
          <w:vertAlign w:val="superscript"/>
        </w:rPr>
        <w:t>31</w:t>
      </w:r>
      <w:r w:rsidRPr="2AA1CA0C">
        <w:rPr>
          <w:vertAlign w:val="superscript"/>
        </w:rPr>
        <w:fldChar w:fldCharType="end"/>
      </w:r>
      <w:r w:rsidR="00221708" w:rsidRPr="2AA1CA0C">
        <w:rPr>
          <w:vertAlign w:val="superscript"/>
        </w:rPr>
        <w:t>,</w:t>
      </w:r>
      <w:r w:rsidR="0080294E" w:rsidRPr="2AA1CA0C">
        <w:rPr>
          <w:vertAlign w:val="superscript"/>
        </w:rPr>
        <w:t xml:space="preserve"> </w:t>
      </w:r>
      <w:r w:rsidRPr="2AA1CA0C">
        <w:rPr>
          <w:vertAlign w:val="superscript"/>
        </w:rPr>
        <w:fldChar w:fldCharType="begin"/>
      </w:r>
      <w:r w:rsidRPr="2AA1CA0C">
        <w:rPr>
          <w:vertAlign w:val="superscript"/>
        </w:rPr>
        <w:instrText xml:space="preserve"> NOTEREF _Ref187230197 \h </w:instrText>
      </w:r>
      <w:r w:rsidRPr="2AA1CA0C">
        <w:rPr>
          <w:vertAlign w:val="superscript"/>
        </w:rPr>
      </w:r>
      <w:r w:rsidRPr="2AA1CA0C">
        <w:rPr>
          <w:vertAlign w:val="superscript"/>
        </w:rPr>
        <w:fldChar w:fldCharType="separate"/>
      </w:r>
      <w:r w:rsidR="008F37D1">
        <w:rPr>
          <w:vertAlign w:val="superscript"/>
        </w:rPr>
        <w:t>50</w:t>
      </w:r>
      <w:r w:rsidRPr="2AA1CA0C">
        <w:rPr>
          <w:vertAlign w:val="superscript"/>
        </w:rPr>
        <w:fldChar w:fldCharType="end"/>
      </w:r>
      <w:r w:rsidR="0080294E" w:rsidRPr="2AA1CA0C">
        <w:rPr>
          <w:vertAlign w:val="superscript"/>
        </w:rPr>
        <w:t xml:space="preserve">, </w:t>
      </w:r>
      <w:bookmarkStart w:id="92" w:name="_Ref187227341"/>
      <w:r w:rsidRPr="2AA1CA0C">
        <w:rPr>
          <w:rStyle w:val="FootnoteReference"/>
        </w:rPr>
        <w:footnoteReference w:id="52"/>
      </w:r>
      <w:bookmarkEnd w:id="92"/>
      <w:r w:rsidR="0080294E" w:rsidRPr="2AA1CA0C">
        <w:rPr>
          <w:vertAlign w:val="superscript"/>
        </w:rPr>
        <w:t>,</w:t>
      </w:r>
      <w:r w:rsidR="00D77FF9" w:rsidRPr="2AA1CA0C">
        <w:rPr>
          <w:vertAlign w:val="superscript"/>
        </w:rPr>
        <w:t xml:space="preserve"> </w:t>
      </w:r>
      <w:bookmarkStart w:id="93" w:name="_Ref187227361"/>
      <w:r w:rsidRPr="2AA1CA0C">
        <w:rPr>
          <w:rStyle w:val="FootnoteReference"/>
        </w:rPr>
        <w:footnoteReference w:id="53"/>
      </w:r>
      <w:bookmarkEnd w:id="93"/>
    </w:p>
    <w:p w14:paraId="28EBA122" w14:textId="39ED5B31" w:rsidR="00473424" w:rsidRDefault="000D296A" w:rsidP="000A1DC8">
      <w:r w:rsidRPr="2AA1CA0C">
        <w:t>In the ADAR</w:t>
      </w:r>
      <w:r w:rsidR="00D930F7" w:rsidRPr="2AA1CA0C">
        <w:t>,</w:t>
      </w:r>
      <w:r w:rsidRPr="2AA1CA0C">
        <w:t xml:space="preserve"> the </w:t>
      </w:r>
      <w:r w:rsidR="00516647" w:rsidRPr="2AA1CA0C">
        <w:t>d</w:t>
      </w:r>
      <w:r w:rsidR="00473424" w:rsidRPr="2AA1CA0C">
        <w:t>isutilitie</w:t>
      </w:r>
      <w:r w:rsidR="00E3346E" w:rsidRPr="2AA1CA0C">
        <w:t>s</w:t>
      </w:r>
      <w:r w:rsidR="00473424" w:rsidRPr="2AA1CA0C">
        <w:t xml:space="preserve"> </w:t>
      </w:r>
      <w:r w:rsidR="000A7620" w:rsidRPr="2AA1CA0C">
        <w:t xml:space="preserve">allocated </w:t>
      </w:r>
      <w:r w:rsidR="00473424" w:rsidRPr="2AA1CA0C">
        <w:t>with</w:t>
      </w:r>
      <w:r w:rsidR="00EF42C7" w:rsidRPr="2AA1CA0C">
        <w:t xml:space="preserve"> each included serious</w:t>
      </w:r>
      <w:r w:rsidR="00473424" w:rsidRPr="2AA1CA0C">
        <w:t xml:space="preserve"> AE </w:t>
      </w:r>
      <w:r w:rsidR="00FC375B" w:rsidRPr="2AA1CA0C">
        <w:t>are</w:t>
      </w:r>
      <w:r w:rsidR="00E1122E" w:rsidRPr="2AA1CA0C">
        <w:t xml:space="preserve"> </w:t>
      </w:r>
      <w:r w:rsidR="00473424" w:rsidRPr="2AA1CA0C">
        <w:t xml:space="preserve">sourced from </w:t>
      </w:r>
      <w:r w:rsidR="00D930F7" w:rsidRPr="2AA1CA0C">
        <w:t xml:space="preserve">the </w:t>
      </w:r>
      <w:r w:rsidR="00473424" w:rsidRPr="2AA1CA0C">
        <w:t>published literature</w:t>
      </w:r>
      <w:r w:rsidR="002379C1" w:rsidRPr="2AA1CA0C">
        <w:t xml:space="preserve">. </w:t>
      </w:r>
      <w:r w:rsidR="009E4FE9" w:rsidRPr="2AA1CA0C">
        <w:t xml:space="preserve">The </w:t>
      </w:r>
      <w:r w:rsidR="00B04D51" w:rsidRPr="2AA1CA0C">
        <w:t>d</w:t>
      </w:r>
      <w:r w:rsidR="00461B5C" w:rsidRPr="2AA1CA0C">
        <w:t xml:space="preserve">uration of each </w:t>
      </w:r>
      <w:r w:rsidR="00B04D51" w:rsidRPr="2AA1CA0C">
        <w:t xml:space="preserve">serious </w:t>
      </w:r>
      <w:r w:rsidR="00461B5C" w:rsidRPr="2AA1CA0C">
        <w:t xml:space="preserve">AE </w:t>
      </w:r>
      <w:r w:rsidR="00E537D2" w:rsidRPr="2AA1CA0C">
        <w:t>was</w:t>
      </w:r>
      <w:r w:rsidR="00D930F7" w:rsidRPr="2AA1CA0C">
        <w:t xml:space="preserve"> </w:t>
      </w:r>
      <w:r w:rsidR="00FC56A4" w:rsidRPr="2AA1CA0C">
        <w:t>informed by the MERIT trial</w:t>
      </w:r>
      <w:r w:rsidR="0079467E" w:rsidRPr="2AA1CA0C">
        <w:t>.</w:t>
      </w:r>
      <w:r w:rsidR="00F1721C" w:rsidRPr="2AA1CA0C">
        <w:t xml:space="preserve"> </w:t>
      </w:r>
      <w:r w:rsidR="00FC56A4" w:rsidRPr="2AA1CA0C">
        <w:t>The</w:t>
      </w:r>
      <w:r w:rsidR="00B342E6" w:rsidRPr="2AA1CA0C">
        <w:t xml:space="preserve"> </w:t>
      </w:r>
      <w:r w:rsidR="00461B5C" w:rsidRPr="2AA1CA0C">
        <w:t>assumed</w:t>
      </w:r>
      <w:r w:rsidR="001E2E11" w:rsidRPr="2AA1CA0C">
        <w:t xml:space="preserve"> duration of </w:t>
      </w:r>
      <w:r w:rsidR="00E537D2" w:rsidRPr="2AA1CA0C">
        <w:t xml:space="preserve">the </w:t>
      </w:r>
      <w:r w:rsidR="001E2E11" w:rsidRPr="2AA1CA0C">
        <w:t>AE</w:t>
      </w:r>
      <w:r w:rsidR="00461B5C" w:rsidRPr="2AA1CA0C">
        <w:t xml:space="preserve"> </w:t>
      </w:r>
      <w:r w:rsidR="001E2E11" w:rsidRPr="2AA1CA0C">
        <w:t>was</w:t>
      </w:r>
      <w:r w:rsidR="00461B5C" w:rsidRPr="2AA1CA0C">
        <w:t xml:space="preserve"> </w:t>
      </w:r>
      <w:r w:rsidR="001E2E11" w:rsidRPr="2AA1CA0C">
        <w:t>the</w:t>
      </w:r>
      <w:r w:rsidR="000F02B5" w:rsidRPr="2AA1CA0C">
        <w:t xml:space="preserve"> </w:t>
      </w:r>
      <w:r w:rsidR="00461B5C" w:rsidRPr="2AA1CA0C">
        <w:t>week</w:t>
      </w:r>
      <w:r w:rsidR="007423C8" w:rsidRPr="2AA1CA0C">
        <w:t xml:space="preserve"> </w:t>
      </w:r>
      <w:r w:rsidR="00626035" w:rsidRPr="2AA1CA0C">
        <w:t>of</w:t>
      </w:r>
      <w:r w:rsidR="007423C8" w:rsidRPr="2AA1CA0C">
        <w:t xml:space="preserve"> </w:t>
      </w:r>
      <w:r w:rsidR="001E2E11" w:rsidRPr="2AA1CA0C">
        <w:t>the</w:t>
      </w:r>
      <w:r w:rsidR="000F02B5" w:rsidRPr="2AA1CA0C">
        <w:t xml:space="preserve"> ESG</w:t>
      </w:r>
      <w:r w:rsidR="001E2E11" w:rsidRPr="2AA1CA0C">
        <w:t xml:space="preserve"> procedure</w:t>
      </w:r>
      <w:r w:rsidR="000F02B5" w:rsidRPr="2AA1CA0C">
        <w:t>. T</w:t>
      </w:r>
      <w:r w:rsidR="00422D2E" w:rsidRPr="2AA1CA0C">
        <w:t>h</w:t>
      </w:r>
      <w:r w:rsidR="00626035" w:rsidRPr="2AA1CA0C">
        <w:t xml:space="preserve">e AE </w:t>
      </w:r>
      <w:r w:rsidR="00E537D2" w:rsidRPr="2AA1CA0C">
        <w:t xml:space="preserve">was </w:t>
      </w:r>
      <w:r w:rsidR="00B576B7" w:rsidRPr="2AA1CA0C">
        <w:t>assumed to have resolved with</w:t>
      </w:r>
      <w:r w:rsidR="00E537D2" w:rsidRPr="2AA1CA0C">
        <w:t>in</w:t>
      </w:r>
      <w:r w:rsidR="00B576B7" w:rsidRPr="2AA1CA0C">
        <w:t xml:space="preserve"> the first week. </w:t>
      </w:r>
      <w:r w:rsidR="008B5174" w:rsidRPr="2AA1CA0C">
        <w:t>The</w:t>
      </w:r>
      <w:r w:rsidR="00D5545B" w:rsidRPr="2AA1CA0C">
        <w:t>re</w:t>
      </w:r>
      <w:r w:rsidR="008B5174" w:rsidRPr="2AA1CA0C">
        <w:t>fore</w:t>
      </w:r>
      <w:r w:rsidR="00D5545B" w:rsidRPr="2AA1CA0C">
        <w:t>,</w:t>
      </w:r>
      <w:r w:rsidR="00290947" w:rsidRPr="2AA1CA0C">
        <w:t xml:space="preserve"> </w:t>
      </w:r>
      <w:r w:rsidR="004E352F" w:rsidRPr="2AA1CA0C">
        <w:t>serious AE disu</w:t>
      </w:r>
      <w:r w:rsidR="00794390" w:rsidRPr="2AA1CA0C">
        <w:t>t</w:t>
      </w:r>
      <w:r w:rsidR="004E352F" w:rsidRPr="2AA1CA0C">
        <w:t>i</w:t>
      </w:r>
      <w:r w:rsidR="00794390" w:rsidRPr="2AA1CA0C">
        <w:t>li</w:t>
      </w:r>
      <w:r w:rsidR="004E352F" w:rsidRPr="2AA1CA0C">
        <w:t>t</w:t>
      </w:r>
      <w:r w:rsidR="00794390" w:rsidRPr="2AA1CA0C">
        <w:t>ies</w:t>
      </w:r>
      <w:r w:rsidR="004E352F" w:rsidRPr="2AA1CA0C">
        <w:t xml:space="preserve"> </w:t>
      </w:r>
      <w:r w:rsidR="00794390" w:rsidRPr="2AA1CA0C">
        <w:t>are</w:t>
      </w:r>
      <w:r w:rsidR="004E352F" w:rsidRPr="2AA1CA0C">
        <w:t xml:space="preserve"> only applied for the first week of the model. </w:t>
      </w:r>
      <w:r w:rsidR="00F32EF0" w:rsidRPr="2AA1CA0C">
        <w:t>However</w:t>
      </w:r>
      <w:r w:rsidR="00A308C4" w:rsidRPr="2AA1CA0C">
        <w:t>,</w:t>
      </w:r>
      <w:r w:rsidR="000E1923" w:rsidRPr="2AA1CA0C">
        <w:t xml:space="preserve"> a </w:t>
      </w:r>
      <w:r w:rsidR="00E1122E" w:rsidRPr="2AA1CA0C">
        <w:t>sensitivity</w:t>
      </w:r>
      <w:r w:rsidR="000E1923" w:rsidRPr="2AA1CA0C">
        <w:t xml:space="preserve"> analysis </w:t>
      </w:r>
      <w:r w:rsidR="00280F3D" w:rsidRPr="2AA1CA0C">
        <w:t>wa</w:t>
      </w:r>
      <w:r w:rsidR="000E1923" w:rsidRPr="2AA1CA0C">
        <w:t xml:space="preserve">s </w:t>
      </w:r>
      <w:r w:rsidR="00F70513" w:rsidRPr="2AA1CA0C">
        <w:t>extend</w:t>
      </w:r>
      <w:r w:rsidR="00F70513">
        <w:t>ed</w:t>
      </w:r>
      <w:r w:rsidR="00F70513" w:rsidRPr="2AA1CA0C">
        <w:t xml:space="preserve"> the serious </w:t>
      </w:r>
      <w:r w:rsidR="00E778F7" w:rsidRPr="2AA1CA0C">
        <w:t xml:space="preserve">AE </w:t>
      </w:r>
      <w:r w:rsidR="00E1122E" w:rsidRPr="2AA1CA0C">
        <w:t xml:space="preserve">length to </w:t>
      </w:r>
      <w:r w:rsidR="00280F3D" w:rsidRPr="2AA1CA0C">
        <w:t xml:space="preserve">2 </w:t>
      </w:r>
      <w:r w:rsidR="00E1122E" w:rsidRPr="2AA1CA0C">
        <w:t>weeks.</w:t>
      </w:r>
      <w:r w:rsidR="006220A4" w:rsidRPr="2AA1CA0C">
        <w:t xml:space="preserve"> The </w:t>
      </w:r>
      <w:r w:rsidR="00AB3189" w:rsidRPr="2AA1CA0C">
        <w:t>assessment</w:t>
      </w:r>
      <w:r w:rsidR="006220A4" w:rsidRPr="2AA1CA0C">
        <w:t xml:space="preserve"> group </w:t>
      </w:r>
      <w:r w:rsidR="00F05D0F" w:rsidRPr="2AA1CA0C">
        <w:t xml:space="preserve">did </w:t>
      </w:r>
      <w:r w:rsidR="001D6176" w:rsidRPr="2AA1CA0C">
        <w:t xml:space="preserve">not </w:t>
      </w:r>
      <w:r w:rsidR="003F2D95" w:rsidRPr="2AA1CA0C">
        <w:t>identif</w:t>
      </w:r>
      <w:r w:rsidR="00F05D0F" w:rsidRPr="2AA1CA0C">
        <w:t>y</w:t>
      </w:r>
      <w:r w:rsidR="003F2D95" w:rsidRPr="2AA1CA0C">
        <w:t xml:space="preserve"> any issue</w:t>
      </w:r>
      <w:r w:rsidR="006A7A46" w:rsidRPr="2AA1CA0C">
        <w:t>s</w:t>
      </w:r>
      <w:r w:rsidR="003F2D95" w:rsidRPr="2AA1CA0C">
        <w:t xml:space="preserve"> with the </w:t>
      </w:r>
      <w:r w:rsidR="005C0A99" w:rsidRPr="2AA1CA0C">
        <w:t>assumed</w:t>
      </w:r>
      <w:r w:rsidR="003F2D95" w:rsidRPr="2AA1CA0C">
        <w:t xml:space="preserve"> </w:t>
      </w:r>
      <w:r w:rsidR="007030A8" w:rsidRPr="2AA1CA0C">
        <w:t xml:space="preserve">duration of </w:t>
      </w:r>
      <w:r w:rsidR="001D6176" w:rsidRPr="2AA1CA0C">
        <w:t>serious AE</w:t>
      </w:r>
      <w:r w:rsidR="005C0A99" w:rsidRPr="2AA1CA0C">
        <w:t>s</w:t>
      </w:r>
      <w:r w:rsidR="001D6176" w:rsidRPr="2AA1CA0C">
        <w:t xml:space="preserve"> or the method of </w:t>
      </w:r>
      <w:r w:rsidR="00675027" w:rsidRPr="2AA1CA0C">
        <w:t xml:space="preserve">sourcing </w:t>
      </w:r>
      <w:r w:rsidR="009926E9" w:rsidRPr="2AA1CA0C">
        <w:t xml:space="preserve">disutility </w:t>
      </w:r>
      <w:r w:rsidR="00A56EA4" w:rsidRPr="2AA1CA0C">
        <w:t>values.</w:t>
      </w:r>
    </w:p>
    <w:p w14:paraId="365BDEDD" w14:textId="37A85F79" w:rsidR="00CF50BD" w:rsidRPr="007D18A3" w:rsidRDefault="00674AEF" w:rsidP="004C29D3">
      <w:pPr>
        <w:pStyle w:val="Heading4"/>
      </w:pPr>
      <w:r w:rsidRPr="007D18A3">
        <w:t>Healthcare resource use and costs</w:t>
      </w:r>
    </w:p>
    <w:p w14:paraId="70AE1525" w14:textId="61D02A9C" w:rsidR="006F5228" w:rsidRDefault="002D1AE8" w:rsidP="000A1DC8">
      <w:r w:rsidRPr="2AA1CA0C">
        <w:t xml:space="preserve">The CUA was based on the healthcare system </w:t>
      </w:r>
      <w:r w:rsidR="00E016EE" w:rsidRPr="2AA1CA0C">
        <w:t xml:space="preserve">perspective and </w:t>
      </w:r>
      <w:r w:rsidRPr="2AA1CA0C">
        <w:t>include</w:t>
      </w:r>
      <w:r w:rsidR="00E016EE" w:rsidRPr="2AA1CA0C">
        <w:t>d</w:t>
      </w:r>
      <w:r w:rsidRPr="2AA1CA0C">
        <w:t xml:space="preserve"> direct medical costs </w:t>
      </w:r>
      <w:r w:rsidR="00E016EE" w:rsidRPr="2AA1CA0C">
        <w:t>for</w:t>
      </w:r>
      <w:r w:rsidRPr="2AA1CA0C">
        <w:t xml:space="preserve"> hospitalisation, device costs, pre-surgery costs and ESG procedure MBS item costs. </w:t>
      </w:r>
      <w:r w:rsidR="00DB74E3" w:rsidRPr="2AA1CA0C">
        <w:t xml:space="preserve">Lifestyle management treatment costs comprising allied health, GP visits and </w:t>
      </w:r>
      <w:r w:rsidR="00C67C68" w:rsidRPr="2AA1CA0C">
        <w:t xml:space="preserve">blood test costs </w:t>
      </w:r>
      <w:r w:rsidR="00DB74E3" w:rsidRPr="2AA1CA0C">
        <w:t>were included across both treatment arms</w:t>
      </w:r>
      <w:r w:rsidR="003210FB" w:rsidRPr="2AA1CA0C">
        <w:t>. T</w:t>
      </w:r>
      <w:r w:rsidR="00DB74E3" w:rsidRPr="2AA1CA0C">
        <w:t>he frequency of these visits differed across arms over the first 12 months (</w:t>
      </w:r>
      <w:r w:rsidR="006F5228" w:rsidRPr="2AA1CA0C">
        <w:t>patients undergoing ESG receive higher</w:t>
      </w:r>
      <w:r w:rsidR="008E7840" w:rsidRPr="2AA1CA0C">
        <w:t>-</w:t>
      </w:r>
      <w:r w:rsidR="006F5228" w:rsidRPr="2AA1CA0C">
        <w:t xml:space="preserve">intensity lifestyle modifications in the first 12 </w:t>
      </w:r>
      <w:r w:rsidR="008677C4" w:rsidRPr="2AA1CA0C">
        <w:t>months</w:t>
      </w:r>
      <w:r w:rsidR="006F5228" w:rsidRPr="2AA1CA0C">
        <w:t>). Beyond 12 months, the same frequency of lifestyle modification resources used was assumed across arms.</w:t>
      </w:r>
      <w:r w:rsidR="000231AC" w:rsidRPr="2AA1CA0C">
        <w:t xml:space="preserve"> </w:t>
      </w:r>
    </w:p>
    <w:p w14:paraId="0D7DD17A" w14:textId="0E9AE508" w:rsidR="000231AC" w:rsidRDefault="000231AC" w:rsidP="000A1DC8">
      <w:r w:rsidRPr="2AA1CA0C">
        <w:t>AE management costs</w:t>
      </w:r>
      <w:r w:rsidR="00716CC4" w:rsidRPr="2AA1CA0C">
        <w:t xml:space="preserve"> (ESG only)</w:t>
      </w:r>
      <w:r w:rsidRPr="2AA1CA0C">
        <w:t xml:space="preserve">, </w:t>
      </w:r>
      <w:r w:rsidR="00EA3A6F" w:rsidRPr="2AA1CA0C">
        <w:t>palliative care costs</w:t>
      </w:r>
      <w:r w:rsidR="004E7A5E" w:rsidRPr="2AA1CA0C">
        <w:t xml:space="preserve"> and </w:t>
      </w:r>
      <w:r w:rsidRPr="2AA1CA0C">
        <w:t xml:space="preserve">the cost of managing comorbidities (assigned based on </w:t>
      </w:r>
      <w:r w:rsidR="003210FB" w:rsidRPr="2AA1CA0C">
        <w:t xml:space="preserve">the model </w:t>
      </w:r>
      <w:r w:rsidRPr="2AA1CA0C">
        <w:t>health state</w:t>
      </w:r>
      <w:r w:rsidR="003210FB" w:rsidRPr="2AA1CA0C">
        <w:t>s</w:t>
      </w:r>
      <w:r w:rsidRPr="2AA1CA0C">
        <w:t xml:space="preserve">) </w:t>
      </w:r>
      <w:r w:rsidR="00C75A50" w:rsidRPr="2AA1CA0C">
        <w:t>were also captured.</w:t>
      </w:r>
      <w:r w:rsidR="007315E7" w:rsidRPr="2AA1CA0C">
        <w:t xml:space="preserve"> The </w:t>
      </w:r>
      <w:r w:rsidR="00F12DC0" w:rsidRPr="2AA1CA0C">
        <w:t xml:space="preserve">use of pharmacotherapy, and the associated side effects, were not </w:t>
      </w:r>
      <w:r w:rsidR="00095FA8" w:rsidRPr="2AA1CA0C">
        <w:t xml:space="preserve">captured in the evaluation. </w:t>
      </w:r>
      <w:r w:rsidR="00353AE4" w:rsidRPr="2AA1CA0C">
        <w:t>The ADAR suggested that</w:t>
      </w:r>
      <w:r w:rsidR="007B0A24" w:rsidRPr="2AA1CA0C">
        <w:t xml:space="preserve">, although some pharmacotherapies </w:t>
      </w:r>
      <w:r w:rsidR="00D15944" w:rsidRPr="2AA1CA0C">
        <w:t>are being utilised by this population, expert opinion has indicated that pharmacotherapies such as phentermine, orlistat or semaglutide are costly and have poor side effect profiles which lead to short-term or intermittent use</w:t>
      </w:r>
      <w:r w:rsidR="00715283" w:rsidRPr="2AA1CA0C">
        <w:t>.</w:t>
      </w:r>
      <w:r w:rsidR="005C6EF0" w:rsidRPr="2AA1CA0C">
        <w:t xml:space="preserve"> </w:t>
      </w:r>
      <w:r w:rsidR="00B1665E" w:rsidRPr="2AA1CA0C">
        <w:t>Moreover, there is a lack of available drug options for obesity on the PBS</w:t>
      </w:r>
      <w:r w:rsidR="00646712" w:rsidRPr="2AA1CA0C">
        <w:t xml:space="preserve"> (see </w:t>
      </w:r>
      <w:r>
        <w:fldChar w:fldCharType="begin"/>
      </w:r>
      <w:r>
        <w:instrText xml:space="preserve"> REF _Ref187059102 \h </w:instrText>
      </w:r>
      <w:r>
        <w:fldChar w:fldCharType="separate"/>
      </w:r>
      <w:r w:rsidR="008F37D1">
        <w:t xml:space="preserve">Table </w:t>
      </w:r>
      <w:r w:rsidR="008F37D1">
        <w:rPr>
          <w:noProof/>
        </w:rPr>
        <w:t>8</w:t>
      </w:r>
      <w:r>
        <w:fldChar w:fldCharType="end"/>
      </w:r>
      <w:r w:rsidR="376BA9E7">
        <w:rPr>
          <w:bCs/>
        </w:rPr>
        <w:t>)</w:t>
      </w:r>
      <w:r w:rsidR="0A892B90">
        <w:rPr>
          <w:bCs/>
        </w:rPr>
        <w:t>.</w:t>
      </w:r>
      <w:r w:rsidR="005C6EF0">
        <w:rPr>
          <w:bCs/>
        </w:rPr>
        <w:t xml:space="preserve"> </w:t>
      </w:r>
    </w:p>
    <w:p w14:paraId="7BC79A56" w14:textId="2C48A44B" w:rsidR="00674AEF" w:rsidRPr="00BA4F7E" w:rsidRDefault="000B278A" w:rsidP="000A1DC8">
      <w:r>
        <w:t>The u</w:t>
      </w:r>
      <w:r w:rsidRPr="2AA1CA0C">
        <w:t xml:space="preserve">se of a healthcare </w:t>
      </w:r>
      <w:r w:rsidR="0046589F" w:rsidRPr="2AA1CA0C">
        <w:t xml:space="preserve">system perspective </w:t>
      </w:r>
      <w:r w:rsidR="00DB2086">
        <w:t xml:space="preserve">in the bases case </w:t>
      </w:r>
      <w:r w:rsidR="0046589F" w:rsidRPr="2AA1CA0C">
        <w:t xml:space="preserve">aligns with MSAC </w:t>
      </w:r>
      <w:r w:rsidR="00BF72BE" w:rsidRPr="2AA1CA0C">
        <w:t>guidelines</w:t>
      </w:r>
      <w:r w:rsidR="00DB2086">
        <w:t>. The ADAR</w:t>
      </w:r>
      <w:r w:rsidR="006378DF">
        <w:t xml:space="preserve"> also included indirect costs and argued that</w:t>
      </w:r>
      <w:r w:rsidR="00E82F1F" w:rsidRPr="2AA1CA0C" w:rsidDel="00B86086">
        <w:t xml:space="preserve"> </w:t>
      </w:r>
      <w:r w:rsidR="003A13FD" w:rsidRPr="2AA1CA0C">
        <w:t>E</w:t>
      </w:r>
      <w:r w:rsidR="00601619" w:rsidRPr="2AA1CA0C">
        <w:t xml:space="preserve">SG patients with </w:t>
      </w:r>
      <w:r w:rsidR="007D7C5C" w:rsidRPr="2AA1CA0C">
        <w:t>higher</w:t>
      </w:r>
      <w:r w:rsidR="00601619" w:rsidRPr="2AA1CA0C">
        <w:t xml:space="preserve"> obesity </w:t>
      </w:r>
      <w:r w:rsidR="008F5EBB" w:rsidRPr="2AA1CA0C">
        <w:t>class</w:t>
      </w:r>
      <w:r w:rsidR="00D62A2A" w:rsidRPr="2AA1CA0C">
        <w:t>es</w:t>
      </w:r>
      <w:r w:rsidR="00601619" w:rsidRPr="2AA1CA0C">
        <w:t xml:space="preserve"> </w:t>
      </w:r>
      <w:r w:rsidR="00F968DD">
        <w:t>would accrue productivity benefits as a consequence of fewer</w:t>
      </w:r>
      <w:r w:rsidR="006F1295" w:rsidRPr="2AA1CA0C">
        <w:t xml:space="preserve"> </w:t>
      </w:r>
      <w:r w:rsidR="0061463E" w:rsidRPr="2AA1CA0C">
        <w:t>hospital readmission</w:t>
      </w:r>
      <w:r w:rsidR="003A4E1D" w:rsidRPr="2AA1CA0C">
        <w:t>s and</w:t>
      </w:r>
      <w:r w:rsidR="0061463E" w:rsidRPr="2AA1CA0C">
        <w:t xml:space="preserve"> </w:t>
      </w:r>
      <w:r w:rsidR="00F94E1C" w:rsidRPr="2AA1CA0C">
        <w:t>reintervention</w:t>
      </w:r>
      <w:r w:rsidR="003A4E1D" w:rsidRPr="2AA1CA0C">
        <w:t>s</w:t>
      </w:r>
      <w:r w:rsidR="00D03170" w:rsidRPr="2AA1CA0C">
        <w:t>.</w:t>
      </w:r>
      <w:r w:rsidR="00923C6D" w:rsidRPr="00115CA8">
        <w:rPr>
          <w:vertAlign w:val="superscript"/>
        </w:rPr>
        <w:fldChar w:fldCharType="begin"/>
      </w:r>
      <w:r w:rsidR="00923C6D" w:rsidRPr="00115CA8">
        <w:rPr>
          <w:vertAlign w:val="superscript"/>
        </w:rPr>
        <w:instrText xml:space="preserve"> NOTEREF _Ref187138513 \h </w:instrText>
      </w:r>
      <w:r w:rsidR="00923C6D" w:rsidRPr="2AA1CA0C">
        <w:rPr>
          <w:vertAlign w:val="superscript"/>
        </w:rPr>
        <w:instrText xml:space="preserve"> \* MERGEFORMAT </w:instrText>
      </w:r>
      <w:r w:rsidR="00923C6D" w:rsidRPr="00115CA8">
        <w:rPr>
          <w:vertAlign w:val="superscript"/>
        </w:rPr>
      </w:r>
      <w:r w:rsidR="00923C6D" w:rsidRPr="00115CA8">
        <w:rPr>
          <w:vertAlign w:val="superscript"/>
        </w:rPr>
        <w:fldChar w:fldCharType="separate"/>
      </w:r>
      <w:r w:rsidR="008F37D1">
        <w:rPr>
          <w:vertAlign w:val="superscript"/>
        </w:rPr>
        <w:t>43</w:t>
      </w:r>
      <w:r w:rsidR="00923C6D" w:rsidRPr="00115CA8">
        <w:rPr>
          <w:vertAlign w:val="superscript"/>
        </w:rPr>
        <w:fldChar w:fldCharType="end"/>
      </w:r>
      <w:r w:rsidR="00025D15" w:rsidRPr="2AA1CA0C">
        <w:rPr>
          <w:color w:val="000000" w:themeColor="text1"/>
        </w:rPr>
        <w:t xml:space="preserve"> </w:t>
      </w:r>
      <w:r w:rsidR="00F23053">
        <w:rPr>
          <w:color w:val="000000" w:themeColor="text1"/>
        </w:rPr>
        <w:t xml:space="preserve">The ADAR’s </w:t>
      </w:r>
      <w:r w:rsidR="00BA29C8" w:rsidRPr="2AA1CA0C">
        <w:rPr>
          <w:color w:val="000000" w:themeColor="text1"/>
        </w:rPr>
        <w:t xml:space="preserve">Inclusion of indirect costs </w:t>
      </w:r>
      <w:r w:rsidR="00F23053">
        <w:rPr>
          <w:color w:val="000000" w:themeColor="text1"/>
        </w:rPr>
        <w:t xml:space="preserve">had </w:t>
      </w:r>
      <w:r w:rsidR="00BA29C8" w:rsidRPr="2AA1CA0C">
        <w:rPr>
          <w:color w:val="000000" w:themeColor="text1"/>
        </w:rPr>
        <w:t>a large impact on the ICER</w:t>
      </w:r>
      <w:r w:rsidR="00F23053">
        <w:rPr>
          <w:color w:val="000000" w:themeColor="text1"/>
        </w:rPr>
        <w:t xml:space="preserve"> but there </w:t>
      </w:r>
      <w:r w:rsidR="00951978">
        <w:rPr>
          <w:color w:val="000000" w:themeColor="text1"/>
        </w:rPr>
        <w:t>was no consideration by the applicant of the potential double-counting of impacts</w:t>
      </w:r>
      <w:r w:rsidR="009723DC">
        <w:rPr>
          <w:color w:val="000000" w:themeColor="text1"/>
        </w:rPr>
        <w:t xml:space="preserve"> that occurs when a broader perspective is taken</w:t>
      </w:r>
      <w:r w:rsidR="00BA29C8" w:rsidRPr="2AA1CA0C">
        <w:rPr>
          <w:color w:val="000000" w:themeColor="text1"/>
        </w:rPr>
        <w:t>.</w:t>
      </w:r>
    </w:p>
    <w:p w14:paraId="63B7A7CB" w14:textId="3FE59C34" w:rsidR="00BF13BF" w:rsidRPr="007D18A3" w:rsidRDefault="00DC3F9C" w:rsidP="000A1DC8">
      <w:pPr>
        <w:rPr>
          <w:bCs/>
        </w:rPr>
      </w:pPr>
      <w:r>
        <w:rPr>
          <w:bCs/>
        </w:rPr>
        <w:t>Dietary changes, mechanically soft diet</w:t>
      </w:r>
      <w:r w:rsidR="00651E50">
        <w:rPr>
          <w:bCs/>
        </w:rPr>
        <w:t>s</w:t>
      </w:r>
      <w:r w:rsidR="00BC488B">
        <w:rPr>
          <w:bCs/>
        </w:rPr>
        <w:t xml:space="preserve"> and high</w:t>
      </w:r>
      <w:r w:rsidR="00651E50">
        <w:rPr>
          <w:bCs/>
        </w:rPr>
        <w:t>-</w:t>
      </w:r>
      <w:r w:rsidR="00BC488B">
        <w:rPr>
          <w:bCs/>
        </w:rPr>
        <w:t>protein diet</w:t>
      </w:r>
      <w:r w:rsidR="00651E50">
        <w:rPr>
          <w:bCs/>
        </w:rPr>
        <w:t>s</w:t>
      </w:r>
      <w:r w:rsidR="00BC488B">
        <w:rPr>
          <w:bCs/>
        </w:rPr>
        <w:t xml:space="preserve"> are mentioned </w:t>
      </w:r>
      <w:r w:rsidR="00210E0F">
        <w:rPr>
          <w:bCs/>
        </w:rPr>
        <w:t>in the submission</w:t>
      </w:r>
      <w:r w:rsidR="00E12F0C">
        <w:rPr>
          <w:bCs/>
        </w:rPr>
        <w:t>; however, their costs were not accounted</w:t>
      </w:r>
      <w:r w:rsidR="00651E50">
        <w:rPr>
          <w:bCs/>
        </w:rPr>
        <w:t xml:space="preserve"> for</w:t>
      </w:r>
      <w:r w:rsidR="00E12F0C">
        <w:rPr>
          <w:bCs/>
        </w:rPr>
        <w:t xml:space="preserve"> in the model</w:t>
      </w:r>
      <w:r w:rsidR="00831FBB">
        <w:rPr>
          <w:bCs/>
        </w:rPr>
        <w:t xml:space="preserve">. </w:t>
      </w:r>
      <w:r w:rsidR="004808BF">
        <w:rPr>
          <w:bCs/>
        </w:rPr>
        <w:t>Due to</w:t>
      </w:r>
      <w:r w:rsidR="00B0123F">
        <w:rPr>
          <w:bCs/>
        </w:rPr>
        <w:t xml:space="preserve"> clinical</w:t>
      </w:r>
      <w:r w:rsidR="005B25E7">
        <w:rPr>
          <w:bCs/>
        </w:rPr>
        <w:t xml:space="preserve"> </w:t>
      </w:r>
      <w:r w:rsidR="002C7C6B">
        <w:rPr>
          <w:bCs/>
        </w:rPr>
        <w:t>guideline</w:t>
      </w:r>
      <w:r w:rsidR="00B0123F">
        <w:rPr>
          <w:bCs/>
        </w:rPr>
        <w:t xml:space="preserve"> variation around</w:t>
      </w:r>
      <w:r w:rsidR="00734D9E">
        <w:rPr>
          <w:bCs/>
        </w:rPr>
        <w:t xml:space="preserve"> </w:t>
      </w:r>
      <w:r w:rsidR="003A192F">
        <w:rPr>
          <w:bCs/>
        </w:rPr>
        <w:t>dietary changes</w:t>
      </w:r>
      <w:r w:rsidR="00E4501B">
        <w:rPr>
          <w:bCs/>
        </w:rPr>
        <w:t xml:space="preserve"> for </w:t>
      </w:r>
      <w:r w:rsidR="00B0123F">
        <w:rPr>
          <w:bCs/>
        </w:rPr>
        <w:t xml:space="preserve">bariatric surgery (e.g. </w:t>
      </w:r>
      <w:r w:rsidR="00E4501B">
        <w:rPr>
          <w:bCs/>
        </w:rPr>
        <w:t>ESG</w:t>
      </w:r>
      <w:r w:rsidR="00B0123F">
        <w:rPr>
          <w:bCs/>
        </w:rPr>
        <w:t>)</w:t>
      </w:r>
      <w:r w:rsidR="00E4501B">
        <w:rPr>
          <w:bCs/>
        </w:rPr>
        <w:t xml:space="preserve"> </w:t>
      </w:r>
      <w:r w:rsidR="00B0123F">
        <w:rPr>
          <w:bCs/>
        </w:rPr>
        <w:t>and</w:t>
      </w:r>
      <w:r w:rsidR="00E4501B">
        <w:rPr>
          <w:bCs/>
        </w:rPr>
        <w:t xml:space="preserve"> lifestyle modification</w:t>
      </w:r>
      <w:r w:rsidR="00846CC7">
        <w:rPr>
          <w:bCs/>
        </w:rPr>
        <w:t>,</w:t>
      </w:r>
      <w:r w:rsidR="00FB63C2">
        <w:rPr>
          <w:bCs/>
        </w:rPr>
        <w:t xml:space="preserve"> </w:t>
      </w:r>
      <w:r w:rsidR="004333AB">
        <w:rPr>
          <w:bCs/>
        </w:rPr>
        <w:t>a clear conclusion</w:t>
      </w:r>
      <w:r w:rsidR="00FB63C2">
        <w:rPr>
          <w:bCs/>
        </w:rPr>
        <w:t xml:space="preserve"> </w:t>
      </w:r>
      <w:r w:rsidR="00CB0A9C">
        <w:rPr>
          <w:bCs/>
        </w:rPr>
        <w:t xml:space="preserve">cannot be drawn </w:t>
      </w:r>
      <w:r w:rsidR="0000579C">
        <w:rPr>
          <w:bCs/>
        </w:rPr>
        <w:t xml:space="preserve">on what (if any) </w:t>
      </w:r>
      <w:r w:rsidR="00E829FB">
        <w:rPr>
          <w:bCs/>
        </w:rPr>
        <w:t xml:space="preserve">prescription </w:t>
      </w:r>
      <w:r w:rsidR="00F6123E">
        <w:rPr>
          <w:bCs/>
        </w:rPr>
        <w:t xml:space="preserve">supplementation (vitamin, protein, etc.) is </w:t>
      </w:r>
      <w:r w:rsidR="001D3EA3">
        <w:rPr>
          <w:bCs/>
        </w:rPr>
        <w:t>necessary</w:t>
      </w:r>
      <w:r w:rsidR="00E829FB">
        <w:rPr>
          <w:bCs/>
        </w:rPr>
        <w:t>.</w:t>
      </w:r>
      <w:r w:rsidR="00007E5A">
        <w:rPr>
          <w:bCs/>
        </w:rPr>
        <w:t xml:space="preserve"> </w:t>
      </w:r>
      <w:r w:rsidR="00117EE4">
        <w:rPr>
          <w:bCs/>
        </w:rPr>
        <w:t>Therefore</w:t>
      </w:r>
      <w:r w:rsidR="00B0123F">
        <w:rPr>
          <w:bCs/>
        </w:rPr>
        <w:t>,</w:t>
      </w:r>
      <w:r w:rsidR="00117EE4">
        <w:rPr>
          <w:bCs/>
        </w:rPr>
        <w:t xml:space="preserve"> </w:t>
      </w:r>
      <w:r w:rsidR="007B19CC">
        <w:rPr>
          <w:bCs/>
        </w:rPr>
        <w:t>the commentary concluded</w:t>
      </w:r>
      <w:r w:rsidR="00117EE4">
        <w:rPr>
          <w:bCs/>
        </w:rPr>
        <w:t xml:space="preserve"> it is not possible </w:t>
      </w:r>
      <w:r w:rsidR="00B0123F">
        <w:rPr>
          <w:bCs/>
        </w:rPr>
        <w:t>to p</w:t>
      </w:r>
      <w:r w:rsidR="00E85D0E">
        <w:rPr>
          <w:bCs/>
        </w:rPr>
        <w:t>er</w:t>
      </w:r>
      <w:r w:rsidR="00B0123F">
        <w:rPr>
          <w:bCs/>
        </w:rPr>
        <w:t xml:space="preserve">form </w:t>
      </w:r>
      <w:r w:rsidR="00E85D0E">
        <w:rPr>
          <w:bCs/>
        </w:rPr>
        <w:t>a</w:t>
      </w:r>
      <w:r w:rsidR="00B0123F">
        <w:rPr>
          <w:bCs/>
        </w:rPr>
        <w:t xml:space="preserve"> sensitivity analysis that </w:t>
      </w:r>
      <w:r w:rsidR="00716718">
        <w:rPr>
          <w:bCs/>
        </w:rPr>
        <w:t>include</w:t>
      </w:r>
      <w:r w:rsidR="00E85D0E">
        <w:rPr>
          <w:bCs/>
        </w:rPr>
        <w:t>s</w:t>
      </w:r>
      <w:r w:rsidR="00716718">
        <w:rPr>
          <w:bCs/>
        </w:rPr>
        <w:t xml:space="preserve"> PBS costs of </w:t>
      </w:r>
      <w:r w:rsidR="001337B0">
        <w:rPr>
          <w:bCs/>
        </w:rPr>
        <w:t>prescribed</w:t>
      </w:r>
      <w:r w:rsidR="00B0123F">
        <w:rPr>
          <w:bCs/>
        </w:rPr>
        <w:t xml:space="preserve"> </w:t>
      </w:r>
      <w:r w:rsidR="001F46BB">
        <w:rPr>
          <w:bCs/>
        </w:rPr>
        <w:t>supplementation</w:t>
      </w:r>
      <w:r w:rsidR="00B0123F">
        <w:rPr>
          <w:bCs/>
        </w:rPr>
        <w:t xml:space="preserve">. </w:t>
      </w:r>
      <w:r w:rsidR="00831FBB">
        <w:rPr>
          <w:bCs/>
        </w:rPr>
        <w:t xml:space="preserve">This exclusion may create uncertainty </w:t>
      </w:r>
      <w:r w:rsidR="00080BDB">
        <w:rPr>
          <w:bCs/>
        </w:rPr>
        <w:t>in the model outcomes.</w:t>
      </w:r>
    </w:p>
    <w:p w14:paraId="7F5E4592" w14:textId="29C62E14" w:rsidR="000A1DC8" w:rsidRPr="007D18A3" w:rsidRDefault="0055294A" w:rsidP="00DA6CA1">
      <w:pPr>
        <w:pStyle w:val="Heading4"/>
      </w:pPr>
      <w:r>
        <w:t xml:space="preserve">Results: </w:t>
      </w:r>
      <w:r w:rsidR="00AB626F">
        <w:t>i</w:t>
      </w:r>
      <w:r w:rsidR="000A1DC8" w:rsidRPr="007D18A3">
        <w:t>ncremental costs and effectiveness</w:t>
      </w:r>
    </w:p>
    <w:p w14:paraId="5E9FF3D0" w14:textId="4819426E" w:rsidR="000A1DC8" w:rsidRPr="007E720C" w:rsidRDefault="000A1DC8" w:rsidP="000A1DC8">
      <w:r w:rsidRPr="007E720C">
        <w:t xml:space="preserve">For obesity </w:t>
      </w:r>
      <w:r w:rsidR="008F5EBB">
        <w:t>class</w:t>
      </w:r>
      <w:r w:rsidR="00DD1716">
        <w:t xml:space="preserve"> </w:t>
      </w:r>
      <w:r w:rsidRPr="007E720C">
        <w:t xml:space="preserve">I patients, the ICER over </w:t>
      </w:r>
      <w:r w:rsidR="00DD1716">
        <w:t>a 2-</w:t>
      </w:r>
      <w:r w:rsidRPr="007E720C">
        <w:t xml:space="preserve">year time horizon was estimated to be $15,407,000 per life year </w:t>
      </w:r>
      <w:r w:rsidR="003B6EE3">
        <w:t xml:space="preserve">(LY) </w:t>
      </w:r>
      <w:r w:rsidRPr="007E720C">
        <w:t>gained. The extrapolated ICER o</w:t>
      </w:r>
      <w:r w:rsidR="00851DB6">
        <w:t>ver a</w:t>
      </w:r>
      <w:r w:rsidRPr="007E720C">
        <w:t xml:space="preserve"> 40</w:t>
      </w:r>
      <w:r w:rsidR="00851DB6">
        <w:t>-</w:t>
      </w:r>
      <w:r w:rsidRPr="007E720C">
        <w:t xml:space="preserve">year time horizon was estimated to </w:t>
      </w:r>
      <w:r w:rsidR="00D906A9">
        <w:t xml:space="preserve">be </w:t>
      </w:r>
      <w:r w:rsidRPr="007E720C">
        <w:t xml:space="preserve">$45,552 per </w:t>
      </w:r>
      <w:r w:rsidR="003B6EE3">
        <w:t>LY</w:t>
      </w:r>
      <w:r w:rsidRPr="007E720C">
        <w:t xml:space="preserve"> gained and $7,55</w:t>
      </w:r>
      <w:r w:rsidR="00851DB6">
        <w:t>3</w:t>
      </w:r>
      <w:r w:rsidR="0025680D">
        <w:t>.62</w:t>
      </w:r>
      <w:r w:rsidRPr="007E720C">
        <w:t xml:space="preserve"> </w:t>
      </w:r>
      <w:r w:rsidRPr="00DA6CA1">
        <w:t xml:space="preserve">per </w:t>
      </w:r>
      <w:r w:rsidR="009A7BF8" w:rsidRPr="00DA6CA1">
        <w:t>QALY</w:t>
      </w:r>
      <w:r w:rsidRPr="00DA6CA1">
        <w:t xml:space="preserve"> gained </w:t>
      </w:r>
      <w:r w:rsidR="000F32A6" w:rsidRPr="00DA6CA1">
        <w:t>(</w:t>
      </w:r>
      <w:r w:rsidR="00DA6CA1" w:rsidRPr="00DA6CA1">
        <w:fldChar w:fldCharType="begin"/>
      </w:r>
      <w:r w:rsidR="00DA6CA1" w:rsidRPr="00DA6CA1">
        <w:instrText xml:space="preserve"> REF _Ref184217082 \h </w:instrText>
      </w:r>
      <w:r w:rsidR="00DA6CA1">
        <w:instrText xml:space="preserve"> \* MERGEFORMAT </w:instrText>
      </w:r>
      <w:r w:rsidR="00DA6CA1" w:rsidRPr="00DA6CA1">
        <w:fldChar w:fldCharType="separate"/>
      </w:r>
      <w:r w:rsidR="008F37D1" w:rsidRPr="004437E0">
        <w:t xml:space="preserve">Table </w:t>
      </w:r>
      <w:r w:rsidR="008F37D1">
        <w:rPr>
          <w:noProof/>
        </w:rPr>
        <w:t>24</w:t>
      </w:r>
      <w:r w:rsidR="00DA6CA1" w:rsidRPr="00DA6CA1">
        <w:fldChar w:fldCharType="end"/>
      </w:r>
      <w:r w:rsidR="000F32A6" w:rsidRPr="00DA6CA1">
        <w:t>)</w:t>
      </w:r>
      <w:r w:rsidR="00DE7857" w:rsidRPr="00DA6CA1">
        <w:t>.</w:t>
      </w:r>
    </w:p>
    <w:p w14:paraId="48BC077C" w14:textId="32098F65" w:rsidR="00334D37" w:rsidRDefault="000A1DC8" w:rsidP="00294A19">
      <w:pPr>
        <w:rPr>
          <w:rFonts w:ascii="Arial Narrow" w:eastAsia="Times New Roman" w:hAnsi="Arial Narrow" w:cs="Times New Roman"/>
          <w:b/>
          <w:bCs/>
          <w:sz w:val="20"/>
          <w:szCs w:val="20"/>
        </w:rPr>
      </w:pPr>
      <w:r w:rsidRPr="007E720C">
        <w:t xml:space="preserve">For obesity </w:t>
      </w:r>
      <w:r w:rsidR="008F5EBB">
        <w:t>class</w:t>
      </w:r>
      <w:r w:rsidR="00B72E34">
        <w:t xml:space="preserve"> </w:t>
      </w:r>
      <w:r w:rsidRPr="007E720C">
        <w:t xml:space="preserve">II patients, the ICER over </w:t>
      </w:r>
      <w:r w:rsidR="00B72E34">
        <w:t>a 2-</w:t>
      </w:r>
      <w:r w:rsidRPr="007E720C">
        <w:t xml:space="preserve">year time horizon was estimated to be $15,988,000 per </w:t>
      </w:r>
      <w:r w:rsidR="00EF6BB5">
        <w:t>LY</w:t>
      </w:r>
      <w:r w:rsidRPr="007E720C">
        <w:t xml:space="preserve"> gained. The extrapolated ICER o</w:t>
      </w:r>
      <w:r w:rsidR="00B72E34">
        <w:t>ver a</w:t>
      </w:r>
      <w:r w:rsidRPr="007E720C">
        <w:t xml:space="preserve"> 40</w:t>
      </w:r>
      <w:r w:rsidR="00B72E34">
        <w:t>-</w:t>
      </w:r>
      <w:r w:rsidRPr="007E720C">
        <w:t xml:space="preserve">year time horizon was estimated to </w:t>
      </w:r>
      <w:r w:rsidR="00D906A9">
        <w:t xml:space="preserve">be </w:t>
      </w:r>
      <w:r w:rsidRPr="007E720C">
        <w:t xml:space="preserve">$68,363 per </w:t>
      </w:r>
      <w:r w:rsidR="00EF6BB5">
        <w:t>LY</w:t>
      </w:r>
      <w:r w:rsidRPr="007E720C">
        <w:t xml:space="preserve"> gained and $12,591</w:t>
      </w:r>
      <w:r w:rsidR="00530142">
        <w:t>.14</w:t>
      </w:r>
      <w:r w:rsidRPr="007E720C">
        <w:t xml:space="preserve"> per </w:t>
      </w:r>
      <w:r w:rsidR="00D906A9">
        <w:t>QALY</w:t>
      </w:r>
      <w:r w:rsidRPr="007E720C">
        <w:t xml:space="preserve"> gained </w:t>
      </w:r>
      <w:r w:rsidR="000F32A6">
        <w:t>(</w:t>
      </w:r>
      <w:r w:rsidR="00DA6CA1" w:rsidRPr="00DA6CA1">
        <w:fldChar w:fldCharType="begin"/>
      </w:r>
      <w:r w:rsidR="00DA6CA1" w:rsidRPr="00DA6CA1">
        <w:instrText xml:space="preserve"> REF _Ref184217082 \h </w:instrText>
      </w:r>
      <w:r w:rsidR="00DA6CA1">
        <w:instrText xml:space="preserve"> \* MERGEFORMAT </w:instrText>
      </w:r>
      <w:r w:rsidR="00DA6CA1" w:rsidRPr="00DA6CA1">
        <w:fldChar w:fldCharType="separate"/>
      </w:r>
      <w:r w:rsidR="008F37D1" w:rsidRPr="004437E0">
        <w:t xml:space="preserve">Table </w:t>
      </w:r>
      <w:r w:rsidR="008F37D1">
        <w:rPr>
          <w:noProof/>
        </w:rPr>
        <w:t>24</w:t>
      </w:r>
      <w:r w:rsidR="00DA6CA1" w:rsidRPr="00DA6CA1">
        <w:fldChar w:fldCharType="end"/>
      </w:r>
      <w:r w:rsidR="000F32A6">
        <w:t>)</w:t>
      </w:r>
      <w:r w:rsidR="00DE7857">
        <w:t>.</w:t>
      </w:r>
      <w:r w:rsidRPr="007E720C">
        <w:t xml:space="preserve"> </w:t>
      </w:r>
    </w:p>
    <w:p w14:paraId="1387DCC5" w14:textId="4E781E46" w:rsidR="00334D37" w:rsidRPr="002A6316" w:rsidRDefault="004F55D5" w:rsidP="00745EAD">
      <w:pPr>
        <w:pStyle w:val="Caption"/>
        <w:keepLines/>
      </w:pPr>
      <w:bookmarkStart w:id="94" w:name="_Ref184217082"/>
      <w:r w:rsidRPr="004437E0">
        <w:t xml:space="preserve">Table </w:t>
      </w:r>
      <w:r w:rsidR="00707F6D">
        <w:fldChar w:fldCharType="begin"/>
      </w:r>
      <w:r w:rsidR="00707F6D">
        <w:instrText xml:space="preserve"> SEQ Table \* ARABIC </w:instrText>
      </w:r>
      <w:r w:rsidR="00707F6D">
        <w:fldChar w:fldCharType="separate"/>
      </w:r>
      <w:r w:rsidR="008F37D1">
        <w:rPr>
          <w:noProof/>
        </w:rPr>
        <w:t>24</w:t>
      </w:r>
      <w:r w:rsidR="00707F6D">
        <w:rPr>
          <w:noProof/>
        </w:rPr>
        <w:fldChar w:fldCharType="end"/>
      </w:r>
      <w:bookmarkEnd w:id="94"/>
      <w:r w:rsidRPr="004437E0">
        <w:t xml:space="preserve">: Results of stepped analysis for obesity </w:t>
      </w:r>
      <w:r w:rsidR="008F5EBB">
        <w:t>class</w:t>
      </w:r>
      <w:r w:rsidRPr="004437E0">
        <w:t xml:space="preserve"> I and II patients</w:t>
      </w:r>
    </w:p>
    <w:tbl>
      <w:tblPr>
        <w:tblStyle w:val="TableGrid"/>
        <w:tblW w:w="5000" w:type="pct"/>
        <w:tblLook w:val="04A0" w:firstRow="1" w:lastRow="0" w:firstColumn="1" w:lastColumn="0" w:noHBand="0" w:noVBand="1"/>
      </w:tblPr>
      <w:tblGrid>
        <w:gridCol w:w="2546"/>
        <w:gridCol w:w="1560"/>
        <w:gridCol w:w="1277"/>
        <w:gridCol w:w="1417"/>
        <w:gridCol w:w="2216"/>
      </w:tblGrid>
      <w:tr w:rsidR="00854482" w:rsidRPr="00B221AE" w14:paraId="28E65713" w14:textId="77777777" w:rsidTr="00115CA8">
        <w:trPr>
          <w:trHeight w:val="242"/>
          <w:tblHeader/>
        </w:trPr>
        <w:tc>
          <w:tcPr>
            <w:tcW w:w="1412" w:type="pct"/>
          </w:tcPr>
          <w:p w14:paraId="4B2F6B78" w14:textId="2AB83B68" w:rsidR="00397745" w:rsidRPr="007E720C" w:rsidRDefault="00397745" w:rsidP="00745EAD">
            <w:pPr>
              <w:keepNext/>
              <w:keepLines/>
              <w:spacing w:before="0"/>
              <w:rPr>
                <w:rFonts w:ascii="Arial Narrow" w:hAnsi="Arial Narrow"/>
                <w:b/>
                <w:sz w:val="20"/>
                <w:szCs w:val="20"/>
              </w:rPr>
            </w:pPr>
            <w:r w:rsidRPr="007E720C">
              <w:rPr>
                <w:rFonts w:ascii="Arial Narrow" w:hAnsi="Arial Narrow"/>
                <w:b/>
                <w:sz w:val="20"/>
                <w:szCs w:val="20"/>
              </w:rPr>
              <w:t>Step</w:t>
            </w:r>
          </w:p>
        </w:tc>
        <w:tc>
          <w:tcPr>
            <w:tcW w:w="865" w:type="pct"/>
          </w:tcPr>
          <w:p w14:paraId="0EE826F7" w14:textId="77777777"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b/>
                <w:sz w:val="20"/>
                <w:szCs w:val="20"/>
              </w:rPr>
              <w:t>ESG</w:t>
            </w:r>
          </w:p>
        </w:tc>
        <w:tc>
          <w:tcPr>
            <w:tcW w:w="708" w:type="pct"/>
          </w:tcPr>
          <w:p w14:paraId="7B2B9490" w14:textId="77777777"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b/>
                <w:sz w:val="20"/>
                <w:szCs w:val="20"/>
              </w:rPr>
              <w:t>LM</w:t>
            </w:r>
          </w:p>
        </w:tc>
        <w:tc>
          <w:tcPr>
            <w:tcW w:w="786" w:type="pct"/>
          </w:tcPr>
          <w:p w14:paraId="51EF596A" w14:textId="6F7F182C"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b/>
                <w:sz w:val="20"/>
                <w:szCs w:val="20"/>
              </w:rPr>
              <w:t>Increment</w:t>
            </w:r>
          </w:p>
        </w:tc>
        <w:tc>
          <w:tcPr>
            <w:tcW w:w="1229" w:type="pct"/>
            <w:vAlign w:val="center"/>
          </w:tcPr>
          <w:p w14:paraId="66461025" w14:textId="77777777"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b/>
                <w:sz w:val="20"/>
                <w:szCs w:val="20"/>
              </w:rPr>
              <w:t>ICER</w:t>
            </w:r>
          </w:p>
        </w:tc>
      </w:tr>
      <w:tr w:rsidR="00397745" w:rsidRPr="00B221AE" w14:paraId="56AF1718" w14:textId="77777777" w:rsidTr="00115CA8">
        <w:trPr>
          <w:trHeight w:val="242"/>
        </w:trPr>
        <w:tc>
          <w:tcPr>
            <w:tcW w:w="5000" w:type="pct"/>
            <w:gridSpan w:val="5"/>
            <w:vAlign w:val="center"/>
          </w:tcPr>
          <w:p w14:paraId="27A74281" w14:textId="79CF5414" w:rsidR="00397745" w:rsidRPr="007E720C" w:rsidRDefault="00397745" w:rsidP="00745EAD">
            <w:pPr>
              <w:keepNext/>
              <w:keepLines/>
              <w:spacing w:before="0"/>
              <w:rPr>
                <w:rFonts w:ascii="Arial Narrow" w:hAnsi="Arial Narrow"/>
                <w:b/>
                <w:sz w:val="20"/>
                <w:szCs w:val="20"/>
              </w:rPr>
            </w:pPr>
            <w:r w:rsidRPr="007E720C">
              <w:rPr>
                <w:rFonts w:ascii="Arial Narrow" w:hAnsi="Arial Narrow"/>
                <w:b/>
                <w:sz w:val="20"/>
                <w:szCs w:val="20"/>
              </w:rPr>
              <w:t xml:space="preserve">Obesity </w:t>
            </w:r>
            <w:r w:rsidR="008F5EBB">
              <w:rPr>
                <w:rFonts w:ascii="Arial Narrow" w:hAnsi="Arial Narrow"/>
                <w:b/>
                <w:sz w:val="20"/>
                <w:szCs w:val="20"/>
              </w:rPr>
              <w:t>class</w:t>
            </w:r>
            <w:r>
              <w:rPr>
                <w:rFonts w:ascii="Arial Narrow" w:hAnsi="Arial Narrow"/>
                <w:b/>
                <w:sz w:val="20"/>
                <w:szCs w:val="20"/>
              </w:rPr>
              <w:t xml:space="preserve"> </w:t>
            </w:r>
            <w:r w:rsidRPr="007E720C">
              <w:rPr>
                <w:rFonts w:ascii="Arial Narrow" w:hAnsi="Arial Narrow"/>
                <w:b/>
                <w:sz w:val="20"/>
                <w:szCs w:val="20"/>
              </w:rPr>
              <w:t>I</w:t>
            </w:r>
          </w:p>
        </w:tc>
      </w:tr>
      <w:tr w:rsidR="00397745" w:rsidRPr="00B221AE" w14:paraId="5E1131E5" w14:textId="77777777" w:rsidTr="00115CA8">
        <w:trPr>
          <w:trHeight w:val="236"/>
        </w:trPr>
        <w:tc>
          <w:tcPr>
            <w:tcW w:w="5000" w:type="pct"/>
            <w:gridSpan w:val="5"/>
            <w:tcBorders>
              <w:bottom w:val="single" w:sz="4" w:space="0" w:color="auto"/>
            </w:tcBorders>
            <w:vAlign w:val="center"/>
          </w:tcPr>
          <w:p w14:paraId="1615D175" w14:textId="77777777" w:rsidR="00397745" w:rsidRPr="007E720C" w:rsidRDefault="00397745" w:rsidP="00745EAD">
            <w:pPr>
              <w:keepNext/>
              <w:keepLines/>
              <w:spacing w:before="0"/>
              <w:rPr>
                <w:rFonts w:ascii="Arial Narrow" w:hAnsi="Arial Narrow"/>
                <w:b/>
                <w:sz w:val="20"/>
                <w:szCs w:val="20"/>
              </w:rPr>
            </w:pPr>
            <w:r w:rsidRPr="007E720C">
              <w:rPr>
                <w:rFonts w:ascii="Arial Narrow" w:hAnsi="Arial Narrow"/>
                <w:sz w:val="20"/>
                <w:szCs w:val="20"/>
              </w:rPr>
              <w:t>Step 1: (cost per LY over 2-year time horizon)</w:t>
            </w:r>
          </w:p>
        </w:tc>
      </w:tr>
      <w:tr w:rsidR="00854482" w:rsidRPr="00B221AE" w14:paraId="51D84B23" w14:textId="77777777" w:rsidTr="00115CA8">
        <w:trPr>
          <w:trHeight w:val="236"/>
        </w:trPr>
        <w:tc>
          <w:tcPr>
            <w:tcW w:w="1412" w:type="pct"/>
            <w:tcBorders>
              <w:bottom w:val="nil"/>
            </w:tcBorders>
          </w:tcPr>
          <w:p w14:paraId="46D633CA" w14:textId="21D98C76" w:rsidR="00397745" w:rsidRPr="007E720C" w:rsidRDefault="00397745" w:rsidP="00745EAD">
            <w:pPr>
              <w:keepNext/>
              <w:keepLines/>
              <w:spacing w:before="0"/>
              <w:rPr>
                <w:rFonts w:ascii="Arial Narrow" w:hAnsi="Arial Narrow"/>
                <w:sz w:val="20"/>
                <w:szCs w:val="20"/>
              </w:rPr>
            </w:pPr>
            <w:r w:rsidRPr="007E720C">
              <w:rPr>
                <w:rFonts w:ascii="Arial Narrow" w:hAnsi="Arial Narrow"/>
                <w:sz w:val="20"/>
                <w:szCs w:val="20"/>
              </w:rPr>
              <w:t>Cost</w:t>
            </w:r>
          </w:p>
        </w:tc>
        <w:tc>
          <w:tcPr>
            <w:tcW w:w="865" w:type="pct"/>
            <w:tcBorders>
              <w:bottom w:val="nil"/>
            </w:tcBorders>
          </w:tcPr>
          <w:p w14:paraId="198F41F1" w14:textId="77777777" w:rsidR="00397745" w:rsidRPr="007E720C" w:rsidRDefault="00397745" w:rsidP="00745EAD">
            <w:pPr>
              <w:keepNext/>
              <w:keepLines/>
              <w:spacing w:before="0"/>
              <w:jc w:val="center"/>
              <w:rPr>
                <w:rFonts w:ascii="Arial Narrow" w:hAnsi="Arial Narrow"/>
                <w:sz w:val="20"/>
                <w:szCs w:val="20"/>
              </w:rPr>
            </w:pPr>
            <w:r w:rsidRPr="007E720C">
              <w:rPr>
                <w:rFonts w:ascii="Arial Narrow" w:hAnsi="Arial Narrow"/>
                <w:sz w:val="20"/>
                <w:szCs w:val="20"/>
              </w:rPr>
              <w:t>$20,672</w:t>
            </w:r>
          </w:p>
        </w:tc>
        <w:tc>
          <w:tcPr>
            <w:tcW w:w="708" w:type="pct"/>
            <w:tcBorders>
              <w:bottom w:val="nil"/>
            </w:tcBorders>
          </w:tcPr>
          <w:p w14:paraId="27E168A2" w14:textId="77777777" w:rsidR="00397745" w:rsidRPr="007E720C" w:rsidRDefault="00397745" w:rsidP="00745EAD">
            <w:pPr>
              <w:keepNext/>
              <w:keepLines/>
              <w:spacing w:before="0"/>
              <w:jc w:val="center"/>
              <w:rPr>
                <w:rFonts w:ascii="Arial Narrow" w:hAnsi="Arial Narrow"/>
                <w:sz w:val="20"/>
                <w:szCs w:val="20"/>
              </w:rPr>
            </w:pPr>
            <w:r w:rsidRPr="007E720C">
              <w:rPr>
                <w:rFonts w:ascii="Arial Narrow" w:hAnsi="Arial Narrow"/>
                <w:sz w:val="20"/>
                <w:szCs w:val="20"/>
              </w:rPr>
              <w:t>$5,265</w:t>
            </w:r>
          </w:p>
        </w:tc>
        <w:tc>
          <w:tcPr>
            <w:tcW w:w="786" w:type="pct"/>
            <w:tcBorders>
              <w:bottom w:val="nil"/>
            </w:tcBorders>
          </w:tcPr>
          <w:p w14:paraId="0D77DD88" w14:textId="77777777" w:rsidR="00397745" w:rsidRPr="007E720C" w:rsidRDefault="00397745" w:rsidP="00745EAD">
            <w:pPr>
              <w:keepNext/>
              <w:keepLines/>
              <w:spacing w:before="0"/>
              <w:jc w:val="center"/>
              <w:rPr>
                <w:rFonts w:ascii="Arial Narrow" w:hAnsi="Arial Narrow"/>
                <w:sz w:val="20"/>
                <w:szCs w:val="20"/>
              </w:rPr>
            </w:pPr>
            <w:r w:rsidRPr="007E720C">
              <w:rPr>
                <w:rFonts w:ascii="Arial Narrow" w:hAnsi="Arial Narrow"/>
                <w:sz w:val="20"/>
                <w:szCs w:val="20"/>
              </w:rPr>
              <w:t>$15,407</w:t>
            </w:r>
          </w:p>
        </w:tc>
        <w:tc>
          <w:tcPr>
            <w:tcW w:w="1229" w:type="pct"/>
            <w:vMerge w:val="restart"/>
            <w:tcBorders>
              <w:bottom w:val="nil"/>
            </w:tcBorders>
            <w:vAlign w:val="center"/>
          </w:tcPr>
          <w:p w14:paraId="4A7A533E" w14:textId="77777777" w:rsidR="00397745" w:rsidRPr="007E720C" w:rsidRDefault="00397745" w:rsidP="00745EAD">
            <w:pPr>
              <w:keepNext/>
              <w:keepLines/>
              <w:spacing w:before="0"/>
              <w:jc w:val="center"/>
              <w:rPr>
                <w:rFonts w:ascii="Arial Narrow" w:hAnsi="Arial Narrow"/>
                <w:sz w:val="20"/>
                <w:szCs w:val="20"/>
              </w:rPr>
            </w:pPr>
            <w:r w:rsidRPr="007E720C">
              <w:rPr>
                <w:rFonts w:ascii="Arial Narrow" w:hAnsi="Arial Narrow"/>
                <w:sz w:val="20"/>
                <w:szCs w:val="20"/>
              </w:rPr>
              <w:t>$15,407,000 per LY gained</w:t>
            </w:r>
          </w:p>
        </w:tc>
      </w:tr>
      <w:tr w:rsidR="00854482" w:rsidRPr="00B221AE" w14:paraId="3FD95445" w14:textId="77777777" w:rsidTr="00115CA8">
        <w:trPr>
          <w:trHeight w:val="242"/>
        </w:trPr>
        <w:tc>
          <w:tcPr>
            <w:tcW w:w="1412" w:type="pct"/>
            <w:tcBorders>
              <w:top w:val="nil"/>
            </w:tcBorders>
          </w:tcPr>
          <w:p w14:paraId="4031F1AA" w14:textId="72FC7D73" w:rsidR="00397745" w:rsidRPr="007E720C" w:rsidRDefault="00397745" w:rsidP="00745EAD">
            <w:pPr>
              <w:keepNext/>
              <w:keepLines/>
              <w:spacing w:before="0"/>
              <w:rPr>
                <w:rFonts w:ascii="Arial Narrow" w:hAnsi="Arial Narrow"/>
                <w:sz w:val="20"/>
                <w:szCs w:val="20"/>
              </w:rPr>
            </w:pPr>
            <w:r w:rsidRPr="007E720C">
              <w:rPr>
                <w:rFonts w:ascii="Arial Narrow" w:hAnsi="Arial Narrow"/>
                <w:sz w:val="20"/>
                <w:szCs w:val="20"/>
              </w:rPr>
              <w:t>Effectiveness</w:t>
            </w:r>
          </w:p>
        </w:tc>
        <w:tc>
          <w:tcPr>
            <w:tcW w:w="865" w:type="pct"/>
            <w:tcBorders>
              <w:top w:val="nil"/>
            </w:tcBorders>
          </w:tcPr>
          <w:p w14:paraId="08DB243A" w14:textId="77777777" w:rsidR="00397745" w:rsidRPr="007E720C" w:rsidRDefault="00397745" w:rsidP="00745EAD">
            <w:pPr>
              <w:keepNext/>
              <w:keepLines/>
              <w:spacing w:before="0"/>
              <w:jc w:val="center"/>
              <w:rPr>
                <w:rFonts w:ascii="Arial Narrow" w:hAnsi="Arial Narrow"/>
                <w:sz w:val="20"/>
                <w:szCs w:val="20"/>
              </w:rPr>
            </w:pPr>
            <w:r w:rsidRPr="007E720C">
              <w:rPr>
                <w:rFonts w:ascii="Arial Narrow" w:hAnsi="Arial Narrow"/>
                <w:sz w:val="20"/>
                <w:szCs w:val="20"/>
              </w:rPr>
              <w:t>2.378</w:t>
            </w:r>
          </w:p>
        </w:tc>
        <w:tc>
          <w:tcPr>
            <w:tcW w:w="708" w:type="pct"/>
            <w:tcBorders>
              <w:top w:val="nil"/>
            </w:tcBorders>
          </w:tcPr>
          <w:p w14:paraId="5A096BF5" w14:textId="77777777" w:rsidR="00397745" w:rsidRPr="007E720C" w:rsidRDefault="00397745" w:rsidP="00745EAD">
            <w:pPr>
              <w:keepNext/>
              <w:keepLines/>
              <w:spacing w:before="0"/>
              <w:jc w:val="center"/>
              <w:rPr>
                <w:rFonts w:ascii="Arial Narrow" w:hAnsi="Arial Narrow"/>
                <w:sz w:val="20"/>
                <w:szCs w:val="20"/>
              </w:rPr>
            </w:pPr>
            <w:r w:rsidRPr="007E720C">
              <w:rPr>
                <w:rFonts w:ascii="Arial Narrow" w:hAnsi="Arial Narrow"/>
                <w:sz w:val="20"/>
                <w:szCs w:val="20"/>
              </w:rPr>
              <w:t>2.377</w:t>
            </w:r>
          </w:p>
        </w:tc>
        <w:tc>
          <w:tcPr>
            <w:tcW w:w="786" w:type="pct"/>
            <w:tcBorders>
              <w:top w:val="nil"/>
            </w:tcBorders>
          </w:tcPr>
          <w:p w14:paraId="367F7A42" w14:textId="77777777" w:rsidR="00397745" w:rsidRPr="007E720C" w:rsidRDefault="00397745" w:rsidP="00745EAD">
            <w:pPr>
              <w:keepNext/>
              <w:keepLines/>
              <w:spacing w:before="0"/>
              <w:jc w:val="center"/>
              <w:rPr>
                <w:rFonts w:ascii="Arial Narrow" w:hAnsi="Arial Narrow"/>
                <w:sz w:val="20"/>
                <w:szCs w:val="20"/>
              </w:rPr>
            </w:pPr>
            <w:r w:rsidRPr="007E720C">
              <w:rPr>
                <w:rFonts w:ascii="Arial Narrow" w:hAnsi="Arial Narrow"/>
                <w:sz w:val="20"/>
                <w:szCs w:val="20"/>
              </w:rPr>
              <w:t>0.001</w:t>
            </w:r>
          </w:p>
        </w:tc>
        <w:tc>
          <w:tcPr>
            <w:tcW w:w="1229" w:type="pct"/>
            <w:vMerge/>
            <w:tcBorders>
              <w:top w:val="nil"/>
            </w:tcBorders>
            <w:vAlign w:val="center"/>
          </w:tcPr>
          <w:p w14:paraId="5382112A" w14:textId="77777777" w:rsidR="00397745" w:rsidRPr="007E720C" w:rsidRDefault="00397745" w:rsidP="00745EAD">
            <w:pPr>
              <w:keepNext/>
              <w:keepLines/>
              <w:spacing w:before="0"/>
              <w:jc w:val="center"/>
              <w:rPr>
                <w:rFonts w:ascii="Arial Narrow" w:hAnsi="Arial Narrow"/>
                <w:sz w:val="20"/>
                <w:szCs w:val="20"/>
              </w:rPr>
            </w:pPr>
          </w:p>
        </w:tc>
      </w:tr>
      <w:tr w:rsidR="00397745" w:rsidRPr="00B221AE" w14:paraId="24B37655" w14:textId="77777777" w:rsidTr="00115CA8">
        <w:trPr>
          <w:trHeight w:val="236"/>
        </w:trPr>
        <w:tc>
          <w:tcPr>
            <w:tcW w:w="5000" w:type="pct"/>
            <w:gridSpan w:val="5"/>
            <w:tcBorders>
              <w:bottom w:val="single" w:sz="4" w:space="0" w:color="auto"/>
            </w:tcBorders>
            <w:vAlign w:val="center"/>
          </w:tcPr>
          <w:p w14:paraId="0F82B702" w14:textId="77777777" w:rsidR="00397745" w:rsidRPr="007E720C" w:rsidRDefault="00397745" w:rsidP="00745EAD">
            <w:pPr>
              <w:keepNext/>
              <w:keepLines/>
              <w:spacing w:before="0"/>
              <w:rPr>
                <w:rFonts w:ascii="Arial Narrow" w:hAnsi="Arial Narrow"/>
                <w:sz w:val="20"/>
                <w:szCs w:val="20"/>
              </w:rPr>
            </w:pPr>
            <w:r w:rsidRPr="007E720C">
              <w:rPr>
                <w:rFonts w:ascii="Arial Narrow" w:hAnsi="Arial Narrow"/>
                <w:sz w:val="20"/>
                <w:szCs w:val="20"/>
              </w:rPr>
              <w:t>Step 2: (cost per LY over 40-year time horizon)</w:t>
            </w:r>
          </w:p>
        </w:tc>
      </w:tr>
      <w:tr w:rsidR="00854482" w:rsidRPr="00B221AE" w14:paraId="4739461A" w14:textId="77777777" w:rsidTr="00115CA8">
        <w:trPr>
          <w:trHeight w:val="236"/>
        </w:trPr>
        <w:tc>
          <w:tcPr>
            <w:tcW w:w="1412" w:type="pct"/>
            <w:tcBorders>
              <w:bottom w:val="nil"/>
            </w:tcBorders>
          </w:tcPr>
          <w:p w14:paraId="211D4B34" w14:textId="31EE54D3" w:rsidR="00397745" w:rsidRPr="007E720C" w:rsidRDefault="00397745" w:rsidP="00745EAD">
            <w:pPr>
              <w:keepNext/>
              <w:keepLines/>
              <w:spacing w:before="0"/>
              <w:rPr>
                <w:rFonts w:ascii="Arial Narrow" w:hAnsi="Arial Narrow"/>
                <w:sz w:val="20"/>
                <w:szCs w:val="20"/>
              </w:rPr>
            </w:pPr>
            <w:r w:rsidRPr="007E720C">
              <w:rPr>
                <w:rFonts w:ascii="Arial Narrow" w:hAnsi="Arial Narrow"/>
                <w:sz w:val="20"/>
                <w:szCs w:val="20"/>
              </w:rPr>
              <w:t>Cost</w:t>
            </w:r>
          </w:p>
        </w:tc>
        <w:tc>
          <w:tcPr>
            <w:tcW w:w="865" w:type="pct"/>
            <w:tcBorders>
              <w:bottom w:val="nil"/>
            </w:tcBorders>
          </w:tcPr>
          <w:p w14:paraId="18A0C9D0" w14:textId="7A3CD0FE"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sz w:val="20"/>
                <w:szCs w:val="20"/>
              </w:rPr>
              <w:t>$45,525</w:t>
            </w:r>
          </w:p>
        </w:tc>
        <w:tc>
          <w:tcPr>
            <w:tcW w:w="708" w:type="pct"/>
            <w:tcBorders>
              <w:bottom w:val="nil"/>
            </w:tcBorders>
          </w:tcPr>
          <w:p w14:paraId="6B6AE66F" w14:textId="0A2A946A"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sz w:val="20"/>
                <w:szCs w:val="20"/>
              </w:rPr>
              <w:t>$38,05</w:t>
            </w:r>
            <w:r>
              <w:rPr>
                <w:rFonts w:ascii="Arial Narrow" w:hAnsi="Arial Narrow"/>
                <w:sz w:val="20"/>
                <w:szCs w:val="20"/>
              </w:rPr>
              <w:t>5</w:t>
            </w:r>
          </w:p>
        </w:tc>
        <w:tc>
          <w:tcPr>
            <w:tcW w:w="786" w:type="pct"/>
            <w:tcBorders>
              <w:bottom w:val="nil"/>
            </w:tcBorders>
          </w:tcPr>
          <w:p w14:paraId="7F17212A" w14:textId="1E8C6EF7"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sz w:val="20"/>
                <w:szCs w:val="20"/>
              </w:rPr>
              <w:t>$7,47</w:t>
            </w:r>
            <w:r>
              <w:rPr>
                <w:rFonts w:ascii="Arial Narrow" w:hAnsi="Arial Narrow"/>
                <w:sz w:val="20"/>
                <w:szCs w:val="20"/>
              </w:rPr>
              <w:t>1</w:t>
            </w:r>
          </w:p>
        </w:tc>
        <w:tc>
          <w:tcPr>
            <w:tcW w:w="1229" w:type="pct"/>
            <w:vMerge w:val="restart"/>
            <w:tcBorders>
              <w:bottom w:val="nil"/>
            </w:tcBorders>
            <w:vAlign w:val="center"/>
          </w:tcPr>
          <w:p w14:paraId="35603761" w14:textId="0C89C603"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sz w:val="20"/>
                <w:szCs w:val="20"/>
              </w:rPr>
              <w:t>$45,552 per LY gained</w:t>
            </w:r>
          </w:p>
        </w:tc>
      </w:tr>
      <w:tr w:rsidR="00854482" w:rsidRPr="00B221AE" w14:paraId="369D96FA" w14:textId="77777777" w:rsidTr="00115CA8">
        <w:trPr>
          <w:trHeight w:val="236"/>
        </w:trPr>
        <w:tc>
          <w:tcPr>
            <w:tcW w:w="1412" w:type="pct"/>
            <w:tcBorders>
              <w:top w:val="nil"/>
            </w:tcBorders>
          </w:tcPr>
          <w:p w14:paraId="43C93EB2" w14:textId="63F9ED79" w:rsidR="00397745" w:rsidRPr="007E720C" w:rsidRDefault="00397745" w:rsidP="00745EAD">
            <w:pPr>
              <w:keepNext/>
              <w:keepLines/>
              <w:spacing w:before="0"/>
              <w:rPr>
                <w:rFonts w:ascii="Arial Narrow" w:hAnsi="Arial Narrow"/>
                <w:sz w:val="20"/>
                <w:szCs w:val="20"/>
              </w:rPr>
            </w:pPr>
            <w:r w:rsidRPr="007E720C">
              <w:rPr>
                <w:rFonts w:ascii="Arial Narrow" w:hAnsi="Arial Narrow"/>
                <w:sz w:val="20"/>
                <w:szCs w:val="20"/>
              </w:rPr>
              <w:t>Effectiveness</w:t>
            </w:r>
          </w:p>
        </w:tc>
        <w:tc>
          <w:tcPr>
            <w:tcW w:w="865" w:type="pct"/>
            <w:tcBorders>
              <w:top w:val="nil"/>
            </w:tcBorders>
          </w:tcPr>
          <w:p w14:paraId="593BD190" w14:textId="77777777"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sz w:val="20"/>
                <w:szCs w:val="20"/>
              </w:rPr>
              <w:t>16.641</w:t>
            </w:r>
          </w:p>
        </w:tc>
        <w:tc>
          <w:tcPr>
            <w:tcW w:w="708" w:type="pct"/>
            <w:tcBorders>
              <w:top w:val="nil"/>
            </w:tcBorders>
          </w:tcPr>
          <w:p w14:paraId="66E3712E" w14:textId="77777777"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sz w:val="20"/>
                <w:szCs w:val="20"/>
              </w:rPr>
              <w:t>16.477</w:t>
            </w:r>
          </w:p>
        </w:tc>
        <w:tc>
          <w:tcPr>
            <w:tcW w:w="786" w:type="pct"/>
            <w:tcBorders>
              <w:top w:val="nil"/>
            </w:tcBorders>
          </w:tcPr>
          <w:p w14:paraId="3E79D2D2" w14:textId="77777777"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sz w:val="20"/>
                <w:szCs w:val="20"/>
              </w:rPr>
              <w:t>0.164</w:t>
            </w:r>
          </w:p>
        </w:tc>
        <w:tc>
          <w:tcPr>
            <w:tcW w:w="1229" w:type="pct"/>
            <w:vMerge/>
            <w:tcBorders>
              <w:top w:val="nil"/>
            </w:tcBorders>
            <w:vAlign w:val="center"/>
          </w:tcPr>
          <w:p w14:paraId="62998559" w14:textId="77777777" w:rsidR="00397745" w:rsidRPr="007E720C" w:rsidRDefault="00397745" w:rsidP="00745EAD">
            <w:pPr>
              <w:keepNext/>
              <w:keepLines/>
              <w:spacing w:before="0"/>
              <w:jc w:val="center"/>
              <w:rPr>
                <w:rFonts w:ascii="Arial Narrow" w:hAnsi="Arial Narrow"/>
                <w:b/>
                <w:sz w:val="20"/>
                <w:szCs w:val="20"/>
              </w:rPr>
            </w:pPr>
          </w:p>
        </w:tc>
      </w:tr>
      <w:tr w:rsidR="00397745" w:rsidRPr="00B221AE" w14:paraId="15BAD29B" w14:textId="77777777" w:rsidTr="00115CA8">
        <w:trPr>
          <w:trHeight w:val="236"/>
        </w:trPr>
        <w:tc>
          <w:tcPr>
            <w:tcW w:w="5000" w:type="pct"/>
            <w:gridSpan w:val="5"/>
            <w:tcBorders>
              <w:bottom w:val="single" w:sz="4" w:space="0" w:color="auto"/>
            </w:tcBorders>
            <w:vAlign w:val="center"/>
          </w:tcPr>
          <w:p w14:paraId="56B5C105" w14:textId="1F38E0D8" w:rsidR="00397745" w:rsidRPr="007E720C" w:rsidRDefault="00397745" w:rsidP="00745EAD">
            <w:pPr>
              <w:keepNext/>
              <w:keepLines/>
              <w:spacing w:before="0"/>
              <w:rPr>
                <w:rFonts w:ascii="Arial Narrow" w:hAnsi="Arial Narrow"/>
                <w:sz w:val="20"/>
                <w:szCs w:val="20"/>
              </w:rPr>
            </w:pPr>
            <w:r w:rsidRPr="007E720C">
              <w:rPr>
                <w:rFonts w:ascii="Arial Narrow" w:hAnsi="Arial Narrow"/>
                <w:sz w:val="20"/>
                <w:szCs w:val="20"/>
              </w:rPr>
              <w:t xml:space="preserve">Step </w:t>
            </w:r>
            <w:r w:rsidR="00D03F20">
              <w:rPr>
                <w:rFonts w:ascii="Arial Narrow" w:hAnsi="Arial Narrow"/>
                <w:sz w:val="20"/>
                <w:szCs w:val="20"/>
              </w:rPr>
              <w:t>3</w:t>
            </w:r>
            <w:r w:rsidRPr="007E720C">
              <w:rPr>
                <w:rFonts w:ascii="Arial Narrow" w:hAnsi="Arial Narrow"/>
                <w:sz w:val="20"/>
                <w:szCs w:val="20"/>
              </w:rPr>
              <w:t>: (cost per QALY over 40-year time horizon)</w:t>
            </w:r>
          </w:p>
        </w:tc>
      </w:tr>
      <w:tr w:rsidR="00854482" w:rsidRPr="00B221AE" w14:paraId="0841C229" w14:textId="77777777" w:rsidTr="00115CA8">
        <w:trPr>
          <w:trHeight w:val="236"/>
        </w:trPr>
        <w:tc>
          <w:tcPr>
            <w:tcW w:w="1412" w:type="pct"/>
            <w:tcBorders>
              <w:bottom w:val="nil"/>
            </w:tcBorders>
          </w:tcPr>
          <w:p w14:paraId="095E17E9" w14:textId="64168F2A" w:rsidR="00397745" w:rsidRPr="007E720C" w:rsidRDefault="00397745" w:rsidP="00745EAD">
            <w:pPr>
              <w:keepNext/>
              <w:keepLines/>
              <w:spacing w:before="0"/>
              <w:rPr>
                <w:rFonts w:ascii="Arial Narrow" w:hAnsi="Arial Narrow"/>
                <w:sz w:val="20"/>
                <w:szCs w:val="20"/>
              </w:rPr>
            </w:pPr>
            <w:r w:rsidRPr="007E720C">
              <w:rPr>
                <w:rFonts w:ascii="Arial Narrow" w:hAnsi="Arial Narrow"/>
                <w:sz w:val="20"/>
                <w:szCs w:val="20"/>
              </w:rPr>
              <w:t>Cost</w:t>
            </w:r>
          </w:p>
        </w:tc>
        <w:tc>
          <w:tcPr>
            <w:tcW w:w="865" w:type="pct"/>
            <w:tcBorders>
              <w:bottom w:val="nil"/>
            </w:tcBorders>
          </w:tcPr>
          <w:p w14:paraId="7A3847FF" w14:textId="1C7E111F"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sz w:val="20"/>
                <w:szCs w:val="20"/>
              </w:rPr>
              <w:t>$45,52</w:t>
            </w:r>
            <w:r>
              <w:rPr>
                <w:rFonts w:ascii="Arial Narrow" w:hAnsi="Arial Narrow"/>
                <w:sz w:val="20"/>
                <w:szCs w:val="20"/>
              </w:rPr>
              <w:t>6</w:t>
            </w:r>
          </w:p>
        </w:tc>
        <w:tc>
          <w:tcPr>
            <w:tcW w:w="708" w:type="pct"/>
            <w:tcBorders>
              <w:bottom w:val="nil"/>
            </w:tcBorders>
          </w:tcPr>
          <w:p w14:paraId="5C2EE883" w14:textId="2B63964C"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sz w:val="20"/>
                <w:szCs w:val="20"/>
              </w:rPr>
              <w:t>$38,05</w:t>
            </w:r>
            <w:r>
              <w:rPr>
                <w:rFonts w:ascii="Arial Narrow" w:hAnsi="Arial Narrow"/>
                <w:sz w:val="20"/>
                <w:szCs w:val="20"/>
              </w:rPr>
              <w:t>5</w:t>
            </w:r>
          </w:p>
        </w:tc>
        <w:tc>
          <w:tcPr>
            <w:tcW w:w="786" w:type="pct"/>
            <w:tcBorders>
              <w:bottom w:val="nil"/>
            </w:tcBorders>
          </w:tcPr>
          <w:p w14:paraId="0E9AD291" w14:textId="2689B8C1"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sz w:val="20"/>
                <w:szCs w:val="20"/>
              </w:rPr>
              <w:t>$7,47</w:t>
            </w:r>
            <w:r>
              <w:rPr>
                <w:rFonts w:ascii="Arial Narrow" w:hAnsi="Arial Narrow"/>
                <w:sz w:val="20"/>
                <w:szCs w:val="20"/>
              </w:rPr>
              <w:t>1</w:t>
            </w:r>
          </w:p>
        </w:tc>
        <w:tc>
          <w:tcPr>
            <w:tcW w:w="1229" w:type="pct"/>
            <w:vMerge w:val="restart"/>
            <w:tcBorders>
              <w:bottom w:val="nil"/>
            </w:tcBorders>
            <w:vAlign w:val="center"/>
          </w:tcPr>
          <w:p w14:paraId="648CCA82" w14:textId="0C81811C"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sz w:val="20"/>
                <w:szCs w:val="20"/>
              </w:rPr>
              <w:t>$7,55</w:t>
            </w:r>
            <w:r>
              <w:rPr>
                <w:rFonts w:ascii="Arial Narrow" w:hAnsi="Arial Narrow"/>
                <w:sz w:val="20"/>
                <w:szCs w:val="20"/>
              </w:rPr>
              <w:t>3</w:t>
            </w:r>
            <w:r w:rsidRPr="007E720C">
              <w:rPr>
                <w:rFonts w:ascii="Arial Narrow" w:hAnsi="Arial Narrow"/>
                <w:sz w:val="20"/>
                <w:szCs w:val="20"/>
              </w:rPr>
              <w:t xml:space="preserve"> per QALY gained</w:t>
            </w:r>
          </w:p>
        </w:tc>
      </w:tr>
      <w:tr w:rsidR="00854482" w:rsidRPr="00B221AE" w14:paraId="308D5BB9" w14:textId="77777777" w:rsidTr="00115CA8">
        <w:trPr>
          <w:trHeight w:val="236"/>
        </w:trPr>
        <w:tc>
          <w:tcPr>
            <w:tcW w:w="1412" w:type="pct"/>
            <w:tcBorders>
              <w:top w:val="nil"/>
            </w:tcBorders>
          </w:tcPr>
          <w:p w14:paraId="6BDA7818" w14:textId="7DF7B4AF" w:rsidR="00397745" w:rsidRPr="007E720C" w:rsidRDefault="00397745" w:rsidP="00745EAD">
            <w:pPr>
              <w:keepNext/>
              <w:keepLines/>
              <w:spacing w:before="0"/>
              <w:rPr>
                <w:rFonts w:ascii="Arial Narrow" w:hAnsi="Arial Narrow"/>
                <w:sz w:val="20"/>
                <w:szCs w:val="20"/>
              </w:rPr>
            </w:pPr>
            <w:r w:rsidRPr="007E720C">
              <w:rPr>
                <w:rFonts w:ascii="Arial Narrow" w:hAnsi="Arial Narrow"/>
                <w:sz w:val="20"/>
                <w:szCs w:val="20"/>
              </w:rPr>
              <w:t xml:space="preserve">Effectiveness </w:t>
            </w:r>
          </w:p>
        </w:tc>
        <w:tc>
          <w:tcPr>
            <w:tcW w:w="865" w:type="pct"/>
            <w:tcBorders>
              <w:top w:val="nil"/>
            </w:tcBorders>
          </w:tcPr>
          <w:p w14:paraId="00F90E0B" w14:textId="77777777"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sz w:val="20"/>
                <w:szCs w:val="20"/>
              </w:rPr>
              <w:t>13.410</w:t>
            </w:r>
          </w:p>
        </w:tc>
        <w:tc>
          <w:tcPr>
            <w:tcW w:w="708" w:type="pct"/>
            <w:tcBorders>
              <w:top w:val="nil"/>
            </w:tcBorders>
          </w:tcPr>
          <w:p w14:paraId="6D9C74F0" w14:textId="77777777"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sz w:val="20"/>
                <w:szCs w:val="20"/>
              </w:rPr>
              <w:t>12.421</w:t>
            </w:r>
          </w:p>
        </w:tc>
        <w:tc>
          <w:tcPr>
            <w:tcW w:w="786" w:type="pct"/>
            <w:tcBorders>
              <w:top w:val="nil"/>
            </w:tcBorders>
          </w:tcPr>
          <w:p w14:paraId="263F1D31" w14:textId="5A704A83"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sz w:val="20"/>
                <w:szCs w:val="20"/>
              </w:rPr>
              <w:t>0.989</w:t>
            </w:r>
          </w:p>
        </w:tc>
        <w:tc>
          <w:tcPr>
            <w:tcW w:w="1229" w:type="pct"/>
            <w:vMerge/>
            <w:tcBorders>
              <w:top w:val="nil"/>
            </w:tcBorders>
            <w:vAlign w:val="center"/>
          </w:tcPr>
          <w:p w14:paraId="5E4FA582" w14:textId="77777777" w:rsidR="00397745" w:rsidRPr="007E720C" w:rsidRDefault="00397745" w:rsidP="00745EAD">
            <w:pPr>
              <w:keepNext/>
              <w:keepLines/>
              <w:spacing w:before="0"/>
              <w:jc w:val="center"/>
              <w:rPr>
                <w:rFonts w:ascii="Arial Narrow" w:hAnsi="Arial Narrow"/>
                <w:b/>
                <w:sz w:val="20"/>
                <w:szCs w:val="20"/>
              </w:rPr>
            </w:pPr>
          </w:p>
        </w:tc>
      </w:tr>
      <w:tr w:rsidR="00397745" w:rsidRPr="00B221AE" w14:paraId="5AA7A79F" w14:textId="77777777" w:rsidTr="00115CA8">
        <w:trPr>
          <w:trHeight w:val="236"/>
        </w:trPr>
        <w:tc>
          <w:tcPr>
            <w:tcW w:w="5000" w:type="pct"/>
            <w:gridSpan w:val="5"/>
            <w:vAlign w:val="center"/>
          </w:tcPr>
          <w:p w14:paraId="3A048679" w14:textId="507F3026" w:rsidR="00397745" w:rsidRPr="007E720C" w:rsidRDefault="00397745" w:rsidP="00745EAD">
            <w:pPr>
              <w:keepNext/>
              <w:keepLines/>
              <w:spacing w:before="0"/>
              <w:rPr>
                <w:rFonts w:ascii="Arial Narrow" w:hAnsi="Arial Narrow"/>
                <w:b/>
                <w:sz w:val="20"/>
                <w:szCs w:val="20"/>
              </w:rPr>
            </w:pPr>
            <w:r w:rsidRPr="007E720C">
              <w:rPr>
                <w:rFonts w:ascii="Arial Narrow" w:hAnsi="Arial Narrow"/>
                <w:b/>
                <w:sz w:val="20"/>
                <w:szCs w:val="20"/>
              </w:rPr>
              <w:t xml:space="preserve">Obesity </w:t>
            </w:r>
            <w:r w:rsidR="008F5EBB">
              <w:rPr>
                <w:rFonts w:ascii="Arial Narrow" w:hAnsi="Arial Narrow"/>
                <w:b/>
                <w:sz w:val="20"/>
                <w:szCs w:val="20"/>
              </w:rPr>
              <w:t>class</w:t>
            </w:r>
            <w:r>
              <w:rPr>
                <w:rFonts w:ascii="Arial Narrow" w:hAnsi="Arial Narrow"/>
                <w:b/>
                <w:sz w:val="20"/>
                <w:szCs w:val="20"/>
              </w:rPr>
              <w:t xml:space="preserve"> </w:t>
            </w:r>
            <w:r w:rsidRPr="007E720C">
              <w:rPr>
                <w:rFonts w:ascii="Arial Narrow" w:hAnsi="Arial Narrow"/>
                <w:b/>
                <w:sz w:val="20"/>
                <w:szCs w:val="20"/>
              </w:rPr>
              <w:t>II</w:t>
            </w:r>
          </w:p>
        </w:tc>
      </w:tr>
      <w:tr w:rsidR="00397745" w:rsidRPr="00B221AE" w14:paraId="790E7B37" w14:textId="77777777" w:rsidTr="00115CA8">
        <w:trPr>
          <w:trHeight w:val="236"/>
        </w:trPr>
        <w:tc>
          <w:tcPr>
            <w:tcW w:w="5000" w:type="pct"/>
            <w:gridSpan w:val="5"/>
            <w:tcBorders>
              <w:bottom w:val="single" w:sz="4" w:space="0" w:color="auto"/>
            </w:tcBorders>
            <w:vAlign w:val="center"/>
          </w:tcPr>
          <w:p w14:paraId="6CD66C87" w14:textId="77777777" w:rsidR="00397745" w:rsidRPr="007E720C" w:rsidRDefault="00397745" w:rsidP="00745EAD">
            <w:pPr>
              <w:keepNext/>
              <w:keepLines/>
              <w:spacing w:before="0"/>
              <w:rPr>
                <w:rFonts w:ascii="Arial Narrow" w:hAnsi="Arial Narrow"/>
                <w:sz w:val="20"/>
                <w:szCs w:val="20"/>
              </w:rPr>
            </w:pPr>
            <w:r w:rsidRPr="007E720C">
              <w:rPr>
                <w:rFonts w:ascii="Arial Narrow" w:hAnsi="Arial Narrow"/>
                <w:sz w:val="20"/>
                <w:szCs w:val="20"/>
              </w:rPr>
              <w:t>Step 1: (cost per LY over 2-year time horizon)</w:t>
            </w:r>
          </w:p>
        </w:tc>
      </w:tr>
      <w:tr w:rsidR="00854482" w:rsidRPr="00B221AE" w14:paraId="68CA5CD2" w14:textId="77777777" w:rsidTr="00115CA8">
        <w:trPr>
          <w:trHeight w:val="236"/>
        </w:trPr>
        <w:tc>
          <w:tcPr>
            <w:tcW w:w="1412" w:type="pct"/>
            <w:tcBorders>
              <w:bottom w:val="nil"/>
            </w:tcBorders>
          </w:tcPr>
          <w:p w14:paraId="1167CFDB" w14:textId="3A66FF3E" w:rsidR="00397745" w:rsidRPr="007E720C" w:rsidRDefault="00397745" w:rsidP="00745EAD">
            <w:pPr>
              <w:keepNext/>
              <w:keepLines/>
              <w:spacing w:before="0"/>
              <w:rPr>
                <w:rFonts w:ascii="Arial Narrow" w:hAnsi="Arial Narrow"/>
                <w:sz w:val="20"/>
                <w:szCs w:val="20"/>
              </w:rPr>
            </w:pPr>
            <w:r w:rsidRPr="007E720C">
              <w:rPr>
                <w:rFonts w:ascii="Arial Narrow" w:hAnsi="Arial Narrow"/>
                <w:sz w:val="20"/>
                <w:szCs w:val="20"/>
              </w:rPr>
              <w:t>Cost</w:t>
            </w:r>
          </w:p>
        </w:tc>
        <w:tc>
          <w:tcPr>
            <w:tcW w:w="865" w:type="pct"/>
            <w:tcBorders>
              <w:bottom w:val="nil"/>
            </w:tcBorders>
          </w:tcPr>
          <w:p w14:paraId="17CE9C9F" w14:textId="77777777" w:rsidR="00397745" w:rsidRPr="007E720C" w:rsidRDefault="00397745" w:rsidP="00745EAD">
            <w:pPr>
              <w:keepNext/>
              <w:keepLines/>
              <w:spacing w:before="0"/>
              <w:jc w:val="center"/>
              <w:rPr>
                <w:rFonts w:ascii="Arial Narrow" w:hAnsi="Arial Narrow"/>
                <w:sz w:val="20"/>
                <w:szCs w:val="20"/>
              </w:rPr>
            </w:pPr>
            <w:r w:rsidRPr="007E720C">
              <w:rPr>
                <w:rFonts w:ascii="Arial Narrow" w:hAnsi="Arial Narrow"/>
                <w:sz w:val="20"/>
                <w:szCs w:val="20"/>
              </w:rPr>
              <w:t>$21,889</w:t>
            </w:r>
          </w:p>
        </w:tc>
        <w:tc>
          <w:tcPr>
            <w:tcW w:w="708" w:type="pct"/>
            <w:tcBorders>
              <w:bottom w:val="nil"/>
            </w:tcBorders>
          </w:tcPr>
          <w:p w14:paraId="6C5B4272" w14:textId="77777777" w:rsidR="00397745" w:rsidRPr="007E720C" w:rsidRDefault="00397745" w:rsidP="00745EAD">
            <w:pPr>
              <w:keepNext/>
              <w:keepLines/>
              <w:spacing w:before="0"/>
              <w:jc w:val="center"/>
              <w:rPr>
                <w:rFonts w:ascii="Arial Narrow" w:hAnsi="Arial Narrow"/>
                <w:sz w:val="20"/>
                <w:szCs w:val="20"/>
              </w:rPr>
            </w:pPr>
            <w:r w:rsidRPr="007E720C">
              <w:rPr>
                <w:rFonts w:ascii="Arial Narrow" w:hAnsi="Arial Narrow"/>
                <w:sz w:val="20"/>
                <w:szCs w:val="20"/>
              </w:rPr>
              <w:t>$5,901</w:t>
            </w:r>
          </w:p>
        </w:tc>
        <w:tc>
          <w:tcPr>
            <w:tcW w:w="786" w:type="pct"/>
            <w:tcBorders>
              <w:bottom w:val="nil"/>
            </w:tcBorders>
          </w:tcPr>
          <w:p w14:paraId="04110295" w14:textId="77777777" w:rsidR="00397745" w:rsidRPr="007E720C" w:rsidRDefault="00397745" w:rsidP="00745EAD">
            <w:pPr>
              <w:keepNext/>
              <w:keepLines/>
              <w:spacing w:before="0"/>
              <w:jc w:val="center"/>
              <w:rPr>
                <w:rFonts w:ascii="Arial Narrow" w:hAnsi="Arial Narrow"/>
                <w:sz w:val="20"/>
                <w:szCs w:val="20"/>
              </w:rPr>
            </w:pPr>
            <w:r w:rsidRPr="007E720C">
              <w:rPr>
                <w:rFonts w:ascii="Arial Narrow" w:hAnsi="Arial Narrow"/>
                <w:sz w:val="20"/>
                <w:szCs w:val="20"/>
              </w:rPr>
              <w:t>$15,988</w:t>
            </w:r>
          </w:p>
        </w:tc>
        <w:tc>
          <w:tcPr>
            <w:tcW w:w="1229" w:type="pct"/>
            <w:vMerge w:val="restart"/>
            <w:tcBorders>
              <w:bottom w:val="nil"/>
            </w:tcBorders>
            <w:vAlign w:val="center"/>
          </w:tcPr>
          <w:p w14:paraId="1B9CC8A7" w14:textId="40E6ED6A" w:rsidR="00397745" w:rsidRPr="007E720C" w:rsidRDefault="00397745" w:rsidP="00745EAD">
            <w:pPr>
              <w:keepNext/>
              <w:keepLines/>
              <w:spacing w:before="0"/>
              <w:jc w:val="center"/>
              <w:rPr>
                <w:rFonts w:ascii="Arial Narrow" w:hAnsi="Arial Narrow"/>
                <w:sz w:val="20"/>
                <w:szCs w:val="20"/>
              </w:rPr>
            </w:pPr>
            <w:r>
              <w:rPr>
                <w:rFonts w:ascii="Arial Narrow" w:hAnsi="Arial Narrow"/>
                <w:sz w:val="20"/>
                <w:szCs w:val="20"/>
              </w:rPr>
              <w:t>$</w:t>
            </w:r>
            <w:r w:rsidRPr="007E720C">
              <w:rPr>
                <w:rFonts w:ascii="Arial Narrow" w:hAnsi="Arial Narrow"/>
                <w:sz w:val="20"/>
                <w:szCs w:val="20"/>
              </w:rPr>
              <w:t>15,988,000 per LY gained</w:t>
            </w:r>
          </w:p>
        </w:tc>
      </w:tr>
      <w:tr w:rsidR="00854482" w:rsidRPr="00B221AE" w14:paraId="2DCC62E5" w14:textId="77777777" w:rsidTr="00115CA8">
        <w:trPr>
          <w:trHeight w:val="236"/>
        </w:trPr>
        <w:tc>
          <w:tcPr>
            <w:tcW w:w="1412" w:type="pct"/>
            <w:tcBorders>
              <w:top w:val="nil"/>
            </w:tcBorders>
          </w:tcPr>
          <w:p w14:paraId="03E84616" w14:textId="18EE7406" w:rsidR="00397745" w:rsidRPr="007E720C" w:rsidRDefault="00397745" w:rsidP="00745EAD">
            <w:pPr>
              <w:keepNext/>
              <w:keepLines/>
              <w:spacing w:before="0"/>
              <w:rPr>
                <w:rFonts w:ascii="Arial Narrow" w:hAnsi="Arial Narrow"/>
                <w:sz w:val="20"/>
                <w:szCs w:val="20"/>
              </w:rPr>
            </w:pPr>
            <w:r w:rsidRPr="007E720C">
              <w:rPr>
                <w:rFonts w:ascii="Arial Narrow" w:hAnsi="Arial Narrow"/>
                <w:sz w:val="20"/>
                <w:szCs w:val="20"/>
              </w:rPr>
              <w:t>Effectiveness</w:t>
            </w:r>
          </w:p>
        </w:tc>
        <w:tc>
          <w:tcPr>
            <w:tcW w:w="865" w:type="pct"/>
            <w:tcBorders>
              <w:top w:val="nil"/>
            </w:tcBorders>
          </w:tcPr>
          <w:p w14:paraId="64448EB0" w14:textId="77777777" w:rsidR="00397745" w:rsidRPr="007E720C" w:rsidRDefault="00397745" w:rsidP="00745EAD">
            <w:pPr>
              <w:keepNext/>
              <w:keepLines/>
              <w:spacing w:before="0"/>
              <w:jc w:val="center"/>
              <w:rPr>
                <w:rFonts w:ascii="Arial Narrow" w:hAnsi="Arial Narrow"/>
                <w:sz w:val="20"/>
                <w:szCs w:val="20"/>
              </w:rPr>
            </w:pPr>
            <w:r w:rsidRPr="007E720C">
              <w:rPr>
                <w:rFonts w:ascii="Arial Narrow" w:hAnsi="Arial Narrow"/>
                <w:sz w:val="20"/>
                <w:szCs w:val="20"/>
              </w:rPr>
              <w:t>2.377</w:t>
            </w:r>
          </w:p>
        </w:tc>
        <w:tc>
          <w:tcPr>
            <w:tcW w:w="708" w:type="pct"/>
            <w:tcBorders>
              <w:top w:val="nil"/>
            </w:tcBorders>
          </w:tcPr>
          <w:p w14:paraId="3522CFED" w14:textId="77777777" w:rsidR="00397745" w:rsidRPr="007E720C" w:rsidRDefault="00397745" w:rsidP="00745EAD">
            <w:pPr>
              <w:keepNext/>
              <w:keepLines/>
              <w:spacing w:before="0"/>
              <w:jc w:val="center"/>
              <w:rPr>
                <w:rFonts w:ascii="Arial Narrow" w:hAnsi="Arial Narrow"/>
                <w:sz w:val="20"/>
                <w:szCs w:val="20"/>
              </w:rPr>
            </w:pPr>
            <w:r w:rsidRPr="007E720C">
              <w:rPr>
                <w:rFonts w:ascii="Arial Narrow" w:hAnsi="Arial Narrow"/>
                <w:sz w:val="20"/>
                <w:szCs w:val="20"/>
              </w:rPr>
              <w:t>2.376</w:t>
            </w:r>
          </w:p>
        </w:tc>
        <w:tc>
          <w:tcPr>
            <w:tcW w:w="786" w:type="pct"/>
            <w:tcBorders>
              <w:top w:val="nil"/>
            </w:tcBorders>
          </w:tcPr>
          <w:p w14:paraId="138F96B6" w14:textId="77777777" w:rsidR="00397745" w:rsidRPr="007E720C" w:rsidRDefault="00397745" w:rsidP="00745EAD">
            <w:pPr>
              <w:keepNext/>
              <w:keepLines/>
              <w:spacing w:before="0"/>
              <w:jc w:val="center"/>
              <w:rPr>
                <w:rFonts w:ascii="Arial Narrow" w:hAnsi="Arial Narrow"/>
                <w:sz w:val="20"/>
                <w:szCs w:val="20"/>
              </w:rPr>
            </w:pPr>
            <w:r w:rsidRPr="007E720C">
              <w:rPr>
                <w:rFonts w:ascii="Arial Narrow" w:hAnsi="Arial Narrow"/>
                <w:sz w:val="20"/>
                <w:szCs w:val="20"/>
              </w:rPr>
              <w:t>0.001</w:t>
            </w:r>
          </w:p>
        </w:tc>
        <w:tc>
          <w:tcPr>
            <w:tcW w:w="1229" w:type="pct"/>
            <w:vMerge/>
            <w:tcBorders>
              <w:top w:val="nil"/>
            </w:tcBorders>
            <w:vAlign w:val="center"/>
          </w:tcPr>
          <w:p w14:paraId="06956EE8" w14:textId="77777777" w:rsidR="00397745" w:rsidRPr="007E720C" w:rsidRDefault="00397745" w:rsidP="00745EAD">
            <w:pPr>
              <w:keepNext/>
              <w:keepLines/>
              <w:spacing w:before="0"/>
              <w:jc w:val="center"/>
              <w:rPr>
                <w:rFonts w:ascii="Arial Narrow" w:hAnsi="Arial Narrow"/>
                <w:sz w:val="20"/>
                <w:szCs w:val="20"/>
              </w:rPr>
            </w:pPr>
          </w:p>
        </w:tc>
      </w:tr>
      <w:tr w:rsidR="00397745" w:rsidRPr="00B221AE" w14:paraId="703AFA0C" w14:textId="77777777" w:rsidTr="00115CA8">
        <w:trPr>
          <w:trHeight w:val="236"/>
        </w:trPr>
        <w:tc>
          <w:tcPr>
            <w:tcW w:w="5000" w:type="pct"/>
            <w:gridSpan w:val="5"/>
            <w:tcBorders>
              <w:bottom w:val="single" w:sz="4" w:space="0" w:color="auto"/>
            </w:tcBorders>
            <w:vAlign w:val="center"/>
          </w:tcPr>
          <w:p w14:paraId="14FAAFE7" w14:textId="77777777" w:rsidR="00397745" w:rsidRPr="007E720C" w:rsidRDefault="00397745" w:rsidP="00745EAD">
            <w:pPr>
              <w:keepNext/>
              <w:keepLines/>
              <w:spacing w:before="0"/>
              <w:rPr>
                <w:rFonts w:ascii="Arial Narrow" w:hAnsi="Arial Narrow"/>
                <w:sz w:val="20"/>
                <w:szCs w:val="20"/>
              </w:rPr>
            </w:pPr>
            <w:r w:rsidRPr="007E720C">
              <w:rPr>
                <w:rFonts w:ascii="Arial Narrow" w:hAnsi="Arial Narrow"/>
                <w:sz w:val="20"/>
                <w:szCs w:val="20"/>
              </w:rPr>
              <w:t>Step 2: (cost per LY over 40-year time horizon)</w:t>
            </w:r>
          </w:p>
        </w:tc>
      </w:tr>
      <w:tr w:rsidR="00854482" w:rsidRPr="00B221AE" w14:paraId="18AC2A1E" w14:textId="77777777" w:rsidTr="00115CA8">
        <w:trPr>
          <w:trHeight w:val="236"/>
        </w:trPr>
        <w:tc>
          <w:tcPr>
            <w:tcW w:w="1412" w:type="pct"/>
            <w:tcBorders>
              <w:bottom w:val="nil"/>
            </w:tcBorders>
          </w:tcPr>
          <w:p w14:paraId="16A4E544" w14:textId="1C5AB468" w:rsidR="00397745" w:rsidRPr="007E720C" w:rsidRDefault="00397745" w:rsidP="00745EAD">
            <w:pPr>
              <w:keepNext/>
              <w:keepLines/>
              <w:spacing w:before="0"/>
              <w:rPr>
                <w:rFonts w:ascii="Arial Narrow" w:hAnsi="Arial Narrow"/>
                <w:sz w:val="20"/>
                <w:szCs w:val="20"/>
              </w:rPr>
            </w:pPr>
            <w:r w:rsidRPr="007E720C">
              <w:rPr>
                <w:rFonts w:ascii="Arial Narrow" w:hAnsi="Arial Narrow"/>
                <w:sz w:val="20"/>
                <w:szCs w:val="20"/>
              </w:rPr>
              <w:t>Cost</w:t>
            </w:r>
          </w:p>
        </w:tc>
        <w:tc>
          <w:tcPr>
            <w:tcW w:w="865" w:type="pct"/>
            <w:tcBorders>
              <w:bottom w:val="nil"/>
            </w:tcBorders>
          </w:tcPr>
          <w:p w14:paraId="4C88FBA7" w14:textId="5F42BD1A"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sz w:val="20"/>
                <w:szCs w:val="20"/>
              </w:rPr>
              <w:t>$54,582</w:t>
            </w:r>
          </w:p>
        </w:tc>
        <w:tc>
          <w:tcPr>
            <w:tcW w:w="708" w:type="pct"/>
            <w:tcBorders>
              <w:bottom w:val="nil"/>
            </w:tcBorders>
          </w:tcPr>
          <w:p w14:paraId="3E2B040B" w14:textId="1E5D758D"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sz w:val="20"/>
                <w:szCs w:val="20"/>
              </w:rPr>
              <w:t>$42,02</w:t>
            </w:r>
            <w:r>
              <w:rPr>
                <w:rFonts w:ascii="Arial Narrow" w:hAnsi="Arial Narrow"/>
                <w:sz w:val="20"/>
                <w:szCs w:val="20"/>
              </w:rPr>
              <w:t>2</w:t>
            </w:r>
          </w:p>
        </w:tc>
        <w:tc>
          <w:tcPr>
            <w:tcW w:w="786" w:type="pct"/>
            <w:tcBorders>
              <w:bottom w:val="nil"/>
            </w:tcBorders>
          </w:tcPr>
          <w:p w14:paraId="1346F3B0" w14:textId="0273534E"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sz w:val="20"/>
                <w:szCs w:val="20"/>
              </w:rPr>
              <w:t>$12,56</w:t>
            </w:r>
            <w:r>
              <w:rPr>
                <w:rFonts w:ascii="Arial Narrow" w:hAnsi="Arial Narrow"/>
                <w:sz w:val="20"/>
                <w:szCs w:val="20"/>
              </w:rPr>
              <w:t>1</w:t>
            </w:r>
          </w:p>
        </w:tc>
        <w:tc>
          <w:tcPr>
            <w:tcW w:w="1229" w:type="pct"/>
            <w:vMerge w:val="restart"/>
            <w:tcBorders>
              <w:bottom w:val="nil"/>
            </w:tcBorders>
            <w:vAlign w:val="center"/>
          </w:tcPr>
          <w:p w14:paraId="23FF6AAD" w14:textId="1D4F89D7"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sz w:val="20"/>
                <w:szCs w:val="20"/>
              </w:rPr>
              <w:t>$68,363 per LY gained</w:t>
            </w:r>
          </w:p>
        </w:tc>
      </w:tr>
      <w:tr w:rsidR="00854482" w:rsidRPr="00B221AE" w14:paraId="6A12E290" w14:textId="77777777" w:rsidTr="00115CA8">
        <w:trPr>
          <w:trHeight w:val="236"/>
        </w:trPr>
        <w:tc>
          <w:tcPr>
            <w:tcW w:w="1412" w:type="pct"/>
            <w:tcBorders>
              <w:top w:val="nil"/>
            </w:tcBorders>
          </w:tcPr>
          <w:p w14:paraId="0DAA0FCE" w14:textId="75D84741" w:rsidR="00397745" w:rsidRPr="007E720C" w:rsidRDefault="00397745" w:rsidP="00745EAD">
            <w:pPr>
              <w:keepNext/>
              <w:keepLines/>
              <w:spacing w:before="0"/>
              <w:rPr>
                <w:rFonts w:ascii="Arial Narrow" w:hAnsi="Arial Narrow"/>
                <w:sz w:val="20"/>
                <w:szCs w:val="20"/>
              </w:rPr>
            </w:pPr>
            <w:r w:rsidRPr="007E720C">
              <w:rPr>
                <w:rFonts w:ascii="Arial Narrow" w:hAnsi="Arial Narrow"/>
                <w:sz w:val="20"/>
                <w:szCs w:val="20"/>
              </w:rPr>
              <w:t>Effectiveness</w:t>
            </w:r>
          </w:p>
        </w:tc>
        <w:tc>
          <w:tcPr>
            <w:tcW w:w="865" w:type="pct"/>
            <w:tcBorders>
              <w:top w:val="nil"/>
            </w:tcBorders>
          </w:tcPr>
          <w:p w14:paraId="51DACBAC" w14:textId="77777777"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sz w:val="20"/>
                <w:szCs w:val="20"/>
              </w:rPr>
              <w:t>16.449</w:t>
            </w:r>
          </w:p>
        </w:tc>
        <w:tc>
          <w:tcPr>
            <w:tcW w:w="708" w:type="pct"/>
            <w:tcBorders>
              <w:top w:val="nil"/>
            </w:tcBorders>
          </w:tcPr>
          <w:p w14:paraId="51C4544F" w14:textId="77777777"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sz w:val="20"/>
                <w:szCs w:val="20"/>
              </w:rPr>
              <w:t>16.265</w:t>
            </w:r>
          </w:p>
        </w:tc>
        <w:tc>
          <w:tcPr>
            <w:tcW w:w="786" w:type="pct"/>
            <w:tcBorders>
              <w:top w:val="nil"/>
            </w:tcBorders>
          </w:tcPr>
          <w:p w14:paraId="73E337D5" w14:textId="77777777"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sz w:val="20"/>
                <w:szCs w:val="20"/>
              </w:rPr>
              <w:t>0.1837</w:t>
            </w:r>
          </w:p>
        </w:tc>
        <w:tc>
          <w:tcPr>
            <w:tcW w:w="1229" w:type="pct"/>
            <w:vMerge/>
            <w:tcBorders>
              <w:top w:val="nil"/>
            </w:tcBorders>
            <w:vAlign w:val="center"/>
          </w:tcPr>
          <w:p w14:paraId="6EE1DE1D" w14:textId="77777777" w:rsidR="00397745" w:rsidRPr="007E720C" w:rsidRDefault="00397745" w:rsidP="00745EAD">
            <w:pPr>
              <w:keepNext/>
              <w:keepLines/>
              <w:spacing w:before="0"/>
              <w:jc w:val="center"/>
              <w:rPr>
                <w:rFonts w:ascii="Arial Narrow" w:hAnsi="Arial Narrow"/>
                <w:b/>
                <w:sz w:val="20"/>
                <w:szCs w:val="20"/>
              </w:rPr>
            </w:pPr>
          </w:p>
        </w:tc>
      </w:tr>
      <w:tr w:rsidR="00397745" w:rsidRPr="00B221AE" w14:paraId="6D6A713F" w14:textId="77777777" w:rsidTr="00115CA8">
        <w:trPr>
          <w:trHeight w:val="236"/>
        </w:trPr>
        <w:tc>
          <w:tcPr>
            <w:tcW w:w="5000" w:type="pct"/>
            <w:gridSpan w:val="5"/>
            <w:tcBorders>
              <w:bottom w:val="single" w:sz="4" w:space="0" w:color="auto"/>
            </w:tcBorders>
            <w:vAlign w:val="center"/>
          </w:tcPr>
          <w:p w14:paraId="718A9B08" w14:textId="3217178F" w:rsidR="00397745" w:rsidRPr="007E720C" w:rsidRDefault="00397745" w:rsidP="00745EAD">
            <w:pPr>
              <w:keepNext/>
              <w:keepLines/>
              <w:spacing w:before="0"/>
              <w:rPr>
                <w:rFonts w:ascii="Arial Narrow" w:hAnsi="Arial Narrow"/>
                <w:sz w:val="20"/>
                <w:szCs w:val="20"/>
              </w:rPr>
            </w:pPr>
            <w:r w:rsidRPr="007E720C">
              <w:rPr>
                <w:rFonts w:ascii="Arial Narrow" w:hAnsi="Arial Narrow"/>
                <w:sz w:val="20"/>
                <w:szCs w:val="20"/>
              </w:rPr>
              <w:t xml:space="preserve">Step </w:t>
            </w:r>
            <w:r w:rsidR="00D03F20">
              <w:rPr>
                <w:rFonts w:ascii="Arial Narrow" w:hAnsi="Arial Narrow"/>
                <w:sz w:val="20"/>
                <w:szCs w:val="20"/>
              </w:rPr>
              <w:t>3</w:t>
            </w:r>
            <w:r w:rsidRPr="007E720C">
              <w:rPr>
                <w:rFonts w:ascii="Arial Narrow" w:hAnsi="Arial Narrow"/>
                <w:sz w:val="20"/>
                <w:szCs w:val="20"/>
              </w:rPr>
              <w:t xml:space="preserve"> (cost per QALY over 40-year time horizon)</w:t>
            </w:r>
          </w:p>
        </w:tc>
      </w:tr>
      <w:tr w:rsidR="00854482" w:rsidRPr="00B221AE" w14:paraId="37ACF769" w14:textId="77777777" w:rsidTr="00115CA8">
        <w:trPr>
          <w:trHeight w:val="236"/>
        </w:trPr>
        <w:tc>
          <w:tcPr>
            <w:tcW w:w="1412" w:type="pct"/>
            <w:tcBorders>
              <w:bottom w:val="nil"/>
            </w:tcBorders>
          </w:tcPr>
          <w:p w14:paraId="2C17AEFE" w14:textId="3AEF851E" w:rsidR="00397745" w:rsidRPr="007E720C" w:rsidRDefault="00397745" w:rsidP="00745EAD">
            <w:pPr>
              <w:keepNext/>
              <w:keepLines/>
              <w:spacing w:before="0"/>
              <w:rPr>
                <w:rFonts w:ascii="Arial Narrow" w:hAnsi="Arial Narrow"/>
                <w:sz w:val="20"/>
                <w:szCs w:val="20"/>
              </w:rPr>
            </w:pPr>
            <w:r w:rsidRPr="007E720C">
              <w:rPr>
                <w:rFonts w:ascii="Arial Narrow" w:hAnsi="Arial Narrow"/>
                <w:sz w:val="20"/>
                <w:szCs w:val="20"/>
              </w:rPr>
              <w:t>Cost</w:t>
            </w:r>
          </w:p>
        </w:tc>
        <w:tc>
          <w:tcPr>
            <w:tcW w:w="865" w:type="pct"/>
            <w:tcBorders>
              <w:bottom w:val="nil"/>
            </w:tcBorders>
          </w:tcPr>
          <w:p w14:paraId="138A0F47" w14:textId="0F67C0EC"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sz w:val="20"/>
                <w:szCs w:val="20"/>
              </w:rPr>
              <w:t>$54,582</w:t>
            </w:r>
          </w:p>
        </w:tc>
        <w:tc>
          <w:tcPr>
            <w:tcW w:w="708" w:type="pct"/>
            <w:tcBorders>
              <w:bottom w:val="nil"/>
            </w:tcBorders>
          </w:tcPr>
          <w:p w14:paraId="3278DC2D" w14:textId="1A60D09D"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sz w:val="20"/>
                <w:szCs w:val="20"/>
              </w:rPr>
              <w:t>$42,02</w:t>
            </w:r>
            <w:r>
              <w:rPr>
                <w:rFonts w:ascii="Arial Narrow" w:hAnsi="Arial Narrow"/>
                <w:sz w:val="20"/>
                <w:szCs w:val="20"/>
              </w:rPr>
              <w:t>2</w:t>
            </w:r>
          </w:p>
        </w:tc>
        <w:tc>
          <w:tcPr>
            <w:tcW w:w="786" w:type="pct"/>
            <w:tcBorders>
              <w:bottom w:val="nil"/>
            </w:tcBorders>
          </w:tcPr>
          <w:p w14:paraId="61A38BD4" w14:textId="0F2FD754"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sz w:val="20"/>
                <w:szCs w:val="20"/>
              </w:rPr>
              <w:t>$12,56</w:t>
            </w:r>
            <w:r>
              <w:rPr>
                <w:rFonts w:ascii="Arial Narrow" w:hAnsi="Arial Narrow"/>
                <w:sz w:val="20"/>
                <w:szCs w:val="20"/>
              </w:rPr>
              <w:t>1</w:t>
            </w:r>
          </w:p>
        </w:tc>
        <w:tc>
          <w:tcPr>
            <w:tcW w:w="1229" w:type="pct"/>
            <w:vMerge w:val="restart"/>
            <w:tcBorders>
              <w:bottom w:val="nil"/>
            </w:tcBorders>
            <w:vAlign w:val="center"/>
          </w:tcPr>
          <w:p w14:paraId="5A3829EB" w14:textId="39645F26"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sz w:val="20"/>
                <w:szCs w:val="20"/>
              </w:rPr>
              <w:t>$12,591 per QALY gained</w:t>
            </w:r>
          </w:p>
        </w:tc>
      </w:tr>
      <w:tr w:rsidR="00854482" w:rsidRPr="00B221AE" w14:paraId="2F323F43" w14:textId="77777777" w:rsidTr="00115CA8">
        <w:trPr>
          <w:trHeight w:val="236"/>
        </w:trPr>
        <w:tc>
          <w:tcPr>
            <w:tcW w:w="1412" w:type="pct"/>
            <w:tcBorders>
              <w:top w:val="nil"/>
            </w:tcBorders>
          </w:tcPr>
          <w:p w14:paraId="301F436F" w14:textId="25A2BA66" w:rsidR="00397745" w:rsidRPr="007E720C" w:rsidRDefault="00397745" w:rsidP="00745EAD">
            <w:pPr>
              <w:keepNext/>
              <w:keepLines/>
              <w:spacing w:before="0"/>
              <w:rPr>
                <w:rFonts w:ascii="Arial Narrow" w:hAnsi="Arial Narrow"/>
                <w:sz w:val="20"/>
                <w:szCs w:val="20"/>
              </w:rPr>
            </w:pPr>
            <w:r w:rsidRPr="007E720C">
              <w:rPr>
                <w:rFonts w:ascii="Arial Narrow" w:hAnsi="Arial Narrow"/>
                <w:sz w:val="20"/>
                <w:szCs w:val="20"/>
              </w:rPr>
              <w:t xml:space="preserve">Effectiveness </w:t>
            </w:r>
          </w:p>
        </w:tc>
        <w:tc>
          <w:tcPr>
            <w:tcW w:w="865" w:type="pct"/>
            <w:tcBorders>
              <w:top w:val="nil"/>
            </w:tcBorders>
          </w:tcPr>
          <w:p w14:paraId="63185985" w14:textId="77777777"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sz w:val="20"/>
                <w:szCs w:val="20"/>
              </w:rPr>
              <w:t>12.291</w:t>
            </w:r>
          </w:p>
        </w:tc>
        <w:tc>
          <w:tcPr>
            <w:tcW w:w="708" w:type="pct"/>
            <w:tcBorders>
              <w:top w:val="nil"/>
            </w:tcBorders>
          </w:tcPr>
          <w:p w14:paraId="382F3DE7" w14:textId="77777777"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sz w:val="20"/>
                <w:szCs w:val="20"/>
              </w:rPr>
              <w:t>11.293</w:t>
            </w:r>
          </w:p>
        </w:tc>
        <w:tc>
          <w:tcPr>
            <w:tcW w:w="786" w:type="pct"/>
            <w:tcBorders>
              <w:top w:val="nil"/>
            </w:tcBorders>
          </w:tcPr>
          <w:p w14:paraId="07668C28" w14:textId="77777777" w:rsidR="00397745" w:rsidRPr="007E720C" w:rsidRDefault="00397745" w:rsidP="00745EAD">
            <w:pPr>
              <w:keepNext/>
              <w:keepLines/>
              <w:spacing w:before="0"/>
              <w:jc w:val="center"/>
              <w:rPr>
                <w:rFonts w:ascii="Arial Narrow" w:hAnsi="Arial Narrow"/>
                <w:b/>
                <w:sz w:val="20"/>
                <w:szCs w:val="20"/>
              </w:rPr>
            </w:pPr>
            <w:r w:rsidRPr="007E720C">
              <w:rPr>
                <w:rFonts w:ascii="Arial Narrow" w:hAnsi="Arial Narrow"/>
                <w:sz w:val="20"/>
                <w:szCs w:val="20"/>
              </w:rPr>
              <w:t>0.9976</w:t>
            </w:r>
          </w:p>
        </w:tc>
        <w:tc>
          <w:tcPr>
            <w:tcW w:w="1229" w:type="pct"/>
            <w:vMerge/>
            <w:tcBorders>
              <w:top w:val="nil"/>
            </w:tcBorders>
            <w:vAlign w:val="center"/>
          </w:tcPr>
          <w:p w14:paraId="041B87B8" w14:textId="77777777" w:rsidR="00397745" w:rsidRPr="007E720C" w:rsidRDefault="00397745" w:rsidP="00745EAD">
            <w:pPr>
              <w:keepNext/>
              <w:keepLines/>
              <w:spacing w:before="0"/>
              <w:jc w:val="center"/>
              <w:rPr>
                <w:rFonts w:ascii="Arial Narrow" w:hAnsi="Arial Narrow"/>
                <w:b/>
                <w:sz w:val="20"/>
                <w:szCs w:val="20"/>
              </w:rPr>
            </w:pPr>
          </w:p>
        </w:tc>
      </w:tr>
    </w:tbl>
    <w:p w14:paraId="0044409C" w14:textId="4C908A7C" w:rsidR="007F7BBD" w:rsidRPr="00DA6CA1" w:rsidRDefault="007F7BBD" w:rsidP="00FD4D96">
      <w:pPr>
        <w:pStyle w:val="TableFigureFooter"/>
      </w:pPr>
      <w:r w:rsidRPr="00D76EFB">
        <w:t>Abbreviations:</w:t>
      </w:r>
      <w:r w:rsidRPr="00DA6CA1">
        <w:t xml:space="preserve"> </w:t>
      </w:r>
      <w:r w:rsidRPr="00D76EFB">
        <w:t>ESG</w:t>
      </w:r>
      <w:r w:rsidR="00B86B8F" w:rsidRPr="00DA6CA1">
        <w:t>:</w:t>
      </w:r>
      <w:r w:rsidRPr="00DA6CA1">
        <w:t xml:space="preserve"> </w:t>
      </w:r>
      <w:r w:rsidR="00B557A0">
        <w:t>e</w:t>
      </w:r>
      <w:r w:rsidRPr="00DA6CA1">
        <w:t xml:space="preserve">ndoscopic </w:t>
      </w:r>
      <w:r w:rsidR="00B557A0">
        <w:t>s</w:t>
      </w:r>
      <w:r w:rsidRPr="00DA6CA1">
        <w:t xml:space="preserve">leeve </w:t>
      </w:r>
      <w:r w:rsidR="00B557A0">
        <w:t>g</w:t>
      </w:r>
      <w:r w:rsidRPr="00DA6CA1">
        <w:t xml:space="preserve">astroplasty; </w:t>
      </w:r>
      <w:r w:rsidRPr="00D76EFB">
        <w:t>ICER</w:t>
      </w:r>
      <w:r w:rsidR="00F61D96" w:rsidRPr="00DA6CA1">
        <w:t>:</w:t>
      </w:r>
      <w:r w:rsidRPr="00DA6CA1">
        <w:t xml:space="preserve"> </w:t>
      </w:r>
      <w:r w:rsidR="00B557A0">
        <w:t>i</w:t>
      </w:r>
      <w:r w:rsidRPr="00DA6CA1">
        <w:t xml:space="preserve">ncremental cost-effectiveness ratio; </w:t>
      </w:r>
      <w:r w:rsidR="00B557A0" w:rsidRPr="00D76EFB">
        <w:t>LM</w:t>
      </w:r>
      <w:r w:rsidR="00B557A0" w:rsidRPr="00DA6CA1">
        <w:t>:</w:t>
      </w:r>
      <w:r w:rsidR="00B557A0" w:rsidRPr="008E14F9">
        <w:t xml:space="preserve"> </w:t>
      </w:r>
      <w:r w:rsidR="00B557A0">
        <w:t>l</w:t>
      </w:r>
      <w:r w:rsidR="00B557A0" w:rsidRPr="008E14F9">
        <w:t xml:space="preserve">ifestyle modification; </w:t>
      </w:r>
      <w:r w:rsidRPr="00D76EFB">
        <w:t>LY</w:t>
      </w:r>
      <w:r w:rsidR="00F61D96" w:rsidRPr="00DA6CA1">
        <w:t>:</w:t>
      </w:r>
      <w:r w:rsidRPr="00DA6CA1">
        <w:t xml:space="preserve"> </w:t>
      </w:r>
      <w:r w:rsidR="00B557A0">
        <w:t>l</w:t>
      </w:r>
      <w:r w:rsidRPr="00DA6CA1">
        <w:t xml:space="preserve">ife year; </w:t>
      </w:r>
      <w:r w:rsidRPr="00D76EFB">
        <w:t>QALY</w:t>
      </w:r>
      <w:r w:rsidR="00F61D96" w:rsidRPr="00DA6CA1">
        <w:t>:</w:t>
      </w:r>
      <w:r w:rsidRPr="00DA6CA1">
        <w:t xml:space="preserve"> </w:t>
      </w:r>
      <w:r w:rsidR="00B557A0">
        <w:t>q</w:t>
      </w:r>
      <w:r w:rsidRPr="00DA6CA1">
        <w:t>uality-adjusted life year</w:t>
      </w:r>
    </w:p>
    <w:p w14:paraId="1E586FC3" w14:textId="23430F3F" w:rsidR="00B86B8F" w:rsidRPr="00DA6CA1" w:rsidRDefault="00B86B8F" w:rsidP="00FD4D96">
      <w:pPr>
        <w:pStyle w:val="TableFigureFooter"/>
      </w:pPr>
      <w:r w:rsidRPr="00D76EFB">
        <w:t>Source:</w:t>
      </w:r>
      <w:r w:rsidRPr="00DA6CA1">
        <w:t xml:space="preserve"> Submission Table 3-31 and Table 3-36 (pp. 155 and 157)</w:t>
      </w:r>
    </w:p>
    <w:p w14:paraId="1887D5AF" w14:textId="7F426FC7" w:rsidR="007B4460" w:rsidRPr="004437E0" w:rsidRDefault="007B4460" w:rsidP="00C31B4D">
      <w:bookmarkStart w:id="95" w:name="Title_Table6"/>
      <w:bookmarkEnd w:id="88"/>
      <w:bookmarkEnd w:id="95"/>
      <w:r w:rsidRPr="2AA1CA0C">
        <w:t xml:space="preserve">Over the 40-year </w:t>
      </w:r>
      <w:r w:rsidR="006C40D6" w:rsidRPr="2AA1CA0C">
        <w:t xml:space="preserve">timeframe, ESG </w:t>
      </w:r>
      <w:r w:rsidR="00E06C0B" w:rsidRPr="2AA1CA0C">
        <w:t>plus</w:t>
      </w:r>
      <w:r w:rsidR="006C40D6" w:rsidRPr="2AA1CA0C">
        <w:t xml:space="preserve"> lifestyle modification </w:t>
      </w:r>
      <w:r w:rsidR="00A304A5" w:rsidRPr="2AA1CA0C">
        <w:t>generate</w:t>
      </w:r>
      <w:r w:rsidR="00031C97" w:rsidRPr="2AA1CA0C">
        <w:t>s</w:t>
      </w:r>
      <w:r w:rsidR="00A304A5" w:rsidRPr="2AA1CA0C">
        <w:t xml:space="preserve"> an additional 0.16</w:t>
      </w:r>
      <w:r w:rsidR="004E1B6F" w:rsidRPr="2AA1CA0C">
        <w:t>39</w:t>
      </w:r>
      <w:r w:rsidR="00A304A5" w:rsidRPr="2AA1CA0C">
        <w:t xml:space="preserve"> </w:t>
      </w:r>
      <w:r w:rsidR="00EF6BB5" w:rsidRPr="2AA1CA0C">
        <w:t>LY</w:t>
      </w:r>
      <w:r w:rsidR="00A304A5" w:rsidRPr="2AA1CA0C">
        <w:t xml:space="preserve"> and 0.9</w:t>
      </w:r>
      <w:r w:rsidR="007717CF" w:rsidRPr="2AA1CA0C">
        <w:t>8</w:t>
      </w:r>
      <w:r w:rsidR="00A304A5" w:rsidRPr="2AA1CA0C">
        <w:t>9</w:t>
      </w:r>
      <w:r w:rsidR="004E1B6F" w:rsidRPr="2AA1CA0C">
        <w:t>0</w:t>
      </w:r>
      <w:r w:rsidR="00A304A5" w:rsidRPr="2AA1CA0C">
        <w:t xml:space="preserve"> QALY compared to </w:t>
      </w:r>
      <w:r w:rsidR="00A51767" w:rsidRPr="2AA1CA0C">
        <w:t xml:space="preserve">lifestyle modification </w:t>
      </w:r>
      <w:r w:rsidR="00ED2BB4" w:rsidRPr="2AA1CA0C">
        <w:t>alone</w:t>
      </w:r>
      <w:r w:rsidR="00A51767" w:rsidRPr="2AA1CA0C">
        <w:t xml:space="preserve"> for patients </w:t>
      </w:r>
      <w:r w:rsidR="00ED2BB4" w:rsidRPr="2AA1CA0C">
        <w:t xml:space="preserve">at obesity </w:t>
      </w:r>
      <w:r w:rsidR="008F5EBB" w:rsidRPr="2AA1CA0C">
        <w:t>class</w:t>
      </w:r>
      <w:r w:rsidR="00ED2BB4" w:rsidRPr="2AA1CA0C">
        <w:t xml:space="preserve"> I. Similarly, for patients </w:t>
      </w:r>
      <w:r w:rsidR="002C7768" w:rsidRPr="2AA1CA0C">
        <w:t xml:space="preserve">at obesity </w:t>
      </w:r>
      <w:r w:rsidR="008F5EBB" w:rsidRPr="2AA1CA0C">
        <w:t>class</w:t>
      </w:r>
      <w:r w:rsidR="002C7768" w:rsidRPr="2AA1CA0C">
        <w:t xml:space="preserve"> II</w:t>
      </w:r>
      <w:r w:rsidR="00A2232A" w:rsidRPr="2AA1CA0C">
        <w:t xml:space="preserve">, ESG </w:t>
      </w:r>
      <w:r w:rsidR="005204E5" w:rsidRPr="2AA1CA0C">
        <w:t>plus</w:t>
      </w:r>
      <w:r w:rsidR="00A2232A" w:rsidRPr="2AA1CA0C">
        <w:t xml:space="preserve"> </w:t>
      </w:r>
      <w:r w:rsidR="002E1C9B" w:rsidRPr="2AA1CA0C">
        <w:t>lifestyle modification provide</w:t>
      </w:r>
      <w:r w:rsidR="005204E5" w:rsidRPr="2AA1CA0C">
        <w:t>s</w:t>
      </w:r>
      <w:r w:rsidR="002E1C9B" w:rsidRPr="2AA1CA0C">
        <w:t xml:space="preserve"> an additional </w:t>
      </w:r>
      <w:r w:rsidR="00B75C38" w:rsidRPr="2AA1CA0C">
        <w:t xml:space="preserve">0.1837 </w:t>
      </w:r>
      <w:r w:rsidR="00EF6BB5" w:rsidRPr="2AA1CA0C">
        <w:t xml:space="preserve">LY </w:t>
      </w:r>
      <w:r w:rsidR="00B75C38" w:rsidRPr="2AA1CA0C">
        <w:t xml:space="preserve">and 0.9976 </w:t>
      </w:r>
      <w:r w:rsidR="00260854" w:rsidRPr="2AA1CA0C">
        <w:t xml:space="preserve">QALY compared to </w:t>
      </w:r>
      <w:r w:rsidR="0020068B" w:rsidRPr="2AA1CA0C">
        <w:t>lifestyle</w:t>
      </w:r>
      <w:r w:rsidR="00260854" w:rsidRPr="2AA1CA0C">
        <w:t xml:space="preserve"> modification alone</w:t>
      </w:r>
      <w:r w:rsidR="0020068B" w:rsidRPr="2AA1CA0C">
        <w:t xml:space="preserve"> (</w:t>
      </w:r>
      <w:r>
        <w:fldChar w:fldCharType="begin"/>
      </w:r>
      <w:r>
        <w:instrText xml:space="preserve"> REF _Ref184217131 \h  \* MERGEFORMAT </w:instrText>
      </w:r>
      <w:r>
        <w:fldChar w:fldCharType="separate"/>
      </w:r>
      <w:r w:rsidR="008F37D1" w:rsidRPr="004437E0">
        <w:t xml:space="preserve">Table </w:t>
      </w:r>
      <w:r w:rsidR="008F37D1">
        <w:rPr>
          <w:noProof/>
        </w:rPr>
        <w:t>25</w:t>
      </w:r>
      <w:r>
        <w:fldChar w:fldCharType="end"/>
      </w:r>
      <w:r w:rsidR="0020068B" w:rsidRPr="2AA1CA0C">
        <w:t xml:space="preserve">). </w:t>
      </w:r>
    </w:p>
    <w:p w14:paraId="1B770181" w14:textId="75449C3D" w:rsidR="009E2DA8" w:rsidRPr="00051D64" w:rsidRDefault="00CB40CB" w:rsidP="009E2DA8">
      <w:pPr>
        <w:pStyle w:val="Caption"/>
      </w:pPr>
      <w:bookmarkStart w:id="96" w:name="_Ref184130322"/>
      <w:bookmarkStart w:id="97" w:name="_Ref184217131"/>
      <w:r w:rsidRPr="004437E0">
        <w:t>Table</w:t>
      </w:r>
      <w:bookmarkEnd w:id="96"/>
      <w:r w:rsidRPr="004437E0">
        <w:t xml:space="preserve"> </w:t>
      </w:r>
      <w:r w:rsidR="00707F6D">
        <w:fldChar w:fldCharType="begin"/>
      </w:r>
      <w:r w:rsidR="00707F6D">
        <w:instrText xml:space="preserve"> SEQ Table \* ARABIC </w:instrText>
      </w:r>
      <w:r w:rsidR="00707F6D">
        <w:fldChar w:fldCharType="separate"/>
      </w:r>
      <w:r w:rsidR="008F37D1">
        <w:rPr>
          <w:noProof/>
        </w:rPr>
        <w:t>25</w:t>
      </w:r>
      <w:r w:rsidR="00707F6D">
        <w:rPr>
          <w:noProof/>
        </w:rPr>
        <w:fldChar w:fldCharType="end"/>
      </w:r>
      <w:bookmarkEnd w:id="97"/>
      <w:r w:rsidR="00DA6CA1" w:rsidRPr="004437E0">
        <w:t>:</w:t>
      </w:r>
      <w:r w:rsidRPr="004437E0">
        <w:t xml:space="preserve"> Results of the economic evaluation</w:t>
      </w:r>
      <w:r w:rsidR="00D915A3">
        <w:t xml:space="preserve"> (base case)</w:t>
      </w:r>
    </w:p>
    <w:tbl>
      <w:tblPr>
        <w:tblStyle w:val="TableGrid"/>
        <w:tblW w:w="5000" w:type="pct"/>
        <w:tblLook w:val="04A0" w:firstRow="1" w:lastRow="0" w:firstColumn="1" w:lastColumn="0" w:noHBand="0" w:noVBand="1"/>
      </w:tblPr>
      <w:tblGrid>
        <w:gridCol w:w="2113"/>
        <w:gridCol w:w="1039"/>
        <w:gridCol w:w="1132"/>
        <w:gridCol w:w="1241"/>
        <w:gridCol w:w="1280"/>
        <w:gridCol w:w="1098"/>
        <w:gridCol w:w="1113"/>
      </w:tblGrid>
      <w:tr w:rsidR="001D4901" w:rsidRPr="00B221AE" w14:paraId="464F526E" w14:textId="77777777" w:rsidTr="001E5C0C">
        <w:tc>
          <w:tcPr>
            <w:tcW w:w="1172" w:type="pct"/>
          </w:tcPr>
          <w:p w14:paraId="2DF1917C" w14:textId="77777777" w:rsidR="009E2DA8" w:rsidRPr="007E720C" w:rsidRDefault="009E2DA8" w:rsidP="00D76EFB">
            <w:pPr>
              <w:keepNext/>
              <w:spacing w:before="0"/>
              <w:rPr>
                <w:rFonts w:ascii="Arial Narrow" w:hAnsi="Arial Narrow"/>
                <w:b/>
                <w:sz w:val="20"/>
                <w:szCs w:val="20"/>
              </w:rPr>
            </w:pPr>
            <w:r w:rsidRPr="007E720C">
              <w:rPr>
                <w:rFonts w:ascii="Arial Narrow" w:hAnsi="Arial Narrow"/>
                <w:b/>
                <w:sz w:val="20"/>
                <w:szCs w:val="20"/>
              </w:rPr>
              <w:t>Parameter</w:t>
            </w:r>
          </w:p>
        </w:tc>
        <w:tc>
          <w:tcPr>
            <w:tcW w:w="1892" w:type="pct"/>
            <w:gridSpan w:val="3"/>
          </w:tcPr>
          <w:p w14:paraId="276716DE" w14:textId="69D50FC6" w:rsidR="009E2DA8" w:rsidRPr="007E720C" w:rsidRDefault="009E2DA8" w:rsidP="00D76EFB">
            <w:pPr>
              <w:keepNext/>
              <w:spacing w:before="0"/>
              <w:jc w:val="center"/>
              <w:rPr>
                <w:rFonts w:ascii="Arial Narrow" w:hAnsi="Arial Narrow"/>
                <w:b/>
                <w:sz w:val="20"/>
                <w:szCs w:val="20"/>
              </w:rPr>
            </w:pPr>
            <w:r w:rsidRPr="007E720C">
              <w:rPr>
                <w:rFonts w:ascii="Arial Narrow" w:hAnsi="Arial Narrow"/>
                <w:b/>
                <w:sz w:val="20"/>
                <w:szCs w:val="20"/>
              </w:rPr>
              <w:t xml:space="preserve">Obesity </w:t>
            </w:r>
            <w:r w:rsidR="008F5EBB">
              <w:rPr>
                <w:rFonts w:ascii="Arial Narrow" w:hAnsi="Arial Narrow"/>
                <w:b/>
                <w:sz w:val="20"/>
                <w:szCs w:val="20"/>
              </w:rPr>
              <w:t>class</w:t>
            </w:r>
            <w:r w:rsidR="00986F1A">
              <w:rPr>
                <w:rFonts w:ascii="Arial Narrow" w:hAnsi="Arial Narrow"/>
                <w:b/>
                <w:sz w:val="20"/>
                <w:szCs w:val="20"/>
              </w:rPr>
              <w:t xml:space="preserve"> </w:t>
            </w:r>
            <w:r w:rsidRPr="007E720C">
              <w:rPr>
                <w:rFonts w:ascii="Arial Narrow" w:hAnsi="Arial Narrow"/>
                <w:b/>
                <w:sz w:val="20"/>
                <w:szCs w:val="20"/>
              </w:rPr>
              <w:t>I</w:t>
            </w:r>
          </w:p>
        </w:tc>
        <w:tc>
          <w:tcPr>
            <w:tcW w:w="1936" w:type="pct"/>
            <w:gridSpan w:val="3"/>
          </w:tcPr>
          <w:p w14:paraId="38E50DCD" w14:textId="2DCB1CA9" w:rsidR="009E2DA8" w:rsidRPr="007E720C" w:rsidRDefault="009E2DA8" w:rsidP="00D76EFB">
            <w:pPr>
              <w:keepNext/>
              <w:spacing w:before="0"/>
              <w:jc w:val="center"/>
              <w:rPr>
                <w:rFonts w:ascii="Arial Narrow" w:hAnsi="Arial Narrow"/>
                <w:b/>
                <w:sz w:val="20"/>
                <w:szCs w:val="20"/>
              </w:rPr>
            </w:pPr>
            <w:r w:rsidRPr="007E720C">
              <w:rPr>
                <w:rFonts w:ascii="Arial Narrow" w:hAnsi="Arial Narrow"/>
                <w:b/>
                <w:sz w:val="20"/>
                <w:szCs w:val="20"/>
              </w:rPr>
              <w:t xml:space="preserve">Obesity </w:t>
            </w:r>
            <w:r w:rsidR="008F5EBB">
              <w:rPr>
                <w:rFonts w:ascii="Arial Narrow" w:hAnsi="Arial Narrow"/>
                <w:b/>
                <w:sz w:val="20"/>
                <w:szCs w:val="20"/>
              </w:rPr>
              <w:t>class</w:t>
            </w:r>
            <w:r w:rsidR="00986F1A">
              <w:rPr>
                <w:rFonts w:ascii="Arial Narrow" w:hAnsi="Arial Narrow"/>
                <w:b/>
                <w:sz w:val="20"/>
                <w:szCs w:val="20"/>
              </w:rPr>
              <w:t xml:space="preserve"> </w:t>
            </w:r>
            <w:r w:rsidRPr="007E720C">
              <w:rPr>
                <w:rFonts w:ascii="Arial Narrow" w:hAnsi="Arial Narrow"/>
                <w:b/>
                <w:sz w:val="20"/>
                <w:szCs w:val="20"/>
              </w:rPr>
              <w:t>II</w:t>
            </w:r>
          </w:p>
        </w:tc>
      </w:tr>
      <w:tr w:rsidR="001D4901" w:rsidRPr="00B221AE" w14:paraId="6504526B" w14:textId="77777777" w:rsidTr="00CD0D7F">
        <w:tc>
          <w:tcPr>
            <w:tcW w:w="1172" w:type="pct"/>
            <w:tcBorders>
              <w:bottom w:val="single" w:sz="4" w:space="0" w:color="auto"/>
            </w:tcBorders>
          </w:tcPr>
          <w:p w14:paraId="6C1A2172" w14:textId="77777777" w:rsidR="009E2DA8" w:rsidRPr="007E720C" w:rsidRDefault="009E2DA8" w:rsidP="00D76EFB">
            <w:pPr>
              <w:keepNext/>
              <w:spacing w:before="0"/>
              <w:rPr>
                <w:rFonts w:ascii="Arial Narrow" w:hAnsi="Arial Narrow"/>
                <w:b/>
                <w:sz w:val="20"/>
                <w:szCs w:val="20"/>
              </w:rPr>
            </w:pPr>
          </w:p>
        </w:tc>
        <w:tc>
          <w:tcPr>
            <w:tcW w:w="576" w:type="pct"/>
            <w:tcBorders>
              <w:bottom w:val="single" w:sz="4" w:space="0" w:color="auto"/>
            </w:tcBorders>
          </w:tcPr>
          <w:p w14:paraId="41820A4D" w14:textId="77777777" w:rsidR="009E2DA8" w:rsidRPr="007E720C" w:rsidRDefault="009E2DA8" w:rsidP="00D76EFB">
            <w:pPr>
              <w:keepNext/>
              <w:spacing w:before="0"/>
              <w:jc w:val="center"/>
              <w:rPr>
                <w:rFonts w:ascii="Arial Narrow" w:hAnsi="Arial Narrow"/>
                <w:sz w:val="20"/>
                <w:szCs w:val="20"/>
              </w:rPr>
            </w:pPr>
            <w:r w:rsidRPr="007E720C">
              <w:rPr>
                <w:rFonts w:ascii="Arial Narrow" w:hAnsi="Arial Narrow"/>
                <w:sz w:val="20"/>
                <w:szCs w:val="20"/>
              </w:rPr>
              <w:t>ESG</w:t>
            </w:r>
          </w:p>
        </w:tc>
        <w:tc>
          <w:tcPr>
            <w:tcW w:w="628" w:type="pct"/>
            <w:tcBorders>
              <w:bottom w:val="single" w:sz="4" w:space="0" w:color="auto"/>
            </w:tcBorders>
          </w:tcPr>
          <w:p w14:paraId="34D1F76D" w14:textId="77777777" w:rsidR="009E2DA8" w:rsidRPr="007E720C" w:rsidRDefault="009E2DA8" w:rsidP="00D76EFB">
            <w:pPr>
              <w:keepNext/>
              <w:spacing w:before="0"/>
              <w:jc w:val="center"/>
              <w:rPr>
                <w:rFonts w:ascii="Arial Narrow" w:hAnsi="Arial Narrow"/>
                <w:sz w:val="20"/>
                <w:szCs w:val="20"/>
              </w:rPr>
            </w:pPr>
            <w:r w:rsidRPr="007E720C">
              <w:rPr>
                <w:rFonts w:ascii="Arial Narrow" w:hAnsi="Arial Narrow"/>
                <w:sz w:val="20"/>
                <w:szCs w:val="20"/>
              </w:rPr>
              <w:t>LM</w:t>
            </w:r>
          </w:p>
        </w:tc>
        <w:tc>
          <w:tcPr>
            <w:tcW w:w="688" w:type="pct"/>
            <w:tcBorders>
              <w:bottom w:val="single" w:sz="4" w:space="0" w:color="auto"/>
            </w:tcBorders>
          </w:tcPr>
          <w:p w14:paraId="760DE710" w14:textId="6417514A" w:rsidR="009E2DA8" w:rsidRPr="007E720C" w:rsidRDefault="009E2DA8" w:rsidP="00D76EFB">
            <w:pPr>
              <w:keepNext/>
              <w:spacing w:before="0"/>
              <w:jc w:val="center"/>
              <w:rPr>
                <w:rFonts w:ascii="Arial Narrow" w:hAnsi="Arial Narrow"/>
                <w:sz w:val="20"/>
                <w:szCs w:val="20"/>
              </w:rPr>
            </w:pPr>
            <w:r w:rsidRPr="007E720C">
              <w:rPr>
                <w:rFonts w:ascii="Arial Narrow" w:hAnsi="Arial Narrow"/>
                <w:sz w:val="20"/>
                <w:szCs w:val="20"/>
              </w:rPr>
              <w:t>Increment</w:t>
            </w:r>
          </w:p>
        </w:tc>
        <w:tc>
          <w:tcPr>
            <w:tcW w:w="710" w:type="pct"/>
            <w:tcBorders>
              <w:bottom w:val="single" w:sz="4" w:space="0" w:color="auto"/>
            </w:tcBorders>
          </w:tcPr>
          <w:p w14:paraId="0E66422F" w14:textId="77777777" w:rsidR="009E2DA8" w:rsidRPr="007E720C" w:rsidRDefault="009E2DA8" w:rsidP="00D76EFB">
            <w:pPr>
              <w:keepNext/>
              <w:spacing w:before="0"/>
              <w:jc w:val="center"/>
              <w:rPr>
                <w:rFonts w:ascii="Arial Narrow" w:hAnsi="Arial Narrow"/>
                <w:sz w:val="20"/>
                <w:szCs w:val="20"/>
              </w:rPr>
            </w:pPr>
            <w:r w:rsidRPr="007E720C">
              <w:rPr>
                <w:rFonts w:ascii="Arial Narrow" w:hAnsi="Arial Narrow"/>
                <w:sz w:val="20"/>
                <w:szCs w:val="20"/>
              </w:rPr>
              <w:t>ESG</w:t>
            </w:r>
          </w:p>
        </w:tc>
        <w:tc>
          <w:tcPr>
            <w:tcW w:w="609" w:type="pct"/>
            <w:tcBorders>
              <w:bottom w:val="single" w:sz="4" w:space="0" w:color="auto"/>
            </w:tcBorders>
          </w:tcPr>
          <w:p w14:paraId="0405B1CF" w14:textId="77777777" w:rsidR="009E2DA8" w:rsidRPr="007E720C" w:rsidRDefault="009E2DA8" w:rsidP="00D76EFB">
            <w:pPr>
              <w:keepNext/>
              <w:spacing w:before="0"/>
              <w:jc w:val="center"/>
              <w:rPr>
                <w:rFonts w:ascii="Arial Narrow" w:hAnsi="Arial Narrow"/>
                <w:sz w:val="20"/>
                <w:szCs w:val="20"/>
              </w:rPr>
            </w:pPr>
            <w:r w:rsidRPr="007E720C">
              <w:rPr>
                <w:rFonts w:ascii="Arial Narrow" w:hAnsi="Arial Narrow"/>
                <w:sz w:val="20"/>
                <w:szCs w:val="20"/>
              </w:rPr>
              <w:t>LM</w:t>
            </w:r>
          </w:p>
        </w:tc>
        <w:tc>
          <w:tcPr>
            <w:tcW w:w="617" w:type="pct"/>
            <w:tcBorders>
              <w:bottom w:val="single" w:sz="4" w:space="0" w:color="auto"/>
            </w:tcBorders>
          </w:tcPr>
          <w:p w14:paraId="69831688" w14:textId="6D96722D" w:rsidR="009E2DA8" w:rsidRPr="007E720C" w:rsidRDefault="009E2DA8" w:rsidP="00D76EFB">
            <w:pPr>
              <w:keepNext/>
              <w:spacing w:before="0"/>
              <w:jc w:val="center"/>
              <w:rPr>
                <w:rFonts w:ascii="Arial Narrow" w:hAnsi="Arial Narrow"/>
                <w:sz w:val="20"/>
                <w:szCs w:val="20"/>
              </w:rPr>
            </w:pPr>
            <w:r w:rsidRPr="007E720C">
              <w:rPr>
                <w:rFonts w:ascii="Arial Narrow" w:hAnsi="Arial Narrow"/>
                <w:sz w:val="20"/>
                <w:szCs w:val="20"/>
              </w:rPr>
              <w:t>Increment</w:t>
            </w:r>
          </w:p>
        </w:tc>
      </w:tr>
      <w:tr w:rsidR="001D4901" w:rsidRPr="00B221AE" w14:paraId="56DBA364" w14:textId="77777777" w:rsidTr="001E5C0C">
        <w:tc>
          <w:tcPr>
            <w:tcW w:w="1172" w:type="pct"/>
          </w:tcPr>
          <w:p w14:paraId="71DACC1A" w14:textId="3FA71093" w:rsidR="009E2DA8" w:rsidRPr="007E720C" w:rsidRDefault="009E2DA8" w:rsidP="00D76EFB">
            <w:pPr>
              <w:keepNext/>
              <w:spacing w:before="0"/>
              <w:rPr>
                <w:rFonts w:ascii="Arial Narrow" w:hAnsi="Arial Narrow"/>
                <w:sz w:val="20"/>
                <w:szCs w:val="20"/>
              </w:rPr>
            </w:pPr>
            <w:r w:rsidRPr="007E720C">
              <w:rPr>
                <w:rFonts w:ascii="Arial Narrow" w:hAnsi="Arial Narrow"/>
                <w:sz w:val="20"/>
                <w:szCs w:val="20"/>
              </w:rPr>
              <w:t>Cost</w:t>
            </w:r>
          </w:p>
        </w:tc>
        <w:tc>
          <w:tcPr>
            <w:tcW w:w="576" w:type="pct"/>
          </w:tcPr>
          <w:p w14:paraId="71D4FD99" w14:textId="77777777" w:rsidR="009E2DA8" w:rsidRPr="007E720C" w:rsidRDefault="009E2DA8" w:rsidP="00D76EFB">
            <w:pPr>
              <w:keepNext/>
              <w:spacing w:before="0"/>
              <w:jc w:val="center"/>
              <w:rPr>
                <w:rFonts w:ascii="Arial Narrow" w:hAnsi="Arial Narrow"/>
                <w:sz w:val="20"/>
                <w:szCs w:val="20"/>
              </w:rPr>
            </w:pPr>
            <w:r w:rsidRPr="007E720C">
              <w:rPr>
                <w:rFonts w:ascii="Arial Narrow" w:hAnsi="Arial Narrow"/>
                <w:sz w:val="20"/>
                <w:szCs w:val="20"/>
              </w:rPr>
              <w:t>$45,525.38</w:t>
            </w:r>
          </w:p>
        </w:tc>
        <w:tc>
          <w:tcPr>
            <w:tcW w:w="628" w:type="pct"/>
          </w:tcPr>
          <w:p w14:paraId="1311D60A" w14:textId="77777777" w:rsidR="009E2DA8" w:rsidRPr="007E720C" w:rsidRDefault="009E2DA8" w:rsidP="00D76EFB">
            <w:pPr>
              <w:keepNext/>
              <w:spacing w:before="0"/>
              <w:jc w:val="center"/>
              <w:rPr>
                <w:rFonts w:ascii="Arial Narrow" w:hAnsi="Arial Narrow"/>
                <w:sz w:val="20"/>
                <w:szCs w:val="20"/>
              </w:rPr>
            </w:pPr>
            <w:r w:rsidRPr="007E720C">
              <w:rPr>
                <w:rFonts w:ascii="Arial Narrow" w:hAnsi="Arial Narrow"/>
                <w:sz w:val="20"/>
                <w:szCs w:val="20"/>
              </w:rPr>
              <w:t>$38,054.82</w:t>
            </w:r>
          </w:p>
        </w:tc>
        <w:tc>
          <w:tcPr>
            <w:tcW w:w="688" w:type="pct"/>
          </w:tcPr>
          <w:p w14:paraId="2E4CF010" w14:textId="77777777" w:rsidR="009E2DA8" w:rsidRPr="007E720C" w:rsidRDefault="009E2DA8" w:rsidP="00D76EFB">
            <w:pPr>
              <w:keepNext/>
              <w:spacing w:before="0"/>
              <w:jc w:val="center"/>
              <w:rPr>
                <w:rFonts w:ascii="Arial Narrow" w:hAnsi="Arial Narrow"/>
                <w:sz w:val="20"/>
                <w:szCs w:val="20"/>
              </w:rPr>
            </w:pPr>
            <w:r w:rsidRPr="007E720C">
              <w:rPr>
                <w:rFonts w:ascii="Arial Narrow" w:hAnsi="Arial Narrow"/>
                <w:sz w:val="20"/>
                <w:szCs w:val="20"/>
              </w:rPr>
              <w:t>$7,470.56</w:t>
            </w:r>
          </w:p>
        </w:tc>
        <w:tc>
          <w:tcPr>
            <w:tcW w:w="710" w:type="pct"/>
          </w:tcPr>
          <w:p w14:paraId="58A252A7" w14:textId="77777777" w:rsidR="009E2DA8" w:rsidRPr="007E720C" w:rsidRDefault="009E2DA8" w:rsidP="00D76EFB">
            <w:pPr>
              <w:keepNext/>
              <w:spacing w:before="0"/>
              <w:jc w:val="center"/>
              <w:rPr>
                <w:rFonts w:ascii="Arial Narrow" w:hAnsi="Arial Narrow"/>
                <w:sz w:val="20"/>
                <w:szCs w:val="20"/>
              </w:rPr>
            </w:pPr>
            <w:r w:rsidRPr="007E720C">
              <w:rPr>
                <w:rFonts w:ascii="Arial Narrow" w:hAnsi="Arial Narrow"/>
                <w:sz w:val="20"/>
                <w:szCs w:val="20"/>
              </w:rPr>
              <w:t>$54,582.37</w:t>
            </w:r>
          </w:p>
        </w:tc>
        <w:tc>
          <w:tcPr>
            <w:tcW w:w="609" w:type="pct"/>
          </w:tcPr>
          <w:p w14:paraId="6649BD63" w14:textId="77777777" w:rsidR="009E2DA8" w:rsidRPr="007E720C" w:rsidRDefault="009E2DA8" w:rsidP="00D76EFB">
            <w:pPr>
              <w:keepNext/>
              <w:spacing w:before="0"/>
              <w:jc w:val="center"/>
              <w:rPr>
                <w:rFonts w:ascii="Arial Narrow" w:hAnsi="Arial Narrow"/>
                <w:sz w:val="20"/>
                <w:szCs w:val="20"/>
              </w:rPr>
            </w:pPr>
            <w:r w:rsidRPr="007E720C">
              <w:rPr>
                <w:rFonts w:ascii="Arial Narrow" w:hAnsi="Arial Narrow"/>
                <w:sz w:val="20"/>
                <w:szCs w:val="20"/>
              </w:rPr>
              <w:t>$42,021.85</w:t>
            </w:r>
          </w:p>
        </w:tc>
        <w:tc>
          <w:tcPr>
            <w:tcW w:w="617" w:type="pct"/>
          </w:tcPr>
          <w:p w14:paraId="35F36E4F" w14:textId="51AB4CC9" w:rsidR="009E2DA8" w:rsidRPr="007E720C" w:rsidRDefault="009E2DA8" w:rsidP="00D76EFB">
            <w:pPr>
              <w:keepNext/>
              <w:spacing w:before="0"/>
              <w:jc w:val="center"/>
              <w:rPr>
                <w:rFonts w:ascii="Arial Narrow" w:hAnsi="Arial Narrow"/>
                <w:sz w:val="20"/>
                <w:szCs w:val="20"/>
              </w:rPr>
            </w:pPr>
            <w:r w:rsidRPr="007E720C">
              <w:rPr>
                <w:rFonts w:ascii="Arial Narrow" w:hAnsi="Arial Narrow"/>
                <w:sz w:val="20"/>
                <w:szCs w:val="20"/>
              </w:rPr>
              <w:t>$12</w:t>
            </w:r>
            <w:r w:rsidR="00A50083">
              <w:rPr>
                <w:rFonts w:ascii="Arial Narrow" w:hAnsi="Arial Narrow"/>
                <w:sz w:val="20"/>
                <w:szCs w:val="20"/>
              </w:rPr>
              <w:t>,</w:t>
            </w:r>
            <w:r w:rsidRPr="007E720C">
              <w:rPr>
                <w:rFonts w:ascii="Arial Narrow" w:hAnsi="Arial Narrow"/>
                <w:sz w:val="20"/>
                <w:szCs w:val="20"/>
              </w:rPr>
              <w:t>560.52</w:t>
            </w:r>
          </w:p>
        </w:tc>
      </w:tr>
      <w:tr w:rsidR="001D4901" w:rsidRPr="00B221AE" w14:paraId="7F721DA6" w14:textId="77777777" w:rsidTr="001E5C0C">
        <w:tc>
          <w:tcPr>
            <w:tcW w:w="1172" w:type="pct"/>
          </w:tcPr>
          <w:p w14:paraId="4318133D" w14:textId="0733A45C" w:rsidR="009E2DA8" w:rsidRPr="007E720C" w:rsidRDefault="009E2DA8" w:rsidP="00D76EFB">
            <w:pPr>
              <w:keepNext/>
              <w:spacing w:before="0"/>
              <w:rPr>
                <w:rFonts w:ascii="Arial Narrow" w:hAnsi="Arial Narrow"/>
                <w:sz w:val="20"/>
                <w:szCs w:val="20"/>
              </w:rPr>
            </w:pPr>
            <w:r w:rsidRPr="007E720C">
              <w:rPr>
                <w:rFonts w:ascii="Arial Narrow" w:hAnsi="Arial Narrow"/>
                <w:sz w:val="20"/>
                <w:szCs w:val="20"/>
              </w:rPr>
              <w:t>L</w:t>
            </w:r>
            <w:r w:rsidR="00780EE6">
              <w:rPr>
                <w:rFonts w:ascii="Arial Narrow" w:hAnsi="Arial Narrow"/>
                <w:sz w:val="20"/>
                <w:szCs w:val="20"/>
              </w:rPr>
              <w:t>Y</w:t>
            </w:r>
          </w:p>
        </w:tc>
        <w:tc>
          <w:tcPr>
            <w:tcW w:w="576" w:type="pct"/>
          </w:tcPr>
          <w:p w14:paraId="0DA6D1D2" w14:textId="02C092BA" w:rsidR="009E2DA8" w:rsidRPr="007E720C" w:rsidRDefault="009E2DA8" w:rsidP="00D76EFB">
            <w:pPr>
              <w:keepNext/>
              <w:spacing w:before="0"/>
              <w:jc w:val="center"/>
              <w:rPr>
                <w:rFonts w:ascii="Arial Narrow" w:hAnsi="Arial Narrow"/>
                <w:sz w:val="20"/>
                <w:szCs w:val="20"/>
              </w:rPr>
            </w:pPr>
            <w:r w:rsidRPr="007E720C">
              <w:rPr>
                <w:rFonts w:ascii="Arial Narrow" w:hAnsi="Arial Narrow"/>
                <w:sz w:val="20"/>
                <w:szCs w:val="20"/>
              </w:rPr>
              <w:t>16.641</w:t>
            </w:r>
            <w:r w:rsidR="000B4C22">
              <w:rPr>
                <w:rFonts w:ascii="Arial Narrow" w:hAnsi="Arial Narrow"/>
                <w:sz w:val="20"/>
                <w:szCs w:val="20"/>
              </w:rPr>
              <w:t>3</w:t>
            </w:r>
          </w:p>
        </w:tc>
        <w:tc>
          <w:tcPr>
            <w:tcW w:w="628" w:type="pct"/>
          </w:tcPr>
          <w:p w14:paraId="53CC23C7" w14:textId="53FF209E" w:rsidR="009E2DA8" w:rsidRPr="007E720C" w:rsidRDefault="009E2DA8" w:rsidP="00D76EFB">
            <w:pPr>
              <w:keepNext/>
              <w:spacing w:before="0"/>
              <w:jc w:val="center"/>
              <w:rPr>
                <w:rFonts w:ascii="Arial Narrow" w:hAnsi="Arial Narrow"/>
                <w:sz w:val="20"/>
                <w:szCs w:val="20"/>
              </w:rPr>
            </w:pPr>
            <w:r w:rsidRPr="007E720C">
              <w:rPr>
                <w:rFonts w:ascii="Arial Narrow" w:hAnsi="Arial Narrow"/>
                <w:sz w:val="20"/>
                <w:szCs w:val="20"/>
              </w:rPr>
              <w:t>16.477</w:t>
            </w:r>
            <w:r w:rsidR="000B4C22">
              <w:rPr>
                <w:rFonts w:ascii="Arial Narrow" w:hAnsi="Arial Narrow"/>
                <w:sz w:val="20"/>
                <w:szCs w:val="20"/>
              </w:rPr>
              <w:t>4</w:t>
            </w:r>
          </w:p>
        </w:tc>
        <w:tc>
          <w:tcPr>
            <w:tcW w:w="688" w:type="pct"/>
          </w:tcPr>
          <w:p w14:paraId="598575DD" w14:textId="6334FF70" w:rsidR="009E2DA8" w:rsidRPr="007E720C" w:rsidRDefault="009E2DA8" w:rsidP="00D76EFB">
            <w:pPr>
              <w:keepNext/>
              <w:spacing w:before="0"/>
              <w:jc w:val="center"/>
              <w:rPr>
                <w:rFonts w:ascii="Arial Narrow" w:hAnsi="Arial Narrow"/>
                <w:sz w:val="20"/>
                <w:szCs w:val="20"/>
              </w:rPr>
            </w:pPr>
            <w:r w:rsidRPr="007E720C">
              <w:rPr>
                <w:rFonts w:ascii="Arial Narrow" w:hAnsi="Arial Narrow"/>
                <w:sz w:val="20"/>
                <w:szCs w:val="20"/>
              </w:rPr>
              <w:t>0.16</w:t>
            </w:r>
            <w:r w:rsidR="003A6E49">
              <w:rPr>
                <w:rFonts w:ascii="Arial Narrow" w:hAnsi="Arial Narrow"/>
                <w:sz w:val="20"/>
                <w:szCs w:val="20"/>
              </w:rPr>
              <w:t>39</w:t>
            </w:r>
          </w:p>
        </w:tc>
        <w:tc>
          <w:tcPr>
            <w:tcW w:w="710" w:type="pct"/>
          </w:tcPr>
          <w:p w14:paraId="700780B0" w14:textId="0338575D" w:rsidR="009E2DA8" w:rsidRPr="007E720C" w:rsidRDefault="009E2DA8" w:rsidP="00D76EFB">
            <w:pPr>
              <w:keepNext/>
              <w:spacing w:before="0"/>
              <w:jc w:val="center"/>
              <w:rPr>
                <w:rFonts w:ascii="Arial Narrow" w:hAnsi="Arial Narrow"/>
                <w:sz w:val="20"/>
                <w:szCs w:val="20"/>
              </w:rPr>
            </w:pPr>
            <w:r w:rsidRPr="007E720C">
              <w:rPr>
                <w:rFonts w:ascii="Arial Narrow" w:hAnsi="Arial Narrow"/>
                <w:sz w:val="20"/>
                <w:szCs w:val="20"/>
              </w:rPr>
              <w:t>16.44</w:t>
            </w:r>
            <w:r w:rsidR="005A789A">
              <w:rPr>
                <w:rFonts w:ascii="Arial Narrow" w:hAnsi="Arial Narrow"/>
                <w:sz w:val="20"/>
                <w:szCs w:val="20"/>
              </w:rPr>
              <w:t>85</w:t>
            </w:r>
          </w:p>
        </w:tc>
        <w:tc>
          <w:tcPr>
            <w:tcW w:w="609" w:type="pct"/>
          </w:tcPr>
          <w:p w14:paraId="6AE0E53C" w14:textId="237C3EF0" w:rsidR="009E2DA8" w:rsidRPr="007E720C" w:rsidRDefault="009E2DA8" w:rsidP="00D76EFB">
            <w:pPr>
              <w:keepNext/>
              <w:spacing w:before="0"/>
              <w:jc w:val="center"/>
              <w:rPr>
                <w:rFonts w:ascii="Arial Narrow" w:hAnsi="Arial Narrow"/>
                <w:sz w:val="20"/>
                <w:szCs w:val="20"/>
              </w:rPr>
            </w:pPr>
            <w:r w:rsidRPr="007E720C">
              <w:rPr>
                <w:rFonts w:ascii="Arial Narrow" w:hAnsi="Arial Narrow"/>
                <w:sz w:val="20"/>
                <w:szCs w:val="20"/>
              </w:rPr>
              <w:t>16.26</w:t>
            </w:r>
            <w:r w:rsidR="005A789A">
              <w:rPr>
                <w:rFonts w:ascii="Arial Narrow" w:hAnsi="Arial Narrow"/>
                <w:sz w:val="20"/>
                <w:szCs w:val="20"/>
              </w:rPr>
              <w:t>48</w:t>
            </w:r>
          </w:p>
        </w:tc>
        <w:tc>
          <w:tcPr>
            <w:tcW w:w="617" w:type="pct"/>
          </w:tcPr>
          <w:p w14:paraId="50C70E08" w14:textId="77777777" w:rsidR="009E2DA8" w:rsidRPr="007E720C" w:rsidRDefault="009E2DA8" w:rsidP="00D76EFB">
            <w:pPr>
              <w:keepNext/>
              <w:spacing w:before="0"/>
              <w:jc w:val="center"/>
              <w:rPr>
                <w:rFonts w:ascii="Arial Narrow" w:hAnsi="Arial Narrow"/>
                <w:sz w:val="20"/>
                <w:szCs w:val="20"/>
              </w:rPr>
            </w:pPr>
            <w:r w:rsidRPr="007E720C">
              <w:rPr>
                <w:rFonts w:ascii="Arial Narrow" w:hAnsi="Arial Narrow"/>
                <w:sz w:val="20"/>
                <w:szCs w:val="20"/>
              </w:rPr>
              <w:t>0.1837</w:t>
            </w:r>
          </w:p>
        </w:tc>
      </w:tr>
      <w:tr w:rsidR="001D4901" w:rsidRPr="00B221AE" w14:paraId="15073CC1" w14:textId="77777777" w:rsidTr="001E5C0C">
        <w:tc>
          <w:tcPr>
            <w:tcW w:w="1172" w:type="pct"/>
          </w:tcPr>
          <w:p w14:paraId="57E853DA" w14:textId="708740D9" w:rsidR="009E2DA8" w:rsidRPr="007E720C" w:rsidRDefault="009E2DA8" w:rsidP="00D76EFB">
            <w:pPr>
              <w:keepNext/>
              <w:spacing w:before="0"/>
              <w:rPr>
                <w:rFonts w:ascii="Arial Narrow" w:hAnsi="Arial Narrow"/>
                <w:sz w:val="20"/>
                <w:szCs w:val="20"/>
              </w:rPr>
            </w:pPr>
            <w:r w:rsidRPr="007E720C">
              <w:rPr>
                <w:rFonts w:ascii="Arial Narrow" w:hAnsi="Arial Narrow"/>
                <w:sz w:val="20"/>
                <w:szCs w:val="20"/>
              </w:rPr>
              <w:t>QALY</w:t>
            </w:r>
          </w:p>
        </w:tc>
        <w:tc>
          <w:tcPr>
            <w:tcW w:w="576" w:type="pct"/>
          </w:tcPr>
          <w:p w14:paraId="06E5B76D" w14:textId="200C6833" w:rsidR="009E2DA8" w:rsidRPr="007E720C" w:rsidRDefault="009E2DA8" w:rsidP="00D76EFB">
            <w:pPr>
              <w:keepNext/>
              <w:spacing w:before="0"/>
              <w:jc w:val="center"/>
              <w:rPr>
                <w:rFonts w:ascii="Arial Narrow" w:hAnsi="Arial Narrow"/>
                <w:sz w:val="20"/>
                <w:szCs w:val="20"/>
              </w:rPr>
            </w:pPr>
            <w:r w:rsidRPr="007E720C">
              <w:rPr>
                <w:rFonts w:ascii="Arial Narrow" w:hAnsi="Arial Narrow"/>
                <w:sz w:val="20"/>
                <w:szCs w:val="20"/>
              </w:rPr>
              <w:t>13.410</w:t>
            </w:r>
            <w:r w:rsidR="00A164A0">
              <w:rPr>
                <w:rFonts w:ascii="Arial Narrow" w:hAnsi="Arial Narrow"/>
                <w:sz w:val="20"/>
                <w:szCs w:val="20"/>
              </w:rPr>
              <w:t>0</w:t>
            </w:r>
          </w:p>
        </w:tc>
        <w:tc>
          <w:tcPr>
            <w:tcW w:w="628" w:type="pct"/>
          </w:tcPr>
          <w:p w14:paraId="35BA9349" w14:textId="3D50AB07" w:rsidR="009E2DA8" w:rsidRPr="007E720C" w:rsidRDefault="009E2DA8" w:rsidP="00D76EFB">
            <w:pPr>
              <w:keepNext/>
              <w:spacing w:before="0"/>
              <w:jc w:val="center"/>
              <w:rPr>
                <w:rFonts w:ascii="Arial Narrow" w:hAnsi="Arial Narrow"/>
                <w:sz w:val="20"/>
                <w:szCs w:val="20"/>
              </w:rPr>
            </w:pPr>
            <w:r w:rsidRPr="007E720C">
              <w:rPr>
                <w:rFonts w:ascii="Arial Narrow" w:hAnsi="Arial Narrow"/>
                <w:sz w:val="20"/>
                <w:szCs w:val="20"/>
              </w:rPr>
              <w:t>12.421</w:t>
            </w:r>
            <w:r w:rsidR="00A164A0">
              <w:rPr>
                <w:rFonts w:ascii="Arial Narrow" w:hAnsi="Arial Narrow"/>
                <w:sz w:val="20"/>
                <w:szCs w:val="20"/>
              </w:rPr>
              <w:t>0</w:t>
            </w:r>
          </w:p>
        </w:tc>
        <w:tc>
          <w:tcPr>
            <w:tcW w:w="688" w:type="pct"/>
          </w:tcPr>
          <w:p w14:paraId="51B12452" w14:textId="14C058BE" w:rsidR="009E2DA8" w:rsidRPr="007E720C" w:rsidRDefault="009E2DA8" w:rsidP="00D76EFB">
            <w:pPr>
              <w:keepNext/>
              <w:spacing w:before="0"/>
              <w:jc w:val="center"/>
              <w:rPr>
                <w:rFonts w:ascii="Arial Narrow" w:hAnsi="Arial Narrow"/>
                <w:sz w:val="20"/>
                <w:szCs w:val="20"/>
              </w:rPr>
            </w:pPr>
            <w:r w:rsidRPr="007E720C">
              <w:rPr>
                <w:rFonts w:ascii="Arial Narrow" w:hAnsi="Arial Narrow"/>
                <w:sz w:val="20"/>
                <w:szCs w:val="20"/>
              </w:rPr>
              <w:t>0.9</w:t>
            </w:r>
            <w:r w:rsidR="003A6E49">
              <w:rPr>
                <w:rFonts w:ascii="Arial Narrow" w:hAnsi="Arial Narrow"/>
                <w:sz w:val="20"/>
                <w:szCs w:val="20"/>
              </w:rPr>
              <w:t>8</w:t>
            </w:r>
            <w:r w:rsidRPr="007E720C">
              <w:rPr>
                <w:rFonts w:ascii="Arial Narrow" w:hAnsi="Arial Narrow"/>
                <w:sz w:val="20"/>
                <w:szCs w:val="20"/>
              </w:rPr>
              <w:t>9</w:t>
            </w:r>
            <w:r w:rsidR="003A6E49">
              <w:rPr>
                <w:rFonts w:ascii="Arial Narrow" w:hAnsi="Arial Narrow"/>
                <w:sz w:val="20"/>
                <w:szCs w:val="20"/>
              </w:rPr>
              <w:t>0</w:t>
            </w:r>
          </w:p>
        </w:tc>
        <w:tc>
          <w:tcPr>
            <w:tcW w:w="710" w:type="pct"/>
          </w:tcPr>
          <w:p w14:paraId="13CB3E99" w14:textId="0FCFB680" w:rsidR="009E2DA8" w:rsidRPr="007E720C" w:rsidRDefault="009E2DA8" w:rsidP="00D76EFB">
            <w:pPr>
              <w:keepNext/>
              <w:spacing w:before="0"/>
              <w:jc w:val="center"/>
              <w:rPr>
                <w:rFonts w:ascii="Arial Narrow" w:hAnsi="Arial Narrow"/>
                <w:sz w:val="20"/>
                <w:szCs w:val="20"/>
              </w:rPr>
            </w:pPr>
            <w:r w:rsidRPr="007E720C">
              <w:rPr>
                <w:rFonts w:ascii="Arial Narrow" w:hAnsi="Arial Narrow"/>
                <w:sz w:val="20"/>
                <w:szCs w:val="20"/>
              </w:rPr>
              <w:t>12.29</w:t>
            </w:r>
            <w:r w:rsidR="0017118E">
              <w:rPr>
                <w:rFonts w:ascii="Arial Narrow" w:hAnsi="Arial Narrow"/>
                <w:sz w:val="20"/>
                <w:szCs w:val="20"/>
              </w:rPr>
              <w:t>05</w:t>
            </w:r>
          </w:p>
        </w:tc>
        <w:tc>
          <w:tcPr>
            <w:tcW w:w="609" w:type="pct"/>
          </w:tcPr>
          <w:p w14:paraId="772D4121" w14:textId="375CF885" w:rsidR="009E2DA8" w:rsidRPr="007E720C" w:rsidRDefault="009E2DA8" w:rsidP="00D76EFB">
            <w:pPr>
              <w:keepNext/>
              <w:spacing w:before="0"/>
              <w:jc w:val="center"/>
              <w:rPr>
                <w:rFonts w:ascii="Arial Narrow" w:hAnsi="Arial Narrow"/>
                <w:sz w:val="20"/>
                <w:szCs w:val="20"/>
              </w:rPr>
            </w:pPr>
            <w:r w:rsidRPr="007E720C">
              <w:rPr>
                <w:rFonts w:ascii="Arial Narrow" w:hAnsi="Arial Narrow"/>
                <w:sz w:val="20"/>
                <w:szCs w:val="20"/>
              </w:rPr>
              <w:t>11.293</w:t>
            </w:r>
            <w:r w:rsidR="0017118E">
              <w:rPr>
                <w:rFonts w:ascii="Arial Narrow" w:hAnsi="Arial Narrow"/>
                <w:sz w:val="20"/>
                <w:szCs w:val="20"/>
              </w:rPr>
              <w:t>0</w:t>
            </w:r>
          </w:p>
        </w:tc>
        <w:tc>
          <w:tcPr>
            <w:tcW w:w="617" w:type="pct"/>
          </w:tcPr>
          <w:p w14:paraId="1E288F1E" w14:textId="77777777" w:rsidR="009E2DA8" w:rsidRPr="007E720C" w:rsidRDefault="009E2DA8" w:rsidP="00D76EFB">
            <w:pPr>
              <w:keepNext/>
              <w:spacing w:before="0"/>
              <w:jc w:val="center"/>
              <w:rPr>
                <w:rFonts w:ascii="Arial Narrow" w:hAnsi="Arial Narrow"/>
                <w:sz w:val="20"/>
                <w:szCs w:val="20"/>
              </w:rPr>
            </w:pPr>
            <w:r w:rsidRPr="007E720C">
              <w:rPr>
                <w:rFonts w:ascii="Arial Narrow" w:hAnsi="Arial Narrow"/>
                <w:sz w:val="20"/>
                <w:szCs w:val="20"/>
              </w:rPr>
              <w:t>0.9976</w:t>
            </w:r>
          </w:p>
        </w:tc>
      </w:tr>
      <w:tr w:rsidR="001D4901" w:rsidRPr="00B221AE" w14:paraId="1B39ED34" w14:textId="77777777" w:rsidTr="001E5C0C">
        <w:tc>
          <w:tcPr>
            <w:tcW w:w="1172" w:type="pct"/>
          </w:tcPr>
          <w:p w14:paraId="51B27D32" w14:textId="2E99151B" w:rsidR="009E2DA8" w:rsidRPr="007E720C" w:rsidRDefault="009E2DA8" w:rsidP="00D76EFB">
            <w:pPr>
              <w:keepNext/>
              <w:spacing w:before="0"/>
              <w:rPr>
                <w:rFonts w:ascii="Arial Narrow" w:hAnsi="Arial Narrow"/>
                <w:sz w:val="20"/>
                <w:szCs w:val="20"/>
              </w:rPr>
            </w:pPr>
            <w:r w:rsidRPr="007E720C">
              <w:rPr>
                <w:rFonts w:ascii="Arial Narrow" w:hAnsi="Arial Narrow"/>
                <w:sz w:val="20"/>
                <w:szCs w:val="20"/>
              </w:rPr>
              <w:t xml:space="preserve">Incremental cost per </w:t>
            </w:r>
            <w:r w:rsidR="000E68E6">
              <w:rPr>
                <w:rFonts w:ascii="Arial Narrow" w:hAnsi="Arial Narrow"/>
                <w:sz w:val="20"/>
                <w:szCs w:val="20"/>
              </w:rPr>
              <w:t>LY</w:t>
            </w:r>
            <w:r w:rsidRPr="007E720C">
              <w:rPr>
                <w:rFonts w:ascii="Arial Narrow" w:hAnsi="Arial Narrow"/>
                <w:sz w:val="20"/>
                <w:szCs w:val="20"/>
              </w:rPr>
              <w:t xml:space="preserve"> gained</w:t>
            </w:r>
          </w:p>
        </w:tc>
        <w:tc>
          <w:tcPr>
            <w:tcW w:w="1892" w:type="pct"/>
            <w:gridSpan w:val="3"/>
          </w:tcPr>
          <w:p w14:paraId="4779D323" w14:textId="41CB8706" w:rsidR="009E2DA8" w:rsidRPr="007E720C" w:rsidRDefault="009E2DA8" w:rsidP="00D76EFB">
            <w:pPr>
              <w:keepNext/>
              <w:spacing w:before="0"/>
              <w:rPr>
                <w:rFonts w:ascii="Arial Narrow" w:hAnsi="Arial Narrow"/>
                <w:sz w:val="20"/>
                <w:szCs w:val="20"/>
              </w:rPr>
            </w:pPr>
            <w:r w:rsidRPr="007E720C">
              <w:rPr>
                <w:rFonts w:ascii="Arial Narrow" w:hAnsi="Arial Narrow"/>
                <w:sz w:val="20"/>
                <w:szCs w:val="20"/>
              </w:rPr>
              <w:t>$45,552.2</w:t>
            </w:r>
            <w:r w:rsidR="00A50083">
              <w:rPr>
                <w:rFonts w:ascii="Arial Narrow" w:hAnsi="Arial Narrow"/>
                <w:sz w:val="20"/>
                <w:szCs w:val="20"/>
              </w:rPr>
              <w:t>0</w:t>
            </w:r>
            <w:r w:rsidRPr="007E720C">
              <w:rPr>
                <w:rFonts w:ascii="Arial Narrow" w:hAnsi="Arial Narrow"/>
                <w:sz w:val="20"/>
                <w:szCs w:val="20"/>
              </w:rPr>
              <w:t xml:space="preserve"> </w:t>
            </w:r>
          </w:p>
        </w:tc>
        <w:tc>
          <w:tcPr>
            <w:tcW w:w="1936" w:type="pct"/>
            <w:gridSpan w:val="3"/>
          </w:tcPr>
          <w:p w14:paraId="27A5B5BD" w14:textId="3807BF55" w:rsidR="009E2DA8" w:rsidRPr="007E720C" w:rsidRDefault="009E2DA8" w:rsidP="00D76EFB">
            <w:pPr>
              <w:keepNext/>
              <w:spacing w:before="0"/>
              <w:rPr>
                <w:rFonts w:ascii="Arial Narrow" w:hAnsi="Arial Narrow"/>
                <w:sz w:val="20"/>
                <w:szCs w:val="20"/>
              </w:rPr>
            </w:pPr>
            <w:r w:rsidRPr="007E720C">
              <w:rPr>
                <w:rFonts w:ascii="Arial Narrow" w:hAnsi="Arial Narrow"/>
                <w:sz w:val="20"/>
                <w:szCs w:val="20"/>
              </w:rPr>
              <w:t>$68</w:t>
            </w:r>
            <w:r w:rsidR="00A50083">
              <w:rPr>
                <w:rFonts w:ascii="Arial Narrow" w:hAnsi="Arial Narrow"/>
                <w:sz w:val="20"/>
                <w:szCs w:val="20"/>
              </w:rPr>
              <w:t>,</w:t>
            </w:r>
            <w:r w:rsidRPr="007E720C">
              <w:rPr>
                <w:rFonts w:ascii="Arial Narrow" w:hAnsi="Arial Narrow"/>
                <w:sz w:val="20"/>
                <w:szCs w:val="20"/>
              </w:rPr>
              <w:t xml:space="preserve">363.16 </w:t>
            </w:r>
          </w:p>
        </w:tc>
      </w:tr>
      <w:tr w:rsidR="0011161B" w:rsidRPr="00B221AE" w14:paraId="7EAA56B8" w14:textId="77777777" w:rsidTr="001E5C0C">
        <w:tc>
          <w:tcPr>
            <w:tcW w:w="1172" w:type="pct"/>
          </w:tcPr>
          <w:p w14:paraId="184D99B1" w14:textId="1C43E4AA" w:rsidR="009E2DA8" w:rsidRPr="007E720C" w:rsidRDefault="009E2DA8" w:rsidP="00D76EFB">
            <w:pPr>
              <w:keepNext/>
              <w:spacing w:before="0"/>
              <w:rPr>
                <w:rFonts w:ascii="Arial Narrow" w:hAnsi="Arial Narrow"/>
                <w:sz w:val="20"/>
                <w:szCs w:val="20"/>
              </w:rPr>
            </w:pPr>
            <w:r w:rsidRPr="007E720C">
              <w:rPr>
                <w:rFonts w:ascii="Arial Narrow" w:hAnsi="Arial Narrow"/>
                <w:sz w:val="20"/>
                <w:szCs w:val="20"/>
              </w:rPr>
              <w:t>Incremental cost per QALY gained</w:t>
            </w:r>
          </w:p>
        </w:tc>
        <w:tc>
          <w:tcPr>
            <w:tcW w:w="1892" w:type="pct"/>
            <w:gridSpan w:val="3"/>
          </w:tcPr>
          <w:p w14:paraId="740DDECF" w14:textId="235F1589" w:rsidR="009E2DA8" w:rsidRPr="007E720C" w:rsidRDefault="009E2DA8" w:rsidP="00D76EFB">
            <w:pPr>
              <w:keepNext/>
              <w:spacing w:before="0"/>
              <w:rPr>
                <w:rFonts w:ascii="Arial Narrow" w:hAnsi="Arial Narrow"/>
                <w:sz w:val="20"/>
                <w:szCs w:val="20"/>
              </w:rPr>
            </w:pPr>
            <w:r w:rsidRPr="007E720C">
              <w:rPr>
                <w:rFonts w:ascii="Arial Narrow" w:hAnsi="Arial Narrow"/>
                <w:sz w:val="20"/>
                <w:szCs w:val="20"/>
              </w:rPr>
              <w:t>$7,</w:t>
            </w:r>
            <w:r w:rsidRPr="00C0101C">
              <w:rPr>
                <w:rFonts w:ascii="Arial Narrow" w:hAnsi="Arial Narrow"/>
                <w:sz w:val="20"/>
                <w:szCs w:val="20"/>
              </w:rPr>
              <w:t>55</w:t>
            </w:r>
            <w:r w:rsidR="00DC32FF">
              <w:rPr>
                <w:rFonts w:ascii="Arial Narrow" w:hAnsi="Arial Narrow"/>
                <w:sz w:val="20"/>
                <w:szCs w:val="20"/>
              </w:rPr>
              <w:t>3.62</w:t>
            </w:r>
            <w:r w:rsidRPr="007E720C">
              <w:rPr>
                <w:rFonts w:ascii="Arial Narrow" w:hAnsi="Arial Narrow"/>
                <w:sz w:val="20"/>
                <w:szCs w:val="20"/>
              </w:rPr>
              <w:t xml:space="preserve"> </w:t>
            </w:r>
          </w:p>
        </w:tc>
        <w:tc>
          <w:tcPr>
            <w:tcW w:w="1936" w:type="pct"/>
            <w:gridSpan w:val="3"/>
          </w:tcPr>
          <w:p w14:paraId="53299E4A" w14:textId="138E3B12" w:rsidR="009E2DA8" w:rsidRPr="007E720C" w:rsidRDefault="009E2DA8" w:rsidP="00D76EFB">
            <w:pPr>
              <w:keepNext/>
              <w:spacing w:before="0"/>
              <w:rPr>
                <w:rFonts w:ascii="Arial Narrow" w:hAnsi="Arial Narrow"/>
                <w:sz w:val="20"/>
                <w:szCs w:val="20"/>
              </w:rPr>
            </w:pPr>
            <w:r w:rsidRPr="007E720C">
              <w:rPr>
                <w:rFonts w:ascii="Arial Narrow" w:hAnsi="Arial Narrow"/>
                <w:sz w:val="20"/>
                <w:szCs w:val="20"/>
              </w:rPr>
              <w:t xml:space="preserve">$12,591.14 </w:t>
            </w:r>
          </w:p>
        </w:tc>
      </w:tr>
    </w:tbl>
    <w:p w14:paraId="03DE4F19" w14:textId="57F1716B" w:rsidR="00CB49C1" w:rsidRPr="00D76EFB" w:rsidRDefault="009E2DA8" w:rsidP="005441ED">
      <w:pPr>
        <w:pStyle w:val="TableFigNotes18"/>
        <w:spacing w:before="0" w:after="0"/>
        <w:rPr>
          <w:rFonts w:ascii="Arial Narrow" w:hAnsi="Arial Narrow"/>
          <w:color w:val="000000" w:themeColor="text1"/>
          <w:sz w:val="18"/>
          <w:szCs w:val="18"/>
        </w:rPr>
      </w:pPr>
      <w:r w:rsidRPr="00D76EFB">
        <w:rPr>
          <w:rFonts w:ascii="Arial Narrow" w:hAnsi="Arial Narrow"/>
          <w:color w:val="000000" w:themeColor="text1"/>
          <w:sz w:val="18"/>
          <w:szCs w:val="18"/>
        </w:rPr>
        <w:t>Abbreviations:</w:t>
      </w:r>
      <w:r w:rsidRPr="007E720C">
        <w:rPr>
          <w:rFonts w:ascii="Arial Narrow" w:hAnsi="Arial Narrow"/>
          <w:color w:val="000000" w:themeColor="text1"/>
          <w:sz w:val="18"/>
          <w:szCs w:val="18"/>
        </w:rPr>
        <w:t xml:space="preserve"> </w:t>
      </w:r>
      <w:r w:rsidRPr="00D76EFB">
        <w:rPr>
          <w:rFonts w:ascii="Arial Narrow" w:hAnsi="Arial Narrow"/>
          <w:color w:val="000000" w:themeColor="text1"/>
          <w:sz w:val="18"/>
          <w:szCs w:val="18"/>
        </w:rPr>
        <w:t>ESG</w:t>
      </w:r>
      <w:r w:rsidR="00CB49C1" w:rsidRPr="00656232">
        <w:rPr>
          <w:rFonts w:ascii="Arial Narrow" w:hAnsi="Arial Narrow"/>
          <w:color w:val="000000" w:themeColor="text1"/>
          <w:sz w:val="18"/>
          <w:szCs w:val="18"/>
        </w:rPr>
        <w:t>:</w:t>
      </w:r>
      <w:r w:rsidRPr="007E720C">
        <w:rPr>
          <w:rFonts w:ascii="Arial Narrow" w:hAnsi="Arial Narrow"/>
          <w:color w:val="000000" w:themeColor="text1"/>
          <w:sz w:val="18"/>
          <w:szCs w:val="18"/>
        </w:rPr>
        <w:t xml:space="preserve"> </w:t>
      </w:r>
      <w:r w:rsidR="00656232">
        <w:rPr>
          <w:rFonts w:ascii="Arial Narrow" w:hAnsi="Arial Narrow"/>
          <w:color w:val="000000" w:themeColor="text1"/>
          <w:sz w:val="18"/>
          <w:szCs w:val="18"/>
        </w:rPr>
        <w:t>e</w:t>
      </w:r>
      <w:r w:rsidRPr="007E720C">
        <w:rPr>
          <w:rFonts w:ascii="Arial Narrow" w:hAnsi="Arial Narrow"/>
          <w:color w:val="000000" w:themeColor="text1"/>
          <w:sz w:val="18"/>
          <w:szCs w:val="18"/>
        </w:rPr>
        <w:t xml:space="preserve">ndoscopic </w:t>
      </w:r>
      <w:r w:rsidR="00656232">
        <w:rPr>
          <w:rFonts w:ascii="Arial Narrow" w:hAnsi="Arial Narrow"/>
          <w:color w:val="000000" w:themeColor="text1"/>
          <w:sz w:val="18"/>
          <w:szCs w:val="18"/>
        </w:rPr>
        <w:t>s</w:t>
      </w:r>
      <w:r w:rsidRPr="007E720C">
        <w:rPr>
          <w:rFonts w:ascii="Arial Narrow" w:hAnsi="Arial Narrow"/>
          <w:color w:val="000000" w:themeColor="text1"/>
          <w:sz w:val="18"/>
          <w:szCs w:val="18"/>
        </w:rPr>
        <w:t xml:space="preserve">leeve </w:t>
      </w:r>
      <w:r w:rsidR="00656232">
        <w:rPr>
          <w:rFonts w:ascii="Arial Narrow" w:hAnsi="Arial Narrow"/>
          <w:color w:val="000000" w:themeColor="text1"/>
          <w:sz w:val="18"/>
          <w:szCs w:val="18"/>
        </w:rPr>
        <w:t>g</w:t>
      </w:r>
      <w:r w:rsidRPr="007E720C">
        <w:rPr>
          <w:rFonts w:ascii="Arial Narrow" w:hAnsi="Arial Narrow"/>
          <w:color w:val="000000" w:themeColor="text1"/>
          <w:sz w:val="18"/>
          <w:szCs w:val="18"/>
        </w:rPr>
        <w:t xml:space="preserve">astroplasty; </w:t>
      </w:r>
      <w:r w:rsidRPr="00D76EFB">
        <w:rPr>
          <w:rFonts w:ascii="Arial Narrow" w:hAnsi="Arial Narrow"/>
          <w:color w:val="000000" w:themeColor="text1"/>
          <w:sz w:val="18"/>
          <w:szCs w:val="18"/>
        </w:rPr>
        <w:t>LM</w:t>
      </w:r>
      <w:r w:rsidR="00CB49C1">
        <w:rPr>
          <w:rFonts w:ascii="Arial Narrow" w:hAnsi="Arial Narrow"/>
          <w:color w:val="000000" w:themeColor="text1"/>
          <w:sz w:val="18"/>
          <w:szCs w:val="18"/>
        </w:rPr>
        <w:t>:</w:t>
      </w:r>
      <w:r w:rsidRPr="007E720C">
        <w:rPr>
          <w:rFonts w:ascii="Arial Narrow" w:hAnsi="Arial Narrow"/>
          <w:color w:val="000000" w:themeColor="text1"/>
          <w:sz w:val="18"/>
          <w:szCs w:val="18"/>
        </w:rPr>
        <w:t xml:space="preserve"> </w:t>
      </w:r>
      <w:r w:rsidR="00656232">
        <w:rPr>
          <w:rFonts w:ascii="Arial Narrow" w:hAnsi="Arial Narrow"/>
          <w:color w:val="000000" w:themeColor="text1"/>
          <w:sz w:val="18"/>
          <w:szCs w:val="18"/>
        </w:rPr>
        <w:t>l</w:t>
      </w:r>
      <w:r w:rsidRPr="007E720C">
        <w:rPr>
          <w:rFonts w:ascii="Arial Narrow" w:hAnsi="Arial Narrow"/>
          <w:color w:val="000000" w:themeColor="text1"/>
          <w:sz w:val="18"/>
          <w:szCs w:val="18"/>
        </w:rPr>
        <w:t xml:space="preserve">ifestyle modification; </w:t>
      </w:r>
      <w:r w:rsidRPr="00D76EFB">
        <w:rPr>
          <w:rFonts w:ascii="Arial Narrow" w:hAnsi="Arial Narrow"/>
          <w:color w:val="000000" w:themeColor="text1"/>
          <w:sz w:val="18"/>
          <w:szCs w:val="18"/>
        </w:rPr>
        <w:t>LY</w:t>
      </w:r>
      <w:r w:rsidR="00CB49C1">
        <w:rPr>
          <w:rFonts w:ascii="Arial Narrow" w:hAnsi="Arial Narrow"/>
          <w:color w:val="000000" w:themeColor="text1"/>
          <w:sz w:val="18"/>
          <w:szCs w:val="18"/>
        </w:rPr>
        <w:t>:</w:t>
      </w:r>
      <w:r w:rsidRPr="007E720C">
        <w:rPr>
          <w:rFonts w:ascii="Arial Narrow" w:hAnsi="Arial Narrow"/>
          <w:color w:val="000000" w:themeColor="text1"/>
          <w:sz w:val="18"/>
          <w:szCs w:val="18"/>
        </w:rPr>
        <w:t xml:space="preserve"> </w:t>
      </w:r>
      <w:r w:rsidR="00656232">
        <w:rPr>
          <w:rFonts w:ascii="Arial Narrow" w:hAnsi="Arial Narrow"/>
          <w:color w:val="000000" w:themeColor="text1"/>
          <w:sz w:val="18"/>
          <w:szCs w:val="18"/>
        </w:rPr>
        <w:t>l</w:t>
      </w:r>
      <w:r w:rsidRPr="007E720C">
        <w:rPr>
          <w:rFonts w:ascii="Arial Narrow" w:hAnsi="Arial Narrow"/>
          <w:color w:val="000000" w:themeColor="text1"/>
          <w:sz w:val="18"/>
          <w:szCs w:val="18"/>
        </w:rPr>
        <w:t xml:space="preserve">ife year; </w:t>
      </w:r>
      <w:r w:rsidRPr="00D76EFB">
        <w:rPr>
          <w:rFonts w:ascii="Arial Narrow" w:hAnsi="Arial Narrow"/>
          <w:color w:val="000000" w:themeColor="text1"/>
          <w:sz w:val="18"/>
          <w:szCs w:val="18"/>
        </w:rPr>
        <w:t>QALY</w:t>
      </w:r>
      <w:r w:rsidR="00CB49C1">
        <w:rPr>
          <w:rFonts w:ascii="Arial Narrow" w:hAnsi="Arial Narrow"/>
          <w:color w:val="000000" w:themeColor="text1"/>
          <w:sz w:val="18"/>
          <w:szCs w:val="18"/>
        </w:rPr>
        <w:t>:</w:t>
      </w:r>
      <w:r w:rsidRPr="007E720C">
        <w:rPr>
          <w:rFonts w:ascii="Arial Narrow" w:hAnsi="Arial Narrow"/>
          <w:color w:val="000000" w:themeColor="text1"/>
          <w:sz w:val="18"/>
          <w:szCs w:val="18"/>
        </w:rPr>
        <w:t xml:space="preserve"> </w:t>
      </w:r>
      <w:r w:rsidR="00656232">
        <w:rPr>
          <w:rFonts w:ascii="Arial Narrow" w:hAnsi="Arial Narrow"/>
          <w:color w:val="000000" w:themeColor="text1"/>
          <w:sz w:val="18"/>
          <w:szCs w:val="18"/>
        </w:rPr>
        <w:t>q</w:t>
      </w:r>
      <w:r w:rsidRPr="007E720C">
        <w:rPr>
          <w:rFonts w:ascii="Arial Narrow" w:hAnsi="Arial Narrow"/>
          <w:color w:val="000000" w:themeColor="text1"/>
          <w:sz w:val="18"/>
          <w:szCs w:val="18"/>
        </w:rPr>
        <w:t>uality-adjusted life year</w:t>
      </w:r>
    </w:p>
    <w:p w14:paraId="158B63C2" w14:textId="22A09C74" w:rsidR="00F50A55" w:rsidRPr="00745EAD" w:rsidRDefault="00CB49C1" w:rsidP="00745EAD">
      <w:pPr>
        <w:pStyle w:val="BodyText"/>
        <w:spacing w:before="0" w:after="0"/>
        <w:rPr>
          <w:rFonts w:ascii="Arial Narrow" w:hAnsi="Arial Narrow"/>
          <w:color w:val="000000" w:themeColor="text1"/>
          <w:sz w:val="18"/>
          <w:szCs w:val="18"/>
        </w:rPr>
      </w:pPr>
      <w:r w:rsidRPr="00D76EFB">
        <w:rPr>
          <w:rFonts w:ascii="Arial Narrow" w:hAnsi="Arial Narrow"/>
          <w:color w:val="000000" w:themeColor="text1"/>
          <w:sz w:val="18"/>
          <w:szCs w:val="18"/>
        </w:rPr>
        <w:t>Source:</w:t>
      </w:r>
      <w:r w:rsidRPr="007E720C">
        <w:rPr>
          <w:rFonts w:ascii="Arial Narrow" w:hAnsi="Arial Narrow"/>
          <w:color w:val="000000" w:themeColor="text1"/>
          <w:sz w:val="18"/>
          <w:szCs w:val="18"/>
        </w:rPr>
        <w:t xml:space="preserve"> Submission Table 3-31 and Table 3-36 (pp. 155 and 157); Attachment 3.1-ESG cost-effectiveness model</w:t>
      </w:r>
    </w:p>
    <w:p w14:paraId="1762ACA2" w14:textId="46DA409A" w:rsidR="00D0394B" w:rsidRDefault="00786D4B" w:rsidP="00361335">
      <w:pPr>
        <w:spacing w:before="240"/>
      </w:pPr>
      <w:r w:rsidRPr="00947CD7">
        <w:t>The key drivers of the model are summarised in</w:t>
      </w:r>
      <w:r w:rsidR="006C794B" w:rsidRPr="00947CD7">
        <w:t xml:space="preserve"> </w:t>
      </w:r>
      <w:r w:rsidR="00DA6CA1" w:rsidRPr="00947CD7">
        <w:fldChar w:fldCharType="begin"/>
      </w:r>
      <w:r w:rsidR="00DA6CA1" w:rsidRPr="00947CD7">
        <w:instrText xml:space="preserve"> REF _Ref183602779 \h </w:instrText>
      </w:r>
      <w:r w:rsidR="00947CD7">
        <w:instrText xml:space="preserve"> \* MERGEFORMAT </w:instrText>
      </w:r>
      <w:r w:rsidR="00DA6CA1" w:rsidRPr="00947CD7">
        <w:fldChar w:fldCharType="separate"/>
      </w:r>
      <w:r w:rsidR="008F37D1" w:rsidRPr="00947CD7">
        <w:t xml:space="preserve">Table </w:t>
      </w:r>
      <w:r w:rsidR="008F37D1">
        <w:rPr>
          <w:noProof/>
        </w:rPr>
        <w:t>26</w:t>
      </w:r>
      <w:r w:rsidR="00DA6CA1" w:rsidRPr="00947CD7">
        <w:fldChar w:fldCharType="end"/>
      </w:r>
      <w:r w:rsidRPr="00947CD7">
        <w:t>.</w:t>
      </w:r>
      <w:r w:rsidR="00D0394B">
        <w:br w:type="page"/>
      </w:r>
    </w:p>
    <w:p w14:paraId="601B1C96" w14:textId="17ACA789" w:rsidR="006C794B" w:rsidRPr="006C794B" w:rsidRDefault="006C794B" w:rsidP="006C794B">
      <w:pPr>
        <w:pStyle w:val="Caption"/>
      </w:pPr>
      <w:bookmarkStart w:id="98" w:name="_Ref184200067"/>
      <w:bookmarkStart w:id="99" w:name="_Ref183602779"/>
      <w:r w:rsidRPr="00947CD7">
        <w:t>Table</w:t>
      </w:r>
      <w:bookmarkEnd w:id="98"/>
      <w:r w:rsidRPr="00947CD7">
        <w:t xml:space="preserve"> </w:t>
      </w:r>
      <w:r w:rsidR="00707F6D">
        <w:fldChar w:fldCharType="begin"/>
      </w:r>
      <w:r w:rsidR="00707F6D">
        <w:instrText xml:space="preserve"> SEQ Table \* ARABIC </w:instrText>
      </w:r>
      <w:r w:rsidR="00707F6D">
        <w:fldChar w:fldCharType="separate"/>
      </w:r>
      <w:r w:rsidR="008F37D1">
        <w:rPr>
          <w:noProof/>
        </w:rPr>
        <w:t>26</w:t>
      </w:r>
      <w:r w:rsidR="00707F6D">
        <w:rPr>
          <w:noProof/>
        </w:rPr>
        <w:fldChar w:fldCharType="end"/>
      </w:r>
      <w:bookmarkEnd w:id="99"/>
      <w:r w:rsidR="00E145BC" w:rsidRPr="00947CD7">
        <w:rPr>
          <w:bCs w:val="0"/>
        </w:rPr>
        <w:t>:</w:t>
      </w:r>
      <w:r w:rsidR="00F2027F" w:rsidRPr="00947CD7">
        <w:t xml:space="preserve"> Key drivers of the model</w:t>
      </w:r>
    </w:p>
    <w:tbl>
      <w:tblPr>
        <w:tblStyle w:val="TableGrid"/>
        <w:tblW w:w="5000" w:type="pct"/>
        <w:tblLook w:val="04A0" w:firstRow="1" w:lastRow="0" w:firstColumn="1" w:lastColumn="0" w:noHBand="0" w:noVBand="1"/>
      </w:tblPr>
      <w:tblGrid>
        <w:gridCol w:w="1414"/>
        <w:gridCol w:w="3972"/>
        <w:gridCol w:w="3630"/>
      </w:tblGrid>
      <w:tr w:rsidR="0011161B" w:rsidRPr="0097429A" w14:paraId="05F0A0F7" w14:textId="77777777" w:rsidTr="00FD4D96">
        <w:trPr>
          <w:cantSplit/>
          <w:tblHeader/>
        </w:trPr>
        <w:tc>
          <w:tcPr>
            <w:tcW w:w="784" w:type="pct"/>
          </w:tcPr>
          <w:p w14:paraId="34667D7B" w14:textId="77777777" w:rsidR="00786D4B" w:rsidRPr="0097429A" w:rsidRDefault="00786D4B" w:rsidP="00D76EFB">
            <w:pPr>
              <w:pStyle w:val="Tabletext0"/>
              <w:jc w:val="left"/>
              <w:rPr>
                <w:rFonts w:ascii="Franklin Gothic Book" w:hAnsi="Franklin Gothic Book"/>
                <w:b/>
              </w:rPr>
            </w:pPr>
            <w:r w:rsidRPr="0097429A">
              <w:rPr>
                <w:b/>
              </w:rPr>
              <w:t>Description</w:t>
            </w:r>
          </w:p>
        </w:tc>
        <w:tc>
          <w:tcPr>
            <w:tcW w:w="2203" w:type="pct"/>
          </w:tcPr>
          <w:p w14:paraId="5AE8B8A4" w14:textId="77777777" w:rsidR="00786D4B" w:rsidRPr="0097429A" w:rsidRDefault="00786D4B" w:rsidP="00D76EFB">
            <w:pPr>
              <w:pStyle w:val="Tabletext0"/>
              <w:jc w:val="left"/>
              <w:rPr>
                <w:rFonts w:ascii="Franklin Gothic Book" w:hAnsi="Franklin Gothic Book"/>
                <w:b/>
              </w:rPr>
            </w:pPr>
            <w:r w:rsidRPr="0097429A">
              <w:rPr>
                <w:b/>
              </w:rPr>
              <w:t>Method/value</w:t>
            </w:r>
          </w:p>
        </w:tc>
        <w:tc>
          <w:tcPr>
            <w:tcW w:w="2013" w:type="pct"/>
          </w:tcPr>
          <w:p w14:paraId="2D004711" w14:textId="07E2E5F9" w:rsidR="00786D4B" w:rsidRPr="0097429A" w:rsidRDefault="00786D4B" w:rsidP="00D76EFB">
            <w:pPr>
              <w:pStyle w:val="Tabletext0"/>
              <w:jc w:val="left"/>
              <w:rPr>
                <w:rFonts w:ascii="Franklin Gothic Book" w:hAnsi="Franklin Gothic Book"/>
                <w:b/>
              </w:rPr>
            </w:pPr>
            <w:r w:rsidRPr="0097429A">
              <w:rPr>
                <w:b/>
              </w:rPr>
              <w:t>Impact: Base case ICER (40</w:t>
            </w:r>
            <w:r w:rsidR="00424923">
              <w:rPr>
                <w:b/>
              </w:rPr>
              <w:t xml:space="preserve"> </w:t>
            </w:r>
            <w:r w:rsidRPr="0097429A">
              <w:rPr>
                <w:b/>
              </w:rPr>
              <w:t>yrs): ICER $7,552.89/QALY gained</w:t>
            </w:r>
          </w:p>
        </w:tc>
      </w:tr>
      <w:tr w:rsidR="0097429A" w:rsidRPr="00B221AE" w14:paraId="79F1A62A" w14:textId="77777777" w:rsidTr="2AA1CA0C">
        <w:trPr>
          <w:cantSplit/>
        </w:trPr>
        <w:tc>
          <w:tcPr>
            <w:tcW w:w="5000" w:type="pct"/>
            <w:gridSpan w:val="3"/>
          </w:tcPr>
          <w:p w14:paraId="08CEA08B" w14:textId="74B32FD7" w:rsidR="0097429A" w:rsidRPr="009746CB" w:rsidRDefault="0097429A" w:rsidP="00E272B5">
            <w:pPr>
              <w:pStyle w:val="Tabletext0"/>
              <w:jc w:val="left"/>
              <w:rPr>
                <w:rFonts w:ascii="Franklin Gothic Book" w:hAnsi="Franklin Gothic Book"/>
                <w:b/>
              </w:rPr>
            </w:pPr>
            <w:r w:rsidRPr="009746CB">
              <w:rPr>
                <w:b/>
                <w:bCs/>
              </w:rPr>
              <w:t xml:space="preserve">Obesity </w:t>
            </w:r>
            <w:r w:rsidR="008F5EBB">
              <w:rPr>
                <w:b/>
                <w:bCs/>
              </w:rPr>
              <w:t>class</w:t>
            </w:r>
            <w:r w:rsidRPr="009746CB">
              <w:rPr>
                <w:b/>
                <w:bCs/>
              </w:rPr>
              <w:t xml:space="preserve"> I</w:t>
            </w:r>
          </w:p>
        </w:tc>
      </w:tr>
      <w:tr w:rsidR="0011161B" w:rsidRPr="00B221AE" w14:paraId="34F2531D" w14:textId="77777777" w:rsidTr="00FD4D96">
        <w:trPr>
          <w:cantSplit/>
          <w:trHeight w:val="1331"/>
        </w:trPr>
        <w:tc>
          <w:tcPr>
            <w:tcW w:w="784" w:type="pct"/>
          </w:tcPr>
          <w:p w14:paraId="3A2D267B" w14:textId="1EBD745D" w:rsidR="00786D4B" w:rsidRPr="009746CB" w:rsidRDefault="00786D4B" w:rsidP="00D76EFB">
            <w:pPr>
              <w:pStyle w:val="Tabletext0"/>
              <w:jc w:val="left"/>
              <w:rPr>
                <w:rFonts w:ascii="Franklin Gothic Book" w:hAnsi="Franklin Gothic Book"/>
              </w:rPr>
            </w:pPr>
            <w:r w:rsidRPr="009746CB">
              <w:t>Extrapolation</w:t>
            </w:r>
          </w:p>
        </w:tc>
        <w:tc>
          <w:tcPr>
            <w:tcW w:w="2203" w:type="pct"/>
          </w:tcPr>
          <w:p w14:paraId="712A1339" w14:textId="26E0F64B" w:rsidR="00786D4B" w:rsidRPr="0097429A" w:rsidRDefault="00E360BB" w:rsidP="00D76EFB">
            <w:pPr>
              <w:pStyle w:val="Tabletext0"/>
              <w:jc w:val="left"/>
            </w:pPr>
            <w:r>
              <w:t xml:space="preserve">A 40-year time horizon was used in the base case model. There is a long period of extrapolation beyond the 2-year follow-up period of the MERIT trial up to </w:t>
            </w:r>
            <w:r w:rsidR="002D2CC3">
              <w:t xml:space="preserve">the </w:t>
            </w:r>
            <w:r>
              <w:t>40 years over which benefits accumulate. Extrapolations over t</w:t>
            </w:r>
            <w:r w:rsidR="00F26E74">
              <w:t>he 40-year</w:t>
            </w:r>
            <w:r w:rsidR="00786D4B">
              <w:t xml:space="preserve"> and lifetime horizon</w:t>
            </w:r>
            <w:r w:rsidR="00F26E74">
              <w:t>s</w:t>
            </w:r>
            <w:r w:rsidR="00786D4B">
              <w:t xml:space="preserve"> </w:t>
            </w:r>
            <w:r w:rsidR="00BA29C8">
              <w:t>reported</w:t>
            </w:r>
            <w:r w:rsidR="00F84CE4">
              <w:t xml:space="preserve"> </w:t>
            </w:r>
            <w:r w:rsidR="00924BD0">
              <w:t>favourable</w:t>
            </w:r>
            <w:r w:rsidR="00786D4B">
              <w:t xml:space="preserve"> outcome</w:t>
            </w:r>
            <w:r w:rsidR="00BA29C8">
              <w:t>s</w:t>
            </w:r>
            <w:r w:rsidR="00786D4B">
              <w:t xml:space="preserve">. </w:t>
            </w:r>
            <w:r w:rsidR="00480ED9">
              <w:t>E</w:t>
            </w:r>
            <w:r w:rsidR="00786D4B">
              <w:t>xtrapolation on short</w:t>
            </w:r>
            <w:r w:rsidR="00870E74">
              <w:t>-</w:t>
            </w:r>
            <w:r w:rsidR="00786D4B">
              <w:t xml:space="preserve">term </w:t>
            </w:r>
            <w:r w:rsidR="00870E74">
              <w:t>(</w:t>
            </w:r>
            <w:r w:rsidR="00786D4B">
              <w:t>i.e. 5- and 10-year</w:t>
            </w:r>
            <w:r w:rsidR="00870E74">
              <w:t>)</w:t>
            </w:r>
            <w:r w:rsidR="00786D4B">
              <w:t xml:space="preserve"> time horizons remain uncertain. </w:t>
            </w:r>
          </w:p>
        </w:tc>
        <w:tc>
          <w:tcPr>
            <w:tcW w:w="2013" w:type="pct"/>
          </w:tcPr>
          <w:p w14:paraId="76306A0A" w14:textId="54144344" w:rsidR="00786D4B" w:rsidRPr="0097429A" w:rsidRDefault="00786D4B" w:rsidP="00D76EFB">
            <w:pPr>
              <w:pStyle w:val="Tabletext0"/>
              <w:jc w:val="left"/>
            </w:pPr>
            <w:r w:rsidRPr="009746CB">
              <w:t xml:space="preserve">High, </w:t>
            </w:r>
            <w:r w:rsidR="00924BD0" w:rsidRPr="0097429A">
              <w:t>favours</w:t>
            </w:r>
            <w:r w:rsidRPr="0097429A">
              <w:t xml:space="preserve"> the ESG procedure.</w:t>
            </w:r>
          </w:p>
          <w:p w14:paraId="3A60F70C" w14:textId="6D5EDAF8" w:rsidR="00786D4B" w:rsidRPr="0097429A" w:rsidRDefault="00885597" w:rsidP="00D76EFB">
            <w:pPr>
              <w:pStyle w:val="Tabletext0"/>
              <w:jc w:val="left"/>
            </w:pPr>
            <w:r>
              <w:t xml:space="preserve">The base case and lifetime extrapolation </w:t>
            </w:r>
            <w:r w:rsidR="000A5CD8">
              <w:t>may favour ESG</w:t>
            </w:r>
            <w:r w:rsidR="00F06E50">
              <w:t>,</w:t>
            </w:r>
            <w:r w:rsidR="000A5CD8">
              <w:t xml:space="preserve"> </w:t>
            </w:r>
            <w:r w:rsidR="000A73AA">
              <w:t xml:space="preserve">where </w:t>
            </w:r>
            <w:r w:rsidR="00F84CE4">
              <w:t xml:space="preserve">the lifetime </w:t>
            </w:r>
            <w:r w:rsidR="000A73AA">
              <w:t>ICER was 6% lower compared to base case</w:t>
            </w:r>
            <w:r w:rsidR="000A5CD8">
              <w:t xml:space="preserve">. </w:t>
            </w:r>
            <w:r w:rsidR="00786D4B" w:rsidRPr="009746CB">
              <w:t>At 5 and 10</w:t>
            </w:r>
            <w:r w:rsidR="00F06E50">
              <w:t xml:space="preserve"> </w:t>
            </w:r>
            <w:r w:rsidR="00786D4B" w:rsidRPr="009746CB">
              <w:t>year</w:t>
            </w:r>
            <w:r w:rsidR="00F06E50">
              <w:t>s</w:t>
            </w:r>
            <w:r w:rsidR="00786D4B" w:rsidRPr="009746CB">
              <w:t>, the ICER</w:t>
            </w:r>
            <w:r w:rsidR="00F06E50">
              <w:t>s</w:t>
            </w:r>
            <w:r w:rsidR="00786D4B" w:rsidRPr="009746CB">
              <w:t xml:space="preserve"> are $55,60</w:t>
            </w:r>
            <w:r w:rsidR="00744409">
              <w:t>5</w:t>
            </w:r>
            <w:r w:rsidR="00786D4B" w:rsidRPr="009746CB">
              <w:t xml:space="preserve"> and $27,559 per QALY gained</w:t>
            </w:r>
            <w:r w:rsidR="00F06E50">
              <w:t>,</w:t>
            </w:r>
            <w:r w:rsidR="00786D4B" w:rsidRPr="009746CB">
              <w:t xml:space="preserve"> respectively. </w:t>
            </w:r>
          </w:p>
        </w:tc>
      </w:tr>
      <w:tr w:rsidR="0011161B" w:rsidRPr="00B221AE" w14:paraId="091304F8" w14:textId="77777777" w:rsidTr="00FD4D96">
        <w:trPr>
          <w:cantSplit/>
        </w:trPr>
        <w:tc>
          <w:tcPr>
            <w:tcW w:w="784" w:type="pct"/>
          </w:tcPr>
          <w:p w14:paraId="4F6B4B83" w14:textId="77777777" w:rsidR="00786D4B" w:rsidRPr="009746CB" w:rsidRDefault="00786D4B" w:rsidP="00D76EFB">
            <w:pPr>
              <w:pStyle w:val="Tabletext0"/>
              <w:jc w:val="left"/>
              <w:rPr>
                <w:rFonts w:ascii="Franklin Gothic Book" w:hAnsi="Franklin Gothic Book"/>
              </w:rPr>
            </w:pPr>
            <w:r w:rsidRPr="009746CB">
              <w:t>Health state utilities</w:t>
            </w:r>
          </w:p>
        </w:tc>
        <w:tc>
          <w:tcPr>
            <w:tcW w:w="2203" w:type="pct"/>
          </w:tcPr>
          <w:p w14:paraId="623CC178" w14:textId="1FA08262" w:rsidR="00786D4B" w:rsidRPr="0097429A" w:rsidRDefault="00786D4B" w:rsidP="00D76EFB">
            <w:pPr>
              <w:pStyle w:val="Tabletext0"/>
              <w:jc w:val="left"/>
            </w:pPr>
            <w:r>
              <w:t>Utility values were derived from</w:t>
            </w:r>
            <w:r w:rsidR="00096438">
              <w:t xml:space="preserve"> the</w:t>
            </w:r>
            <w:r>
              <w:t xml:space="preserve"> MERIT trial and other literature, indicating the current analysis is likely </w:t>
            </w:r>
            <w:r w:rsidR="00C3286A">
              <w:t xml:space="preserve">to create </w:t>
            </w:r>
            <w:r w:rsidR="00016FDF">
              <w:t>uncertainty</w:t>
            </w:r>
            <w:r w:rsidR="00A353A8">
              <w:t xml:space="preserve"> </w:t>
            </w:r>
            <w:r w:rsidR="00096438">
              <w:t>i</w:t>
            </w:r>
            <w:r w:rsidR="00016FDF">
              <w:t>n</w:t>
            </w:r>
            <w:r>
              <w:t xml:space="preserve"> </w:t>
            </w:r>
            <w:r w:rsidR="00096438">
              <w:t xml:space="preserve">the </w:t>
            </w:r>
            <w:r>
              <w:t xml:space="preserve">cost-effectiveness of ESG </w:t>
            </w:r>
            <w:r w:rsidR="0018494F">
              <w:t>due to the absence of real Australian trial-based data</w:t>
            </w:r>
            <w:r>
              <w:t xml:space="preserve">. </w:t>
            </w:r>
          </w:p>
        </w:tc>
        <w:tc>
          <w:tcPr>
            <w:tcW w:w="2013" w:type="pct"/>
          </w:tcPr>
          <w:p w14:paraId="3D3FFB7C" w14:textId="3061A48F" w:rsidR="00E42A67" w:rsidRDefault="00786D4B" w:rsidP="00D76EFB">
            <w:pPr>
              <w:pStyle w:val="Tabletext0"/>
              <w:jc w:val="left"/>
            </w:pPr>
            <w:r w:rsidRPr="009746CB">
              <w:t xml:space="preserve">Moderate, </w:t>
            </w:r>
            <w:r w:rsidR="003123CA">
              <w:t xml:space="preserve">potentially </w:t>
            </w:r>
            <w:r w:rsidR="00924BD0" w:rsidRPr="0097429A">
              <w:t>favours</w:t>
            </w:r>
            <w:r w:rsidRPr="0097429A">
              <w:t xml:space="preserve"> the </w:t>
            </w:r>
            <w:r w:rsidR="003123CA">
              <w:t>ESG procedure</w:t>
            </w:r>
            <w:r w:rsidRPr="0097429A">
              <w:t xml:space="preserve">. </w:t>
            </w:r>
          </w:p>
          <w:p w14:paraId="4FD7137A" w14:textId="1B964D15" w:rsidR="00786D4B" w:rsidRPr="0097429A" w:rsidRDefault="00786D4B" w:rsidP="00D76EFB">
            <w:pPr>
              <w:pStyle w:val="Tabletext0"/>
              <w:jc w:val="left"/>
            </w:pPr>
            <w:r w:rsidRPr="0097429A">
              <w:t>Use of values from Australia based literature such as Carrello et al. (2023)</w:t>
            </w:r>
            <w:r w:rsidR="005B6742" w:rsidRPr="2AA1CA0C">
              <w:rPr>
                <w:rStyle w:val="FootnoteReference"/>
              </w:rPr>
              <w:footnoteReference w:id="54"/>
            </w:r>
            <w:r w:rsidRPr="0097429A">
              <w:t xml:space="preserve"> and Ngo et al. (2022)</w:t>
            </w:r>
            <w:r w:rsidR="005B6742" w:rsidRPr="2AA1CA0C">
              <w:rPr>
                <w:rStyle w:val="FootnoteReference"/>
              </w:rPr>
              <w:footnoteReference w:id="55"/>
            </w:r>
            <w:r w:rsidRPr="0097429A">
              <w:t xml:space="preserve"> generates higher ICERs </w:t>
            </w:r>
            <w:r w:rsidR="00A60A77">
              <w:t>of</w:t>
            </w:r>
            <w:r w:rsidR="00A60A77" w:rsidRPr="0097429A">
              <w:t xml:space="preserve"> </w:t>
            </w:r>
            <w:r w:rsidRPr="0097429A">
              <w:t>67</w:t>
            </w:r>
            <w:r w:rsidR="00A60A77">
              <w:t>%</w:t>
            </w:r>
            <w:r w:rsidRPr="0097429A">
              <w:t xml:space="preserve"> and 55%</w:t>
            </w:r>
            <w:r w:rsidR="00A60A77">
              <w:t>,</w:t>
            </w:r>
            <w:r w:rsidRPr="0097429A">
              <w:t xml:space="preserve"> respectively.</w:t>
            </w:r>
          </w:p>
        </w:tc>
      </w:tr>
      <w:tr w:rsidR="0011161B" w:rsidRPr="00B221AE" w14:paraId="0B34E934" w14:textId="77777777" w:rsidTr="00FD4D96">
        <w:trPr>
          <w:cantSplit/>
        </w:trPr>
        <w:tc>
          <w:tcPr>
            <w:tcW w:w="784" w:type="pct"/>
          </w:tcPr>
          <w:p w14:paraId="39B242CF" w14:textId="4F77953B" w:rsidR="00786D4B" w:rsidRPr="009746CB" w:rsidRDefault="00B639FA" w:rsidP="00D76EFB">
            <w:pPr>
              <w:pStyle w:val="Tabletext0"/>
              <w:jc w:val="left"/>
              <w:rPr>
                <w:rFonts w:ascii="Franklin Gothic Book" w:hAnsi="Franklin Gothic Book"/>
              </w:rPr>
            </w:pPr>
            <w:r>
              <w:t>P</w:t>
            </w:r>
            <w:r w:rsidR="00786D4B" w:rsidRPr="009746CB">
              <w:t>e</w:t>
            </w:r>
            <w:r w:rsidR="00480388">
              <w:t>r</w:t>
            </w:r>
            <w:r w:rsidR="00786D4B" w:rsidRPr="009746CB">
              <w:t>s</w:t>
            </w:r>
            <w:r w:rsidR="00480388">
              <w:t>pective</w:t>
            </w:r>
          </w:p>
        </w:tc>
        <w:tc>
          <w:tcPr>
            <w:tcW w:w="2203" w:type="pct"/>
          </w:tcPr>
          <w:p w14:paraId="06B9D931" w14:textId="6670ECDD" w:rsidR="00786D4B" w:rsidRPr="0097429A" w:rsidRDefault="00B955AE" w:rsidP="00D76EFB">
            <w:pPr>
              <w:pStyle w:val="Tabletext0"/>
              <w:jc w:val="left"/>
            </w:pPr>
            <w:r>
              <w:t>The base case a</w:t>
            </w:r>
            <w:r w:rsidR="00947AD3">
              <w:t xml:space="preserve">nalysis </w:t>
            </w:r>
            <w:r w:rsidR="00833A6F">
              <w:t>applied</w:t>
            </w:r>
            <w:r w:rsidR="00947AD3">
              <w:t xml:space="preserve"> </w:t>
            </w:r>
            <w:r w:rsidR="00A60A77">
              <w:t xml:space="preserve">a </w:t>
            </w:r>
            <w:r w:rsidR="00947AD3">
              <w:t>healthcare system perspective</w:t>
            </w:r>
            <w:r w:rsidR="00833A6F">
              <w:t xml:space="preserve">. </w:t>
            </w:r>
            <w:r w:rsidR="00786D4B" w:rsidRPr="009746CB">
              <w:t>Inclusion of indirect cost</w:t>
            </w:r>
            <w:r w:rsidR="00BA29C8">
              <w:t>s</w:t>
            </w:r>
            <w:r w:rsidR="00E257FF">
              <w:t xml:space="preserve">, assigned </w:t>
            </w:r>
            <w:r w:rsidR="00BA29C8">
              <w:t>b</w:t>
            </w:r>
            <w:r w:rsidR="00E257FF">
              <w:t>ased</w:t>
            </w:r>
            <w:r w:rsidR="00786D4B" w:rsidRPr="009746CB">
              <w:t xml:space="preserve"> on </w:t>
            </w:r>
            <w:r w:rsidR="00E257FF">
              <w:t xml:space="preserve">the model </w:t>
            </w:r>
            <w:r w:rsidR="00786D4B" w:rsidRPr="009746CB">
              <w:t>health states</w:t>
            </w:r>
            <w:r w:rsidR="00E257FF">
              <w:t xml:space="preserve">, based on data from </w:t>
            </w:r>
            <w:r w:rsidR="00786D4B" w:rsidRPr="009746CB">
              <w:t>Lee et al</w:t>
            </w:r>
            <w:r w:rsidR="00A60A77">
              <w:t>.</w:t>
            </w:r>
            <w:r w:rsidR="00786D4B" w:rsidRPr="009746CB">
              <w:t xml:space="preserve"> </w:t>
            </w:r>
            <w:r w:rsidR="00E257FF">
              <w:t>(</w:t>
            </w:r>
            <w:r w:rsidR="00786D4B" w:rsidRPr="009746CB">
              <w:t>2018)</w:t>
            </w:r>
            <w:r w:rsidR="007E0CF6" w:rsidRPr="2AA1CA0C">
              <w:rPr>
                <w:rStyle w:val="FootnoteReference"/>
              </w:rPr>
              <w:footnoteReference w:id="56"/>
            </w:r>
            <w:r w:rsidR="00786D4B" w:rsidRPr="009746CB">
              <w:t xml:space="preserve">, </w:t>
            </w:r>
            <w:r w:rsidR="00E257FF">
              <w:t>resulted in</w:t>
            </w:r>
            <w:r w:rsidR="00A12A62">
              <w:t xml:space="preserve"> ESG being</w:t>
            </w:r>
            <w:r w:rsidR="00786D4B" w:rsidRPr="009746CB">
              <w:t xml:space="preserve"> less costly and </w:t>
            </w:r>
            <w:r w:rsidR="00A12A62">
              <w:t>more effective.</w:t>
            </w:r>
            <w:r w:rsidR="00786D4B" w:rsidRPr="009746CB">
              <w:t xml:space="preserve">  </w:t>
            </w:r>
          </w:p>
        </w:tc>
        <w:tc>
          <w:tcPr>
            <w:tcW w:w="2013" w:type="pct"/>
          </w:tcPr>
          <w:p w14:paraId="22CDE60C" w14:textId="3E42650C" w:rsidR="00786D4B" w:rsidRPr="0097429A" w:rsidRDefault="00786D4B" w:rsidP="00D76EFB">
            <w:pPr>
              <w:pStyle w:val="Tabletext0"/>
              <w:jc w:val="left"/>
            </w:pPr>
            <w:r w:rsidRPr="0076286E">
              <w:t xml:space="preserve">High, </w:t>
            </w:r>
            <w:r w:rsidR="00924BD0" w:rsidRPr="0097429A">
              <w:t>favours</w:t>
            </w:r>
            <w:r w:rsidRPr="0097429A">
              <w:t xml:space="preserve"> the </w:t>
            </w:r>
            <w:r w:rsidR="008F1A02">
              <w:t>comparator</w:t>
            </w:r>
            <w:r w:rsidRPr="0097429A">
              <w:t xml:space="preserve">. </w:t>
            </w:r>
          </w:p>
          <w:p w14:paraId="4FFF2B82" w14:textId="4EB734A0" w:rsidR="00786D4B" w:rsidRPr="0097429A" w:rsidRDefault="009030C6" w:rsidP="00D76EFB">
            <w:pPr>
              <w:pStyle w:val="Tabletext0"/>
              <w:jc w:val="left"/>
            </w:pPr>
            <w:r>
              <w:t>A h</w:t>
            </w:r>
            <w:r w:rsidR="001A4617">
              <w:t>ealthca</w:t>
            </w:r>
            <w:r w:rsidR="007007CF">
              <w:t xml:space="preserve">re </w:t>
            </w:r>
            <w:r w:rsidR="0032641E">
              <w:t>system</w:t>
            </w:r>
            <w:r w:rsidR="007007CF">
              <w:t xml:space="preserve"> perspective was </w:t>
            </w:r>
            <w:r w:rsidR="00BF2A35">
              <w:t>applied in the base case</w:t>
            </w:r>
            <w:r>
              <w:t>,</w:t>
            </w:r>
            <w:r w:rsidR="00BF2A35">
              <w:t xml:space="preserve"> which may</w:t>
            </w:r>
            <w:r w:rsidR="0032641E">
              <w:t xml:space="preserve"> favo</w:t>
            </w:r>
            <w:r w:rsidR="006421D8">
              <w:t>u</w:t>
            </w:r>
            <w:r w:rsidR="0032641E">
              <w:t>r</w:t>
            </w:r>
            <w:r w:rsidR="00BF2A35">
              <w:t xml:space="preserve"> t</w:t>
            </w:r>
            <w:r>
              <w:t>he</w:t>
            </w:r>
            <w:r w:rsidR="00BF2A35">
              <w:t xml:space="preserve"> </w:t>
            </w:r>
            <w:r w:rsidR="00BD5AF0">
              <w:t xml:space="preserve">comparator. </w:t>
            </w:r>
            <w:r>
              <w:t>I</w:t>
            </w:r>
            <w:r w:rsidR="00786D4B" w:rsidRPr="0076286E">
              <w:t xml:space="preserve">nclusion of indirect costs in each health states results </w:t>
            </w:r>
            <w:r>
              <w:t xml:space="preserve">in a </w:t>
            </w:r>
            <w:r w:rsidR="00786D4B" w:rsidRPr="0076286E">
              <w:t xml:space="preserve">dominant outcome. The incremental cost is -$5,208 and </w:t>
            </w:r>
            <w:r>
              <w:t xml:space="preserve">the </w:t>
            </w:r>
            <w:r w:rsidR="00786D4B" w:rsidRPr="0076286E">
              <w:t xml:space="preserve">QALY is 0.989. </w:t>
            </w:r>
          </w:p>
        </w:tc>
      </w:tr>
      <w:tr w:rsidR="0011161B" w:rsidRPr="00B221AE" w14:paraId="76486B12" w14:textId="77777777" w:rsidTr="00FD4D96">
        <w:trPr>
          <w:cantSplit/>
        </w:trPr>
        <w:tc>
          <w:tcPr>
            <w:tcW w:w="784" w:type="pct"/>
          </w:tcPr>
          <w:p w14:paraId="07E3349B" w14:textId="7A7EA235" w:rsidR="00786D4B" w:rsidRPr="0076286E" w:rsidRDefault="00786D4B" w:rsidP="00D76EFB">
            <w:pPr>
              <w:pStyle w:val="Tabletext0"/>
              <w:jc w:val="left"/>
              <w:rPr>
                <w:rFonts w:ascii="Franklin Gothic Book" w:hAnsi="Franklin Gothic Book"/>
              </w:rPr>
            </w:pPr>
            <w:r w:rsidRPr="0076286E">
              <w:t>Reintervention</w:t>
            </w:r>
          </w:p>
        </w:tc>
        <w:tc>
          <w:tcPr>
            <w:tcW w:w="2203" w:type="pct"/>
          </w:tcPr>
          <w:p w14:paraId="3265C114" w14:textId="153BBB2C" w:rsidR="00786D4B" w:rsidRPr="0097429A" w:rsidRDefault="00A12A62" w:rsidP="00D76EFB">
            <w:pPr>
              <w:pStyle w:val="Tabletext0"/>
              <w:jc w:val="left"/>
            </w:pPr>
            <w:r>
              <w:t>A</w:t>
            </w:r>
            <w:r w:rsidRPr="0076286E">
              <w:t xml:space="preserve"> </w:t>
            </w:r>
            <w:r w:rsidR="00786D4B" w:rsidRPr="0076286E">
              <w:t xml:space="preserve">6% reintervention </w:t>
            </w:r>
            <w:r>
              <w:t>rate was applied</w:t>
            </w:r>
            <w:r w:rsidR="00786D4B" w:rsidRPr="0076286E">
              <w:t xml:space="preserve"> in </w:t>
            </w:r>
            <w:r>
              <w:t>the</w:t>
            </w:r>
            <w:r w:rsidR="00786D4B" w:rsidRPr="0076286E">
              <w:t xml:space="preserve"> base case (</w:t>
            </w:r>
            <w:r>
              <w:t xml:space="preserve">based on data from </w:t>
            </w:r>
            <w:r w:rsidR="00786D4B" w:rsidRPr="0076286E">
              <w:t xml:space="preserve">Sharaiha </w:t>
            </w:r>
            <w:r>
              <w:t>(</w:t>
            </w:r>
            <w:r w:rsidR="00786D4B" w:rsidRPr="0076286E">
              <w:t>2021</w:t>
            </w:r>
            <w:r>
              <w:t>)</w:t>
            </w:r>
            <w:r w:rsidR="00786D4B" w:rsidRPr="0076286E">
              <w:t>)</w:t>
            </w:r>
            <w:r>
              <w:t xml:space="preserve">. </w:t>
            </w:r>
            <w:r w:rsidR="00D53D8C">
              <w:t>An alternate reintervention rate of</w:t>
            </w:r>
            <w:r w:rsidR="00786D4B" w:rsidRPr="0076286E">
              <w:t xml:space="preserve"> 18.18% (</w:t>
            </w:r>
            <w:r w:rsidR="00D53D8C">
              <w:t xml:space="preserve">informed by the </w:t>
            </w:r>
            <w:r w:rsidR="00786D4B" w:rsidRPr="0076286E">
              <w:t xml:space="preserve">MERIT trial) </w:t>
            </w:r>
            <w:r w:rsidR="00D53D8C">
              <w:t xml:space="preserve">was explored in sensitivity analysis. </w:t>
            </w:r>
            <w:r w:rsidR="00974EA8">
              <w:t>A</w:t>
            </w:r>
            <w:r w:rsidR="00D53D8C">
              <w:t xml:space="preserve"> scenario</w:t>
            </w:r>
            <w:r w:rsidR="00F60C8C">
              <w:t xml:space="preserve"> </w:t>
            </w:r>
            <w:r w:rsidR="00786D4B" w:rsidRPr="0076286E">
              <w:t>assum</w:t>
            </w:r>
            <w:r w:rsidR="00D53D8C">
              <w:t>ing</w:t>
            </w:r>
            <w:r w:rsidR="00786D4B" w:rsidRPr="0076286E">
              <w:t xml:space="preserve"> </w:t>
            </w:r>
            <w:r w:rsidR="00D53D8C">
              <w:t>a</w:t>
            </w:r>
            <w:r w:rsidR="00786D4B" w:rsidRPr="0076286E">
              <w:t xml:space="preserve"> higher </w:t>
            </w:r>
            <w:r w:rsidR="00D53D8C">
              <w:t>probability</w:t>
            </w:r>
            <w:r w:rsidR="00D53D8C" w:rsidRPr="0076286E">
              <w:t xml:space="preserve"> </w:t>
            </w:r>
            <w:r w:rsidR="00786D4B" w:rsidRPr="0076286E">
              <w:t>of redo i.e. 30%, due to its minimal invasive nature with less harm (Shah-Khan et al., 2023)</w:t>
            </w:r>
            <w:r w:rsidR="002B2A2D">
              <w:rPr>
                <w:rStyle w:val="FootnoteReference"/>
              </w:rPr>
              <w:t xml:space="preserve"> </w:t>
            </w:r>
            <w:bookmarkStart w:id="100" w:name="_Ref187231990"/>
            <w:r w:rsidR="002B2A2D">
              <w:rPr>
                <w:rStyle w:val="FootnoteReference"/>
              </w:rPr>
              <w:footnoteReference w:id="57"/>
            </w:r>
            <w:bookmarkEnd w:id="100"/>
            <w:r w:rsidR="00FA2AA2">
              <w:t xml:space="preserve"> was </w:t>
            </w:r>
            <w:r w:rsidR="00974EA8">
              <w:t xml:space="preserve">also </w:t>
            </w:r>
            <w:r w:rsidR="00FA2AA2">
              <w:t>explored</w:t>
            </w:r>
            <w:r w:rsidR="00F50C5D">
              <w:t xml:space="preserve"> in the commentary</w:t>
            </w:r>
            <w:r w:rsidR="00786D4B" w:rsidRPr="0076286E">
              <w:t>.</w:t>
            </w:r>
          </w:p>
        </w:tc>
        <w:tc>
          <w:tcPr>
            <w:tcW w:w="2013" w:type="pct"/>
          </w:tcPr>
          <w:p w14:paraId="0A592B3B" w14:textId="77777777" w:rsidR="00827C4D" w:rsidRDefault="00786D4B" w:rsidP="00D76EFB">
            <w:pPr>
              <w:pStyle w:val="Tabletext0"/>
              <w:jc w:val="left"/>
            </w:pPr>
            <w:r w:rsidRPr="00C31B4D">
              <w:t xml:space="preserve">Moderate, </w:t>
            </w:r>
            <w:r w:rsidR="00924BD0" w:rsidRPr="0097429A">
              <w:t>favours</w:t>
            </w:r>
            <w:r w:rsidRPr="0097429A">
              <w:t xml:space="preserve"> the ESG procedure. </w:t>
            </w:r>
          </w:p>
          <w:p w14:paraId="04ACDA89" w14:textId="7DBA4482" w:rsidR="00786D4B" w:rsidRPr="0097429A" w:rsidRDefault="00A446AB" w:rsidP="00D76EFB">
            <w:pPr>
              <w:pStyle w:val="Tabletext0"/>
              <w:jc w:val="left"/>
            </w:pPr>
            <w:r>
              <w:t xml:space="preserve">The base case reintervention rate may favour ESG. </w:t>
            </w:r>
            <w:r w:rsidR="00786D4B" w:rsidRPr="0097429A">
              <w:t>The reintervention rate and modelled outcomes are directly associated</w:t>
            </w:r>
            <w:r w:rsidR="00EF438B">
              <w:t xml:space="preserve"> (e.g.</w:t>
            </w:r>
            <w:r w:rsidR="00786D4B" w:rsidRPr="0097429A">
              <w:t xml:space="preserve"> </w:t>
            </w:r>
            <w:r w:rsidR="006F32D9">
              <w:t>assuming</w:t>
            </w:r>
            <w:r w:rsidR="00786D4B" w:rsidRPr="0097429A">
              <w:t xml:space="preserve"> 18.18% and 30% </w:t>
            </w:r>
            <w:r w:rsidR="002B6EE9">
              <w:t>rei</w:t>
            </w:r>
            <w:r w:rsidR="006F32D9">
              <w:t xml:space="preserve">ntervention </w:t>
            </w:r>
            <w:r w:rsidR="00786D4B" w:rsidRPr="0097429A">
              <w:t>rate</w:t>
            </w:r>
            <w:r w:rsidR="006F32D9">
              <w:t>s</w:t>
            </w:r>
            <w:r w:rsidR="00786D4B" w:rsidRPr="0097429A">
              <w:t xml:space="preserve"> resulted </w:t>
            </w:r>
            <w:r w:rsidR="00031F98">
              <w:t>in</w:t>
            </w:r>
            <w:r w:rsidR="0005311B">
              <w:t xml:space="preserve"> ICER</w:t>
            </w:r>
            <w:r w:rsidR="002B2A2D">
              <w:t>s</w:t>
            </w:r>
            <w:r w:rsidR="00786D4B" w:rsidRPr="0097429A">
              <w:t>, 24</w:t>
            </w:r>
            <w:r w:rsidR="002B2A2D">
              <w:t>%</w:t>
            </w:r>
            <w:r w:rsidR="00786D4B" w:rsidRPr="0097429A">
              <w:t xml:space="preserve"> and 67.58%</w:t>
            </w:r>
            <w:r w:rsidR="002B2A2D">
              <w:t xml:space="preserve"> higher</w:t>
            </w:r>
            <w:r w:rsidR="004B2E1D">
              <w:t>,</w:t>
            </w:r>
            <w:r w:rsidR="00786D4B" w:rsidRPr="0097429A">
              <w:t xml:space="preserve"> respectively</w:t>
            </w:r>
            <w:r w:rsidR="004B2E1D">
              <w:t>,</w:t>
            </w:r>
            <w:r w:rsidR="00786D4B" w:rsidRPr="0097429A">
              <w:t xml:space="preserve"> compared to base case</w:t>
            </w:r>
            <w:r w:rsidR="004B2E1D">
              <w:t>)</w:t>
            </w:r>
            <w:r w:rsidR="00786D4B" w:rsidRPr="0097429A">
              <w:t>.</w:t>
            </w:r>
          </w:p>
        </w:tc>
      </w:tr>
      <w:tr w:rsidR="00786D4B" w:rsidRPr="00B221AE" w14:paraId="6C60D795" w14:textId="77777777" w:rsidTr="2AA1CA0C">
        <w:trPr>
          <w:cantSplit/>
        </w:trPr>
        <w:tc>
          <w:tcPr>
            <w:tcW w:w="5000" w:type="pct"/>
            <w:gridSpan w:val="3"/>
          </w:tcPr>
          <w:p w14:paraId="53407F4F" w14:textId="176B7BB9" w:rsidR="00786D4B" w:rsidRPr="00C31B4D" w:rsidRDefault="00786D4B" w:rsidP="00E272B5">
            <w:pPr>
              <w:pStyle w:val="Tabletext0"/>
              <w:jc w:val="left"/>
              <w:rPr>
                <w:rFonts w:ascii="Franklin Gothic Book" w:hAnsi="Franklin Gothic Book"/>
                <w:b/>
                <w:i/>
              </w:rPr>
            </w:pPr>
            <w:r w:rsidRPr="00C31B4D">
              <w:rPr>
                <w:b/>
              </w:rPr>
              <w:t>Obesity</w:t>
            </w:r>
            <w:r w:rsidR="0035742F">
              <w:rPr>
                <w:b/>
              </w:rPr>
              <w:t xml:space="preserve"> class </w:t>
            </w:r>
            <w:r w:rsidRPr="00C31B4D">
              <w:rPr>
                <w:b/>
              </w:rPr>
              <w:t>II</w:t>
            </w:r>
          </w:p>
        </w:tc>
      </w:tr>
      <w:tr w:rsidR="00BA079F" w:rsidRPr="00B221AE" w14:paraId="640C871F" w14:textId="77777777" w:rsidTr="00FD4D96">
        <w:trPr>
          <w:cantSplit/>
        </w:trPr>
        <w:tc>
          <w:tcPr>
            <w:tcW w:w="784" w:type="pct"/>
          </w:tcPr>
          <w:p w14:paraId="65B740B5" w14:textId="37C1078B" w:rsidR="00BA079F" w:rsidRPr="0097429A" w:rsidRDefault="00BA079F" w:rsidP="00BA079F">
            <w:pPr>
              <w:pStyle w:val="Tabletext0"/>
              <w:jc w:val="left"/>
            </w:pPr>
            <w:r w:rsidRPr="00C31B4D">
              <w:t>Extrapolation</w:t>
            </w:r>
          </w:p>
        </w:tc>
        <w:tc>
          <w:tcPr>
            <w:tcW w:w="2203" w:type="pct"/>
          </w:tcPr>
          <w:p w14:paraId="423A5910" w14:textId="5B719C58" w:rsidR="00BA079F" w:rsidRPr="0097429A" w:rsidRDefault="00BA079F" w:rsidP="00BA079F">
            <w:pPr>
              <w:pStyle w:val="Tabletext0"/>
              <w:jc w:val="left"/>
            </w:pPr>
            <w:r>
              <w:t>A 40-year time horizon was used in the base case model. There is a long period of extrapolation beyond the 2-year follow-up period of the MERIT trial up to the 40 years over which benefits accumulate. Extrapolations over the 40-year and lifetime horizons reported favourable outcomes. Extrapolation on short term i.e., 5-, 10- and 15-year time horizons remain uncertain.</w:t>
            </w:r>
          </w:p>
        </w:tc>
        <w:tc>
          <w:tcPr>
            <w:tcW w:w="2013" w:type="pct"/>
          </w:tcPr>
          <w:p w14:paraId="60B2BF3E" w14:textId="77777777" w:rsidR="00BA079F" w:rsidRPr="0097429A" w:rsidRDefault="00BA079F" w:rsidP="00BA079F">
            <w:pPr>
              <w:pStyle w:val="Tabletext0"/>
              <w:jc w:val="left"/>
            </w:pPr>
            <w:r w:rsidRPr="00C31B4D">
              <w:t xml:space="preserve">High, </w:t>
            </w:r>
            <w:r w:rsidRPr="0097429A">
              <w:t>favours the ESG procedure.</w:t>
            </w:r>
          </w:p>
          <w:p w14:paraId="2DFEB74C" w14:textId="79DED638" w:rsidR="00BA079F" w:rsidRPr="0097429A" w:rsidRDefault="00BA079F" w:rsidP="00BA079F">
            <w:pPr>
              <w:pStyle w:val="Tabletext0"/>
              <w:jc w:val="left"/>
            </w:pPr>
            <w:r>
              <w:t>The base case and lifetime extrapolation may favour ESG where the lifetime ICER was 4% lower compared to base case. At 5, 10 and 15 years, the ICERs are $56,496.97, $31,868.70 and $23,030.12 per QALY gained, respectively.</w:t>
            </w:r>
          </w:p>
        </w:tc>
      </w:tr>
      <w:tr w:rsidR="0011161B" w:rsidRPr="00B221AE" w14:paraId="13C5F53A" w14:textId="77777777" w:rsidTr="00FD4D96">
        <w:trPr>
          <w:cantSplit/>
        </w:trPr>
        <w:tc>
          <w:tcPr>
            <w:tcW w:w="784" w:type="pct"/>
          </w:tcPr>
          <w:p w14:paraId="3DEAD2C5" w14:textId="06359087" w:rsidR="00786D4B" w:rsidRPr="0097429A" w:rsidRDefault="007758A4" w:rsidP="00D76EFB">
            <w:pPr>
              <w:pStyle w:val="Tabletext0"/>
              <w:jc w:val="left"/>
            </w:pPr>
            <w:r>
              <w:t xml:space="preserve">Health state </w:t>
            </w:r>
            <w:r w:rsidR="00965B80">
              <w:t>u</w:t>
            </w:r>
            <w:r w:rsidR="00786D4B" w:rsidRPr="00C31B4D">
              <w:t>tilit</w:t>
            </w:r>
            <w:r w:rsidR="00965B80">
              <w:t>ies</w:t>
            </w:r>
          </w:p>
        </w:tc>
        <w:tc>
          <w:tcPr>
            <w:tcW w:w="2203" w:type="pct"/>
          </w:tcPr>
          <w:p w14:paraId="74A4AB6D" w14:textId="0B09B416" w:rsidR="00786D4B" w:rsidRPr="0097429A" w:rsidRDefault="00786D4B" w:rsidP="00D76EFB">
            <w:pPr>
              <w:pStyle w:val="Tabletext0"/>
              <w:jc w:val="left"/>
            </w:pPr>
            <w:r>
              <w:t xml:space="preserve">Utility values were derived from </w:t>
            </w:r>
            <w:r w:rsidR="002D45BA">
              <w:t xml:space="preserve">the </w:t>
            </w:r>
            <w:r>
              <w:t>MERIT trial and other literature, indicating the current analysis is likely</w:t>
            </w:r>
            <w:r w:rsidR="00016FDF">
              <w:t xml:space="preserve"> to create uncertainty </w:t>
            </w:r>
            <w:r w:rsidR="002D45BA">
              <w:t>i</w:t>
            </w:r>
            <w:r w:rsidR="00016FDF">
              <w:t xml:space="preserve">n </w:t>
            </w:r>
            <w:r w:rsidR="002D45BA">
              <w:t xml:space="preserve">the </w:t>
            </w:r>
            <w:r>
              <w:t xml:space="preserve">cost-effectiveness of ESG </w:t>
            </w:r>
            <w:r w:rsidR="00827D3D">
              <w:t>due to the absence of real Australian trial-based data</w:t>
            </w:r>
            <w:r>
              <w:t>.</w:t>
            </w:r>
          </w:p>
        </w:tc>
        <w:tc>
          <w:tcPr>
            <w:tcW w:w="2013" w:type="pct"/>
          </w:tcPr>
          <w:p w14:paraId="64CE8E63" w14:textId="54ED771A" w:rsidR="00E22DDE" w:rsidRDefault="00786D4B" w:rsidP="00D76EFB">
            <w:pPr>
              <w:pStyle w:val="Tabletext0"/>
              <w:jc w:val="left"/>
            </w:pPr>
            <w:r w:rsidRPr="00C31B4D">
              <w:t xml:space="preserve">Moderate, </w:t>
            </w:r>
            <w:r w:rsidR="00E441FC">
              <w:t xml:space="preserve">potentially </w:t>
            </w:r>
            <w:r w:rsidR="00924BD0" w:rsidRPr="0097429A">
              <w:t>favours</w:t>
            </w:r>
            <w:r w:rsidRPr="0097429A">
              <w:t xml:space="preserve"> the </w:t>
            </w:r>
            <w:r w:rsidR="00E441FC">
              <w:t>ESG procedure</w:t>
            </w:r>
            <w:r w:rsidRPr="0097429A">
              <w:t xml:space="preserve">. </w:t>
            </w:r>
          </w:p>
          <w:p w14:paraId="6C5168F5" w14:textId="19CB8051" w:rsidR="00786D4B" w:rsidRPr="0097429A" w:rsidRDefault="00786D4B" w:rsidP="00D76EFB">
            <w:pPr>
              <w:pStyle w:val="Tabletext0"/>
              <w:jc w:val="left"/>
            </w:pPr>
            <w:r w:rsidRPr="0097429A">
              <w:t xml:space="preserve">Use of values from </w:t>
            </w:r>
            <w:r w:rsidR="00A656B4">
              <w:t xml:space="preserve">the </w:t>
            </w:r>
            <w:r w:rsidRPr="0097429A">
              <w:t>literature</w:t>
            </w:r>
            <w:r w:rsidR="00A656B4">
              <w:t>,</w:t>
            </w:r>
            <w:r w:rsidRPr="0097429A">
              <w:t xml:space="preserve"> such as Carrello et al. </w:t>
            </w:r>
            <w:r w:rsidRPr="0054555D">
              <w:rPr>
                <w:lang w:val="fr-CH"/>
              </w:rPr>
              <w:t xml:space="preserve">(2023), </w:t>
            </w:r>
            <w:r w:rsidRPr="00EA597F">
              <w:rPr>
                <w:lang w:val="fr-CH"/>
              </w:rPr>
              <w:t>Saumoy et al. (2023</w:t>
            </w:r>
            <w:r w:rsidRPr="0054555D">
              <w:rPr>
                <w:lang w:val="fr-CH"/>
              </w:rPr>
              <w:t>)</w:t>
            </w:r>
            <w:r w:rsidR="00F84812">
              <w:rPr>
                <w:rStyle w:val="FootnoteReference"/>
                <w:lang w:val="fr-CH"/>
              </w:rPr>
              <w:footnoteReference w:id="58"/>
            </w:r>
            <w:r w:rsidRPr="0054555D">
              <w:rPr>
                <w:lang w:val="fr-CH"/>
              </w:rPr>
              <w:t xml:space="preserve">, Ngo et al. </w:t>
            </w:r>
            <w:r w:rsidRPr="0097429A">
              <w:t xml:space="preserve">(2022) and </w:t>
            </w:r>
            <w:r w:rsidRPr="00EA597F">
              <w:t>Haseeb et al. (2024)</w:t>
            </w:r>
            <w:r w:rsidR="00EA597F" w:rsidRPr="00EA597F">
              <w:rPr>
                <w:rStyle w:val="FootnoteReference"/>
              </w:rPr>
              <w:footnoteReference w:id="59"/>
            </w:r>
            <w:r w:rsidR="00A656B4" w:rsidRPr="00EA597F">
              <w:t>,</w:t>
            </w:r>
            <w:r w:rsidRPr="0097429A">
              <w:t xml:space="preserve"> generates higher ICERs by almost 132</w:t>
            </w:r>
            <w:r w:rsidR="00A656B4">
              <w:t>%</w:t>
            </w:r>
            <w:r w:rsidRPr="0097429A">
              <w:t>, 83</w:t>
            </w:r>
            <w:r w:rsidR="00A656B4">
              <w:t>%</w:t>
            </w:r>
            <w:r w:rsidRPr="0097429A">
              <w:t>, 80</w:t>
            </w:r>
            <w:r w:rsidR="00A656B4">
              <w:t>%</w:t>
            </w:r>
            <w:r w:rsidRPr="0097429A">
              <w:t xml:space="preserve"> and 79%</w:t>
            </w:r>
            <w:r w:rsidR="00A656B4">
              <w:t>,</w:t>
            </w:r>
            <w:r w:rsidRPr="0097429A">
              <w:t xml:space="preserve"> respectively.</w:t>
            </w:r>
          </w:p>
        </w:tc>
      </w:tr>
      <w:tr w:rsidR="00BE4629" w:rsidRPr="00B221AE" w14:paraId="0FF5292E" w14:textId="77777777" w:rsidTr="00FD4D96">
        <w:trPr>
          <w:cantSplit/>
        </w:trPr>
        <w:tc>
          <w:tcPr>
            <w:tcW w:w="784" w:type="pct"/>
          </w:tcPr>
          <w:p w14:paraId="1B85200E" w14:textId="6DE33BA4" w:rsidR="00BE4629" w:rsidRPr="0097429A" w:rsidRDefault="00BE4629" w:rsidP="00BE4629">
            <w:pPr>
              <w:pStyle w:val="Tabletext0"/>
              <w:jc w:val="left"/>
            </w:pPr>
            <w:r w:rsidRPr="00C31B4D">
              <w:t>Reintervention rate</w:t>
            </w:r>
          </w:p>
        </w:tc>
        <w:tc>
          <w:tcPr>
            <w:tcW w:w="2203" w:type="pct"/>
          </w:tcPr>
          <w:p w14:paraId="5D2B7554" w14:textId="574D075E" w:rsidR="00BE4629" w:rsidRPr="0097429A" w:rsidRDefault="00BE4629" w:rsidP="00BE4629">
            <w:pPr>
              <w:pStyle w:val="Tabletext0"/>
              <w:jc w:val="left"/>
            </w:pPr>
            <w:r>
              <w:t>A 6% reintervention rate was applied in the base case (based on data from Sharaiha (2021)). An alternate reintervention rate of 18.18% (informed by the MERIT trial) was explored in sensitivity analysis. A scenario assuming a higher probability of redo i.e. 30%, due to its minimally invasive nature with less harm (Shah-Khan et al., 2023). was also explored in the commentary.</w:t>
            </w:r>
          </w:p>
        </w:tc>
        <w:tc>
          <w:tcPr>
            <w:tcW w:w="2013" w:type="pct"/>
          </w:tcPr>
          <w:p w14:paraId="177C9DAD" w14:textId="77777777" w:rsidR="00BE4629" w:rsidRDefault="00BE4629" w:rsidP="00BE4629">
            <w:pPr>
              <w:pStyle w:val="Tabletext0"/>
              <w:jc w:val="left"/>
            </w:pPr>
            <w:r w:rsidRPr="00C31B4D">
              <w:t xml:space="preserve">Moderate, </w:t>
            </w:r>
            <w:r w:rsidRPr="0097429A">
              <w:t xml:space="preserve">favours the ESG procedure. </w:t>
            </w:r>
          </w:p>
          <w:p w14:paraId="6740F2DA" w14:textId="22B9C712" w:rsidR="00BE4629" w:rsidRPr="0097429A" w:rsidRDefault="00BE4629" w:rsidP="00BE4629">
            <w:pPr>
              <w:pStyle w:val="Tabletext0"/>
              <w:jc w:val="left"/>
            </w:pPr>
            <w:r>
              <w:t>The base case reintervention rate may favour</w:t>
            </w:r>
            <w:r w:rsidDel="00A656B4">
              <w:t xml:space="preserve"> </w:t>
            </w:r>
            <w:r>
              <w:t xml:space="preserve">ESG. </w:t>
            </w:r>
            <w:r w:rsidRPr="0097429A">
              <w:t>The reintervention rate and modelled outcomes are directly associated</w:t>
            </w:r>
            <w:r>
              <w:t xml:space="preserve"> (e.g. assuming</w:t>
            </w:r>
            <w:r w:rsidRPr="0097429A">
              <w:t xml:space="preserve"> 18.18% and 30% </w:t>
            </w:r>
            <w:r>
              <w:t xml:space="preserve">reintervention </w:t>
            </w:r>
            <w:r w:rsidRPr="0097429A">
              <w:t>rate</w:t>
            </w:r>
            <w:r>
              <w:t>s</w:t>
            </w:r>
            <w:r w:rsidRPr="0097429A">
              <w:t xml:space="preserve"> resulted </w:t>
            </w:r>
            <w:r>
              <w:t>in ICERs</w:t>
            </w:r>
            <w:r w:rsidRPr="0097429A">
              <w:t xml:space="preserve">, </w:t>
            </w:r>
            <w:r>
              <w:t>4.5%</w:t>
            </w:r>
            <w:r w:rsidRPr="0097429A">
              <w:t xml:space="preserve"> and 77.80% </w:t>
            </w:r>
            <w:r>
              <w:t xml:space="preserve">higher, </w:t>
            </w:r>
            <w:r w:rsidRPr="0097429A">
              <w:t>respectively</w:t>
            </w:r>
            <w:r>
              <w:t>,</w:t>
            </w:r>
            <w:r w:rsidRPr="0097429A">
              <w:t xml:space="preserve"> compared to </w:t>
            </w:r>
            <w:r>
              <w:t xml:space="preserve">the </w:t>
            </w:r>
            <w:r w:rsidRPr="0097429A">
              <w:t>base case.</w:t>
            </w:r>
          </w:p>
        </w:tc>
      </w:tr>
    </w:tbl>
    <w:p w14:paraId="058C46AB" w14:textId="70CFD213" w:rsidR="009C4B2E" w:rsidRPr="00761E57" w:rsidRDefault="00786D4B" w:rsidP="00FD4D96">
      <w:pPr>
        <w:pStyle w:val="TableFigureFooter"/>
      </w:pPr>
      <w:r w:rsidRPr="00D76EFB">
        <w:t>Abbreviations:</w:t>
      </w:r>
      <w:r w:rsidRPr="00761E57">
        <w:t xml:space="preserve"> </w:t>
      </w:r>
      <w:r w:rsidRPr="00D76EFB">
        <w:t>ESG</w:t>
      </w:r>
      <w:r w:rsidR="00EE29D4" w:rsidRPr="00761E57">
        <w:t>:</w:t>
      </w:r>
      <w:r w:rsidRPr="00761E57">
        <w:t xml:space="preserve"> </w:t>
      </w:r>
      <w:r w:rsidR="00761E57">
        <w:t>e</w:t>
      </w:r>
      <w:r w:rsidRPr="00761E57">
        <w:t xml:space="preserve">ndoscopic </w:t>
      </w:r>
      <w:r w:rsidR="00761E57">
        <w:t>s</w:t>
      </w:r>
      <w:r w:rsidRPr="00761E57">
        <w:t xml:space="preserve">leeve </w:t>
      </w:r>
      <w:r w:rsidR="00761E57">
        <w:t>g</w:t>
      </w:r>
      <w:r w:rsidRPr="00761E57">
        <w:t xml:space="preserve">astroplasty; </w:t>
      </w:r>
      <w:r w:rsidRPr="00D76EFB">
        <w:t>LM</w:t>
      </w:r>
      <w:r w:rsidR="00EE29D4" w:rsidRPr="00761E57">
        <w:t>:</w:t>
      </w:r>
      <w:r>
        <w:t xml:space="preserve"> </w:t>
      </w:r>
      <w:r w:rsidR="00F969DD">
        <w:t>l</w:t>
      </w:r>
      <w:r w:rsidRPr="00761E57">
        <w:t xml:space="preserve">ifestyle modification; </w:t>
      </w:r>
      <w:r w:rsidRPr="00D76EFB">
        <w:t>QALY</w:t>
      </w:r>
      <w:r w:rsidR="00EE29D4" w:rsidRPr="00D76EFB">
        <w:t>:</w:t>
      </w:r>
      <w:r w:rsidRPr="00761E57">
        <w:t xml:space="preserve"> </w:t>
      </w:r>
      <w:r w:rsidR="0057518A">
        <w:t>q</w:t>
      </w:r>
      <w:r w:rsidRPr="00761E57">
        <w:t xml:space="preserve">uality-adjusted life year; </w:t>
      </w:r>
      <w:r w:rsidRPr="00D76EFB">
        <w:t>ICERs</w:t>
      </w:r>
      <w:r w:rsidR="00B82FC0" w:rsidRPr="00D76EFB">
        <w:t xml:space="preserve">: </w:t>
      </w:r>
      <w:r w:rsidR="00761E57">
        <w:t>i</w:t>
      </w:r>
      <w:r w:rsidRPr="00761E57">
        <w:t xml:space="preserve">ncremental cost-effectiveness ratio; </w:t>
      </w:r>
      <w:r w:rsidRPr="00D76EFB">
        <w:t>MERIT</w:t>
      </w:r>
      <w:r w:rsidR="00B82FC0" w:rsidRPr="00761E57">
        <w:t>:</w:t>
      </w:r>
      <w:r w:rsidRPr="00761E57">
        <w:t xml:space="preserve"> </w:t>
      </w:r>
      <w:r w:rsidR="00F969DD">
        <w:t>m</w:t>
      </w:r>
      <w:r w:rsidRPr="00761E57">
        <w:t>ulti-centre ESG randomised interventional trial</w:t>
      </w:r>
    </w:p>
    <w:p w14:paraId="625472E8" w14:textId="06C456A6" w:rsidR="00EE29D4" w:rsidRPr="00F969DD" w:rsidRDefault="00EE29D4" w:rsidP="00FD4D96">
      <w:pPr>
        <w:pStyle w:val="TableFigureFooter"/>
      </w:pPr>
      <w:r w:rsidRPr="00D76EFB">
        <w:t>Source:</w:t>
      </w:r>
      <w:r w:rsidRPr="00761E57">
        <w:t xml:space="preserve"> Submission Table 3-40 and Table 3-41 (pp. 160 and 162); Attachment 3.1-ESG cost-effectiveness model</w:t>
      </w:r>
    </w:p>
    <w:p w14:paraId="41B65048" w14:textId="0BCDF86E" w:rsidR="009924F7" w:rsidRPr="00C31B4D" w:rsidRDefault="009924F7" w:rsidP="009924F7">
      <w:r w:rsidRPr="2AA1CA0C">
        <w:t>There are</w:t>
      </w:r>
      <w:r w:rsidRPr="2AA1CA0C" w:rsidDel="00F90F7B">
        <w:t xml:space="preserve"> </w:t>
      </w:r>
      <w:r w:rsidRPr="2AA1CA0C">
        <w:t xml:space="preserve">uncertainties and missing evidence </w:t>
      </w:r>
      <w:r w:rsidR="00733315" w:rsidRPr="2AA1CA0C">
        <w:t>with</w:t>
      </w:r>
      <w:r w:rsidRPr="2AA1CA0C">
        <w:t xml:space="preserve">in the model-based economic analysis. The intervention is </w:t>
      </w:r>
      <w:r w:rsidR="004750DA" w:rsidRPr="2AA1CA0C">
        <w:t>not cost</w:t>
      </w:r>
      <w:r w:rsidR="004750DA">
        <w:t>-</w:t>
      </w:r>
      <w:r w:rsidR="004750DA" w:rsidRPr="2AA1CA0C">
        <w:t xml:space="preserve">effective within </w:t>
      </w:r>
      <w:r w:rsidR="00733315" w:rsidRPr="2AA1CA0C">
        <w:t xml:space="preserve">a </w:t>
      </w:r>
      <w:r w:rsidRPr="2AA1CA0C">
        <w:t>short</w:t>
      </w:r>
      <w:r w:rsidR="006B6288">
        <w:t>er</w:t>
      </w:r>
      <w:r w:rsidRPr="2AA1CA0C">
        <w:t xml:space="preserve"> timeframe </w:t>
      </w:r>
      <w:r w:rsidR="00733315" w:rsidRPr="2AA1CA0C">
        <w:t>(e.g.</w:t>
      </w:r>
      <w:r w:rsidRPr="2AA1CA0C">
        <w:t xml:space="preserve"> </w:t>
      </w:r>
      <w:r w:rsidR="00C05EE3" w:rsidRPr="2AA1CA0C">
        <w:t>2</w:t>
      </w:r>
      <w:r w:rsidR="00733315" w:rsidRPr="2AA1CA0C">
        <w:t>-</w:t>
      </w:r>
      <w:r w:rsidR="00C05EE3" w:rsidRPr="2AA1CA0C">
        <w:t xml:space="preserve"> and</w:t>
      </w:r>
      <w:r w:rsidR="008F5738" w:rsidRPr="2AA1CA0C">
        <w:t xml:space="preserve"> 5-year</w:t>
      </w:r>
      <w:r w:rsidRPr="2AA1CA0C">
        <w:t xml:space="preserve"> extrapolation</w:t>
      </w:r>
      <w:r w:rsidR="008F5738" w:rsidRPr="2AA1CA0C">
        <w:t>s</w:t>
      </w:r>
      <w:r w:rsidR="00733315" w:rsidRPr="2AA1CA0C">
        <w:t>)</w:t>
      </w:r>
      <w:r w:rsidRPr="2AA1CA0C">
        <w:t xml:space="preserve">. However, </w:t>
      </w:r>
      <w:r w:rsidR="007B1B49" w:rsidRPr="2AA1CA0C">
        <w:t xml:space="preserve">at time horizons of 10 years </w:t>
      </w:r>
      <w:r w:rsidR="00F90F7B">
        <w:t>or more</w:t>
      </w:r>
      <w:r w:rsidR="002A76B9">
        <w:t xml:space="preserve"> the ICER falls within the range typically considered</w:t>
      </w:r>
      <w:r w:rsidRPr="2AA1CA0C">
        <w:t xml:space="preserve"> </w:t>
      </w:r>
      <w:r w:rsidR="002A76B9">
        <w:t>to represent acceptable cost-effectiveness</w:t>
      </w:r>
      <w:r w:rsidR="007B1B49" w:rsidRPr="2AA1CA0C">
        <w:t>.</w:t>
      </w:r>
      <w:r w:rsidR="00E747B2" w:rsidRPr="2AA1CA0C">
        <w:t xml:space="preserve"> QALY</w:t>
      </w:r>
      <w:r w:rsidR="00071E74" w:rsidRPr="2AA1CA0C">
        <w:t xml:space="preserve">s </w:t>
      </w:r>
      <w:r w:rsidR="007B1B49" w:rsidRPr="2AA1CA0C">
        <w:t xml:space="preserve">at 10 years </w:t>
      </w:r>
      <w:r w:rsidR="00071E74" w:rsidRPr="2AA1CA0C">
        <w:t>(</w:t>
      </w:r>
      <w:r w:rsidR="00474084" w:rsidRPr="2AA1CA0C">
        <w:t>0.</w:t>
      </w:r>
      <w:r w:rsidR="00282F85" w:rsidRPr="2AA1CA0C">
        <w:t>4349</w:t>
      </w:r>
      <w:r w:rsidR="00935CD9" w:rsidRPr="2AA1CA0C">
        <w:t xml:space="preserve">) </w:t>
      </w:r>
      <w:r w:rsidR="007B1B49" w:rsidRPr="2AA1CA0C">
        <w:t>are</w:t>
      </w:r>
      <w:r w:rsidR="00061F08" w:rsidRPr="2AA1CA0C">
        <w:t xml:space="preserve"> almost double </w:t>
      </w:r>
      <w:r w:rsidR="007B1B49" w:rsidRPr="2AA1CA0C">
        <w:t>those at the</w:t>
      </w:r>
      <w:r w:rsidR="00061F08" w:rsidRPr="2AA1CA0C">
        <w:t xml:space="preserve"> 5-year time horizon</w:t>
      </w:r>
      <w:r w:rsidR="00C40ED9" w:rsidRPr="2AA1CA0C">
        <w:t xml:space="preserve"> (</w:t>
      </w:r>
      <w:r w:rsidR="00756DDD" w:rsidRPr="2AA1CA0C">
        <w:t>0.2499)</w:t>
      </w:r>
      <w:r w:rsidRPr="2AA1CA0C">
        <w:t xml:space="preserve">. </w:t>
      </w:r>
      <w:r w:rsidR="006B6288">
        <w:t xml:space="preserve">In other words, the </w:t>
      </w:r>
      <w:r w:rsidR="006D7B9F">
        <w:t xml:space="preserve">lower ICERs achieved with longer time horizons rely entirely on </w:t>
      </w:r>
      <w:r w:rsidR="00D71B12">
        <w:t xml:space="preserve">assumptions made to extrapolate </w:t>
      </w:r>
      <w:r w:rsidR="002E0B08">
        <w:t xml:space="preserve">the trial-based outcomes. </w:t>
      </w:r>
    </w:p>
    <w:p w14:paraId="017B87BF" w14:textId="73392060" w:rsidR="00421AA9" w:rsidRDefault="009924F7" w:rsidP="00361335">
      <w:r w:rsidRPr="2AA1CA0C">
        <w:t xml:space="preserve">For the base case analysis, health states utilities were derived from </w:t>
      </w:r>
      <w:r w:rsidR="003F24E4" w:rsidRPr="2AA1CA0C">
        <w:t>a</w:t>
      </w:r>
      <w:r w:rsidRPr="2AA1CA0C">
        <w:t xml:space="preserve"> UK-based study</w:t>
      </w:r>
      <w:r w:rsidR="000204C9" w:rsidRPr="2AA1CA0C">
        <w:t>.</w:t>
      </w:r>
      <w:r w:rsidR="00AD5DB5" w:rsidRPr="00115CA8">
        <w:rPr>
          <w:vertAlign w:val="superscript"/>
        </w:rPr>
        <w:fldChar w:fldCharType="begin"/>
      </w:r>
      <w:r w:rsidR="00AD5DB5" w:rsidRPr="00115CA8">
        <w:rPr>
          <w:vertAlign w:val="superscript"/>
        </w:rPr>
        <w:instrText xml:space="preserve"> NOTEREF _Ref187231833 \h </w:instrText>
      </w:r>
      <w:r w:rsidR="00AD5DB5">
        <w:rPr>
          <w:vertAlign w:val="superscript"/>
        </w:rPr>
        <w:instrText xml:space="preserve"> \* MERGEFORMAT </w:instrText>
      </w:r>
      <w:r w:rsidR="00AD5DB5" w:rsidRPr="00115CA8">
        <w:rPr>
          <w:vertAlign w:val="superscript"/>
        </w:rPr>
      </w:r>
      <w:r w:rsidR="00AD5DB5" w:rsidRPr="00115CA8">
        <w:rPr>
          <w:vertAlign w:val="superscript"/>
        </w:rPr>
        <w:fldChar w:fldCharType="separate"/>
      </w:r>
      <w:r w:rsidR="008F37D1">
        <w:rPr>
          <w:vertAlign w:val="superscript"/>
        </w:rPr>
        <w:t>49</w:t>
      </w:r>
      <w:r w:rsidR="00AD5DB5" w:rsidRPr="00115CA8">
        <w:rPr>
          <w:vertAlign w:val="superscript"/>
        </w:rPr>
        <w:fldChar w:fldCharType="end"/>
      </w:r>
      <w:r w:rsidRPr="2AA1CA0C">
        <w:t xml:space="preserve"> </w:t>
      </w:r>
      <w:r w:rsidR="001F50C1" w:rsidRPr="2AA1CA0C">
        <w:t>S</w:t>
      </w:r>
      <w:r w:rsidRPr="2AA1CA0C">
        <w:t>ome sensitivity analyses were performed using Australia-based literature</w:t>
      </w:r>
      <w:r w:rsidR="001F50C1" w:rsidRPr="2AA1CA0C">
        <w:t>,</w:t>
      </w:r>
      <w:r w:rsidRPr="2AA1CA0C">
        <w:t xml:space="preserve"> which shows larger effects in</w:t>
      </w:r>
      <w:r w:rsidR="001F50C1" w:rsidRPr="2AA1CA0C">
        <w:t xml:space="preserve"> the</w:t>
      </w:r>
      <w:r w:rsidRPr="2AA1CA0C">
        <w:t xml:space="preserve"> ICER. This indicates that the current analys</w:t>
      </w:r>
      <w:r w:rsidR="00226C99" w:rsidRPr="2AA1CA0C">
        <w:t xml:space="preserve">es </w:t>
      </w:r>
      <w:r w:rsidR="001F50C1" w:rsidRPr="2AA1CA0C">
        <w:t xml:space="preserve">for </w:t>
      </w:r>
      <w:r w:rsidR="00226C99" w:rsidRPr="2AA1CA0C">
        <w:t xml:space="preserve">both </w:t>
      </w:r>
      <w:r w:rsidR="008F5EBB" w:rsidRPr="2AA1CA0C">
        <w:t>class</w:t>
      </w:r>
      <w:r w:rsidR="00DC31E9" w:rsidRPr="2AA1CA0C">
        <w:t xml:space="preserve">es </w:t>
      </w:r>
      <w:r w:rsidR="00327F29" w:rsidRPr="2AA1CA0C">
        <w:t>of obesity</w:t>
      </w:r>
      <w:r w:rsidR="00DC31E9" w:rsidRPr="2AA1CA0C">
        <w:t xml:space="preserve"> are</w:t>
      </w:r>
      <w:r w:rsidR="00016FDF" w:rsidRPr="2AA1CA0C">
        <w:t xml:space="preserve"> likely to create uncertainties </w:t>
      </w:r>
      <w:r w:rsidR="001F50C1" w:rsidRPr="2AA1CA0C">
        <w:t>i</w:t>
      </w:r>
      <w:r w:rsidR="00016FDF" w:rsidRPr="2AA1CA0C">
        <w:t xml:space="preserve">n </w:t>
      </w:r>
      <w:r w:rsidR="001F50C1" w:rsidRPr="2AA1CA0C">
        <w:t xml:space="preserve">the </w:t>
      </w:r>
      <w:r w:rsidRPr="2AA1CA0C">
        <w:t>cost-effectiveness of ESG</w:t>
      </w:r>
      <w:r w:rsidR="00D85CB8" w:rsidRPr="2AA1CA0C">
        <w:t>,</w:t>
      </w:r>
      <w:r w:rsidRPr="2AA1CA0C">
        <w:t xml:space="preserve"> due to the absence of Australian trial-based data. </w:t>
      </w:r>
      <w:r w:rsidR="00D85CB8" w:rsidRPr="2AA1CA0C">
        <w:t>The l</w:t>
      </w:r>
      <w:r w:rsidRPr="2AA1CA0C">
        <w:t xml:space="preserve">iterature shows </w:t>
      </w:r>
      <w:r w:rsidR="00D85CB8" w:rsidRPr="2AA1CA0C">
        <w:t xml:space="preserve">a </w:t>
      </w:r>
      <w:r w:rsidRPr="2AA1CA0C">
        <w:t>higher possibility of reintervention</w:t>
      </w:r>
      <w:r w:rsidR="0064634D" w:rsidRPr="2AA1CA0C">
        <w:t>,</w:t>
      </w:r>
      <w:r w:rsidRPr="2AA1CA0C">
        <w:t xml:space="preserve"> due to the less invasive and less harmful nature of the ESG procedure</w:t>
      </w:r>
      <w:r w:rsidR="00CC37B1" w:rsidRPr="2AA1CA0C">
        <w:t>.</w:t>
      </w:r>
      <w:r w:rsidR="002A1483" w:rsidRPr="00115CA8">
        <w:rPr>
          <w:vertAlign w:val="superscript"/>
        </w:rPr>
        <w:fldChar w:fldCharType="begin"/>
      </w:r>
      <w:r w:rsidR="002A1483" w:rsidRPr="00115CA8">
        <w:rPr>
          <w:vertAlign w:val="superscript"/>
        </w:rPr>
        <w:instrText xml:space="preserve"> NOTEREF _Ref187231990 \h </w:instrText>
      </w:r>
      <w:r w:rsidR="002A1483">
        <w:rPr>
          <w:vertAlign w:val="superscript"/>
        </w:rPr>
        <w:instrText xml:space="preserve"> \* MERGEFORMAT </w:instrText>
      </w:r>
      <w:r w:rsidR="002A1483" w:rsidRPr="00115CA8">
        <w:rPr>
          <w:vertAlign w:val="superscript"/>
        </w:rPr>
      </w:r>
      <w:r w:rsidR="002A1483" w:rsidRPr="00115CA8">
        <w:rPr>
          <w:vertAlign w:val="superscript"/>
        </w:rPr>
        <w:fldChar w:fldCharType="separate"/>
      </w:r>
      <w:r w:rsidR="008F37D1">
        <w:rPr>
          <w:vertAlign w:val="superscript"/>
        </w:rPr>
        <w:t>56</w:t>
      </w:r>
      <w:r w:rsidR="002A1483" w:rsidRPr="00115CA8">
        <w:rPr>
          <w:vertAlign w:val="superscript"/>
        </w:rPr>
        <w:fldChar w:fldCharType="end"/>
      </w:r>
      <w:r w:rsidRPr="2AA1CA0C">
        <w:t xml:space="preserve"> As such, sensitivity analyses demonstrate that </w:t>
      </w:r>
      <w:r w:rsidR="00A476EE" w:rsidRPr="2AA1CA0C">
        <w:t xml:space="preserve">the </w:t>
      </w:r>
      <w:r w:rsidRPr="2AA1CA0C">
        <w:t>higher the reintervention rate</w:t>
      </w:r>
      <w:r w:rsidR="00A476EE" w:rsidRPr="2AA1CA0C">
        <w:t>, the</w:t>
      </w:r>
      <w:r w:rsidRPr="2AA1CA0C">
        <w:t xml:space="preserve"> higher the ICER</w:t>
      </w:r>
      <w:r w:rsidR="00A476EE" w:rsidRPr="2AA1CA0C">
        <w:t xml:space="preserve"> will be</w:t>
      </w:r>
      <w:r w:rsidRPr="2AA1CA0C">
        <w:t xml:space="preserve">, indicating uncertainty </w:t>
      </w:r>
      <w:r w:rsidR="00A476EE" w:rsidRPr="2AA1CA0C">
        <w:t xml:space="preserve">in </w:t>
      </w:r>
      <w:r w:rsidRPr="2AA1CA0C">
        <w:t>the ESG procedure. Similar assumptions</w:t>
      </w:r>
      <w:r w:rsidR="008A5579" w:rsidRPr="2AA1CA0C">
        <w:t xml:space="preserve"> were made</w:t>
      </w:r>
      <w:r w:rsidRPr="2AA1CA0C">
        <w:t xml:space="preserve"> for both obesity </w:t>
      </w:r>
      <w:r w:rsidR="008F5EBB" w:rsidRPr="2AA1CA0C">
        <w:t>class</w:t>
      </w:r>
      <w:r w:rsidRPr="2AA1CA0C">
        <w:t xml:space="preserve"> I and </w:t>
      </w:r>
      <w:r w:rsidR="008F5EBB" w:rsidRPr="2AA1CA0C">
        <w:t>class</w:t>
      </w:r>
      <w:r w:rsidRPr="2AA1CA0C">
        <w:t xml:space="preserve"> II. </w:t>
      </w:r>
      <w:r w:rsidR="009807EC" w:rsidRPr="2AA1CA0C">
        <w:t xml:space="preserve">For example, </w:t>
      </w:r>
      <w:r w:rsidR="007F3D38" w:rsidRPr="2AA1CA0C">
        <w:t>between 3</w:t>
      </w:r>
      <w:r w:rsidR="00D345B9" w:rsidRPr="2AA1CA0C">
        <w:t xml:space="preserve"> and </w:t>
      </w:r>
      <w:r w:rsidR="007F3D38" w:rsidRPr="2AA1CA0C">
        <w:t>5 years</w:t>
      </w:r>
      <w:r w:rsidR="00D345B9" w:rsidRPr="2AA1CA0C">
        <w:t>,</w:t>
      </w:r>
      <w:r w:rsidR="007F3D38" w:rsidRPr="2AA1CA0C">
        <w:t xml:space="preserve"> 80% </w:t>
      </w:r>
      <w:r w:rsidR="00D345B9" w:rsidRPr="2AA1CA0C">
        <w:t xml:space="preserve">of patients </w:t>
      </w:r>
      <w:r w:rsidR="007F3D38" w:rsidRPr="2AA1CA0C">
        <w:t>remain in the same health s</w:t>
      </w:r>
      <w:r w:rsidR="00D345B9" w:rsidRPr="2AA1CA0C">
        <w:t>tat</w:t>
      </w:r>
      <w:r w:rsidR="007F3D38" w:rsidRPr="2AA1CA0C">
        <w:t xml:space="preserve">e </w:t>
      </w:r>
      <w:r w:rsidR="00F66D45" w:rsidRPr="2AA1CA0C">
        <w:t>and</w:t>
      </w:r>
      <w:r w:rsidR="00D345B9" w:rsidRPr="2AA1CA0C">
        <w:t xml:space="preserve"> the</w:t>
      </w:r>
      <w:r w:rsidR="00F66D45" w:rsidRPr="2AA1CA0C">
        <w:t xml:space="preserve"> remaining 20% return to their baseline weight. This transition </w:t>
      </w:r>
      <w:r w:rsidR="00F22BBA" w:rsidRPr="2AA1CA0C">
        <w:t>may not apply equally</w:t>
      </w:r>
      <w:r w:rsidR="00F66D45" w:rsidRPr="2AA1CA0C">
        <w:t xml:space="preserve"> </w:t>
      </w:r>
      <w:r w:rsidR="00E64E7C" w:rsidRPr="2AA1CA0C">
        <w:t xml:space="preserve">to both </w:t>
      </w:r>
      <w:r w:rsidR="00F22BBA" w:rsidRPr="2AA1CA0C">
        <w:t xml:space="preserve">obesity </w:t>
      </w:r>
      <w:r w:rsidR="008F5EBB" w:rsidRPr="2AA1CA0C">
        <w:t>class</w:t>
      </w:r>
      <w:r w:rsidR="00E64E7C" w:rsidRPr="2AA1CA0C">
        <w:t>es</w:t>
      </w:r>
      <w:r w:rsidR="00F22BBA" w:rsidRPr="2AA1CA0C">
        <w:t xml:space="preserve">, </w:t>
      </w:r>
      <w:r w:rsidR="00E64E7C" w:rsidRPr="2AA1CA0C">
        <w:t xml:space="preserve">which </w:t>
      </w:r>
      <w:r w:rsidR="00F22BBA" w:rsidRPr="2AA1CA0C">
        <w:t xml:space="preserve">may </w:t>
      </w:r>
      <w:r w:rsidR="00E64E7C" w:rsidRPr="2AA1CA0C">
        <w:t xml:space="preserve">be </w:t>
      </w:r>
      <w:r w:rsidR="00CE1DC1" w:rsidRPr="2AA1CA0C">
        <w:t xml:space="preserve">affected </w:t>
      </w:r>
      <w:r w:rsidR="00F22BBA" w:rsidRPr="2AA1CA0C">
        <w:t xml:space="preserve">differently </w:t>
      </w:r>
      <w:r w:rsidR="00CE1DC1" w:rsidRPr="2AA1CA0C">
        <w:t xml:space="preserve">by patient severity, </w:t>
      </w:r>
      <w:r w:rsidR="00D54B5E" w:rsidRPr="2AA1CA0C">
        <w:t xml:space="preserve">response to ESG and </w:t>
      </w:r>
      <w:r w:rsidR="002F44B4" w:rsidRPr="2AA1CA0C">
        <w:t>age.</w:t>
      </w:r>
      <w:r w:rsidR="00421AA9">
        <w:br w:type="page"/>
      </w:r>
    </w:p>
    <w:p w14:paraId="2C785A4C" w14:textId="50C5E182" w:rsidR="008B5B67" w:rsidRPr="00161438" w:rsidRDefault="00F2027F" w:rsidP="00135FC9">
      <w:pPr>
        <w:pStyle w:val="Caption"/>
      </w:pPr>
      <w:bookmarkStart w:id="101" w:name="_Ref191552147"/>
      <w:r>
        <w:t xml:space="preserve">Table </w:t>
      </w:r>
      <w:r w:rsidR="00707F6D">
        <w:fldChar w:fldCharType="begin"/>
      </w:r>
      <w:r w:rsidR="00707F6D">
        <w:instrText xml:space="preserve"> SEQ Table \* ARABIC </w:instrText>
      </w:r>
      <w:r w:rsidR="00707F6D">
        <w:fldChar w:fldCharType="separate"/>
      </w:r>
      <w:r w:rsidR="008F37D1">
        <w:rPr>
          <w:noProof/>
        </w:rPr>
        <w:t>27</w:t>
      </w:r>
      <w:r w:rsidR="00707F6D">
        <w:rPr>
          <w:noProof/>
        </w:rPr>
        <w:fldChar w:fldCharType="end"/>
      </w:r>
      <w:bookmarkEnd w:id="101"/>
      <w:r w:rsidR="00595597">
        <w:t>:</w:t>
      </w:r>
      <w:r>
        <w:t xml:space="preserve"> </w:t>
      </w:r>
      <w:r w:rsidR="00B43573">
        <w:t>One-way s</w:t>
      </w:r>
      <w:r w:rsidRPr="00F44389">
        <w:t>ensitivity analyses</w:t>
      </w:r>
      <w:r w:rsidR="00A04E02">
        <w:t xml:space="preserve"> </w:t>
      </w:r>
      <w:r w:rsidR="004A2098">
        <w:t>(PICO set 1)</w:t>
      </w:r>
    </w:p>
    <w:tbl>
      <w:tblPr>
        <w:tblStyle w:val="TableGrid"/>
        <w:tblW w:w="5003" w:type="pct"/>
        <w:tblInd w:w="-5" w:type="dxa"/>
        <w:tblLook w:val="04A0" w:firstRow="1" w:lastRow="0" w:firstColumn="1" w:lastColumn="0" w:noHBand="0" w:noVBand="1"/>
      </w:tblPr>
      <w:tblGrid>
        <w:gridCol w:w="3775"/>
        <w:gridCol w:w="1360"/>
        <w:gridCol w:w="1138"/>
        <w:gridCol w:w="1631"/>
        <w:gridCol w:w="1117"/>
      </w:tblGrid>
      <w:tr w:rsidR="00CC786B" w:rsidRPr="00B221AE" w14:paraId="3C2472F5" w14:textId="18A0B95F" w:rsidTr="00AE36DD">
        <w:trPr>
          <w:tblHeader/>
        </w:trPr>
        <w:tc>
          <w:tcPr>
            <w:tcW w:w="2092" w:type="pct"/>
          </w:tcPr>
          <w:p w14:paraId="2263D20E" w14:textId="4433F917" w:rsidR="00CC786B" w:rsidRPr="00C31B4D" w:rsidRDefault="00CC786B" w:rsidP="00D76EFB">
            <w:pPr>
              <w:spacing w:before="0"/>
              <w:rPr>
                <w:rFonts w:ascii="Arial Narrow" w:hAnsi="Arial Narrow"/>
                <w:b/>
                <w:sz w:val="20"/>
                <w:szCs w:val="20"/>
              </w:rPr>
            </w:pPr>
            <w:r w:rsidRPr="00C31B4D">
              <w:rPr>
                <w:rFonts w:ascii="Arial Narrow" w:hAnsi="Arial Narrow"/>
                <w:b/>
                <w:sz w:val="20"/>
                <w:szCs w:val="20"/>
              </w:rPr>
              <w:t>Analys</w:t>
            </w:r>
            <w:r>
              <w:rPr>
                <w:rFonts w:ascii="Arial Narrow" w:hAnsi="Arial Narrow"/>
                <w:b/>
                <w:sz w:val="20"/>
                <w:szCs w:val="20"/>
              </w:rPr>
              <w:t>i</w:t>
            </w:r>
            <w:r w:rsidRPr="00C31B4D">
              <w:rPr>
                <w:rFonts w:ascii="Arial Narrow" w:hAnsi="Arial Narrow"/>
                <w:b/>
                <w:sz w:val="20"/>
                <w:szCs w:val="20"/>
              </w:rPr>
              <w:t>s</w:t>
            </w:r>
          </w:p>
        </w:tc>
        <w:tc>
          <w:tcPr>
            <w:tcW w:w="754" w:type="pct"/>
          </w:tcPr>
          <w:p w14:paraId="6A7E2AB7" w14:textId="77777777" w:rsidR="00CC786B" w:rsidRPr="00C31B4D" w:rsidRDefault="00CC786B" w:rsidP="00D76EFB">
            <w:pPr>
              <w:spacing w:before="0"/>
              <w:jc w:val="center"/>
              <w:rPr>
                <w:rFonts w:ascii="Arial Narrow" w:hAnsi="Arial Narrow"/>
                <w:b/>
                <w:sz w:val="20"/>
                <w:szCs w:val="20"/>
              </w:rPr>
            </w:pPr>
            <w:r w:rsidRPr="00C31B4D">
              <w:rPr>
                <w:rFonts w:ascii="Arial Narrow" w:hAnsi="Arial Narrow"/>
                <w:b/>
                <w:sz w:val="20"/>
                <w:szCs w:val="20"/>
              </w:rPr>
              <w:t>Incremental cost</w:t>
            </w:r>
          </w:p>
        </w:tc>
        <w:tc>
          <w:tcPr>
            <w:tcW w:w="631" w:type="pct"/>
          </w:tcPr>
          <w:p w14:paraId="0539A133" w14:textId="77777777" w:rsidR="00CC786B" w:rsidRPr="00C31B4D" w:rsidRDefault="00CC786B" w:rsidP="00D76EFB">
            <w:pPr>
              <w:spacing w:before="0"/>
              <w:jc w:val="center"/>
              <w:rPr>
                <w:rFonts w:ascii="Arial Narrow" w:hAnsi="Arial Narrow"/>
                <w:b/>
                <w:sz w:val="20"/>
                <w:szCs w:val="20"/>
              </w:rPr>
            </w:pPr>
            <w:r w:rsidRPr="00C31B4D">
              <w:rPr>
                <w:rFonts w:ascii="Arial Narrow" w:hAnsi="Arial Narrow"/>
                <w:b/>
                <w:sz w:val="20"/>
                <w:szCs w:val="20"/>
              </w:rPr>
              <w:t>Incremental QALY</w:t>
            </w:r>
          </w:p>
        </w:tc>
        <w:tc>
          <w:tcPr>
            <w:tcW w:w="904" w:type="pct"/>
          </w:tcPr>
          <w:p w14:paraId="0EE9D887" w14:textId="798C1A15" w:rsidR="00CC786B" w:rsidRPr="00C31B4D" w:rsidRDefault="00CC786B" w:rsidP="00D76EFB">
            <w:pPr>
              <w:spacing w:before="0"/>
              <w:jc w:val="center"/>
              <w:rPr>
                <w:rFonts w:ascii="Arial Narrow" w:hAnsi="Arial Narrow"/>
                <w:b/>
                <w:sz w:val="20"/>
                <w:szCs w:val="20"/>
              </w:rPr>
            </w:pPr>
            <w:r w:rsidRPr="00C31B4D">
              <w:rPr>
                <w:rFonts w:ascii="Arial Narrow" w:hAnsi="Arial Narrow"/>
                <w:b/>
                <w:sz w:val="20"/>
                <w:szCs w:val="20"/>
              </w:rPr>
              <w:t xml:space="preserve">ICER </w:t>
            </w:r>
            <w:r w:rsidR="00C4409E">
              <w:rPr>
                <w:rFonts w:ascii="Arial Narrow" w:hAnsi="Arial Narrow"/>
                <w:b/>
                <w:sz w:val="20"/>
                <w:szCs w:val="20"/>
              </w:rPr>
              <w:t>($</w:t>
            </w:r>
            <w:r w:rsidR="00973307">
              <w:rPr>
                <w:rFonts w:ascii="Arial Narrow" w:hAnsi="Arial Narrow"/>
                <w:b/>
                <w:sz w:val="20"/>
                <w:szCs w:val="20"/>
              </w:rPr>
              <w:t>/</w:t>
            </w:r>
            <w:r w:rsidRPr="00C31B4D">
              <w:rPr>
                <w:rFonts w:ascii="Arial Narrow" w:hAnsi="Arial Narrow"/>
                <w:b/>
                <w:sz w:val="20"/>
                <w:szCs w:val="20"/>
              </w:rPr>
              <w:t>QALY</w:t>
            </w:r>
            <w:r w:rsidR="00254FBA">
              <w:rPr>
                <w:rFonts w:ascii="Arial Narrow" w:hAnsi="Arial Narrow"/>
                <w:b/>
                <w:sz w:val="20"/>
                <w:szCs w:val="20"/>
              </w:rPr>
              <w:t xml:space="preserve"> gained)</w:t>
            </w:r>
          </w:p>
        </w:tc>
        <w:tc>
          <w:tcPr>
            <w:tcW w:w="619" w:type="pct"/>
          </w:tcPr>
          <w:p w14:paraId="68F43B17" w14:textId="726B9EAE" w:rsidR="00CC786B" w:rsidRPr="00C31B4D" w:rsidRDefault="00CC786B">
            <w:pPr>
              <w:spacing w:before="0"/>
              <w:jc w:val="center"/>
              <w:rPr>
                <w:rFonts w:ascii="Arial Narrow" w:hAnsi="Arial Narrow"/>
                <w:b/>
                <w:sz w:val="20"/>
                <w:szCs w:val="20"/>
              </w:rPr>
            </w:pPr>
            <w:r>
              <w:rPr>
                <w:rFonts w:ascii="Arial Narrow" w:hAnsi="Arial Narrow"/>
                <w:b/>
                <w:sz w:val="20"/>
                <w:szCs w:val="20"/>
              </w:rPr>
              <w:t xml:space="preserve">% change </w:t>
            </w:r>
            <w:r w:rsidR="003A456F">
              <w:rPr>
                <w:rFonts w:ascii="Arial Narrow" w:hAnsi="Arial Narrow"/>
                <w:b/>
                <w:sz w:val="20"/>
                <w:szCs w:val="20"/>
              </w:rPr>
              <w:t xml:space="preserve">in ICER from </w:t>
            </w:r>
            <w:r w:rsidR="008C1191">
              <w:rPr>
                <w:rFonts w:ascii="Arial Narrow" w:hAnsi="Arial Narrow"/>
                <w:b/>
                <w:sz w:val="20"/>
                <w:szCs w:val="20"/>
              </w:rPr>
              <w:t>BC</w:t>
            </w:r>
          </w:p>
        </w:tc>
      </w:tr>
      <w:tr w:rsidR="00CC786B" w:rsidRPr="00B24BD8" w14:paraId="4039C28D" w14:textId="4FF18D79" w:rsidTr="00AE36DD">
        <w:tc>
          <w:tcPr>
            <w:tcW w:w="2092" w:type="pct"/>
            <w:tcBorders>
              <w:bottom w:val="single" w:sz="4" w:space="0" w:color="auto"/>
            </w:tcBorders>
          </w:tcPr>
          <w:p w14:paraId="521625DB" w14:textId="4433A9E8" w:rsidR="00CC786B" w:rsidRPr="00D76EFB" w:rsidRDefault="00CC786B" w:rsidP="00D76EFB">
            <w:pPr>
              <w:spacing w:before="0"/>
              <w:rPr>
                <w:rFonts w:ascii="Arial Narrow" w:hAnsi="Arial Narrow"/>
                <w:b/>
                <w:sz w:val="20"/>
                <w:szCs w:val="20"/>
              </w:rPr>
            </w:pPr>
            <w:r w:rsidRPr="00F615EA">
              <w:rPr>
                <w:rFonts w:ascii="Arial Narrow" w:hAnsi="Arial Narrow"/>
                <w:b/>
                <w:bCs/>
                <w:sz w:val="20"/>
                <w:szCs w:val="20"/>
              </w:rPr>
              <w:t xml:space="preserve">Obesity </w:t>
            </w:r>
            <w:r>
              <w:rPr>
                <w:rFonts w:ascii="Arial Narrow" w:hAnsi="Arial Narrow"/>
                <w:b/>
                <w:bCs/>
                <w:sz w:val="20"/>
                <w:szCs w:val="20"/>
              </w:rPr>
              <w:t>class</w:t>
            </w:r>
            <w:r w:rsidRPr="00F615EA">
              <w:rPr>
                <w:rFonts w:ascii="Arial Narrow" w:hAnsi="Arial Narrow"/>
                <w:b/>
                <w:bCs/>
                <w:sz w:val="20"/>
                <w:szCs w:val="20"/>
              </w:rPr>
              <w:t xml:space="preserve"> I</w:t>
            </w:r>
            <w:r w:rsidRPr="00603023">
              <w:rPr>
                <w:rFonts w:ascii="Arial Narrow" w:hAnsi="Arial Narrow"/>
                <w:b/>
                <w:bCs/>
                <w:sz w:val="20"/>
                <w:szCs w:val="20"/>
              </w:rPr>
              <w:t xml:space="preserve"> </w:t>
            </w:r>
            <w:r>
              <w:rPr>
                <w:rFonts w:ascii="Arial Narrow" w:hAnsi="Arial Narrow"/>
                <w:b/>
                <w:bCs/>
                <w:sz w:val="20"/>
                <w:szCs w:val="20"/>
              </w:rPr>
              <w:t>(b</w:t>
            </w:r>
            <w:r w:rsidRPr="00D76EFB">
              <w:rPr>
                <w:rFonts w:ascii="Arial Narrow" w:hAnsi="Arial Narrow"/>
                <w:b/>
                <w:sz w:val="20"/>
                <w:szCs w:val="20"/>
              </w:rPr>
              <w:t>ase case (</w:t>
            </w:r>
            <w:r>
              <w:rPr>
                <w:rFonts w:ascii="Arial Narrow" w:hAnsi="Arial Narrow"/>
                <w:b/>
                <w:bCs/>
                <w:sz w:val="20"/>
                <w:szCs w:val="20"/>
              </w:rPr>
              <w:t>BC</w:t>
            </w:r>
            <w:r w:rsidRPr="00D76EFB">
              <w:rPr>
                <w:rFonts w:ascii="Arial Narrow" w:hAnsi="Arial Narrow"/>
                <w:b/>
                <w:sz w:val="20"/>
                <w:szCs w:val="20"/>
              </w:rPr>
              <w:t>)</w:t>
            </w:r>
            <w:r>
              <w:rPr>
                <w:rFonts w:ascii="Arial Narrow" w:hAnsi="Arial Narrow"/>
                <w:b/>
                <w:bCs/>
                <w:sz w:val="20"/>
                <w:szCs w:val="20"/>
              </w:rPr>
              <w:t>)</w:t>
            </w:r>
          </w:p>
        </w:tc>
        <w:tc>
          <w:tcPr>
            <w:tcW w:w="754" w:type="pct"/>
            <w:tcBorders>
              <w:bottom w:val="single" w:sz="4" w:space="0" w:color="auto"/>
            </w:tcBorders>
          </w:tcPr>
          <w:p w14:paraId="36B72B89" w14:textId="77777777" w:rsidR="00CC786B" w:rsidRPr="00D76EFB" w:rsidRDefault="00CC786B" w:rsidP="00D76EFB">
            <w:pPr>
              <w:spacing w:before="0"/>
              <w:jc w:val="center"/>
              <w:rPr>
                <w:rFonts w:ascii="Arial Narrow" w:hAnsi="Arial Narrow"/>
                <w:b/>
                <w:sz w:val="20"/>
                <w:szCs w:val="20"/>
              </w:rPr>
            </w:pPr>
            <w:r w:rsidRPr="00D76EFB">
              <w:rPr>
                <w:rFonts w:ascii="Arial Narrow" w:hAnsi="Arial Narrow"/>
                <w:b/>
                <w:sz w:val="20"/>
                <w:szCs w:val="20"/>
              </w:rPr>
              <w:t>$7,470.56</w:t>
            </w:r>
          </w:p>
        </w:tc>
        <w:tc>
          <w:tcPr>
            <w:tcW w:w="631" w:type="pct"/>
            <w:tcBorders>
              <w:bottom w:val="single" w:sz="4" w:space="0" w:color="auto"/>
            </w:tcBorders>
          </w:tcPr>
          <w:p w14:paraId="2C0DEC9B" w14:textId="1ABDF703" w:rsidR="00CC786B" w:rsidRPr="00D76EFB" w:rsidRDefault="00CC786B" w:rsidP="00D76EFB">
            <w:pPr>
              <w:spacing w:before="0"/>
              <w:jc w:val="center"/>
              <w:rPr>
                <w:rFonts w:ascii="Arial Narrow" w:hAnsi="Arial Narrow"/>
                <w:b/>
                <w:sz w:val="20"/>
                <w:szCs w:val="20"/>
              </w:rPr>
            </w:pPr>
            <w:r w:rsidRPr="00D76EFB">
              <w:rPr>
                <w:rFonts w:ascii="Arial Narrow" w:hAnsi="Arial Narrow"/>
                <w:b/>
                <w:sz w:val="20"/>
                <w:szCs w:val="20"/>
              </w:rPr>
              <w:t>0.989</w:t>
            </w:r>
            <w:r>
              <w:rPr>
                <w:rFonts w:ascii="Arial Narrow" w:hAnsi="Arial Narrow"/>
                <w:b/>
                <w:bCs/>
                <w:sz w:val="20"/>
                <w:szCs w:val="20"/>
              </w:rPr>
              <w:t>0</w:t>
            </w:r>
          </w:p>
        </w:tc>
        <w:tc>
          <w:tcPr>
            <w:tcW w:w="904" w:type="pct"/>
            <w:tcBorders>
              <w:bottom w:val="single" w:sz="4" w:space="0" w:color="auto"/>
            </w:tcBorders>
          </w:tcPr>
          <w:p w14:paraId="2D3AB4E0" w14:textId="522F38B2" w:rsidR="00CC786B" w:rsidRPr="00D76EFB" w:rsidRDefault="00CC786B" w:rsidP="00D76EFB">
            <w:pPr>
              <w:spacing w:before="0"/>
              <w:jc w:val="center"/>
              <w:rPr>
                <w:rFonts w:ascii="Arial Narrow" w:hAnsi="Arial Narrow"/>
                <w:b/>
                <w:sz w:val="20"/>
                <w:szCs w:val="20"/>
              </w:rPr>
            </w:pPr>
            <w:r w:rsidRPr="00D76EFB">
              <w:rPr>
                <w:rFonts w:ascii="Arial Narrow" w:hAnsi="Arial Narrow"/>
                <w:b/>
                <w:sz w:val="20"/>
                <w:szCs w:val="20"/>
              </w:rPr>
              <w:t>$7,552.89</w:t>
            </w:r>
          </w:p>
        </w:tc>
        <w:tc>
          <w:tcPr>
            <w:tcW w:w="619" w:type="pct"/>
            <w:tcBorders>
              <w:bottom w:val="single" w:sz="4" w:space="0" w:color="auto"/>
            </w:tcBorders>
          </w:tcPr>
          <w:p w14:paraId="00CD4DFA" w14:textId="7ED176BE" w:rsidR="00CC786B" w:rsidRPr="002F0874" w:rsidRDefault="00287C72">
            <w:pPr>
              <w:spacing w:before="0"/>
              <w:jc w:val="center"/>
              <w:rPr>
                <w:rFonts w:ascii="Arial Narrow" w:hAnsi="Arial Narrow"/>
                <w:b/>
                <w:bCs/>
                <w:sz w:val="20"/>
                <w:szCs w:val="20"/>
              </w:rPr>
            </w:pPr>
            <w:r w:rsidRPr="002F0874">
              <w:rPr>
                <w:rFonts w:ascii="Arial Narrow" w:hAnsi="Arial Narrow"/>
                <w:b/>
                <w:bCs/>
                <w:sz w:val="20"/>
                <w:szCs w:val="20"/>
              </w:rPr>
              <w:t>─</w:t>
            </w:r>
          </w:p>
        </w:tc>
      </w:tr>
      <w:tr w:rsidR="0040427B" w:rsidRPr="00B221AE" w14:paraId="36135284" w14:textId="13BBF32E" w:rsidTr="00AE36DD">
        <w:tc>
          <w:tcPr>
            <w:tcW w:w="2092" w:type="pct"/>
            <w:tcBorders>
              <w:bottom w:val="single" w:sz="4" w:space="0" w:color="auto"/>
              <w:right w:val="nil"/>
            </w:tcBorders>
          </w:tcPr>
          <w:p w14:paraId="36A1CC4E" w14:textId="19A2ED2D" w:rsidR="0040427B" w:rsidRPr="00C31B4D" w:rsidRDefault="0040427B">
            <w:pPr>
              <w:spacing w:before="0"/>
              <w:rPr>
                <w:rFonts w:ascii="Arial Narrow" w:hAnsi="Arial Narrow"/>
                <w:sz w:val="20"/>
                <w:szCs w:val="20"/>
              </w:rPr>
            </w:pPr>
            <w:r>
              <w:rPr>
                <w:rFonts w:ascii="Arial Narrow" w:hAnsi="Arial Narrow"/>
                <w:sz w:val="20"/>
                <w:szCs w:val="20"/>
              </w:rPr>
              <w:t>Time horizon (BC: 40 years)</w:t>
            </w:r>
          </w:p>
        </w:tc>
        <w:tc>
          <w:tcPr>
            <w:tcW w:w="754" w:type="pct"/>
            <w:tcBorders>
              <w:left w:val="nil"/>
              <w:bottom w:val="single" w:sz="4" w:space="0" w:color="auto"/>
              <w:right w:val="nil"/>
            </w:tcBorders>
          </w:tcPr>
          <w:p w14:paraId="78279A68" w14:textId="77777777" w:rsidR="0040427B" w:rsidRPr="00C31B4D" w:rsidRDefault="0040427B">
            <w:pPr>
              <w:spacing w:before="0"/>
              <w:jc w:val="center"/>
              <w:rPr>
                <w:rFonts w:ascii="Arial Narrow" w:hAnsi="Arial Narrow"/>
                <w:sz w:val="20"/>
                <w:szCs w:val="20"/>
              </w:rPr>
            </w:pPr>
          </w:p>
        </w:tc>
        <w:tc>
          <w:tcPr>
            <w:tcW w:w="631" w:type="pct"/>
            <w:tcBorders>
              <w:left w:val="nil"/>
              <w:bottom w:val="single" w:sz="4" w:space="0" w:color="auto"/>
              <w:right w:val="nil"/>
            </w:tcBorders>
          </w:tcPr>
          <w:p w14:paraId="225B9253" w14:textId="77777777" w:rsidR="0040427B" w:rsidRPr="00C31B4D" w:rsidRDefault="0040427B">
            <w:pPr>
              <w:spacing w:before="0"/>
              <w:jc w:val="center"/>
              <w:rPr>
                <w:rFonts w:ascii="Arial Narrow" w:hAnsi="Arial Narrow"/>
                <w:sz w:val="20"/>
                <w:szCs w:val="20"/>
              </w:rPr>
            </w:pPr>
          </w:p>
        </w:tc>
        <w:tc>
          <w:tcPr>
            <w:tcW w:w="1523" w:type="pct"/>
            <w:gridSpan w:val="2"/>
            <w:tcBorders>
              <w:left w:val="nil"/>
              <w:bottom w:val="single" w:sz="4" w:space="0" w:color="auto"/>
            </w:tcBorders>
          </w:tcPr>
          <w:p w14:paraId="2C6CF571" w14:textId="77777777" w:rsidR="0040427B" w:rsidRPr="00C31B4D" w:rsidRDefault="0040427B">
            <w:pPr>
              <w:spacing w:before="0"/>
              <w:jc w:val="center"/>
              <w:rPr>
                <w:rFonts w:ascii="Arial Narrow" w:hAnsi="Arial Narrow"/>
                <w:sz w:val="20"/>
                <w:szCs w:val="20"/>
              </w:rPr>
            </w:pPr>
          </w:p>
        </w:tc>
      </w:tr>
      <w:tr w:rsidR="00CC786B" w:rsidRPr="00B221AE" w14:paraId="4D5F7C1B" w14:textId="4AC423E9" w:rsidTr="00AE36DD">
        <w:tc>
          <w:tcPr>
            <w:tcW w:w="2092" w:type="pct"/>
            <w:tcBorders>
              <w:bottom w:val="nil"/>
            </w:tcBorders>
          </w:tcPr>
          <w:p w14:paraId="02E97883" w14:textId="0D09F364" w:rsidR="00CC786B" w:rsidRPr="00C31B4D" w:rsidRDefault="00CC786B" w:rsidP="00D76EFB">
            <w:pPr>
              <w:spacing w:before="0"/>
              <w:ind w:left="170"/>
              <w:rPr>
                <w:rFonts w:ascii="Arial Narrow" w:hAnsi="Arial Narrow"/>
                <w:sz w:val="20"/>
                <w:szCs w:val="20"/>
              </w:rPr>
            </w:pPr>
            <w:r w:rsidRPr="00C31B4D">
              <w:rPr>
                <w:rFonts w:ascii="Arial Narrow" w:hAnsi="Arial Narrow"/>
                <w:sz w:val="20"/>
                <w:szCs w:val="20"/>
              </w:rPr>
              <w:t xml:space="preserve">5-year </w:t>
            </w:r>
          </w:p>
        </w:tc>
        <w:tc>
          <w:tcPr>
            <w:tcW w:w="754" w:type="pct"/>
            <w:tcBorders>
              <w:bottom w:val="nil"/>
            </w:tcBorders>
          </w:tcPr>
          <w:p w14:paraId="51C0F289" w14:textId="77777777" w:rsidR="00CC786B" w:rsidRPr="00C31B4D" w:rsidRDefault="00CC786B" w:rsidP="00D76EFB">
            <w:pPr>
              <w:spacing w:before="0"/>
              <w:jc w:val="center"/>
              <w:rPr>
                <w:rFonts w:ascii="Arial Narrow" w:hAnsi="Arial Narrow"/>
                <w:sz w:val="20"/>
                <w:szCs w:val="20"/>
              </w:rPr>
            </w:pPr>
            <w:r w:rsidRPr="00C31B4D">
              <w:rPr>
                <w:rFonts w:ascii="Arial Narrow" w:hAnsi="Arial Narrow"/>
                <w:sz w:val="20"/>
                <w:szCs w:val="20"/>
              </w:rPr>
              <w:t>$13,896.29</w:t>
            </w:r>
          </w:p>
        </w:tc>
        <w:tc>
          <w:tcPr>
            <w:tcW w:w="631" w:type="pct"/>
            <w:tcBorders>
              <w:bottom w:val="nil"/>
            </w:tcBorders>
          </w:tcPr>
          <w:p w14:paraId="72254D68" w14:textId="77777777" w:rsidR="00CC786B" w:rsidRPr="00C31B4D" w:rsidRDefault="00CC786B" w:rsidP="00D76EFB">
            <w:pPr>
              <w:spacing w:before="0"/>
              <w:jc w:val="center"/>
              <w:rPr>
                <w:rFonts w:ascii="Arial Narrow" w:hAnsi="Arial Narrow"/>
                <w:sz w:val="20"/>
                <w:szCs w:val="20"/>
              </w:rPr>
            </w:pPr>
            <w:r w:rsidRPr="00C31B4D">
              <w:rPr>
                <w:rFonts w:ascii="Arial Narrow" w:hAnsi="Arial Narrow"/>
                <w:sz w:val="20"/>
                <w:szCs w:val="20"/>
              </w:rPr>
              <w:t>0.2499</w:t>
            </w:r>
          </w:p>
        </w:tc>
        <w:tc>
          <w:tcPr>
            <w:tcW w:w="904" w:type="pct"/>
            <w:tcBorders>
              <w:bottom w:val="nil"/>
            </w:tcBorders>
          </w:tcPr>
          <w:p w14:paraId="1C17853F" w14:textId="789ED5F5" w:rsidR="00CC786B" w:rsidRPr="00C31B4D" w:rsidRDefault="00CC786B" w:rsidP="00D76EFB">
            <w:pPr>
              <w:spacing w:before="0"/>
              <w:jc w:val="center"/>
              <w:rPr>
                <w:rFonts w:ascii="Arial Narrow" w:hAnsi="Arial Narrow"/>
                <w:sz w:val="20"/>
                <w:szCs w:val="20"/>
              </w:rPr>
            </w:pPr>
            <w:r w:rsidRPr="00C31B4D">
              <w:rPr>
                <w:rFonts w:ascii="Arial Narrow" w:hAnsi="Arial Narrow"/>
                <w:sz w:val="20"/>
                <w:szCs w:val="20"/>
              </w:rPr>
              <w:t>$55,604.84</w:t>
            </w:r>
          </w:p>
        </w:tc>
        <w:tc>
          <w:tcPr>
            <w:tcW w:w="619" w:type="pct"/>
            <w:tcBorders>
              <w:bottom w:val="nil"/>
            </w:tcBorders>
          </w:tcPr>
          <w:p w14:paraId="61A2714B" w14:textId="7B018F0B" w:rsidR="00CC786B" w:rsidRPr="00C31B4D" w:rsidRDefault="003A456F">
            <w:pPr>
              <w:spacing w:before="0"/>
              <w:jc w:val="center"/>
              <w:rPr>
                <w:rFonts w:ascii="Arial Narrow" w:hAnsi="Arial Narrow"/>
                <w:sz w:val="20"/>
                <w:szCs w:val="20"/>
              </w:rPr>
            </w:pPr>
            <w:r>
              <w:rPr>
                <w:rFonts w:ascii="Arial Narrow" w:hAnsi="Arial Narrow"/>
                <w:sz w:val="20"/>
                <w:szCs w:val="20"/>
              </w:rPr>
              <w:t>636.1%</w:t>
            </w:r>
          </w:p>
        </w:tc>
      </w:tr>
      <w:tr w:rsidR="00CC786B" w:rsidRPr="00B221AE" w14:paraId="6F156DAE" w14:textId="057BE973" w:rsidTr="00AE36DD">
        <w:tc>
          <w:tcPr>
            <w:tcW w:w="2092" w:type="pct"/>
            <w:tcBorders>
              <w:top w:val="nil"/>
              <w:bottom w:val="nil"/>
            </w:tcBorders>
          </w:tcPr>
          <w:p w14:paraId="6328F6D1" w14:textId="51CAE917" w:rsidR="00CC786B" w:rsidRPr="00C31B4D" w:rsidRDefault="00CC786B" w:rsidP="00D76EFB">
            <w:pPr>
              <w:spacing w:before="0"/>
              <w:ind w:left="170"/>
              <w:rPr>
                <w:rFonts w:ascii="Arial Narrow" w:hAnsi="Arial Narrow"/>
                <w:sz w:val="20"/>
                <w:szCs w:val="20"/>
              </w:rPr>
            </w:pPr>
            <w:r w:rsidRPr="00C31B4D">
              <w:rPr>
                <w:rFonts w:ascii="Arial Narrow" w:hAnsi="Arial Narrow"/>
                <w:sz w:val="20"/>
                <w:szCs w:val="20"/>
              </w:rPr>
              <w:t xml:space="preserve">10-year </w:t>
            </w:r>
          </w:p>
        </w:tc>
        <w:tc>
          <w:tcPr>
            <w:tcW w:w="754" w:type="pct"/>
            <w:tcBorders>
              <w:top w:val="nil"/>
              <w:bottom w:val="nil"/>
            </w:tcBorders>
          </w:tcPr>
          <w:p w14:paraId="3591960E" w14:textId="77777777" w:rsidR="00CC786B" w:rsidRPr="00C31B4D" w:rsidRDefault="00CC786B" w:rsidP="00D76EFB">
            <w:pPr>
              <w:spacing w:before="0"/>
              <w:jc w:val="center"/>
              <w:rPr>
                <w:rFonts w:ascii="Arial Narrow" w:hAnsi="Arial Narrow"/>
                <w:sz w:val="20"/>
                <w:szCs w:val="20"/>
              </w:rPr>
            </w:pPr>
            <w:r w:rsidRPr="00C31B4D">
              <w:rPr>
                <w:rFonts w:ascii="Arial Narrow" w:hAnsi="Arial Narrow"/>
                <w:sz w:val="20"/>
                <w:szCs w:val="20"/>
              </w:rPr>
              <w:t>$11,985.19</w:t>
            </w:r>
          </w:p>
        </w:tc>
        <w:tc>
          <w:tcPr>
            <w:tcW w:w="631" w:type="pct"/>
            <w:tcBorders>
              <w:top w:val="nil"/>
              <w:bottom w:val="nil"/>
            </w:tcBorders>
          </w:tcPr>
          <w:p w14:paraId="2D3660AB" w14:textId="77777777" w:rsidR="00CC786B" w:rsidRPr="00C31B4D" w:rsidRDefault="00CC786B" w:rsidP="00D76EFB">
            <w:pPr>
              <w:spacing w:before="0"/>
              <w:jc w:val="center"/>
              <w:rPr>
                <w:rFonts w:ascii="Arial Narrow" w:hAnsi="Arial Narrow"/>
                <w:sz w:val="20"/>
                <w:szCs w:val="20"/>
              </w:rPr>
            </w:pPr>
            <w:r w:rsidRPr="00C31B4D">
              <w:rPr>
                <w:rFonts w:ascii="Arial Narrow" w:hAnsi="Arial Narrow"/>
                <w:sz w:val="20"/>
                <w:szCs w:val="20"/>
              </w:rPr>
              <w:t>0.4349</w:t>
            </w:r>
          </w:p>
        </w:tc>
        <w:tc>
          <w:tcPr>
            <w:tcW w:w="904" w:type="pct"/>
            <w:tcBorders>
              <w:top w:val="nil"/>
              <w:bottom w:val="nil"/>
            </w:tcBorders>
          </w:tcPr>
          <w:p w14:paraId="1A2741D6" w14:textId="77777777" w:rsidR="00CC786B" w:rsidRPr="00C31B4D" w:rsidRDefault="00CC786B" w:rsidP="00D76EFB">
            <w:pPr>
              <w:spacing w:before="0"/>
              <w:jc w:val="center"/>
              <w:rPr>
                <w:rFonts w:ascii="Arial Narrow" w:hAnsi="Arial Narrow"/>
                <w:sz w:val="20"/>
                <w:szCs w:val="20"/>
              </w:rPr>
            </w:pPr>
            <w:r w:rsidRPr="00C31B4D">
              <w:rPr>
                <w:rFonts w:ascii="Arial Narrow" w:hAnsi="Arial Narrow"/>
                <w:sz w:val="20"/>
                <w:szCs w:val="20"/>
              </w:rPr>
              <w:t>$27,559.43</w:t>
            </w:r>
          </w:p>
        </w:tc>
        <w:tc>
          <w:tcPr>
            <w:tcW w:w="619" w:type="pct"/>
            <w:tcBorders>
              <w:top w:val="nil"/>
              <w:bottom w:val="nil"/>
            </w:tcBorders>
          </w:tcPr>
          <w:p w14:paraId="7DB798BF" w14:textId="24775BF6" w:rsidR="00CC786B" w:rsidRPr="00C31B4D" w:rsidRDefault="003A456F">
            <w:pPr>
              <w:spacing w:before="0"/>
              <w:jc w:val="center"/>
              <w:rPr>
                <w:rFonts w:ascii="Arial Narrow" w:hAnsi="Arial Narrow"/>
                <w:sz w:val="20"/>
                <w:szCs w:val="20"/>
              </w:rPr>
            </w:pPr>
            <w:r>
              <w:rPr>
                <w:rFonts w:ascii="Arial Narrow" w:hAnsi="Arial Narrow"/>
                <w:sz w:val="20"/>
                <w:szCs w:val="20"/>
              </w:rPr>
              <w:t>264.9%</w:t>
            </w:r>
          </w:p>
        </w:tc>
      </w:tr>
      <w:tr w:rsidR="00CC786B" w:rsidRPr="00B221AE" w14:paraId="2AC34FBD" w14:textId="3A1174C7" w:rsidTr="00AE36DD">
        <w:tc>
          <w:tcPr>
            <w:tcW w:w="2092" w:type="pct"/>
            <w:tcBorders>
              <w:top w:val="nil"/>
              <w:bottom w:val="single" w:sz="4" w:space="0" w:color="auto"/>
            </w:tcBorders>
          </w:tcPr>
          <w:p w14:paraId="241D9C3B" w14:textId="705D062C" w:rsidR="00CC786B" w:rsidRPr="00C31B4D" w:rsidRDefault="00CC786B" w:rsidP="00D76EFB">
            <w:pPr>
              <w:spacing w:before="0"/>
              <w:ind w:left="170"/>
              <w:rPr>
                <w:rFonts w:ascii="Arial Narrow" w:hAnsi="Arial Narrow"/>
                <w:sz w:val="20"/>
                <w:szCs w:val="20"/>
              </w:rPr>
            </w:pPr>
            <w:r w:rsidRPr="00C31B4D">
              <w:rPr>
                <w:rFonts w:ascii="Arial Narrow" w:hAnsi="Arial Narrow"/>
                <w:sz w:val="20"/>
                <w:szCs w:val="20"/>
              </w:rPr>
              <w:t xml:space="preserve">Lifetime </w:t>
            </w:r>
          </w:p>
        </w:tc>
        <w:tc>
          <w:tcPr>
            <w:tcW w:w="754" w:type="pct"/>
            <w:tcBorders>
              <w:top w:val="nil"/>
              <w:bottom w:val="single" w:sz="4" w:space="0" w:color="auto"/>
            </w:tcBorders>
          </w:tcPr>
          <w:p w14:paraId="1EFF4C31" w14:textId="77777777" w:rsidR="00CC786B" w:rsidRPr="00C31B4D" w:rsidRDefault="00CC786B" w:rsidP="00D76EFB">
            <w:pPr>
              <w:spacing w:before="0"/>
              <w:jc w:val="center"/>
              <w:rPr>
                <w:rFonts w:ascii="Arial Narrow" w:hAnsi="Arial Narrow"/>
                <w:sz w:val="20"/>
                <w:szCs w:val="20"/>
              </w:rPr>
            </w:pPr>
            <w:r w:rsidRPr="00C31B4D">
              <w:rPr>
                <w:rFonts w:ascii="Arial Narrow" w:hAnsi="Arial Narrow"/>
                <w:sz w:val="20"/>
                <w:szCs w:val="20"/>
              </w:rPr>
              <w:t>$7,437.17</w:t>
            </w:r>
          </w:p>
        </w:tc>
        <w:tc>
          <w:tcPr>
            <w:tcW w:w="631" w:type="pct"/>
            <w:tcBorders>
              <w:top w:val="nil"/>
              <w:bottom w:val="single" w:sz="4" w:space="0" w:color="auto"/>
            </w:tcBorders>
          </w:tcPr>
          <w:p w14:paraId="431AB597" w14:textId="77777777" w:rsidR="00CC786B" w:rsidRPr="00C31B4D" w:rsidRDefault="00CC786B" w:rsidP="00D76EFB">
            <w:pPr>
              <w:spacing w:before="0"/>
              <w:jc w:val="center"/>
              <w:rPr>
                <w:rFonts w:ascii="Arial Narrow" w:hAnsi="Arial Narrow"/>
                <w:sz w:val="20"/>
                <w:szCs w:val="20"/>
              </w:rPr>
            </w:pPr>
            <w:r w:rsidRPr="00C31B4D">
              <w:rPr>
                <w:rFonts w:ascii="Arial Narrow" w:hAnsi="Arial Narrow"/>
                <w:sz w:val="20"/>
                <w:szCs w:val="20"/>
              </w:rPr>
              <w:t>1.0434</w:t>
            </w:r>
          </w:p>
        </w:tc>
        <w:tc>
          <w:tcPr>
            <w:tcW w:w="904" w:type="pct"/>
            <w:tcBorders>
              <w:top w:val="nil"/>
              <w:bottom w:val="single" w:sz="4" w:space="0" w:color="auto"/>
            </w:tcBorders>
          </w:tcPr>
          <w:p w14:paraId="72B527C3" w14:textId="77777777" w:rsidR="00CC786B" w:rsidRPr="00C31B4D" w:rsidRDefault="00CC786B" w:rsidP="00D76EFB">
            <w:pPr>
              <w:spacing w:before="0"/>
              <w:jc w:val="center"/>
              <w:rPr>
                <w:rFonts w:ascii="Arial Narrow" w:hAnsi="Arial Narrow"/>
                <w:sz w:val="20"/>
                <w:szCs w:val="20"/>
              </w:rPr>
            </w:pPr>
            <w:r w:rsidRPr="00C31B4D">
              <w:rPr>
                <w:rFonts w:ascii="Arial Narrow" w:hAnsi="Arial Narrow"/>
                <w:sz w:val="20"/>
                <w:szCs w:val="20"/>
              </w:rPr>
              <w:t>$7,127.90</w:t>
            </w:r>
          </w:p>
        </w:tc>
        <w:tc>
          <w:tcPr>
            <w:tcW w:w="619" w:type="pct"/>
            <w:tcBorders>
              <w:top w:val="nil"/>
              <w:bottom w:val="single" w:sz="4" w:space="0" w:color="auto"/>
            </w:tcBorders>
          </w:tcPr>
          <w:p w14:paraId="4AB9CCAF" w14:textId="0B3D9B32" w:rsidR="00CC786B" w:rsidRPr="00C31B4D" w:rsidRDefault="003A456F">
            <w:pPr>
              <w:spacing w:before="0"/>
              <w:jc w:val="center"/>
              <w:rPr>
                <w:rFonts w:ascii="Arial Narrow" w:hAnsi="Arial Narrow"/>
                <w:sz w:val="20"/>
                <w:szCs w:val="20"/>
              </w:rPr>
            </w:pPr>
            <w:r>
              <w:rPr>
                <w:rFonts w:ascii="Arial Narrow" w:hAnsi="Arial Narrow"/>
                <w:sz w:val="20"/>
                <w:szCs w:val="20"/>
              </w:rPr>
              <w:t>-5.6%</w:t>
            </w:r>
          </w:p>
        </w:tc>
      </w:tr>
      <w:tr w:rsidR="00D85343" w:rsidRPr="00B221AE" w14:paraId="5E84F815" w14:textId="02B872F1" w:rsidTr="00AE36DD">
        <w:tc>
          <w:tcPr>
            <w:tcW w:w="2092" w:type="pct"/>
            <w:tcBorders>
              <w:bottom w:val="single" w:sz="4" w:space="0" w:color="auto"/>
              <w:right w:val="nil"/>
            </w:tcBorders>
          </w:tcPr>
          <w:p w14:paraId="0BD19613" w14:textId="40C7F021" w:rsidR="00D85343" w:rsidRPr="00C31B4D" w:rsidRDefault="00D85343">
            <w:pPr>
              <w:spacing w:before="0"/>
              <w:rPr>
                <w:rFonts w:ascii="Arial Narrow" w:hAnsi="Arial Narrow"/>
                <w:sz w:val="20"/>
                <w:szCs w:val="20"/>
              </w:rPr>
            </w:pPr>
            <w:r w:rsidRPr="00C31B4D">
              <w:rPr>
                <w:rFonts w:ascii="Arial Narrow" w:hAnsi="Arial Narrow"/>
                <w:sz w:val="20"/>
                <w:szCs w:val="20"/>
              </w:rPr>
              <w:t>Health state utilities</w:t>
            </w:r>
            <w:r>
              <w:rPr>
                <w:rFonts w:ascii="Arial Narrow" w:hAnsi="Arial Narrow"/>
                <w:sz w:val="20"/>
                <w:szCs w:val="20"/>
              </w:rPr>
              <w:t xml:space="preserve"> (BC: using Kelly et al.)</w:t>
            </w:r>
          </w:p>
        </w:tc>
        <w:tc>
          <w:tcPr>
            <w:tcW w:w="754" w:type="pct"/>
            <w:tcBorders>
              <w:left w:val="nil"/>
              <w:bottom w:val="single" w:sz="4" w:space="0" w:color="auto"/>
              <w:right w:val="nil"/>
            </w:tcBorders>
          </w:tcPr>
          <w:p w14:paraId="02771A0B" w14:textId="77777777" w:rsidR="00D85343" w:rsidRPr="00C31B4D" w:rsidRDefault="00D85343">
            <w:pPr>
              <w:spacing w:before="0"/>
              <w:jc w:val="center"/>
              <w:rPr>
                <w:rFonts w:ascii="Arial Narrow" w:hAnsi="Arial Narrow"/>
                <w:sz w:val="20"/>
                <w:szCs w:val="20"/>
              </w:rPr>
            </w:pPr>
          </w:p>
        </w:tc>
        <w:tc>
          <w:tcPr>
            <w:tcW w:w="631" w:type="pct"/>
            <w:tcBorders>
              <w:left w:val="nil"/>
              <w:bottom w:val="single" w:sz="4" w:space="0" w:color="auto"/>
              <w:right w:val="nil"/>
            </w:tcBorders>
          </w:tcPr>
          <w:p w14:paraId="2E2ED8E0" w14:textId="77777777" w:rsidR="00D85343" w:rsidRPr="00C31B4D" w:rsidRDefault="00D85343">
            <w:pPr>
              <w:spacing w:before="0"/>
              <w:jc w:val="center"/>
              <w:rPr>
                <w:rFonts w:ascii="Arial Narrow" w:hAnsi="Arial Narrow"/>
                <w:sz w:val="20"/>
                <w:szCs w:val="20"/>
              </w:rPr>
            </w:pPr>
          </w:p>
        </w:tc>
        <w:tc>
          <w:tcPr>
            <w:tcW w:w="1523" w:type="pct"/>
            <w:gridSpan w:val="2"/>
            <w:tcBorders>
              <w:left w:val="nil"/>
              <w:bottom w:val="single" w:sz="4" w:space="0" w:color="auto"/>
            </w:tcBorders>
          </w:tcPr>
          <w:p w14:paraId="791E357B" w14:textId="77777777" w:rsidR="00D85343" w:rsidRPr="00C31B4D" w:rsidRDefault="00D85343">
            <w:pPr>
              <w:spacing w:before="0"/>
              <w:jc w:val="center"/>
              <w:rPr>
                <w:rFonts w:ascii="Arial Narrow" w:hAnsi="Arial Narrow"/>
                <w:sz w:val="20"/>
                <w:szCs w:val="20"/>
              </w:rPr>
            </w:pPr>
          </w:p>
        </w:tc>
      </w:tr>
      <w:tr w:rsidR="00CC786B" w:rsidRPr="00B221AE" w14:paraId="17F0D38C" w14:textId="5C0D03E6" w:rsidTr="00AE36DD">
        <w:tc>
          <w:tcPr>
            <w:tcW w:w="2092" w:type="pct"/>
            <w:tcBorders>
              <w:bottom w:val="nil"/>
            </w:tcBorders>
          </w:tcPr>
          <w:p w14:paraId="21D6CEB8" w14:textId="4CF8B99E" w:rsidR="00CC786B" w:rsidRPr="00C31B4D" w:rsidRDefault="00486C1F" w:rsidP="00D76EFB">
            <w:pPr>
              <w:spacing w:before="0"/>
              <w:ind w:left="170"/>
              <w:rPr>
                <w:rFonts w:ascii="Arial Narrow" w:hAnsi="Arial Narrow"/>
                <w:sz w:val="20"/>
                <w:szCs w:val="20"/>
              </w:rPr>
            </w:pPr>
            <w:r>
              <w:rPr>
                <w:rFonts w:ascii="Arial Narrow" w:hAnsi="Arial Narrow"/>
                <w:sz w:val="20"/>
                <w:szCs w:val="20"/>
              </w:rPr>
              <w:t>u</w:t>
            </w:r>
            <w:r w:rsidR="00CC786B">
              <w:rPr>
                <w:rFonts w:ascii="Arial Narrow" w:hAnsi="Arial Narrow"/>
                <w:sz w:val="20"/>
                <w:szCs w:val="20"/>
              </w:rPr>
              <w:t xml:space="preserve">sing </w:t>
            </w:r>
            <w:r w:rsidR="00CC786B" w:rsidRPr="00C31B4D">
              <w:rPr>
                <w:rFonts w:ascii="Arial Narrow" w:hAnsi="Arial Narrow"/>
                <w:sz w:val="20"/>
                <w:szCs w:val="20"/>
              </w:rPr>
              <w:t>Carrello et al. 2023</w:t>
            </w:r>
          </w:p>
        </w:tc>
        <w:tc>
          <w:tcPr>
            <w:tcW w:w="754" w:type="pct"/>
            <w:tcBorders>
              <w:bottom w:val="nil"/>
            </w:tcBorders>
          </w:tcPr>
          <w:p w14:paraId="48C52024" w14:textId="77777777" w:rsidR="00CC786B" w:rsidRPr="00C31B4D" w:rsidRDefault="00CC786B" w:rsidP="00D76EFB">
            <w:pPr>
              <w:spacing w:before="0"/>
              <w:jc w:val="center"/>
              <w:rPr>
                <w:rFonts w:ascii="Arial Narrow" w:hAnsi="Arial Narrow"/>
                <w:sz w:val="20"/>
                <w:szCs w:val="20"/>
              </w:rPr>
            </w:pPr>
            <w:r w:rsidRPr="00C31B4D">
              <w:rPr>
                <w:rFonts w:ascii="Arial Narrow" w:hAnsi="Arial Narrow"/>
                <w:sz w:val="20"/>
                <w:szCs w:val="20"/>
              </w:rPr>
              <w:t>$7,470.56</w:t>
            </w:r>
          </w:p>
        </w:tc>
        <w:tc>
          <w:tcPr>
            <w:tcW w:w="631" w:type="pct"/>
            <w:tcBorders>
              <w:bottom w:val="nil"/>
            </w:tcBorders>
          </w:tcPr>
          <w:p w14:paraId="4D6EE0DD" w14:textId="77777777" w:rsidR="00CC786B" w:rsidRPr="00C31B4D" w:rsidRDefault="00CC786B" w:rsidP="00D76EFB">
            <w:pPr>
              <w:spacing w:before="0"/>
              <w:jc w:val="center"/>
              <w:rPr>
                <w:rFonts w:ascii="Arial Narrow" w:hAnsi="Arial Narrow"/>
                <w:sz w:val="20"/>
                <w:szCs w:val="20"/>
              </w:rPr>
            </w:pPr>
            <w:r w:rsidRPr="00C31B4D">
              <w:rPr>
                <w:rFonts w:ascii="Arial Narrow" w:hAnsi="Arial Narrow"/>
                <w:sz w:val="20"/>
                <w:szCs w:val="20"/>
              </w:rPr>
              <w:t>0.5922</w:t>
            </w:r>
          </w:p>
        </w:tc>
        <w:tc>
          <w:tcPr>
            <w:tcW w:w="904" w:type="pct"/>
            <w:tcBorders>
              <w:bottom w:val="nil"/>
            </w:tcBorders>
          </w:tcPr>
          <w:p w14:paraId="31B56BAF" w14:textId="77777777" w:rsidR="00CC786B" w:rsidRPr="00C31B4D" w:rsidRDefault="00CC786B" w:rsidP="00D76EFB">
            <w:pPr>
              <w:spacing w:before="0"/>
              <w:jc w:val="center"/>
              <w:rPr>
                <w:rFonts w:ascii="Arial Narrow" w:hAnsi="Arial Narrow"/>
                <w:sz w:val="20"/>
                <w:szCs w:val="20"/>
              </w:rPr>
            </w:pPr>
            <w:r w:rsidRPr="00C31B4D">
              <w:rPr>
                <w:rFonts w:ascii="Arial Narrow" w:hAnsi="Arial Narrow"/>
                <w:sz w:val="20"/>
                <w:szCs w:val="20"/>
              </w:rPr>
              <w:t>$12,614.35</w:t>
            </w:r>
          </w:p>
        </w:tc>
        <w:tc>
          <w:tcPr>
            <w:tcW w:w="619" w:type="pct"/>
            <w:tcBorders>
              <w:bottom w:val="nil"/>
            </w:tcBorders>
          </w:tcPr>
          <w:p w14:paraId="7A5B756E" w14:textId="4253FA25" w:rsidR="00CC786B" w:rsidRPr="00C31B4D" w:rsidRDefault="003A456F">
            <w:pPr>
              <w:spacing w:before="0"/>
              <w:jc w:val="center"/>
              <w:rPr>
                <w:rFonts w:ascii="Arial Narrow" w:hAnsi="Arial Narrow"/>
                <w:sz w:val="20"/>
                <w:szCs w:val="20"/>
              </w:rPr>
            </w:pPr>
            <w:r>
              <w:rPr>
                <w:rFonts w:ascii="Arial Narrow" w:hAnsi="Arial Narrow"/>
                <w:sz w:val="20"/>
                <w:szCs w:val="20"/>
              </w:rPr>
              <w:t>67.0%</w:t>
            </w:r>
          </w:p>
        </w:tc>
      </w:tr>
      <w:tr w:rsidR="00CC786B" w:rsidRPr="00B221AE" w14:paraId="22EA8BB0" w14:textId="28A2B0DB" w:rsidTr="00AE36DD">
        <w:tc>
          <w:tcPr>
            <w:tcW w:w="2092" w:type="pct"/>
            <w:tcBorders>
              <w:top w:val="nil"/>
              <w:bottom w:val="single" w:sz="4" w:space="0" w:color="auto"/>
            </w:tcBorders>
          </w:tcPr>
          <w:p w14:paraId="0CF05377" w14:textId="082A5C85" w:rsidR="00CC786B" w:rsidRPr="00C31B4D" w:rsidRDefault="00486C1F" w:rsidP="00D76EFB">
            <w:pPr>
              <w:spacing w:before="0"/>
              <w:ind w:left="170"/>
              <w:rPr>
                <w:rFonts w:ascii="Arial Narrow" w:hAnsi="Arial Narrow"/>
                <w:sz w:val="20"/>
                <w:szCs w:val="20"/>
              </w:rPr>
            </w:pPr>
            <w:r>
              <w:rPr>
                <w:rFonts w:ascii="Arial Narrow" w:hAnsi="Arial Narrow"/>
                <w:sz w:val="20"/>
                <w:szCs w:val="20"/>
              </w:rPr>
              <w:t>u</w:t>
            </w:r>
            <w:r w:rsidR="00CC786B">
              <w:rPr>
                <w:rFonts w:ascii="Arial Narrow" w:hAnsi="Arial Narrow"/>
                <w:sz w:val="20"/>
                <w:szCs w:val="20"/>
              </w:rPr>
              <w:t xml:space="preserve">sing </w:t>
            </w:r>
            <w:r w:rsidR="00CC786B" w:rsidRPr="00C31B4D">
              <w:rPr>
                <w:rFonts w:ascii="Arial Narrow" w:hAnsi="Arial Narrow"/>
                <w:sz w:val="20"/>
                <w:szCs w:val="20"/>
              </w:rPr>
              <w:t>Ngo et al. 2022</w:t>
            </w:r>
          </w:p>
        </w:tc>
        <w:tc>
          <w:tcPr>
            <w:tcW w:w="754" w:type="pct"/>
            <w:tcBorders>
              <w:top w:val="nil"/>
              <w:bottom w:val="single" w:sz="4" w:space="0" w:color="auto"/>
            </w:tcBorders>
          </w:tcPr>
          <w:p w14:paraId="7ABEB925" w14:textId="77777777" w:rsidR="00CC786B" w:rsidRPr="00C31B4D" w:rsidRDefault="00CC786B" w:rsidP="00D76EFB">
            <w:pPr>
              <w:spacing w:before="0"/>
              <w:jc w:val="center"/>
              <w:rPr>
                <w:rFonts w:ascii="Arial Narrow" w:hAnsi="Arial Narrow"/>
                <w:sz w:val="20"/>
                <w:szCs w:val="20"/>
              </w:rPr>
            </w:pPr>
            <w:r w:rsidRPr="00C31B4D">
              <w:rPr>
                <w:rFonts w:ascii="Arial Narrow" w:hAnsi="Arial Narrow"/>
                <w:sz w:val="20"/>
                <w:szCs w:val="20"/>
              </w:rPr>
              <w:t>$7,470.56</w:t>
            </w:r>
          </w:p>
        </w:tc>
        <w:tc>
          <w:tcPr>
            <w:tcW w:w="631" w:type="pct"/>
            <w:tcBorders>
              <w:top w:val="nil"/>
              <w:bottom w:val="single" w:sz="4" w:space="0" w:color="auto"/>
            </w:tcBorders>
          </w:tcPr>
          <w:p w14:paraId="01D1B423" w14:textId="77777777" w:rsidR="00CC786B" w:rsidRPr="00C31B4D" w:rsidRDefault="00CC786B" w:rsidP="00D76EFB">
            <w:pPr>
              <w:spacing w:before="0"/>
              <w:jc w:val="center"/>
              <w:rPr>
                <w:rFonts w:ascii="Arial Narrow" w:hAnsi="Arial Narrow"/>
                <w:sz w:val="20"/>
                <w:szCs w:val="20"/>
              </w:rPr>
            </w:pPr>
            <w:r w:rsidRPr="00C31B4D">
              <w:rPr>
                <w:rFonts w:ascii="Arial Narrow" w:hAnsi="Arial Narrow"/>
                <w:sz w:val="20"/>
                <w:szCs w:val="20"/>
              </w:rPr>
              <w:t>0.6387</w:t>
            </w:r>
          </w:p>
        </w:tc>
        <w:tc>
          <w:tcPr>
            <w:tcW w:w="904" w:type="pct"/>
            <w:tcBorders>
              <w:top w:val="nil"/>
              <w:bottom w:val="single" w:sz="4" w:space="0" w:color="auto"/>
            </w:tcBorders>
          </w:tcPr>
          <w:p w14:paraId="64F84135" w14:textId="77777777" w:rsidR="00CC786B" w:rsidRPr="00C31B4D" w:rsidRDefault="00CC786B" w:rsidP="00D76EFB">
            <w:pPr>
              <w:spacing w:before="0"/>
              <w:jc w:val="center"/>
              <w:rPr>
                <w:rFonts w:ascii="Arial Narrow" w:hAnsi="Arial Narrow"/>
                <w:sz w:val="20"/>
                <w:szCs w:val="20"/>
              </w:rPr>
            </w:pPr>
            <w:r w:rsidRPr="00C31B4D">
              <w:rPr>
                <w:rFonts w:ascii="Arial Narrow" w:hAnsi="Arial Narrow"/>
                <w:sz w:val="20"/>
                <w:szCs w:val="20"/>
              </w:rPr>
              <w:t>$11,696.47</w:t>
            </w:r>
          </w:p>
        </w:tc>
        <w:tc>
          <w:tcPr>
            <w:tcW w:w="619" w:type="pct"/>
            <w:tcBorders>
              <w:top w:val="nil"/>
              <w:bottom w:val="single" w:sz="4" w:space="0" w:color="auto"/>
            </w:tcBorders>
          </w:tcPr>
          <w:p w14:paraId="04678E5D" w14:textId="7541A27C" w:rsidR="00CC786B" w:rsidRPr="00C31B4D" w:rsidRDefault="001A40B6">
            <w:pPr>
              <w:spacing w:before="0"/>
              <w:jc w:val="center"/>
              <w:rPr>
                <w:rFonts w:ascii="Arial Narrow" w:hAnsi="Arial Narrow"/>
                <w:sz w:val="20"/>
                <w:szCs w:val="20"/>
              </w:rPr>
            </w:pPr>
            <w:r>
              <w:rPr>
                <w:rFonts w:ascii="Arial Narrow" w:hAnsi="Arial Narrow"/>
                <w:sz w:val="20"/>
                <w:szCs w:val="20"/>
              </w:rPr>
              <w:t>54.8%</w:t>
            </w:r>
          </w:p>
        </w:tc>
      </w:tr>
      <w:tr w:rsidR="00D85343" w:rsidRPr="00B221AE" w14:paraId="204D66B4" w14:textId="7CCE714F" w:rsidTr="00AE36DD">
        <w:tc>
          <w:tcPr>
            <w:tcW w:w="2092" w:type="pct"/>
            <w:tcBorders>
              <w:right w:val="nil"/>
            </w:tcBorders>
          </w:tcPr>
          <w:p w14:paraId="1085B7EB" w14:textId="3AF664AD" w:rsidR="00D85343" w:rsidRPr="00C31B4D" w:rsidRDefault="00D85343">
            <w:pPr>
              <w:spacing w:before="0"/>
              <w:rPr>
                <w:rFonts w:ascii="Arial Narrow" w:hAnsi="Arial Narrow"/>
                <w:sz w:val="20"/>
                <w:szCs w:val="20"/>
              </w:rPr>
            </w:pPr>
            <w:r w:rsidRPr="00C31B4D">
              <w:rPr>
                <w:rFonts w:ascii="Arial Narrow" w:hAnsi="Arial Narrow"/>
                <w:sz w:val="20"/>
                <w:szCs w:val="20"/>
              </w:rPr>
              <w:t>Health state costs</w:t>
            </w:r>
            <w:r>
              <w:rPr>
                <w:rFonts w:ascii="Arial Narrow" w:hAnsi="Arial Narrow"/>
                <w:sz w:val="20"/>
                <w:szCs w:val="20"/>
              </w:rPr>
              <w:t xml:space="preserve"> (BC: no indirect costs)</w:t>
            </w:r>
          </w:p>
        </w:tc>
        <w:tc>
          <w:tcPr>
            <w:tcW w:w="754" w:type="pct"/>
            <w:tcBorders>
              <w:left w:val="nil"/>
              <w:right w:val="nil"/>
            </w:tcBorders>
          </w:tcPr>
          <w:p w14:paraId="74ED73EE" w14:textId="77777777" w:rsidR="00D85343" w:rsidRPr="00C31B4D" w:rsidRDefault="00D85343">
            <w:pPr>
              <w:spacing w:before="0"/>
              <w:jc w:val="center"/>
              <w:rPr>
                <w:rFonts w:ascii="Arial Narrow" w:hAnsi="Arial Narrow"/>
                <w:sz w:val="20"/>
                <w:szCs w:val="20"/>
              </w:rPr>
            </w:pPr>
          </w:p>
        </w:tc>
        <w:tc>
          <w:tcPr>
            <w:tcW w:w="631" w:type="pct"/>
            <w:tcBorders>
              <w:left w:val="nil"/>
              <w:right w:val="nil"/>
            </w:tcBorders>
          </w:tcPr>
          <w:p w14:paraId="54856F31" w14:textId="77777777" w:rsidR="00D85343" w:rsidRPr="00C31B4D" w:rsidRDefault="00D85343">
            <w:pPr>
              <w:spacing w:before="0"/>
              <w:jc w:val="center"/>
              <w:rPr>
                <w:rFonts w:ascii="Arial Narrow" w:hAnsi="Arial Narrow"/>
                <w:sz w:val="20"/>
                <w:szCs w:val="20"/>
              </w:rPr>
            </w:pPr>
          </w:p>
        </w:tc>
        <w:tc>
          <w:tcPr>
            <w:tcW w:w="1523" w:type="pct"/>
            <w:gridSpan w:val="2"/>
            <w:tcBorders>
              <w:left w:val="nil"/>
            </w:tcBorders>
          </w:tcPr>
          <w:p w14:paraId="16DDD4C5" w14:textId="77777777" w:rsidR="00D85343" w:rsidRPr="00C31B4D" w:rsidRDefault="00D85343">
            <w:pPr>
              <w:spacing w:before="0"/>
              <w:jc w:val="center"/>
              <w:rPr>
                <w:rFonts w:ascii="Arial Narrow" w:hAnsi="Arial Narrow"/>
                <w:sz w:val="20"/>
                <w:szCs w:val="20"/>
              </w:rPr>
            </w:pPr>
          </w:p>
        </w:tc>
      </w:tr>
      <w:tr w:rsidR="00CC786B" w:rsidRPr="00B221AE" w14:paraId="75C05E23" w14:textId="2203480C" w:rsidTr="00AE36DD">
        <w:tc>
          <w:tcPr>
            <w:tcW w:w="2092" w:type="pct"/>
            <w:tcBorders>
              <w:bottom w:val="single" w:sz="4" w:space="0" w:color="auto"/>
            </w:tcBorders>
          </w:tcPr>
          <w:p w14:paraId="1AFDABF7" w14:textId="587CF6EF" w:rsidR="00CC786B" w:rsidRPr="00C31B4D" w:rsidRDefault="00486C1F" w:rsidP="00D76EFB">
            <w:pPr>
              <w:spacing w:before="0"/>
              <w:ind w:left="170"/>
              <w:rPr>
                <w:rFonts w:ascii="Arial Narrow" w:hAnsi="Arial Narrow"/>
                <w:sz w:val="20"/>
                <w:szCs w:val="20"/>
              </w:rPr>
            </w:pPr>
            <w:r>
              <w:rPr>
                <w:rFonts w:ascii="Arial Narrow" w:hAnsi="Arial Narrow"/>
                <w:sz w:val="20"/>
                <w:szCs w:val="20"/>
              </w:rPr>
              <w:t>w</w:t>
            </w:r>
            <w:r w:rsidR="00CC786B" w:rsidRPr="00C31B4D">
              <w:rPr>
                <w:rFonts w:ascii="Arial Narrow" w:hAnsi="Arial Narrow"/>
                <w:sz w:val="20"/>
                <w:szCs w:val="20"/>
              </w:rPr>
              <w:t>ith indirect costs (Lee et al. 2018)</w:t>
            </w:r>
          </w:p>
        </w:tc>
        <w:tc>
          <w:tcPr>
            <w:tcW w:w="754" w:type="pct"/>
            <w:tcBorders>
              <w:bottom w:val="single" w:sz="4" w:space="0" w:color="auto"/>
            </w:tcBorders>
          </w:tcPr>
          <w:p w14:paraId="10BAF215" w14:textId="77777777" w:rsidR="00CC786B" w:rsidRPr="00C31B4D" w:rsidRDefault="00CC786B" w:rsidP="00D76EFB">
            <w:pPr>
              <w:spacing w:before="0"/>
              <w:jc w:val="center"/>
              <w:rPr>
                <w:rFonts w:ascii="Arial Narrow" w:hAnsi="Arial Narrow"/>
                <w:sz w:val="20"/>
                <w:szCs w:val="20"/>
              </w:rPr>
            </w:pPr>
            <w:r w:rsidRPr="00C31B4D">
              <w:rPr>
                <w:rFonts w:ascii="Arial Narrow" w:hAnsi="Arial Narrow"/>
                <w:sz w:val="20"/>
                <w:szCs w:val="20"/>
              </w:rPr>
              <w:t>-$5,208.00</w:t>
            </w:r>
          </w:p>
        </w:tc>
        <w:tc>
          <w:tcPr>
            <w:tcW w:w="631" w:type="pct"/>
            <w:tcBorders>
              <w:bottom w:val="single" w:sz="4" w:space="0" w:color="auto"/>
            </w:tcBorders>
          </w:tcPr>
          <w:p w14:paraId="6EE5D0D0" w14:textId="77777777" w:rsidR="00CC786B" w:rsidRPr="00C31B4D" w:rsidRDefault="00CC786B" w:rsidP="00D76EFB">
            <w:pPr>
              <w:spacing w:before="0"/>
              <w:jc w:val="center"/>
              <w:rPr>
                <w:rFonts w:ascii="Arial Narrow" w:hAnsi="Arial Narrow"/>
                <w:sz w:val="20"/>
                <w:szCs w:val="20"/>
              </w:rPr>
            </w:pPr>
            <w:r w:rsidRPr="00C31B4D">
              <w:rPr>
                <w:rFonts w:ascii="Arial Narrow" w:hAnsi="Arial Narrow"/>
                <w:sz w:val="20"/>
                <w:szCs w:val="20"/>
              </w:rPr>
              <w:t>0.9890</w:t>
            </w:r>
          </w:p>
        </w:tc>
        <w:tc>
          <w:tcPr>
            <w:tcW w:w="904" w:type="pct"/>
            <w:tcBorders>
              <w:bottom w:val="single" w:sz="4" w:space="0" w:color="auto"/>
            </w:tcBorders>
          </w:tcPr>
          <w:p w14:paraId="0188BCD1" w14:textId="28FA3F6B" w:rsidR="00CC786B" w:rsidRPr="00C31B4D" w:rsidRDefault="00CC786B" w:rsidP="00D76EFB">
            <w:pPr>
              <w:spacing w:before="0"/>
              <w:jc w:val="center"/>
              <w:rPr>
                <w:rFonts w:ascii="Arial Narrow" w:hAnsi="Arial Narrow"/>
                <w:sz w:val="20"/>
                <w:szCs w:val="20"/>
              </w:rPr>
            </w:pPr>
            <w:r w:rsidRPr="00C31B4D">
              <w:rPr>
                <w:rFonts w:ascii="Arial Narrow" w:hAnsi="Arial Narrow"/>
                <w:sz w:val="20"/>
                <w:szCs w:val="20"/>
              </w:rPr>
              <w:t>Dominant</w:t>
            </w:r>
          </w:p>
        </w:tc>
        <w:tc>
          <w:tcPr>
            <w:tcW w:w="619" w:type="pct"/>
            <w:tcBorders>
              <w:bottom w:val="single" w:sz="4" w:space="0" w:color="auto"/>
            </w:tcBorders>
          </w:tcPr>
          <w:p w14:paraId="72EFAEF3" w14:textId="16E17E93" w:rsidR="00CC786B" w:rsidRPr="00C31B4D" w:rsidRDefault="001A40B6">
            <w:pPr>
              <w:spacing w:before="0"/>
              <w:jc w:val="center"/>
              <w:rPr>
                <w:rFonts w:ascii="Arial Narrow" w:hAnsi="Arial Narrow"/>
                <w:sz w:val="20"/>
                <w:szCs w:val="20"/>
              </w:rPr>
            </w:pPr>
            <w:r>
              <w:rPr>
                <w:rFonts w:ascii="Arial Narrow" w:hAnsi="Arial Narrow"/>
                <w:sz w:val="20"/>
                <w:szCs w:val="20"/>
              </w:rPr>
              <w:t>─</w:t>
            </w:r>
          </w:p>
        </w:tc>
      </w:tr>
      <w:tr w:rsidR="0040427B" w:rsidRPr="00B221AE" w14:paraId="778D4E66" w14:textId="66B155FC" w:rsidTr="00AE36DD">
        <w:tc>
          <w:tcPr>
            <w:tcW w:w="2092" w:type="pct"/>
            <w:tcBorders>
              <w:bottom w:val="single" w:sz="4" w:space="0" w:color="auto"/>
              <w:right w:val="nil"/>
            </w:tcBorders>
          </w:tcPr>
          <w:p w14:paraId="72AAA4E8" w14:textId="3C48E8BA" w:rsidR="0040427B" w:rsidRPr="00C31B4D" w:rsidRDefault="0040427B" w:rsidP="00C8307F">
            <w:pPr>
              <w:keepNext/>
              <w:spacing w:before="0"/>
              <w:rPr>
                <w:rFonts w:ascii="Arial Narrow" w:hAnsi="Arial Narrow"/>
                <w:sz w:val="20"/>
                <w:szCs w:val="20"/>
              </w:rPr>
            </w:pPr>
            <w:r w:rsidRPr="00C31B4D">
              <w:rPr>
                <w:rFonts w:ascii="Arial Narrow" w:hAnsi="Arial Narrow"/>
                <w:sz w:val="20"/>
                <w:szCs w:val="20"/>
              </w:rPr>
              <w:t>Reintervention rate</w:t>
            </w:r>
            <w:r>
              <w:rPr>
                <w:rFonts w:ascii="Arial Narrow" w:hAnsi="Arial Narrow"/>
                <w:sz w:val="20"/>
                <w:szCs w:val="20"/>
              </w:rPr>
              <w:t xml:space="preserve"> (BC: 6% at 2 years)</w:t>
            </w:r>
          </w:p>
        </w:tc>
        <w:tc>
          <w:tcPr>
            <w:tcW w:w="754" w:type="pct"/>
            <w:tcBorders>
              <w:left w:val="nil"/>
              <w:bottom w:val="single" w:sz="4" w:space="0" w:color="auto"/>
              <w:right w:val="nil"/>
            </w:tcBorders>
          </w:tcPr>
          <w:p w14:paraId="17853A5D" w14:textId="77777777" w:rsidR="0040427B" w:rsidRPr="00C31B4D" w:rsidRDefault="0040427B" w:rsidP="00C8307F">
            <w:pPr>
              <w:keepNext/>
              <w:spacing w:before="0"/>
              <w:jc w:val="center"/>
              <w:rPr>
                <w:rFonts w:ascii="Arial Narrow" w:hAnsi="Arial Narrow"/>
                <w:sz w:val="20"/>
                <w:szCs w:val="20"/>
              </w:rPr>
            </w:pPr>
          </w:p>
        </w:tc>
        <w:tc>
          <w:tcPr>
            <w:tcW w:w="631" w:type="pct"/>
            <w:tcBorders>
              <w:left w:val="nil"/>
              <w:bottom w:val="single" w:sz="4" w:space="0" w:color="auto"/>
              <w:right w:val="nil"/>
            </w:tcBorders>
          </w:tcPr>
          <w:p w14:paraId="6D1CD2C8" w14:textId="77777777" w:rsidR="0040427B" w:rsidRPr="00C31B4D" w:rsidRDefault="0040427B" w:rsidP="00C8307F">
            <w:pPr>
              <w:keepNext/>
              <w:spacing w:before="0"/>
              <w:jc w:val="center"/>
              <w:rPr>
                <w:rFonts w:ascii="Arial Narrow" w:hAnsi="Arial Narrow"/>
                <w:sz w:val="20"/>
                <w:szCs w:val="20"/>
              </w:rPr>
            </w:pPr>
          </w:p>
        </w:tc>
        <w:tc>
          <w:tcPr>
            <w:tcW w:w="1523" w:type="pct"/>
            <w:gridSpan w:val="2"/>
            <w:tcBorders>
              <w:left w:val="nil"/>
              <w:bottom w:val="single" w:sz="4" w:space="0" w:color="auto"/>
            </w:tcBorders>
          </w:tcPr>
          <w:p w14:paraId="3C3CA43A" w14:textId="77777777" w:rsidR="0040427B" w:rsidRPr="00C31B4D" w:rsidRDefault="0040427B" w:rsidP="00C8307F">
            <w:pPr>
              <w:keepNext/>
              <w:spacing w:before="0"/>
              <w:jc w:val="center"/>
              <w:rPr>
                <w:rFonts w:ascii="Arial Narrow" w:hAnsi="Arial Narrow"/>
                <w:sz w:val="20"/>
                <w:szCs w:val="20"/>
              </w:rPr>
            </w:pPr>
          </w:p>
        </w:tc>
      </w:tr>
      <w:tr w:rsidR="00CC786B" w:rsidRPr="00532CD8" w14:paraId="3D4DE391" w14:textId="173C4215" w:rsidTr="00AE36DD">
        <w:tc>
          <w:tcPr>
            <w:tcW w:w="2092" w:type="pct"/>
            <w:tcBorders>
              <w:bottom w:val="nil"/>
            </w:tcBorders>
          </w:tcPr>
          <w:p w14:paraId="35639723" w14:textId="4D1A1626" w:rsidR="00CC786B" w:rsidRPr="00D76EFB" w:rsidRDefault="00CC786B" w:rsidP="00B00BB8">
            <w:pPr>
              <w:spacing w:before="0"/>
              <w:ind w:left="170"/>
              <w:rPr>
                <w:rFonts w:ascii="Arial Narrow" w:hAnsi="Arial Narrow"/>
                <w:sz w:val="20"/>
                <w:szCs w:val="20"/>
              </w:rPr>
            </w:pPr>
            <w:r>
              <w:rPr>
                <w:rFonts w:ascii="Arial Narrow" w:hAnsi="Arial Narrow"/>
                <w:sz w:val="20"/>
                <w:szCs w:val="20"/>
              </w:rPr>
              <w:t>18.</w:t>
            </w:r>
            <w:r w:rsidR="001F397C">
              <w:rPr>
                <w:rFonts w:ascii="Arial Narrow" w:hAnsi="Arial Narrow"/>
                <w:sz w:val="20"/>
                <w:szCs w:val="20"/>
              </w:rPr>
              <w:t>2</w:t>
            </w:r>
            <w:r>
              <w:rPr>
                <w:rFonts w:ascii="Arial Narrow" w:hAnsi="Arial Narrow"/>
                <w:sz w:val="20"/>
                <w:szCs w:val="20"/>
              </w:rPr>
              <w:t>% at 2 years (from MERIT trial)</w:t>
            </w:r>
          </w:p>
        </w:tc>
        <w:tc>
          <w:tcPr>
            <w:tcW w:w="754" w:type="pct"/>
            <w:tcBorders>
              <w:bottom w:val="nil"/>
            </w:tcBorders>
          </w:tcPr>
          <w:p w14:paraId="48A9D848" w14:textId="62EDAD4F" w:rsidR="00CC786B" w:rsidRPr="00D76EFB" w:rsidRDefault="001A40B6">
            <w:pPr>
              <w:spacing w:before="0"/>
              <w:jc w:val="center"/>
              <w:rPr>
                <w:rFonts w:ascii="Arial Narrow" w:hAnsi="Arial Narrow"/>
                <w:sz w:val="20"/>
                <w:szCs w:val="20"/>
              </w:rPr>
            </w:pPr>
            <w:r>
              <w:rPr>
                <w:rFonts w:ascii="Arial Narrow" w:hAnsi="Arial Narrow"/>
                <w:sz w:val="20"/>
                <w:szCs w:val="20"/>
              </w:rPr>
              <w:t>$9</w:t>
            </w:r>
            <w:r w:rsidR="00F73F6E">
              <w:rPr>
                <w:rFonts w:ascii="Arial Narrow" w:hAnsi="Arial Narrow"/>
                <w:sz w:val="20"/>
                <w:szCs w:val="20"/>
              </w:rPr>
              <w:t>,</w:t>
            </w:r>
            <w:r>
              <w:rPr>
                <w:rFonts w:ascii="Arial Narrow" w:hAnsi="Arial Narrow"/>
                <w:sz w:val="20"/>
                <w:szCs w:val="20"/>
              </w:rPr>
              <w:t>289.60</w:t>
            </w:r>
          </w:p>
        </w:tc>
        <w:tc>
          <w:tcPr>
            <w:tcW w:w="631" w:type="pct"/>
            <w:tcBorders>
              <w:bottom w:val="nil"/>
            </w:tcBorders>
          </w:tcPr>
          <w:p w14:paraId="36DB0F55" w14:textId="1BFE9122" w:rsidR="00CC786B" w:rsidRPr="00D76EFB" w:rsidRDefault="00161C1D">
            <w:pPr>
              <w:spacing w:before="0"/>
              <w:jc w:val="center"/>
              <w:rPr>
                <w:rFonts w:ascii="Arial Narrow" w:hAnsi="Arial Narrow"/>
                <w:sz w:val="20"/>
                <w:szCs w:val="20"/>
              </w:rPr>
            </w:pPr>
            <w:r>
              <w:rPr>
                <w:rFonts w:ascii="Arial Narrow" w:hAnsi="Arial Narrow"/>
                <w:sz w:val="20"/>
                <w:szCs w:val="20"/>
              </w:rPr>
              <w:t>0.9890</w:t>
            </w:r>
          </w:p>
        </w:tc>
        <w:tc>
          <w:tcPr>
            <w:tcW w:w="904" w:type="pct"/>
            <w:tcBorders>
              <w:bottom w:val="nil"/>
            </w:tcBorders>
          </w:tcPr>
          <w:p w14:paraId="0CE80D2B" w14:textId="4045A054" w:rsidR="00CC786B" w:rsidRPr="00D76EFB" w:rsidRDefault="00161C1D">
            <w:pPr>
              <w:spacing w:before="0"/>
              <w:jc w:val="center"/>
              <w:rPr>
                <w:rFonts w:ascii="Arial Narrow" w:hAnsi="Arial Narrow"/>
                <w:sz w:val="20"/>
                <w:szCs w:val="20"/>
              </w:rPr>
            </w:pPr>
            <w:r>
              <w:rPr>
                <w:rFonts w:ascii="Arial Narrow" w:hAnsi="Arial Narrow"/>
                <w:sz w:val="20"/>
                <w:szCs w:val="20"/>
              </w:rPr>
              <w:t>$9</w:t>
            </w:r>
            <w:r w:rsidR="00F73F6E">
              <w:rPr>
                <w:rFonts w:ascii="Arial Narrow" w:hAnsi="Arial Narrow"/>
                <w:sz w:val="20"/>
                <w:szCs w:val="20"/>
              </w:rPr>
              <w:t>,</w:t>
            </w:r>
            <w:r>
              <w:rPr>
                <w:rFonts w:ascii="Arial Narrow" w:hAnsi="Arial Narrow"/>
                <w:sz w:val="20"/>
                <w:szCs w:val="20"/>
              </w:rPr>
              <w:t>392.88</w:t>
            </w:r>
          </w:p>
        </w:tc>
        <w:tc>
          <w:tcPr>
            <w:tcW w:w="619" w:type="pct"/>
            <w:tcBorders>
              <w:bottom w:val="nil"/>
            </w:tcBorders>
          </w:tcPr>
          <w:p w14:paraId="7DBFEB9A" w14:textId="549A4155" w:rsidR="00CC786B" w:rsidRPr="00CC786B" w:rsidRDefault="00161C1D">
            <w:pPr>
              <w:spacing w:before="0"/>
              <w:jc w:val="center"/>
              <w:rPr>
                <w:rFonts w:ascii="Arial Narrow" w:hAnsi="Arial Narrow"/>
                <w:sz w:val="20"/>
                <w:szCs w:val="20"/>
              </w:rPr>
            </w:pPr>
            <w:r>
              <w:rPr>
                <w:rFonts w:ascii="Arial Narrow" w:hAnsi="Arial Narrow"/>
                <w:sz w:val="20"/>
                <w:szCs w:val="20"/>
              </w:rPr>
              <w:t>24.3%</w:t>
            </w:r>
          </w:p>
        </w:tc>
      </w:tr>
      <w:tr w:rsidR="00CC786B" w:rsidRPr="00532CD8" w14:paraId="15480C93" w14:textId="2197C54E" w:rsidTr="00AE36DD">
        <w:tc>
          <w:tcPr>
            <w:tcW w:w="2092" w:type="pct"/>
            <w:tcBorders>
              <w:top w:val="nil"/>
              <w:bottom w:val="single" w:sz="4" w:space="0" w:color="auto"/>
            </w:tcBorders>
          </w:tcPr>
          <w:p w14:paraId="6FE8581A" w14:textId="04AF9C43" w:rsidR="00CC786B" w:rsidRPr="00D76EFB" w:rsidRDefault="00CC786B" w:rsidP="00D76EFB">
            <w:pPr>
              <w:spacing w:before="0"/>
              <w:ind w:left="170"/>
              <w:rPr>
                <w:rFonts w:ascii="Arial Narrow" w:hAnsi="Arial Narrow"/>
                <w:i/>
                <w:sz w:val="20"/>
                <w:szCs w:val="20"/>
              </w:rPr>
            </w:pPr>
            <w:r w:rsidRPr="00D76EFB">
              <w:rPr>
                <w:rFonts w:ascii="Arial Narrow" w:hAnsi="Arial Narrow"/>
                <w:i/>
                <w:sz w:val="20"/>
                <w:szCs w:val="20"/>
              </w:rPr>
              <w:t>Assuming 30%</w:t>
            </w:r>
            <w:r>
              <w:rPr>
                <w:rFonts w:ascii="Arial Narrow" w:hAnsi="Arial Narrow"/>
                <w:i/>
                <w:iCs/>
                <w:sz w:val="20"/>
                <w:szCs w:val="20"/>
              </w:rPr>
              <w:t xml:space="preserve"> at 2 years</w:t>
            </w:r>
            <w:r w:rsidR="00CD45D9">
              <w:rPr>
                <w:rFonts w:ascii="Arial Narrow" w:hAnsi="Arial Narrow"/>
                <w:i/>
                <w:iCs/>
                <w:sz w:val="20"/>
                <w:szCs w:val="20"/>
              </w:rPr>
              <w:t>*</w:t>
            </w:r>
            <w:r w:rsidRPr="00D76EFB">
              <w:rPr>
                <w:rFonts w:ascii="Arial Narrow" w:hAnsi="Arial Narrow"/>
                <w:i/>
                <w:sz w:val="20"/>
                <w:szCs w:val="20"/>
              </w:rPr>
              <w:t xml:space="preserve"> </w:t>
            </w:r>
          </w:p>
        </w:tc>
        <w:tc>
          <w:tcPr>
            <w:tcW w:w="754" w:type="pct"/>
            <w:tcBorders>
              <w:top w:val="nil"/>
              <w:bottom w:val="single" w:sz="4" w:space="0" w:color="auto"/>
            </w:tcBorders>
          </w:tcPr>
          <w:p w14:paraId="3F88DEB2" w14:textId="77777777" w:rsidR="00CC786B" w:rsidRPr="00D76EFB" w:rsidRDefault="00CC786B" w:rsidP="00D76EFB">
            <w:pPr>
              <w:spacing w:before="0"/>
              <w:jc w:val="center"/>
              <w:rPr>
                <w:rFonts w:ascii="Arial Narrow" w:hAnsi="Arial Narrow"/>
                <w:i/>
                <w:sz w:val="20"/>
                <w:szCs w:val="20"/>
              </w:rPr>
            </w:pPr>
            <w:r w:rsidRPr="00D76EFB">
              <w:rPr>
                <w:rFonts w:ascii="Arial Narrow" w:hAnsi="Arial Narrow"/>
                <w:i/>
                <w:sz w:val="20"/>
                <w:szCs w:val="20"/>
              </w:rPr>
              <w:t>$11,054.33</w:t>
            </w:r>
          </w:p>
        </w:tc>
        <w:tc>
          <w:tcPr>
            <w:tcW w:w="631" w:type="pct"/>
            <w:tcBorders>
              <w:top w:val="nil"/>
              <w:bottom w:val="single" w:sz="4" w:space="0" w:color="auto"/>
            </w:tcBorders>
          </w:tcPr>
          <w:p w14:paraId="00D4393F" w14:textId="77777777" w:rsidR="00CC786B" w:rsidRPr="00D76EFB" w:rsidRDefault="00CC786B" w:rsidP="00D76EFB">
            <w:pPr>
              <w:spacing w:before="0"/>
              <w:jc w:val="center"/>
              <w:rPr>
                <w:rFonts w:ascii="Arial Narrow" w:hAnsi="Arial Narrow"/>
                <w:i/>
                <w:sz w:val="20"/>
                <w:szCs w:val="20"/>
              </w:rPr>
            </w:pPr>
            <w:r w:rsidRPr="00D76EFB">
              <w:rPr>
                <w:rFonts w:ascii="Arial Narrow" w:hAnsi="Arial Narrow"/>
                <w:i/>
                <w:sz w:val="20"/>
                <w:szCs w:val="20"/>
              </w:rPr>
              <w:t>0.9890</w:t>
            </w:r>
          </w:p>
        </w:tc>
        <w:tc>
          <w:tcPr>
            <w:tcW w:w="904" w:type="pct"/>
            <w:tcBorders>
              <w:top w:val="nil"/>
              <w:bottom w:val="single" w:sz="4" w:space="0" w:color="auto"/>
            </w:tcBorders>
          </w:tcPr>
          <w:p w14:paraId="68A4CC8C" w14:textId="77777777" w:rsidR="00CC786B" w:rsidRPr="00D76EFB" w:rsidRDefault="00CC786B" w:rsidP="00D76EFB">
            <w:pPr>
              <w:spacing w:before="0"/>
              <w:jc w:val="center"/>
              <w:rPr>
                <w:rFonts w:ascii="Arial Narrow" w:hAnsi="Arial Narrow"/>
                <w:i/>
                <w:sz w:val="20"/>
                <w:szCs w:val="20"/>
              </w:rPr>
            </w:pPr>
            <w:r w:rsidRPr="00D76EFB">
              <w:rPr>
                <w:rFonts w:ascii="Arial Narrow" w:hAnsi="Arial Narrow"/>
                <w:i/>
                <w:sz w:val="20"/>
                <w:szCs w:val="20"/>
              </w:rPr>
              <w:t>$11,177.24</w:t>
            </w:r>
          </w:p>
        </w:tc>
        <w:tc>
          <w:tcPr>
            <w:tcW w:w="619" w:type="pct"/>
            <w:tcBorders>
              <w:top w:val="nil"/>
              <w:bottom w:val="single" w:sz="4" w:space="0" w:color="auto"/>
            </w:tcBorders>
          </w:tcPr>
          <w:p w14:paraId="5679084B" w14:textId="287512E5" w:rsidR="00CC786B" w:rsidRPr="00CC786B" w:rsidRDefault="0022357B">
            <w:pPr>
              <w:spacing w:before="0"/>
              <w:jc w:val="center"/>
              <w:rPr>
                <w:rFonts w:ascii="Arial Narrow" w:hAnsi="Arial Narrow"/>
                <w:i/>
                <w:iCs/>
                <w:sz w:val="20"/>
                <w:szCs w:val="20"/>
              </w:rPr>
            </w:pPr>
            <w:r>
              <w:rPr>
                <w:rFonts w:ascii="Arial Narrow" w:hAnsi="Arial Narrow"/>
                <w:i/>
                <w:iCs/>
                <w:sz w:val="20"/>
                <w:szCs w:val="20"/>
              </w:rPr>
              <w:t>67.</w:t>
            </w:r>
            <w:r w:rsidR="007E213D">
              <w:rPr>
                <w:rFonts w:ascii="Arial Narrow" w:hAnsi="Arial Narrow"/>
                <w:i/>
                <w:iCs/>
                <w:sz w:val="20"/>
                <w:szCs w:val="20"/>
              </w:rPr>
              <w:t>6</w:t>
            </w:r>
            <w:r>
              <w:rPr>
                <w:rFonts w:ascii="Arial Narrow" w:hAnsi="Arial Narrow"/>
                <w:i/>
                <w:iCs/>
                <w:sz w:val="20"/>
                <w:szCs w:val="20"/>
              </w:rPr>
              <w:t>%</w:t>
            </w:r>
          </w:p>
        </w:tc>
      </w:tr>
      <w:tr w:rsidR="00EE7E66" w:rsidRPr="00532CD8" w14:paraId="726A4745" w14:textId="77777777" w:rsidTr="00AE36DD">
        <w:tc>
          <w:tcPr>
            <w:tcW w:w="2092" w:type="pct"/>
            <w:tcBorders>
              <w:bottom w:val="single" w:sz="4" w:space="0" w:color="auto"/>
              <w:right w:val="nil"/>
            </w:tcBorders>
          </w:tcPr>
          <w:p w14:paraId="07E61933" w14:textId="25B37332" w:rsidR="00E8757B" w:rsidRPr="00CD0D7F" w:rsidRDefault="00E8757B" w:rsidP="00E8757B">
            <w:pPr>
              <w:spacing w:before="0"/>
              <w:ind w:left="170"/>
              <w:rPr>
                <w:rFonts w:ascii="Arial Narrow" w:hAnsi="Arial Narrow"/>
                <w:b/>
                <w:bCs/>
                <w:i/>
                <w:iCs/>
                <w:sz w:val="20"/>
                <w:szCs w:val="20"/>
              </w:rPr>
            </w:pPr>
            <w:r w:rsidRPr="00CD0D7F">
              <w:rPr>
                <w:rFonts w:ascii="Arial Narrow" w:hAnsi="Arial Narrow"/>
                <w:b/>
                <w:bCs/>
                <w:i/>
                <w:iCs/>
                <w:sz w:val="20"/>
                <w:szCs w:val="20"/>
              </w:rPr>
              <w:t>POST ESC ANALYS</w:t>
            </w:r>
            <w:r w:rsidR="0009446B">
              <w:rPr>
                <w:rFonts w:ascii="Arial Narrow" w:hAnsi="Arial Narrow"/>
                <w:b/>
                <w:bCs/>
                <w:i/>
                <w:iCs/>
                <w:sz w:val="20"/>
                <w:szCs w:val="20"/>
              </w:rPr>
              <w:t>E</w:t>
            </w:r>
            <w:r w:rsidRPr="00CD0D7F">
              <w:rPr>
                <w:rFonts w:ascii="Arial Narrow" w:hAnsi="Arial Narrow"/>
                <w:b/>
                <w:bCs/>
                <w:i/>
                <w:iCs/>
                <w:sz w:val="20"/>
                <w:szCs w:val="20"/>
              </w:rPr>
              <w:t>S</w:t>
            </w:r>
          </w:p>
          <w:p w14:paraId="58E05682" w14:textId="67C644F4" w:rsidR="00EE7E66" w:rsidRPr="00D76EFB" w:rsidRDefault="005503C6" w:rsidP="005503C6">
            <w:pPr>
              <w:spacing w:before="0"/>
              <w:ind w:left="170"/>
              <w:rPr>
                <w:rFonts w:ascii="Arial Narrow" w:hAnsi="Arial Narrow"/>
                <w:i/>
                <w:sz w:val="20"/>
                <w:szCs w:val="20"/>
              </w:rPr>
            </w:pPr>
            <w:r w:rsidRPr="004639B2">
              <w:rPr>
                <w:rFonts w:ascii="Arial Narrow" w:hAnsi="Arial Narrow"/>
                <w:i/>
                <w:iCs/>
                <w:sz w:val="20"/>
                <w:szCs w:val="20"/>
              </w:rPr>
              <w:t>Per cycle probability of 0.015</w:t>
            </w:r>
            <w:r>
              <w:rPr>
                <w:rFonts w:ascii="Arial Narrow" w:hAnsi="Arial Narrow"/>
                <w:i/>
                <w:iCs/>
                <w:sz w:val="20"/>
                <w:szCs w:val="20"/>
              </w:rPr>
              <w:t>**</w:t>
            </w:r>
          </w:p>
        </w:tc>
        <w:tc>
          <w:tcPr>
            <w:tcW w:w="754" w:type="pct"/>
            <w:tcBorders>
              <w:left w:val="nil"/>
              <w:bottom w:val="single" w:sz="4" w:space="0" w:color="auto"/>
              <w:right w:val="nil"/>
            </w:tcBorders>
          </w:tcPr>
          <w:p w14:paraId="31639B89" w14:textId="77777777" w:rsidR="00EE7E66" w:rsidRPr="00D76EFB" w:rsidRDefault="00EE7E66" w:rsidP="00D76EFB">
            <w:pPr>
              <w:spacing w:before="0"/>
              <w:jc w:val="center"/>
              <w:rPr>
                <w:rFonts w:ascii="Arial Narrow" w:hAnsi="Arial Narrow"/>
                <w:i/>
                <w:sz w:val="20"/>
                <w:szCs w:val="20"/>
              </w:rPr>
            </w:pPr>
          </w:p>
        </w:tc>
        <w:tc>
          <w:tcPr>
            <w:tcW w:w="631" w:type="pct"/>
            <w:tcBorders>
              <w:left w:val="nil"/>
              <w:bottom w:val="single" w:sz="4" w:space="0" w:color="auto"/>
              <w:right w:val="nil"/>
            </w:tcBorders>
          </w:tcPr>
          <w:p w14:paraId="5552963C" w14:textId="77777777" w:rsidR="00EE7E66" w:rsidRPr="00D76EFB" w:rsidRDefault="00EE7E66" w:rsidP="00D76EFB">
            <w:pPr>
              <w:spacing w:before="0"/>
              <w:jc w:val="center"/>
              <w:rPr>
                <w:rFonts w:ascii="Arial Narrow" w:hAnsi="Arial Narrow"/>
                <w:i/>
                <w:sz w:val="20"/>
                <w:szCs w:val="20"/>
              </w:rPr>
            </w:pPr>
          </w:p>
        </w:tc>
        <w:tc>
          <w:tcPr>
            <w:tcW w:w="904" w:type="pct"/>
            <w:tcBorders>
              <w:left w:val="nil"/>
              <w:bottom w:val="single" w:sz="4" w:space="0" w:color="auto"/>
              <w:right w:val="nil"/>
            </w:tcBorders>
          </w:tcPr>
          <w:p w14:paraId="5C5A4FDD" w14:textId="77777777" w:rsidR="00EE7E66" w:rsidRPr="00D76EFB" w:rsidRDefault="00EE7E66" w:rsidP="00D76EFB">
            <w:pPr>
              <w:spacing w:before="0"/>
              <w:jc w:val="center"/>
              <w:rPr>
                <w:rFonts w:ascii="Arial Narrow" w:hAnsi="Arial Narrow"/>
                <w:i/>
                <w:sz w:val="20"/>
                <w:szCs w:val="20"/>
              </w:rPr>
            </w:pPr>
          </w:p>
        </w:tc>
        <w:tc>
          <w:tcPr>
            <w:tcW w:w="619" w:type="pct"/>
            <w:tcBorders>
              <w:left w:val="nil"/>
              <w:bottom w:val="single" w:sz="4" w:space="0" w:color="auto"/>
            </w:tcBorders>
          </w:tcPr>
          <w:p w14:paraId="0FB6C9D9" w14:textId="77777777" w:rsidR="00EE7E66" w:rsidRDefault="00EE7E66">
            <w:pPr>
              <w:spacing w:before="0"/>
              <w:jc w:val="center"/>
              <w:rPr>
                <w:rFonts w:ascii="Arial Narrow" w:hAnsi="Arial Narrow"/>
                <w:i/>
                <w:iCs/>
                <w:sz w:val="20"/>
                <w:szCs w:val="20"/>
              </w:rPr>
            </w:pPr>
          </w:p>
        </w:tc>
      </w:tr>
      <w:tr w:rsidR="00677BBE" w:rsidRPr="00532CD8" w14:paraId="5C30B00C" w14:textId="77777777" w:rsidTr="00AE36DD">
        <w:tc>
          <w:tcPr>
            <w:tcW w:w="2092" w:type="pct"/>
            <w:tcBorders>
              <w:top w:val="single" w:sz="4" w:space="0" w:color="auto"/>
              <w:bottom w:val="nil"/>
            </w:tcBorders>
          </w:tcPr>
          <w:p w14:paraId="18F3A8A4" w14:textId="72C93D85" w:rsidR="00677BBE" w:rsidRPr="00D76EFB" w:rsidRDefault="00A901D4" w:rsidP="00CD0D7F">
            <w:pPr>
              <w:spacing w:before="0"/>
              <w:ind w:left="340"/>
              <w:rPr>
                <w:rFonts w:ascii="Arial Narrow" w:hAnsi="Arial Narrow"/>
                <w:i/>
                <w:sz w:val="20"/>
                <w:szCs w:val="20"/>
              </w:rPr>
            </w:pPr>
            <w:r>
              <w:rPr>
                <w:rFonts w:ascii="Arial Narrow" w:hAnsi="Arial Narrow"/>
                <w:i/>
                <w:iCs/>
                <w:sz w:val="20"/>
                <w:szCs w:val="20"/>
              </w:rPr>
              <w:t>A</w:t>
            </w:r>
            <w:r w:rsidR="00677BBE" w:rsidRPr="00CD0D7F">
              <w:rPr>
                <w:rFonts w:ascii="Arial Narrow" w:hAnsi="Arial Narrow"/>
                <w:i/>
                <w:iCs/>
                <w:sz w:val="20"/>
                <w:szCs w:val="20"/>
              </w:rPr>
              <w:t>pplied for 5 years</w:t>
            </w:r>
          </w:p>
        </w:tc>
        <w:tc>
          <w:tcPr>
            <w:tcW w:w="754" w:type="pct"/>
            <w:tcBorders>
              <w:top w:val="single" w:sz="4" w:space="0" w:color="auto"/>
              <w:bottom w:val="nil"/>
            </w:tcBorders>
          </w:tcPr>
          <w:p w14:paraId="56994F6D" w14:textId="4424FA9A" w:rsidR="00677BBE" w:rsidRPr="00D76EFB" w:rsidRDefault="00F131BB" w:rsidP="00677BBE">
            <w:pPr>
              <w:spacing w:before="0"/>
              <w:jc w:val="center"/>
              <w:rPr>
                <w:rFonts w:ascii="Arial Narrow" w:hAnsi="Arial Narrow"/>
                <w:i/>
                <w:sz w:val="20"/>
                <w:szCs w:val="20"/>
              </w:rPr>
            </w:pPr>
            <w:r w:rsidRPr="000F5269">
              <w:rPr>
                <w:rFonts w:ascii="Arial Narrow" w:hAnsi="Arial Narrow"/>
                <w:i/>
                <w:sz w:val="20"/>
                <w:szCs w:val="20"/>
              </w:rPr>
              <w:t>$13,224.33</w:t>
            </w:r>
          </w:p>
        </w:tc>
        <w:tc>
          <w:tcPr>
            <w:tcW w:w="631" w:type="pct"/>
            <w:tcBorders>
              <w:top w:val="single" w:sz="4" w:space="0" w:color="auto"/>
              <w:bottom w:val="nil"/>
            </w:tcBorders>
          </w:tcPr>
          <w:p w14:paraId="5288FD1C" w14:textId="59AEC3AE" w:rsidR="00677BBE" w:rsidRPr="00D76EFB" w:rsidRDefault="00F131BB" w:rsidP="00677BBE">
            <w:pPr>
              <w:spacing w:before="0"/>
              <w:jc w:val="center"/>
              <w:rPr>
                <w:rFonts w:ascii="Arial Narrow" w:hAnsi="Arial Narrow"/>
                <w:i/>
                <w:sz w:val="20"/>
                <w:szCs w:val="20"/>
              </w:rPr>
            </w:pPr>
            <w:r w:rsidRPr="000F5269">
              <w:rPr>
                <w:rFonts w:ascii="Arial Narrow" w:hAnsi="Arial Narrow"/>
                <w:i/>
                <w:sz w:val="20"/>
                <w:szCs w:val="20"/>
              </w:rPr>
              <w:t>0.2499</w:t>
            </w:r>
          </w:p>
        </w:tc>
        <w:tc>
          <w:tcPr>
            <w:tcW w:w="904" w:type="pct"/>
            <w:tcBorders>
              <w:top w:val="single" w:sz="4" w:space="0" w:color="auto"/>
              <w:bottom w:val="nil"/>
            </w:tcBorders>
            <w:vAlign w:val="center"/>
          </w:tcPr>
          <w:p w14:paraId="6C630651" w14:textId="705713E9" w:rsidR="00677BBE" w:rsidRPr="00D76EFB" w:rsidRDefault="00F131BB" w:rsidP="00677BBE">
            <w:pPr>
              <w:spacing w:before="0"/>
              <w:jc w:val="center"/>
              <w:rPr>
                <w:rFonts w:ascii="Arial Narrow" w:hAnsi="Arial Narrow"/>
                <w:i/>
                <w:sz w:val="20"/>
                <w:szCs w:val="20"/>
              </w:rPr>
            </w:pPr>
            <w:r w:rsidRPr="000F5269">
              <w:rPr>
                <w:rFonts w:ascii="Arial Narrow" w:hAnsi="Arial Narrow"/>
                <w:i/>
                <w:iCs/>
                <w:sz w:val="20"/>
                <w:szCs w:val="20"/>
              </w:rPr>
              <w:t>$52,926.58</w:t>
            </w:r>
          </w:p>
        </w:tc>
        <w:tc>
          <w:tcPr>
            <w:tcW w:w="619" w:type="pct"/>
            <w:tcBorders>
              <w:top w:val="single" w:sz="4" w:space="0" w:color="auto"/>
              <w:bottom w:val="nil"/>
            </w:tcBorders>
          </w:tcPr>
          <w:p w14:paraId="2DF647E4" w14:textId="46974D12" w:rsidR="00677BBE" w:rsidRDefault="00F131BB" w:rsidP="00677BBE">
            <w:pPr>
              <w:spacing w:before="0"/>
              <w:jc w:val="center"/>
              <w:rPr>
                <w:rFonts w:ascii="Arial Narrow" w:hAnsi="Arial Narrow"/>
                <w:i/>
                <w:iCs/>
                <w:sz w:val="20"/>
                <w:szCs w:val="20"/>
              </w:rPr>
            </w:pPr>
            <w:r w:rsidRPr="000F5269">
              <w:rPr>
                <w:rFonts w:ascii="Arial Narrow" w:hAnsi="Arial Narrow"/>
                <w:i/>
                <w:iCs/>
                <w:sz w:val="20"/>
                <w:szCs w:val="20"/>
              </w:rPr>
              <w:t>600.64%</w:t>
            </w:r>
          </w:p>
        </w:tc>
      </w:tr>
      <w:tr w:rsidR="00A901D4" w:rsidRPr="00532CD8" w14:paraId="32A84059" w14:textId="77777777" w:rsidTr="00AE36DD">
        <w:tc>
          <w:tcPr>
            <w:tcW w:w="2092" w:type="pct"/>
            <w:tcBorders>
              <w:top w:val="nil"/>
              <w:bottom w:val="nil"/>
            </w:tcBorders>
          </w:tcPr>
          <w:p w14:paraId="26319705" w14:textId="73D5A8D8" w:rsidR="00A901D4" w:rsidRPr="00D76EFB" w:rsidRDefault="00A901D4" w:rsidP="00CD0D7F">
            <w:pPr>
              <w:spacing w:before="0"/>
              <w:ind w:left="340"/>
              <w:rPr>
                <w:rFonts w:ascii="Arial Narrow" w:hAnsi="Arial Narrow"/>
                <w:i/>
                <w:sz w:val="20"/>
                <w:szCs w:val="20"/>
              </w:rPr>
            </w:pPr>
            <w:r w:rsidRPr="008667AB">
              <w:rPr>
                <w:rFonts w:ascii="Arial Narrow" w:hAnsi="Arial Narrow"/>
                <w:i/>
                <w:iCs/>
                <w:sz w:val="20"/>
                <w:szCs w:val="20"/>
              </w:rPr>
              <w:t xml:space="preserve">Applied for </w:t>
            </w:r>
            <w:r>
              <w:rPr>
                <w:rFonts w:ascii="Arial Narrow" w:hAnsi="Arial Narrow"/>
                <w:i/>
                <w:iCs/>
                <w:sz w:val="20"/>
                <w:szCs w:val="20"/>
              </w:rPr>
              <w:t>10</w:t>
            </w:r>
            <w:r w:rsidRPr="008667AB">
              <w:rPr>
                <w:rFonts w:ascii="Arial Narrow" w:hAnsi="Arial Narrow"/>
                <w:i/>
                <w:iCs/>
                <w:sz w:val="20"/>
                <w:szCs w:val="20"/>
              </w:rPr>
              <w:t xml:space="preserve"> years</w:t>
            </w:r>
          </w:p>
        </w:tc>
        <w:tc>
          <w:tcPr>
            <w:tcW w:w="754" w:type="pct"/>
            <w:tcBorders>
              <w:top w:val="nil"/>
              <w:bottom w:val="nil"/>
            </w:tcBorders>
          </w:tcPr>
          <w:p w14:paraId="577B7421" w14:textId="35747FFC" w:rsidR="00A901D4" w:rsidRPr="00D76EFB" w:rsidRDefault="00F131BB" w:rsidP="00A901D4">
            <w:pPr>
              <w:spacing w:before="0"/>
              <w:jc w:val="center"/>
              <w:rPr>
                <w:rFonts w:ascii="Arial Narrow" w:hAnsi="Arial Narrow"/>
                <w:i/>
                <w:sz w:val="20"/>
                <w:szCs w:val="20"/>
              </w:rPr>
            </w:pPr>
            <w:r w:rsidRPr="000F5269">
              <w:rPr>
                <w:rFonts w:ascii="Arial Narrow" w:hAnsi="Arial Narrow"/>
                <w:i/>
                <w:sz w:val="20"/>
                <w:szCs w:val="20"/>
              </w:rPr>
              <w:t>$11,313.23</w:t>
            </w:r>
          </w:p>
        </w:tc>
        <w:tc>
          <w:tcPr>
            <w:tcW w:w="631" w:type="pct"/>
            <w:tcBorders>
              <w:top w:val="nil"/>
              <w:bottom w:val="nil"/>
            </w:tcBorders>
          </w:tcPr>
          <w:p w14:paraId="3623039C" w14:textId="515EB539" w:rsidR="00A901D4" w:rsidRPr="00D76EFB" w:rsidRDefault="00F131BB" w:rsidP="00A901D4">
            <w:pPr>
              <w:spacing w:before="0"/>
              <w:jc w:val="center"/>
              <w:rPr>
                <w:rFonts w:ascii="Arial Narrow" w:hAnsi="Arial Narrow"/>
                <w:i/>
                <w:sz w:val="20"/>
                <w:szCs w:val="20"/>
              </w:rPr>
            </w:pPr>
            <w:r w:rsidRPr="000F5269">
              <w:rPr>
                <w:rFonts w:ascii="Arial Narrow" w:hAnsi="Arial Narrow"/>
                <w:i/>
                <w:sz w:val="20"/>
                <w:szCs w:val="20"/>
              </w:rPr>
              <w:t>0.4349</w:t>
            </w:r>
          </w:p>
        </w:tc>
        <w:tc>
          <w:tcPr>
            <w:tcW w:w="904" w:type="pct"/>
            <w:tcBorders>
              <w:top w:val="nil"/>
              <w:bottom w:val="nil"/>
            </w:tcBorders>
            <w:vAlign w:val="center"/>
          </w:tcPr>
          <w:p w14:paraId="784E478B" w14:textId="57A3CE2D" w:rsidR="00A901D4" w:rsidRPr="00D76EFB" w:rsidRDefault="00F131BB" w:rsidP="00A901D4">
            <w:pPr>
              <w:spacing w:before="0"/>
              <w:jc w:val="center"/>
              <w:rPr>
                <w:rFonts w:ascii="Arial Narrow" w:hAnsi="Arial Narrow"/>
                <w:i/>
                <w:sz w:val="20"/>
                <w:szCs w:val="20"/>
              </w:rPr>
            </w:pPr>
            <w:r w:rsidRPr="000F5269">
              <w:rPr>
                <w:rFonts w:ascii="Arial Narrow" w:hAnsi="Arial Narrow"/>
                <w:i/>
                <w:iCs/>
                <w:sz w:val="20"/>
                <w:szCs w:val="20"/>
              </w:rPr>
              <w:t>$26,017.26</w:t>
            </w:r>
          </w:p>
        </w:tc>
        <w:tc>
          <w:tcPr>
            <w:tcW w:w="619" w:type="pct"/>
            <w:tcBorders>
              <w:top w:val="nil"/>
              <w:bottom w:val="nil"/>
            </w:tcBorders>
          </w:tcPr>
          <w:p w14:paraId="6E1B9176" w14:textId="3D82A752" w:rsidR="00A901D4" w:rsidRDefault="00F131BB" w:rsidP="00A901D4">
            <w:pPr>
              <w:spacing w:before="0"/>
              <w:jc w:val="center"/>
              <w:rPr>
                <w:rFonts w:ascii="Arial Narrow" w:hAnsi="Arial Narrow"/>
                <w:i/>
                <w:iCs/>
                <w:sz w:val="20"/>
                <w:szCs w:val="20"/>
              </w:rPr>
            </w:pPr>
            <w:r w:rsidRPr="000F5269">
              <w:rPr>
                <w:rFonts w:ascii="Arial Narrow" w:hAnsi="Arial Narrow"/>
                <w:i/>
                <w:iCs/>
                <w:sz w:val="20"/>
                <w:szCs w:val="20"/>
              </w:rPr>
              <w:t>244.42%</w:t>
            </w:r>
          </w:p>
        </w:tc>
      </w:tr>
      <w:tr w:rsidR="00A901D4" w:rsidRPr="00532CD8" w14:paraId="58FEB1B4" w14:textId="77777777" w:rsidTr="00AE36DD">
        <w:tc>
          <w:tcPr>
            <w:tcW w:w="2092" w:type="pct"/>
            <w:tcBorders>
              <w:top w:val="nil"/>
            </w:tcBorders>
          </w:tcPr>
          <w:p w14:paraId="24FC0C3E" w14:textId="38FAFC52" w:rsidR="00A901D4" w:rsidRPr="00D76EFB" w:rsidRDefault="00A901D4" w:rsidP="00CD0D7F">
            <w:pPr>
              <w:spacing w:before="0"/>
              <w:ind w:left="340"/>
              <w:rPr>
                <w:rFonts w:ascii="Arial Narrow" w:hAnsi="Arial Narrow"/>
                <w:i/>
                <w:sz w:val="20"/>
                <w:szCs w:val="20"/>
              </w:rPr>
            </w:pPr>
            <w:r w:rsidRPr="008667AB">
              <w:rPr>
                <w:rFonts w:ascii="Arial Narrow" w:hAnsi="Arial Narrow"/>
                <w:i/>
                <w:iCs/>
                <w:sz w:val="20"/>
                <w:szCs w:val="20"/>
              </w:rPr>
              <w:t xml:space="preserve">Applied for </w:t>
            </w:r>
            <w:r>
              <w:rPr>
                <w:rFonts w:ascii="Arial Narrow" w:hAnsi="Arial Narrow"/>
                <w:i/>
                <w:iCs/>
                <w:sz w:val="20"/>
                <w:szCs w:val="20"/>
              </w:rPr>
              <w:t>1</w:t>
            </w:r>
            <w:r w:rsidRPr="008667AB">
              <w:rPr>
                <w:rFonts w:ascii="Arial Narrow" w:hAnsi="Arial Narrow"/>
                <w:i/>
                <w:iCs/>
                <w:sz w:val="20"/>
                <w:szCs w:val="20"/>
              </w:rPr>
              <w:t>5 years</w:t>
            </w:r>
          </w:p>
        </w:tc>
        <w:tc>
          <w:tcPr>
            <w:tcW w:w="754" w:type="pct"/>
            <w:tcBorders>
              <w:top w:val="nil"/>
            </w:tcBorders>
          </w:tcPr>
          <w:p w14:paraId="746E6FF3" w14:textId="5859DA9E" w:rsidR="00A901D4" w:rsidRPr="00D76EFB" w:rsidRDefault="00F131BB" w:rsidP="00A901D4">
            <w:pPr>
              <w:spacing w:before="0"/>
              <w:jc w:val="center"/>
              <w:rPr>
                <w:rFonts w:ascii="Arial Narrow" w:hAnsi="Arial Narrow"/>
                <w:i/>
                <w:sz w:val="20"/>
                <w:szCs w:val="20"/>
              </w:rPr>
            </w:pPr>
            <w:r w:rsidRPr="000F5269">
              <w:rPr>
                <w:rFonts w:ascii="Arial Narrow" w:hAnsi="Arial Narrow"/>
                <w:i/>
                <w:sz w:val="20"/>
                <w:szCs w:val="20"/>
              </w:rPr>
              <w:t>$9,854.35</w:t>
            </w:r>
          </w:p>
        </w:tc>
        <w:tc>
          <w:tcPr>
            <w:tcW w:w="631" w:type="pct"/>
            <w:tcBorders>
              <w:top w:val="nil"/>
            </w:tcBorders>
          </w:tcPr>
          <w:p w14:paraId="4BC9BDC7" w14:textId="0A24B379" w:rsidR="00A901D4" w:rsidRPr="00D76EFB" w:rsidRDefault="00F131BB" w:rsidP="00A901D4">
            <w:pPr>
              <w:spacing w:before="0"/>
              <w:jc w:val="center"/>
              <w:rPr>
                <w:rFonts w:ascii="Arial Narrow" w:hAnsi="Arial Narrow"/>
                <w:i/>
                <w:sz w:val="20"/>
                <w:szCs w:val="20"/>
              </w:rPr>
            </w:pPr>
            <w:r w:rsidRPr="000F5269">
              <w:rPr>
                <w:rFonts w:ascii="Arial Narrow" w:hAnsi="Arial Narrow"/>
                <w:i/>
                <w:sz w:val="20"/>
                <w:szCs w:val="20"/>
              </w:rPr>
              <w:t>0.5823</w:t>
            </w:r>
          </w:p>
        </w:tc>
        <w:tc>
          <w:tcPr>
            <w:tcW w:w="904" w:type="pct"/>
            <w:tcBorders>
              <w:top w:val="nil"/>
            </w:tcBorders>
            <w:vAlign w:val="center"/>
          </w:tcPr>
          <w:p w14:paraId="158268EA" w14:textId="422969FE" w:rsidR="00A901D4" w:rsidRPr="00D76EFB" w:rsidRDefault="00F131BB" w:rsidP="00A901D4">
            <w:pPr>
              <w:spacing w:before="0"/>
              <w:jc w:val="center"/>
              <w:rPr>
                <w:rFonts w:ascii="Arial Narrow" w:hAnsi="Arial Narrow"/>
                <w:i/>
                <w:sz w:val="20"/>
                <w:szCs w:val="20"/>
              </w:rPr>
            </w:pPr>
            <w:r w:rsidRPr="000F5269">
              <w:rPr>
                <w:rFonts w:ascii="Arial Narrow" w:hAnsi="Arial Narrow"/>
                <w:i/>
                <w:iCs/>
                <w:sz w:val="20"/>
                <w:szCs w:val="20"/>
              </w:rPr>
              <w:t>$16,922.75</w:t>
            </w:r>
          </w:p>
        </w:tc>
        <w:tc>
          <w:tcPr>
            <w:tcW w:w="619" w:type="pct"/>
            <w:tcBorders>
              <w:top w:val="nil"/>
            </w:tcBorders>
          </w:tcPr>
          <w:p w14:paraId="46FFA8E2" w14:textId="44EF622E" w:rsidR="00A901D4" w:rsidRDefault="00F131BB" w:rsidP="00A901D4">
            <w:pPr>
              <w:spacing w:before="0"/>
              <w:jc w:val="center"/>
              <w:rPr>
                <w:rFonts w:ascii="Arial Narrow" w:hAnsi="Arial Narrow"/>
                <w:i/>
                <w:iCs/>
                <w:sz w:val="20"/>
                <w:szCs w:val="20"/>
              </w:rPr>
            </w:pPr>
            <w:r w:rsidRPr="000F5269">
              <w:rPr>
                <w:rFonts w:ascii="Arial Narrow" w:hAnsi="Arial Narrow"/>
                <w:i/>
                <w:iCs/>
                <w:sz w:val="20"/>
                <w:szCs w:val="20"/>
              </w:rPr>
              <w:t>124.02%</w:t>
            </w:r>
          </w:p>
        </w:tc>
      </w:tr>
      <w:tr w:rsidR="005A6DEA" w:rsidRPr="00B24BD8" w14:paraId="457C79DB" w14:textId="77777777" w:rsidTr="00AE36DD">
        <w:tc>
          <w:tcPr>
            <w:tcW w:w="5000" w:type="pct"/>
            <w:gridSpan w:val="5"/>
          </w:tcPr>
          <w:p w14:paraId="2E45C3FD" w14:textId="42B9CDCF" w:rsidR="005A6DEA" w:rsidRPr="002F0874" w:rsidRDefault="005A6DEA" w:rsidP="00AE36DD">
            <w:pPr>
              <w:spacing w:before="0"/>
              <w:rPr>
                <w:rFonts w:ascii="Arial Narrow" w:hAnsi="Arial Narrow"/>
                <w:b/>
                <w:bCs/>
                <w:sz w:val="20"/>
                <w:szCs w:val="20"/>
              </w:rPr>
            </w:pPr>
            <w:r w:rsidRPr="005A6DEA">
              <w:rPr>
                <w:rFonts w:ascii="Arial Narrow" w:hAnsi="Arial Narrow"/>
                <w:b/>
                <w:bCs/>
                <w:sz w:val="20"/>
                <w:szCs w:val="20"/>
              </w:rPr>
              <w:t>Applicant’s pre-MSAC multivariate sensitivity analyses</w:t>
            </w:r>
            <w:r w:rsidR="00D55B5B">
              <w:rPr>
                <w:rFonts w:ascii="Arial Narrow" w:hAnsi="Arial Narrow"/>
                <w:b/>
                <w:bCs/>
                <w:sz w:val="20"/>
                <w:szCs w:val="20"/>
              </w:rPr>
              <w:t>***</w:t>
            </w:r>
          </w:p>
        </w:tc>
      </w:tr>
      <w:tr w:rsidR="0005158C" w:rsidRPr="00B24BD8" w14:paraId="5AEE7EA5" w14:textId="77777777" w:rsidTr="00AE36DD">
        <w:tc>
          <w:tcPr>
            <w:tcW w:w="2092" w:type="pct"/>
            <w:tcBorders>
              <w:top w:val="single" w:sz="4" w:space="0" w:color="auto"/>
            </w:tcBorders>
          </w:tcPr>
          <w:p w14:paraId="16169619" w14:textId="062232C7" w:rsidR="0005158C" w:rsidRPr="004C22E6" w:rsidRDefault="0005158C" w:rsidP="0005158C">
            <w:pPr>
              <w:spacing w:before="0"/>
              <w:rPr>
                <w:rFonts w:ascii="Arial Narrow" w:hAnsi="Arial Narrow"/>
                <w:b/>
                <w:bCs/>
                <w:sz w:val="20"/>
                <w:szCs w:val="20"/>
              </w:rPr>
            </w:pPr>
            <w:r w:rsidRPr="00813660">
              <w:rPr>
                <w:rFonts w:ascii="Arial Narrow" w:hAnsi="Arial Narrow"/>
                <w:sz w:val="20"/>
                <w:szCs w:val="20"/>
              </w:rPr>
              <w:t>Scenario I (Criteria I, II a, III)</w:t>
            </w:r>
          </w:p>
        </w:tc>
        <w:tc>
          <w:tcPr>
            <w:tcW w:w="754" w:type="pct"/>
            <w:tcBorders>
              <w:top w:val="single" w:sz="4" w:space="0" w:color="auto"/>
            </w:tcBorders>
            <w:vAlign w:val="center"/>
          </w:tcPr>
          <w:p w14:paraId="7B88FE0B" w14:textId="6902A61A" w:rsidR="0005158C" w:rsidRPr="00D76EFB" w:rsidRDefault="0005158C" w:rsidP="0005158C">
            <w:pPr>
              <w:spacing w:before="0"/>
              <w:jc w:val="center"/>
              <w:rPr>
                <w:rFonts w:ascii="Arial Narrow" w:hAnsi="Arial Narrow"/>
                <w:b/>
                <w:sz w:val="20"/>
                <w:szCs w:val="20"/>
              </w:rPr>
            </w:pPr>
            <w:r w:rsidRPr="00350A70">
              <w:rPr>
                <w:rFonts w:ascii="Arial Narrow" w:hAnsi="Arial Narrow"/>
                <w:bCs/>
                <w:sz w:val="20"/>
                <w:szCs w:val="20"/>
              </w:rPr>
              <w:t>$10,089.00</w:t>
            </w:r>
          </w:p>
        </w:tc>
        <w:tc>
          <w:tcPr>
            <w:tcW w:w="631" w:type="pct"/>
            <w:tcBorders>
              <w:top w:val="single" w:sz="4" w:space="0" w:color="auto"/>
            </w:tcBorders>
            <w:vAlign w:val="center"/>
          </w:tcPr>
          <w:p w14:paraId="5186D857" w14:textId="25AB1AEC" w:rsidR="0005158C" w:rsidRPr="00D76EFB" w:rsidRDefault="0005158C" w:rsidP="0005158C">
            <w:pPr>
              <w:spacing w:before="0"/>
              <w:jc w:val="center"/>
              <w:rPr>
                <w:rFonts w:ascii="Arial Narrow" w:hAnsi="Arial Narrow"/>
                <w:b/>
                <w:sz w:val="20"/>
                <w:szCs w:val="20"/>
              </w:rPr>
            </w:pPr>
            <w:r w:rsidRPr="00350A70">
              <w:rPr>
                <w:rFonts w:ascii="Arial Narrow" w:hAnsi="Arial Narrow"/>
                <w:bCs/>
                <w:sz w:val="20"/>
                <w:szCs w:val="20"/>
              </w:rPr>
              <w:t>0.91</w:t>
            </w:r>
          </w:p>
        </w:tc>
        <w:tc>
          <w:tcPr>
            <w:tcW w:w="904" w:type="pct"/>
            <w:tcBorders>
              <w:top w:val="single" w:sz="4" w:space="0" w:color="auto"/>
            </w:tcBorders>
            <w:vAlign w:val="center"/>
          </w:tcPr>
          <w:p w14:paraId="3D26749F" w14:textId="3034A3A8" w:rsidR="0005158C" w:rsidRPr="00D76EFB" w:rsidRDefault="0005158C" w:rsidP="0005158C">
            <w:pPr>
              <w:spacing w:before="0"/>
              <w:jc w:val="center"/>
              <w:rPr>
                <w:rFonts w:ascii="Arial Narrow" w:hAnsi="Arial Narrow"/>
                <w:b/>
                <w:sz w:val="20"/>
                <w:szCs w:val="20"/>
              </w:rPr>
            </w:pPr>
            <w:r w:rsidRPr="00350A70">
              <w:rPr>
                <w:rFonts w:ascii="Arial Narrow" w:hAnsi="Arial Narrow"/>
                <w:bCs/>
                <w:sz w:val="20"/>
                <w:szCs w:val="20"/>
              </w:rPr>
              <w:t>$11,123.65</w:t>
            </w:r>
          </w:p>
        </w:tc>
        <w:tc>
          <w:tcPr>
            <w:tcW w:w="619" w:type="pct"/>
            <w:tcBorders>
              <w:top w:val="single" w:sz="4" w:space="0" w:color="auto"/>
            </w:tcBorders>
            <w:vAlign w:val="center"/>
          </w:tcPr>
          <w:p w14:paraId="0754CAA3" w14:textId="6E77284A" w:rsidR="0005158C" w:rsidRPr="002F0874" w:rsidRDefault="0005158C" w:rsidP="0005158C">
            <w:pPr>
              <w:spacing w:before="0"/>
              <w:jc w:val="center"/>
              <w:rPr>
                <w:rFonts w:ascii="Arial Narrow" w:hAnsi="Arial Narrow"/>
                <w:b/>
                <w:bCs/>
                <w:sz w:val="20"/>
                <w:szCs w:val="20"/>
              </w:rPr>
            </w:pPr>
            <w:r w:rsidRPr="00350A70">
              <w:rPr>
                <w:rFonts w:ascii="Arial Narrow" w:hAnsi="Arial Narrow"/>
                <w:bCs/>
                <w:sz w:val="20"/>
                <w:szCs w:val="20"/>
              </w:rPr>
              <w:t>47.3%</w:t>
            </w:r>
          </w:p>
        </w:tc>
      </w:tr>
      <w:tr w:rsidR="0005158C" w:rsidRPr="00B24BD8" w14:paraId="30532188" w14:textId="77777777" w:rsidTr="00AE36DD">
        <w:tc>
          <w:tcPr>
            <w:tcW w:w="2092" w:type="pct"/>
            <w:tcBorders>
              <w:top w:val="single" w:sz="4" w:space="0" w:color="auto"/>
            </w:tcBorders>
          </w:tcPr>
          <w:p w14:paraId="21BC641A" w14:textId="6C518AED" w:rsidR="0005158C" w:rsidRPr="004C22E6" w:rsidRDefault="0005158C" w:rsidP="0005158C">
            <w:pPr>
              <w:spacing w:before="0"/>
              <w:rPr>
                <w:rFonts w:ascii="Arial Narrow" w:hAnsi="Arial Narrow"/>
                <w:b/>
                <w:bCs/>
                <w:sz w:val="20"/>
                <w:szCs w:val="20"/>
              </w:rPr>
            </w:pPr>
            <w:r w:rsidRPr="00813660">
              <w:rPr>
                <w:rFonts w:ascii="Arial Narrow" w:hAnsi="Arial Narrow"/>
                <w:sz w:val="20"/>
                <w:szCs w:val="20"/>
              </w:rPr>
              <w:t>Scenario 2 (Criteria I, II a)</w:t>
            </w:r>
          </w:p>
        </w:tc>
        <w:tc>
          <w:tcPr>
            <w:tcW w:w="754" w:type="pct"/>
            <w:tcBorders>
              <w:top w:val="single" w:sz="4" w:space="0" w:color="auto"/>
            </w:tcBorders>
            <w:vAlign w:val="center"/>
          </w:tcPr>
          <w:p w14:paraId="5358F443" w14:textId="0F4BA39B" w:rsidR="0005158C" w:rsidRPr="00D76EFB" w:rsidRDefault="0005158C" w:rsidP="0005158C">
            <w:pPr>
              <w:spacing w:before="0"/>
              <w:jc w:val="center"/>
              <w:rPr>
                <w:rFonts w:ascii="Arial Narrow" w:hAnsi="Arial Narrow"/>
                <w:b/>
                <w:sz w:val="20"/>
                <w:szCs w:val="20"/>
              </w:rPr>
            </w:pPr>
            <w:r w:rsidRPr="00350A70">
              <w:rPr>
                <w:rFonts w:ascii="Arial Narrow" w:hAnsi="Arial Narrow"/>
                <w:bCs/>
                <w:sz w:val="20"/>
                <w:szCs w:val="20"/>
              </w:rPr>
              <w:t>$8,735.03</w:t>
            </w:r>
          </w:p>
        </w:tc>
        <w:tc>
          <w:tcPr>
            <w:tcW w:w="631" w:type="pct"/>
            <w:tcBorders>
              <w:top w:val="single" w:sz="4" w:space="0" w:color="auto"/>
            </w:tcBorders>
            <w:vAlign w:val="center"/>
          </w:tcPr>
          <w:p w14:paraId="169F9EBC" w14:textId="63D02E60" w:rsidR="0005158C" w:rsidRPr="00D76EFB" w:rsidRDefault="0005158C" w:rsidP="0005158C">
            <w:pPr>
              <w:spacing w:before="0"/>
              <w:jc w:val="center"/>
              <w:rPr>
                <w:rFonts w:ascii="Arial Narrow" w:hAnsi="Arial Narrow"/>
                <w:b/>
                <w:sz w:val="20"/>
                <w:szCs w:val="20"/>
              </w:rPr>
            </w:pPr>
            <w:r w:rsidRPr="00350A70">
              <w:rPr>
                <w:rFonts w:ascii="Arial Narrow" w:hAnsi="Arial Narrow"/>
                <w:bCs/>
                <w:sz w:val="20"/>
                <w:szCs w:val="20"/>
              </w:rPr>
              <w:t>0.99</w:t>
            </w:r>
          </w:p>
        </w:tc>
        <w:tc>
          <w:tcPr>
            <w:tcW w:w="904" w:type="pct"/>
            <w:tcBorders>
              <w:top w:val="single" w:sz="4" w:space="0" w:color="auto"/>
            </w:tcBorders>
            <w:vAlign w:val="center"/>
          </w:tcPr>
          <w:p w14:paraId="04995776" w14:textId="448FF423" w:rsidR="0005158C" w:rsidRPr="00D76EFB" w:rsidRDefault="0005158C" w:rsidP="0005158C">
            <w:pPr>
              <w:spacing w:before="0"/>
              <w:jc w:val="center"/>
              <w:rPr>
                <w:rFonts w:ascii="Arial Narrow" w:hAnsi="Arial Narrow"/>
                <w:b/>
                <w:sz w:val="20"/>
                <w:szCs w:val="20"/>
              </w:rPr>
            </w:pPr>
            <w:r w:rsidRPr="00350A70">
              <w:rPr>
                <w:rFonts w:ascii="Arial Narrow" w:hAnsi="Arial Narrow"/>
                <w:bCs/>
                <w:sz w:val="20"/>
                <w:szCs w:val="20"/>
              </w:rPr>
              <w:t>$8,832.15</w:t>
            </w:r>
          </w:p>
        </w:tc>
        <w:tc>
          <w:tcPr>
            <w:tcW w:w="619" w:type="pct"/>
            <w:tcBorders>
              <w:top w:val="single" w:sz="4" w:space="0" w:color="auto"/>
            </w:tcBorders>
            <w:vAlign w:val="center"/>
          </w:tcPr>
          <w:p w14:paraId="09BCF016" w14:textId="6195C5B2" w:rsidR="0005158C" w:rsidRPr="002F0874" w:rsidRDefault="0005158C" w:rsidP="0005158C">
            <w:pPr>
              <w:spacing w:before="0"/>
              <w:jc w:val="center"/>
              <w:rPr>
                <w:rFonts w:ascii="Arial Narrow" w:hAnsi="Arial Narrow"/>
                <w:b/>
                <w:bCs/>
                <w:sz w:val="20"/>
                <w:szCs w:val="20"/>
              </w:rPr>
            </w:pPr>
            <w:r w:rsidRPr="00350A70">
              <w:rPr>
                <w:rFonts w:ascii="Arial Narrow" w:hAnsi="Arial Narrow"/>
                <w:bCs/>
                <w:sz w:val="20"/>
                <w:szCs w:val="20"/>
              </w:rPr>
              <w:t>16.9%</w:t>
            </w:r>
          </w:p>
        </w:tc>
      </w:tr>
      <w:tr w:rsidR="0005158C" w:rsidRPr="00B24BD8" w14:paraId="60309D8D" w14:textId="77777777" w:rsidTr="00AE36DD">
        <w:tc>
          <w:tcPr>
            <w:tcW w:w="2092" w:type="pct"/>
            <w:tcBorders>
              <w:top w:val="single" w:sz="4" w:space="0" w:color="auto"/>
            </w:tcBorders>
          </w:tcPr>
          <w:p w14:paraId="4CF01155" w14:textId="49CE157B" w:rsidR="0005158C" w:rsidRPr="004C22E6" w:rsidRDefault="0005158C" w:rsidP="0005158C">
            <w:pPr>
              <w:spacing w:before="0"/>
              <w:rPr>
                <w:rFonts w:ascii="Arial Narrow" w:hAnsi="Arial Narrow"/>
                <w:b/>
                <w:bCs/>
                <w:sz w:val="20"/>
                <w:szCs w:val="20"/>
              </w:rPr>
            </w:pPr>
            <w:r w:rsidRPr="00813660">
              <w:rPr>
                <w:rFonts w:ascii="Arial Narrow" w:hAnsi="Arial Narrow"/>
                <w:sz w:val="20"/>
                <w:szCs w:val="20"/>
              </w:rPr>
              <w:t>Scenario 3 (Criteria I, II b)</w:t>
            </w:r>
          </w:p>
        </w:tc>
        <w:tc>
          <w:tcPr>
            <w:tcW w:w="754" w:type="pct"/>
            <w:tcBorders>
              <w:top w:val="single" w:sz="4" w:space="0" w:color="auto"/>
            </w:tcBorders>
            <w:vAlign w:val="center"/>
          </w:tcPr>
          <w:p w14:paraId="30D5BD5A" w14:textId="021AE508" w:rsidR="0005158C" w:rsidRPr="00D76EFB" w:rsidRDefault="0005158C" w:rsidP="0005158C">
            <w:pPr>
              <w:spacing w:before="0"/>
              <w:jc w:val="center"/>
              <w:rPr>
                <w:rFonts w:ascii="Arial Narrow" w:hAnsi="Arial Narrow"/>
                <w:b/>
                <w:sz w:val="20"/>
                <w:szCs w:val="20"/>
              </w:rPr>
            </w:pPr>
            <w:r w:rsidRPr="00350A70">
              <w:rPr>
                <w:rFonts w:ascii="Arial Narrow" w:hAnsi="Arial Narrow"/>
                <w:bCs/>
                <w:sz w:val="20"/>
                <w:szCs w:val="20"/>
              </w:rPr>
              <w:t>$12,245.06</w:t>
            </w:r>
          </w:p>
        </w:tc>
        <w:tc>
          <w:tcPr>
            <w:tcW w:w="631" w:type="pct"/>
            <w:tcBorders>
              <w:top w:val="single" w:sz="4" w:space="0" w:color="auto"/>
            </w:tcBorders>
            <w:vAlign w:val="center"/>
          </w:tcPr>
          <w:p w14:paraId="12CDE683" w14:textId="5CD1131C" w:rsidR="0005158C" w:rsidRPr="00D76EFB" w:rsidRDefault="0005158C" w:rsidP="0005158C">
            <w:pPr>
              <w:spacing w:before="0"/>
              <w:jc w:val="center"/>
              <w:rPr>
                <w:rFonts w:ascii="Arial Narrow" w:hAnsi="Arial Narrow"/>
                <w:b/>
                <w:sz w:val="20"/>
                <w:szCs w:val="20"/>
              </w:rPr>
            </w:pPr>
            <w:r w:rsidRPr="00350A70">
              <w:rPr>
                <w:rFonts w:ascii="Arial Narrow" w:hAnsi="Arial Narrow"/>
                <w:bCs/>
                <w:sz w:val="20"/>
                <w:szCs w:val="20"/>
              </w:rPr>
              <w:t>0.99</w:t>
            </w:r>
          </w:p>
        </w:tc>
        <w:tc>
          <w:tcPr>
            <w:tcW w:w="904" w:type="pct"/>
            <w:tcBorders>
              <w:top w:val="single" w:sz="4" w:space="0" w:color="auto"/>
            </w:tcBorders>
            <w:vAlign w:val="center"/>
          </w:tcPr>
          <w:p w14:paraId="0010E7A4" w14:textId="5BD703A5" w:rsidR="0005158C" w:rsidRPr="00D76EFB" w:rsidRDefault="0005158C" w:rsidP="0005158C">
            <w:pPr>
              <w:spacing w:before="0"/>
              <w:jc w:val="center"/>
              <w:rPr>
                <w:rFonts w:ascii="Arial Narrow" w:hAnsi="Arial Narrow"/>
                <w:b/>
                <w:sz w:val="20"/>
                <w:szCs w:val="20"/>
              </w:rPr>
            </w:pPr>
            <w:r w:rsidRPr="00350A70">
              <w:rPr>
                <w:rFonts w:ascii="Arial Narrow" w:hAnsi="Arial Narrow"/>
                <w:bCs/>
                <w:sz w:val="20"/>
                <w:szCs w:val="20"/>
              </w:rPr>
              <w:t>$12,381.21</w:t>
            </w:r>
          </w:p>
        </w:tc>
        <w:tc>
          <w:tcPr>
            <w:tcW w:w="619" w:type="pct"/>
            <w:tcBorders>
              <w:top w:val="single" w:sz="4" w:space="0" w:color="auto"/>
            </w:tcBorders>
            <w:vAlign w:val="center"/>
          </w:tcPr>
          <w:p w14:paraId="23932CF6" w14:textId="62B3C60D" w:rsidR="0005158C" w:rsidRPr="002F0874" w:rsidRDefault="0005158C" w:rsidP="0005158C">
            <w:pPr>
              <w:spacing w:before="0"/>
              <w:jc w:val="center"/>
              <w:rPr>
                <w:rFonts w:ascii="Arial Narrow" w:hAnsi="Arial Narrow"/>
                <w:b/>
                <w:bCs/>
                <w:sz w:val="20"/>
                <w:szCs w:val="20"/>
              </w:rPr>
            </w:pPr>
            <w:r w:rsidRPr="00350A70">
              <w:rPr>
                <w:rFonts w:ascii="Arial Narrow" w:hAnsi="Arial Narrow"/>
                <w:bCs/>
                <w:sz w:val="20"/>
                <w:szCs w:val="20"/>
              </w:rPr>
              <w:t>63.9%</w:t>
            </w:r>
          </w:p>
        </w:tc>
      </w:tr>
      <w:tr w:rsidR="0005158C" w:rsidRPr="00B24BD8" w14:paraId="28479EB8" w14:textId="77777777" w:rsidTr="00AE36DD">
        <w:tc>
          <w:tcPr>
            <w:tcW w:w="2092" w:type="pct"/>
            <w:tcBorders>
              <w:top w:val="single" w:sz="4" w:space="0" w:color="auto"/>
            </w:tcBorders>
          </w:tcPr>
          <w:p w14:paraId="324681AE" w14:textId="25C1DD41" w:rsidR="0005158C" w:rsidRPr="004C22E6" w:rsidRDefault="0005158C" w:rsidP="0005158C">
            <w:pPr>
              <w:spacing w:before="0"/>
              <w:rPr>
                <w:rFonts w:ascii="Arial Narrow" w:hAnsi="Arial Narrow"/>
                <w:b/>
                <w:bCs/>
                <w:sz w:val="20"/>
                <w:szCs w:val="20"/>
              </w:rPr>
            </w:pPr>
            <w:r w:rsidRPr="00813660">
              <w:rPr>
                <w:rFonts w:ascii="Arial Narrow" w:hAnsi="Arial Narrow"/>
                <w:sz w:val="20"/>
                <w:szCs w:val="20"/>
              </w:rPr>
              <w:t>Scenario 4 (Criteria I, II b, III)</w:t>
            </w:r>
          </w:p>
        </w:tc>
        <w:tc>
          <w:tcPr>
            <w:tcW w:w="754" w:type="pct"/>
            <w:tcBorders>
              <w:top w:val="single" w:sz="4" w:space="0" w:color="auto"/>
            </w:tcBorders>
            <w:vAlign w:val="center"/>
          </w:tcPr>
          <w:p w14:paraId="55E9C81A" w14:textId="1951DC1C" w:rsidR="0005158C" w:rsidRPr="00D76EFB" w:rsidRDefault="0005158C" w:rsidP="0005158C">
            <w:pPr>
              <w:spacing w:before="0"/>
              <w:jc w:val="center"/>
              <w:rPr>
                <w:rFonts w:ascii="Arial Narrow" w:hAnsi="Arial Narrow"/>
                <w:b/>
                <w:sz w:val="20"/>
                <w:szCs w:val="20"/>
              </w:rPr>
            </w:pPr>
            <w:r w:rsidRPr="00350A70">
              <w:rPr>
                <w:rFonts w:ascii="Arial Narrow" w:hAnsi="Arial Narrow"/>
                <w:bCs/>
                <w:sz w:val="20"/>
                <w:szCs w:val="20"/>
              </w:rPr>
              <w:t>$13,599.03</w:t>
            </w:r>
          </w:p>
        </w:tc>
        <w:tc>
          <w:tcPr>
            <w:tcW w:w="631" w:type="pct"/>
            <w:tcBorders>
              <w:top w:val="single" w:sz="4" w:space="0" w:color="auto"/>
            </w:tcBorders>
            <w:vAlign w:val="center"/>
          </w:tcPr>
          <w:p w14:paraId="04AE69C3" w14:textId="7475DB4F" w:rsidR="0005158C" w:rsidRPr="00D76EFB" w:rsidRDefault="0005158C" w:rsidP="0005158C">
            <w:pPr>
              <w:spacing w:before="0"/>
              <w:jc w:val="center"/>
              <w:rPr>
                <w:rFonts w:ascii="Arial Narrow" w:hAnsi="Arial Narrow"/>
                <w:b/>
                <w:sz w:val="20"/>
                <w:szCs w:val="20"/>
              </w:rPr>
            </w:pPr>
            <w:r w:rsidRPr="00350A70">
              <w:rPr>
                <w:rFonts w:ascii="Arial Narrow" w:hAnsi="Arial Narrow"/>
                <w:bCs/>
                <w:sz w:val="20"/>
                <w:szCs w:val="20"/>
              </w:rPr>
              <w:t>0.91</w:t>
            </w:r>
          </w:p>
        </w:tc>
        <w:tc>
          <w:tcPr>
            <w:tcW w:w="904" w:type="pct"/>
            <w:tcBorders>
              <w:top w:val="single" w:sz="4" w:space="0" w:color="auto"/>
            </w:tcBorders>
            <w:vAlign w:val="center"/>
          </w:tcPr>
          <w:p w14:paraId="321C08ED" w14:textId="686B6E4B" w:rsidR="0005158C" w:rsidRPr="00D76EFB" w:rsidRDefault="0005158C" w:rsidP="0005158C">
            <w:pPr>
              <w:spacing w:before="0"/>
              <w:jc w:val="center"/>
              <w:rPr>
                <w:rFonts w:ascii="Arial Narrow" w:hAnsi="Arial Narrow"/>
                <w:b/>
                <w:sz w:val="20"/>
                <w:szCs w:val="20"/>
              </w:rPr>
            </w:pPr>
            <w:r w:rsidRPr="00350A70">
              <w:rPr>
                <w:rFonts w:ascii="Arial Narrow" w:hAnsi="Arial Narrow"/>
                <w:bCs/>
                <w:sz w:val="20"/>
                <w:szCs w:val="20"/>
              </w:rPr>
              <w:t>$14,993.64</w:t>
            </w:r>
          </w:p>
        </w:tc>
        <w:tc>
          <w:tcPr>
            <w:tcW w:w="619" w:type="pct"/>
            <w:tcBorders>
              <w:top w:val="single" w:sz="4" w:space="0" w:color="auto"/>
            </w:tcBorders>
            <w:vAlign w:val="center"/>
          </w:tcPr>
          <w:p w14:paraId="788F3094" w14:textId="7C73122D" w:rsidR="0005158C" w:rsidRPr="002F0874" w:rsidRDefault="0005158C" w:rsidP="0005158C">
            <w:pPr>
              <w:spacing w:before="0"/>
              <w:jc w:val="center"/>
              <w:rPr>
                <w:rFonts w:ascii="Arial Narrow" w:hAnsi="Arial Narrow"/>
                <w:b/>
                <w:bCs/>
                <w:sz w:val="20"/>
                <w:szCs w:val="20"/>
              </w:rPr>
            </w:pPr>
            <w:r w:rsidRPr="00350A70">
              <w:rPr>
                <w:rFonts w:ascii="Arial Narrow" w:hAnsi="Arial Narrow"/>
                <w:bCs/>
                <w:sz w:val="20"/>
                <w:szCs w:val="20"/>
              </w:rPr>
              <w:t>98.5%</w:t>
            </w:r>
          </w:p>
        </w:tc>
      </w:tr>
      <w:tr w:rsidR="002A2679" w:rsidRPr="002A2679" w14:paraId="448648FD" w14:textId="77777777" w:rsidTr="00AE36DD">
        <w:tc>
          <w:tcPr>
            <w:tcW w:w="2092" w:type="pct"/>
            <w:tcBorders>
              <w:top w:val="single" w:sz="4" w:space="0" w:color="auto"/>
            </w:tcBorders>
          </w:tcPr>
          <w:p w14:paraId="23C9D259" w14:textId="044AC616" w:rsidR="002A2679" w:rsidRPr="00B562DC" w:rsidRDefault="002A2679" w:rsidP="0005158C">
            <w:pPr>
              <w:spacing w:before="0"/>
              <w:rPr>
                <w:rFonts w:ascii="Arial Narrow" w:hAnsi="Arial Narrow"/>
                <w:i/>
                <w:iCs/>
                <w:sz w:val="20"/>
                <w:szCs w:val="20"/>
              </w:rPr>
            </w:pPr>
            <w:r>
              <w:rPr>
                <w:rFonts w:ascii="Arial Narrow" w:hAnsi="Arial Narrow"/>
                <w:i/>
                <w:iCs/>
                <w:sz w:val="20"/>
                <w:szCs w:val="20"/>
              </w:rPr>
              <w:t xml:space="preserve">MSAC </w:t>
            </w:r>
            <w:r w:rsidR="001B5F11">
              <w:rPr>
                <w:rFonts w:ascii="Arial Narrow" w:hAnsi="Arial Narrow"/>
                <w:i/>
                <w:iCs/>
                <w:sz w:val="20"/>
                <w:szCs w:val="20"/>
              </w:rPr>
              <w:t xml:space="preserve">extra analysis </w:t>
            </w:r>
            <w:r w:rsidR="0013215B">
              <w:rPr>
                <w:rFonts w:ascii="Arial Narrow" w:hAnsi="Arial Narrow"/>
                <w:i/>
                <w:iCs/>
                <w:sz w:val="20"/>
                <w:szCs w:val="20"/>
              </w:rPr>
              <w:t>[</w:t>
            </w:r>
            <w:r w:rsidR="001B5F11">
              <w:rPr>
                <w:rFonts w:ascii="Arial Narrow" w:hAnsi="Arial Narrow"/>
                <w:i/>
                <w:iCs/>
                <w:sz w:val="20"/>
                <w:szCs w:val="20"/>
              </w:rPr>
              <w:t xml:space="preserve">Criteria I, IIa and duration of </w:t>
            </w:r>
            <w:r w:rsidR="009356D2">
              <w:rPr>
                <w:rFonts w:ascii="Arial Narrow" w:hAnsi="Arial Narrow"/>
                <w:i/>
                <w:iCs/>
                <w:sz w:val="20"/>
                <w:szCs w:val="20"/>
              </w:rPr>
              <w:t>probability of reintervention=</w:t>
            </w:r>
            <w:r w:rsidR="0013215B">
              <w:rPr>
                <w:rFonts w:ascii="Arial Narrow" w:hAnsi="Arial Narrow"/>
                <w:i/>
                <w:iCs/>
                <w:sz w:val="20"/>
                <w:szCs w:val="20"/>
              </w:rPr>
              <w:t>15 yrs (BC=5 yrs)</w:t>
            </w:r>
          </w:p>
        </w:tc>
        <w:tc>
          <w:tcPr>
            <w:tcW w:w="754" w:type="pct"/>
            <w:tcBorders>
              <w:top w:val="single" w:sz="4" w:space="0" w:color="auto"/>
            </w:tcBorders>
            <w:vAlign w:val="center"/>
          </w:tcPr>
          <w:p w14:paraId="109757EF" w14:textId="6612243E" w:rsidR="002A2679" w:rsidRPr="00B562DC" w:rsidRDefault="004C4E21" w:rsidP="0005158C">
            <w:pPr>
              <w:spacing w:before="0"/>
              <w:jc w:val="center"/>
              <w:rPr>
                <w:rFonts w:ascii="Arial Narrow" w:hAnsi="Arial Narrow"/>
                <w:bCs/>
                <w:i/>
                <w:iCs/>
                <w:sz w:val="20"/>
                <w:szCs w:val="20"/>
              </w:rPr>
            </w:pPr>
            <w:r>
              <w:rPr>
                <w:rFonts w:ascii="Arial Narrow" w:hAnsi="Arial Narrow"/>
                <w:bCs/>
                <w:i/>
                <w:iCs/>
                <w:sz w:val="20"/>
                <w:szCs w:val="20"/>
              </w:rPr>
              <w:t>$13,3</w:t>
            </w:r>
            <w:r w:rsidR="007F546B">
              <w:rPr>
                <w:rFonts w:ascii="Arial Narrow" w:hAnsi="Arial Narrow"/>
                <w:bCs/>
                <w:i/>
                <w:iCs/>
                <w:sz w:val="20"/>
                <w:szCs w:val="20"/>
              </w:rPr>
              <w:t>19.22</w:t>
            </w:r>
          </w:p>
        </w:tc>
        <w:tc>
          <w:tcPr>
            <w:tcW w:w="631" w:type="pct"/>
            <w:tcBorders>
              <w:top w:val="single" w:sz="4" w:space="0" w:color="auto"/>
            </w:tcBorders>
            <w:vAlign w:val="center"/>
          </w:tcPr>
          <w:p w14:paraId="191516C3" w14:textId="7C04D080" w:rsidR="002A2679" w:rsidRPr="00B562DC" w:rsidRDefault="004C4E21" w:rsidP="0005158C">
            <w:pPr>
              <w:spacing w:before="0"/>
              <w:jc w:val="center"/>
              <w:rPr>
                <w:rFonts w:ascii="Arial Narrow" w:hAnsi="Arial Narrow"/>
                <w:bCs/>
                <w:i/>
                <w:iCs/>
                <w:sz w:val="20"/>
                <w:szCs w:val="20"/>
              </w:rPr>
            </w:pPr>
            <w:r>
              <w:rPr>
                <w:rFonts w:ascii="Arial Narrow" w:hAnsi="Arial Narrow"/>
                <w:bCs/>
                <w:i/>
                <w:iCs/>
                <w:sz w:val="20"/>
                <w:szCs w:val="20"/>
              </w:rPr>
              <w:t>0.9</w:t>
            </w:r>
            <w:r w:rsidR="0047011D">
              <w:rPr>
                <w:rFonts w:ascii="Arial Narrow" w:hAnsi="Arial Narrow"/>
                <w:bCs/>
                <w:i/>
                <w:iCs/>
                <w:sz w:val="20"/>
                <w:szCs w:val="20"/>
              </w:rPr>
              <w:t>8</w:t>
            </w:r>
            <w:r>
              <w:rPr>
                <w:rFonts w:ascii="Arial Narrow" w:hAnsi="Arial Narrow"/>
                <w:bCs/>
                <w:i/>
                <w:iCs/>
                <w:sz w:val="20"/>
                <w:szCs w:val="20"/>
              </w:rPr>
              <w:t>9</w:t>
            </w:r>
            <w:r w:rsidR="0047011D">
              <w:rPr>
                <w:rFonts w:ascii="Arial Narrow" w:hAnsi="Arial Narrow"/>
                <w:bCs/>
                <w:i/>
                <w:iCs/>
                <w:sz w:val="20"/>
                <w:szCs w:val="20"/>
              </w:rPr>
              <w:t>0</w:t>
            </w:r>
          </w:p>
        </w:tc>
        <w:tc>
          <w:tcPr>
            <w:tcW w:w="904" w:type="pct"/>
            <w:tcBorders>
              <w:top w:val="single" w:sz="4" w:space="0" w:color="auto"/>
            </w:tcBorders>
            <w:vAlign w:val="center"/>
          </w:tcPr>
          <w:p w14:paraId="5916ED63" w14:textId="27A058C9" w:rsidR="002A2679" w:rsidRPr="00B562DC" w:rsidRDefault="007F546B" w:rsidP="0005158C">
            <w:pPr>
              <w:spacing w:before="0"/>
              <w:jc w:val="center"/>
              <w:rPr>
                <w:rFonts w:ascii="Arial Narrow" w:hAnsi="Arial Narrow"/>
                <w:bCs/>
                <w:i/>
                <w:iCs/>
                <w:sz w:val="20"/>
                <w:szCs w:val="20"/>
              </w:rPr>
            </w:pPr>
            <w:r>
              <w:rPr>
                <w:rFonts w:ascii="Arial Narrow" w:hAnsi="Arial Narrow"/>
                <w:bCs/>
                <w:i/>
                <w:iCs/>
                <w:sz w:val="20"/>
                <w:szCs w:val="20"/>
              </w:rPr>
              <w:t>$13,467.31</w:t>
            </w:r>
          </w:p>
        </w:tc>
        <w:tc>
          <w:tcPr>
            <w:tcW w:w="619" w:type="pct"/>
            <w:tcBorders>
              <w:top w:val="single" w:sz="4" w:space="0" w:color="auto"/>
            </w:tcBorders>
            <w:vAlign w:val="center"/>
          </w:tcPr>
          <w:p w14:paraId="5F9DD1CB" w14:textId="219BCB2A" w:rsidR="002A2679" w:rsidRPr="00B562DC" w:rsidRDefault="00A32CEF" w:rsidP="0005158C">
            <w:pPr>
              <w:spacing w:before="0"/>
              <w:jc w:val="center"/>
              <w:rPr>
                <w:rFonts w:ascii="Arial Narrow" w:hAnsi="Arial Narrow"/>
                <w:bCs/>
                <w:i/>
                <w:iCs/>
                <w:sz w:val="20"/>
                <w:szCs w:val="20"/>
              </w:rPr>
            </w:pPr>
            <w:r>
              <w:rPr>
                <w:rFonts w:ascii="Arial Narrow" w:hAnsi="Arial Narrow"/>
                <w:bCs/>
                <w:i/>
                <w:iCs/>
                <w:sz w:val="20"/>
                <w:szCs w:val="20"/>
              </w:rPr>
              <w:t>78%</w:t>
            </w:r>
          </w:p>
        </w:tc>
      </w:tr>
      <w:tr w:rsidR="00CC786B" w:rsidRPr="00B24BD8" w14:paraId="645F0235" w14:textId="3FF4E9D8" w:rsidTr="00AE36DD">
        <w:tc>
          <w:tcPr>
            <w:tcW w:w="2092" w:type="pct"/>
          </w:tcPr>
          <w:p w14:paraId="6F239BCB" w14:textId="3368056A" w:rsidR="00CC786B" w:rsidRPr="00D76EFB" w:rsidRDefault="00CC786B" w:rsidP="00D76EFB">
            <w:pPr>
              <w:spacing w:before="0"/>
              <w:rPr>
                <w:rFonts w:ascii="Arial Narrow" w:hAnsi="Arial Narrow"/>
                <w:b/>
                <w:sz w:val="20"/>
                <w:szCs w:val="20"/>
              </w:rPr>
            </w:pPr>
            <w:r w:rsidRPr="004C22E6">
              <w:rPr>
                <w:rFonts w:ascii="Arial Narrow" w:hAnsi="Arial Narrow"/>
                <w:b/>
                <w:bCs/>
                <w:sz w:val="20"/>
                <w:szCs w:val="20"/>
              </w:rPr>
              <w:t xml:space="preserve">Obesity </w:t>
            </w:r>
            <w:r>
              <w:rPr>
                <w:rFonts w:ascii="Arial Narrow" w:hAnsi="Arial Narrow"/>
                <w:b/>
                <w:bCs/>
                <w:sz w:val="20"/>
                <w:szCs w:val="20"/>
              </w:rPr>
              <w:t>class</w:t>
            </w:r>
            <w:r w:rsidRPr="004C22E6">
              <w:rPr>
                <w:rFonts w:ascii="Arial Narrow" w:hAnsi="Arial Narrow"/>
                <w:b/>
                <w:bCs/>
                <w:sz w:val="20"/>
                <w:szCs w:val="20"/>
              </w:rPr>
              <w:t xml:space="preserve"> II</w:t>
            </w:r>
            <w:r w:rsidRPr="00603023">
              <w:rPr>
                <w:rFonts w:ascii="Arial Narrow" w:hAnsi="Arial Narrow"/>
                <w:b/>
                <w:bCs/>
                <w:sz w:val="20"/>
                <w:szCs w:val="20"/>
              </w:rPr>
              <w:t xml:space="preserve"> </w:t>
            </w:r>
            <w:r>
              <w:rPr>
                <w:rFonts w:ascii="Arial Narrow" w:hAnsi="Arial Narrow"/>
                <w:b/>
                <w:bCs/>
                <w:sz w:val="20"/>
                <w:szCs w:val="20"/>
              </w:rPr>
              <w:t>(b</w:t>
            </w:r>
            <w:r w:rsidRPr="00D76EFB">
              <w:rPr>
                <w:rFonts w:ascii="Arial Narrow" w:hAnsi="Arial Narrow"/>
                <w:b/>
                <w:sz w:val="20"/>
                <w:szCs w:val="20"/>
              </w:rPr>
              <w:t>ase case</w:t>
            </w:r>
            <w:r>
              <w:rPr>
                <w:rFonts w:ascii="Arial Narrow" w:hAnsi="Arial Narrow"/>
                <w:b/>
                <w:bCs/>
                <w:sz w:val="20"/>
                <w:szCs w:val="20"/>
              </w:rPr>
              <w:t>)</w:t>
            </w:r>
          </w:p>
        </w:tc>
        <w:tc>
          <w:tcPr>
            <w:tcW w:w="754" w:type="pct"/>
          </w:tcPr>
          <w:p w14:paraId="441CBA33" w14:textId="77777777" w:rsidR="00CC786B" w:rsidRPr="00D76EFB" w:rsidRDefault="00CC786B" w:rsidP="00D76EFB">
            <w:pPr>
              <w:spacing w:before="0"/>
              <w:jc w:val="center"/>
              <w:rPr>
                <w:rFonts w:ascii="Arial Narrow" w:hAnsi="Arial Narrow"/>
                <w:b/>
                <w:sz w:val="20"/>
                <w:szCs w:val="20"/>
              </w:rPr>
            </w:pPr>
            <w:r w:rsidRPr="00D76EFB">
              <w:rPr>
                <w:rFonts w:ascii="Arial Narrow" w:hAnsi="Arial Narrow"/>
                <w:b/>
                <w:sz w:val="20"/>
                <w:szCs w:val="20"/>
              </w:rPr>
              <w:t>$12,560.52</w:t>
            </w:r>
          </w:p>
        </w:tc>
        <w:tc>
          <w:tcPr>
            <w:tcW w:w="631" w:type="pct"/>
          </w:tcPr>
          <w:p w14:paraId="1D200F52" w14:textId="77777777" w:rsidR="00CC786B" w:rsidRPr="00D76EFB" w:rsidRDefault="00CC786B" w:rsidP="00D76EFB">
            <w:pPr>
              <w:spacing w:before="0"/>
              <w:jc w:val="center"/>
              <w:rPr>
                <w:rFonts w:ascii="Arial Narrow" w:hAnsi="Arial Narrow"/>
                <w:b/>
                <w:sz w:val="20"/>
                <w:szCs w:val="20"/>
              </w:rPr>
            </w:pPr>
            <w:r w:rsidRPr="00D76EFB">
              <w:rPr>
                <w:rFonts w:ascii="Arial Narrow" w:hAnsi="Arial Narrow"/>
                <w:b/>
                <w:sz w:val="20"/>
                <w:szCs w:val="20"/>
              </w:rPr>
              <w:t>0.9976</w:t>
            </w:r>
          </w:p>
        </w:tc>
        <w:tc>
          <w:tcPr>
            <w:tcW w:w="904" w:type="pct"/>
          </w:tcPr>
          <w:p w14:paraId="71F879A1" w14:textId="00831B48" w:rsidR="00CC786B" w:rsidRPr="00D76EFB" w:rsidRDefault="00CC786B" w:rsidP="00D76EFB">
            <w:pPr>
              <w:spacing w:before="0"/>
              <w:jc w:val="center"/>
              <w:rPr>
                <w:rFonts w:ascii="Arial Narrow" w:hAnsi="Arial Narrow"/>
                <w:b/>
                <w:sz w:val="20"/>
                <w:szCs w:val="20"/>
              </w:rPr>
            </w:pPr>
            <w:r w:rsidRPr="00D76EFB">
              <w:rPr>
                <w:rFonts w:ascii="Arial Narrow" w:hAnsi="Arial Narrow"/>
                <w:b/>
                <w:sz w:val="20"/>
                <w:szCs w:val="20"/>
              </w:rPr>
              <w:t>$12,591.14</w:t>
            </w:r>
          </w:p>
        </w:tc>
        <w:tc>
          <w:tcPr>
            <w:tcW w:w="619" w:type="pct"/>
          </w:tcPr>
          <w:p w14:paraId="31BBE194" w14:textId="0DFF37B0" w:rsidR="00CC786B" w:rsidRPr="002F0874" w:rsidRDefault="00287C72">
            <w:pPr>
              <w:spacing w:before="0"/>
              <w:jc w:val="center"/>
              <w:rPr>
                <w:rFonts w:ascii="Arial Narrow" w:hAnsi="Arial Narrow"/>
                <w:b/>
                <w:bCs/>
                <w:sz w:val="20"/>
                <w:szCs w:val="20"/>
              </w:rPr>
            </w:pPr>
            <w:r w:rsidRPr="002F0874">
              <w:rPr>
                <w:rFonts w:ascii="Arial Narrow" w:hAnsi="Arial Narrow"/>
                <w:b/>
                <w:bCs/>
                <w:sz w:val="20"/>
                <w:szCs w:val="20"/>
              </w:rPr>
              <w:t>─</w:t>
            </w:r>
          </w:p>
        </w:tc>
      </w:tr>
      <w:tr w:rsidR="0040427B" w:rsidRPr="00B221AE" w14:paraId="046EC91A" w14:textId="6BD921B3" w:rsidTr="00AE36DD">
        <w:tc>
          <w:tcPr>
            <w:tcW w:w="2092" w:type="pct"/>
            <w:tcBorders>
              <w:bottom w:val="single" w:sz="4" w:space="0" w:color="auto"/>
              <w:right w:val="nil"/>
            </w:tcBorders>
          </w:tcPr>
          <w:p w14:paraId="49794837" w14:textId="77777777" w:rsidR="0040427B" w:rsidRPr="00C31B4D" w:rsidRDefault="0040427B">
            <w:pPr>
              <w:spacing w:before="0"/>
              <w:rPr>
                <w:rFonts w:ascii="Arial Narrow" w:hAnsi="Arial Narrow"/>
                <w:sz w:val="20"/>
                <w:szCs w:val="20"/>
              </w:rPr>
            </w:pPr>
            <w:r>
              <w:rPr>
                <w:rFonts w:ascii="Arial Narrow" w:hAnsi="Arial Narrow"/>
                <w:sz w:val="20"/>
                <w:szCs w:val="20"/>
              </w:rPr>
              <w:t>Time horizon (BC: 40 years)</w:t>
            </w:r>
          </w:p>
        </w:tc>
        <w:tc>
          <w:tcPr>
            <w:tcW w:w="754" w:type="pct"/>
            <w:tcBorders>
              <w:left w:val="nil"/>
              <w:bottom w:val="single" w:sz="4" w:space="0" w:color="auto"/>
              <w:right w:val="nil"/>
            </w:tcBorders>
          </w:tcPr>
          <w:p w14:paraId="4CD44524" w14:textId="77777777" w:rsidR="0040427B" w:rsidRPr="00C31B4D" w:rsidRDefault="0040427B">
            <w:pPr>
              <w:spacing w:before="0"/>
              <w:jc w:val="center"/>
              <w:rPr>
                <w:rFonts w:ascii="Arial Narrow" w:hAnsi="Arial Narrow"/>
                <w:sz w:val="20"/>
                <w:szCs w:val="20"/>
              </w:rPr>
            </w:pPr>
          </w:p>
        </w:tc>
        <w:tc>
          <w:tcPr>
            <w:tcW w:w="631" w:type="pct"/>
            <w:tcBorders>
              <w:left w:val="nil"/>
              <w:bottom w:val="single" w:sz="4" w:space="0" w:color="auto"/>
              <w:right w:val="nil"/>
            </w:tcBorders>
          </w:tcPr>
          <w:p w14:paraId="066D43C8" w14:textId="77777777" w:rsidR="0040427B" w:rsidRPr="00C31B4D" w:rsidRDefault="0040427B">
            <w:pPr>
              <w:spacing w:before="0"/>
              <w:jc w:val="center"/>
              <w:rPr>
                <w:rFonts w:ascii="Arial Narrow" w:hAnsi="Arial Narrow"/>
                <w:sz w:val="20"/>
                <w:szCs w:val="20"/>
              </w:rPr>
            </w:pPr>
          </w:p>
        </w:tc>
        <w:tc>
          <w:tcPr>
            <w:tcW w:w="1523" w:type="pct"/>
            <w:gridSpan w:val="2"/>
            <w:tcBorders>
              <w:left w:val="nil"/>
              <w:bottom w:val="single" w:sz="4" w:space="0" w:color="auto"/>
            </w:tcBorders>
          </w:tcPr>
          <w:p w14:paraId="03EEB93B" w14:textId="77777777" w:rsidR="0040427B" w:rsidRPr="00C31B4D" w:rsidRDefault="0040427B">
            <w:pPr>
              <w:spacing w:before="0"/>
              <w:jc w:val="center"/>
              <w:rPr>
                <w:rFonts w:ascii="Arial Narrow" w:hAnsi="Arial Narrow"/>
                <w:sz w:val="20"/>
                <w:szCs w:val="20"/>
              </w:rPr>
            </w:pPr>
          </w:p>
        </w:tc>
      </w:tr>
      <w:tr w:rsidR="00CC786B" w:rsidRPr="00B221AE" w14:paraId="4B66C96F" w14:textId="6CA236A7" w:rsidTr="00AE36DD">
        <w:tc>
          <w:tcPr>
            <w:tcW w:w="2092" w:type="pct"/>
            <w:tcBorders>
              <w:bottom w:val="nil"/>
            </w:tcBorders>
          </w:tcPr>
          <w:p w14:paraId="2BE49AAC" w14:textId="38A47898" w:rsidR="00CC786B" w:rsidRPr="00C31B4D" w:rsidRDefault="00CC786B" w:rsidP="00D76EFB">
            <w:pPr>
              <w:spacing w:before="0"/>
              <w:ind w:left="170"/>
              <w:rPr>
                <w:rFonts w:ascii="Arial Narrow" w:hAnsi="Arial Narrow"/>
                <w:sz w:val="20"/>
                <w:szCs w:val="20"/>
              </w:rPr>
            </w:pPr>
            <w:r w:rsidRPr="00C31B4D">
              <w:rPr>
                <w:rFonts w:ascii="Arial Narrow" w:hAnsi="Arial Narrow"/>
                <w:sz w:val="20"/>
                <w:szCs w:val="20"/>
              </w:rPr>
              <w:t xml:space="preserve">5-year </w:t>
            </w:r>
          </w:p>
        </w:tc>
        <w:tc>
          <w:tcPr>
            <w:tcW w:w="754" w:type="pct"/>
            <w:tcBorders>
              <w:bottom w:val="nil"/>
            </w:tcBorders>
          </w:tcPr>
          <w:p w14:paraId="7C0E9624" w14:textId="77777777" w:rsidR="00CC786B" w:rsidRPr="00C31B4D" w:rsidRDefault="00CC786B" w:rsidP="00D76EFB">
            <w:pPr>
              <w:spacing w:before="0"/>
              <w:jc w:val="center"/>
              <w:rPr>
                <w:rFonts w:ascii="Arial Narrow" w:hAnsi="Arial Narrow"/>
                <w:sz w:val="20"/>
                <w:szCs w:val="20"/>
              </w:rPr>
            </w:pPr>
            <w:r w:rsidRPr="00C31B4D">
              <w:rPr>
                <w:rFonts w:ascii="Arial Narrow" w:hAnsi="Arial Narrow"/>
                <w:sz w:val="20"/>
                <w:szCs w:val="20"/>
              </w:rPr>
              <w:t>$15,288.23</w:t>
            </w:r>
          </w:p>
        </w:tc>
        <w:tc>
          <w:tcPr>
            <w:tcW w:w="631" w:type="pct"/>
            <w:tcBorders>
              <w:bottom w:val="nil"/>
            </w:tcBorders>
          </w:tcPr>
          <w:p w14:paraId="56A2E53A" w14:textId="77777777" w:rsidR="00CC786B" w:rsidRPr="00C31B4D" w:rsidRDefault="00CC786B" w:rsidP="00D76EFB">
            <w:pPr>
              <w:spacing w:before="0"/>
              <w:jc w:val="center"/>
              <w:rPr>
                <w:rFonts w:ascii="Arial Narrow" w:hAnsi="Arial Narrow"/>
                <w:sz w:val="20"/>
                <w:szCs w:val="20"/>
              </w:rPr>
            </w:pPr>
            <w:r w:rsidRPr="00C31B4D">
              <w:rPr>
                <w:rFonts w:ascii="Arial Narrow" w:hAnsi="Arial Narrow"/>
                <w:sz w:val="20"/>
                <w:szCs w:val="20"/>
              </w:rPr>
              <w:t>0.2706</w:t>
            </w:r>
          </w:p>
        </w:tc>
        <w:tc>
          <w:tcPr>
            <w:tcW w:w="904" w:type="pct"/>
            <w:tcBorders>
              <w:bottom w:val="nil"/>
            </w:tcBorders>
          </w:tcPr>
          <w:p w14:paraId="4240CF8A" w14:textId="77777777" w:rsidR="00CC786B" w:rsidRPr="00C31B4D" w:rsidRDefault="00CC786B" w:rsidP="00D76EFB">
            <w:pPr>
              <w:spacing w:before="0"/>
              <w:jc w:val="center"/>
              <w:rPr>
                <w:rFonts w:ascii="Arial Narrow" w:hAnsi="Arial Narrow"/>
                <w:sz w:val="20"/>
                <w:szCs w:val="20"/>
              </w:rPr>
            </w:pPr>
            <w:r w:rsidRPr="00C31B4D">
              <w:rPr>
                <w:rFonts w:ascii="Arial Narrow" w:hAnsi="Arial Narrow"/>
                <w:sz w:val="20"/>
                <w:szCs w:val="20"/>
              </w:rPr>
              <w:t>$56,496.97</w:t>
            </w:r>
          </w:p>
        </w:tc>
        <w:tc>
          <w:tcPr>
            <w:tcW w:w="619" w:type="pct"/>
            <w:tcBorders>
              <w:bottom w:val="nil"/>
            </w:tcBorders>
          </w:tcPr>
          <w:p w14:paraId="26178554" w14:textId="1FF964D6" w:rsidR="00CC786B" w:rsidRPr="00C31B4D" w:rsidRDefault="00AB4497">
            <w:pPr>
              <w:spacing w:before="0"/>
              <w:jc w:val="center"/>
              <w:rPr>
                <w:rFonts w:ascii="Arial Narrow" w:hAnsi="Arial Narrow"/>
                <w:sz w:val="20"/>
                <w:szCs w:val="20"/>
              </w:rPr>
            </w:pPr>
            <w:r>
              <w:rPr>
                <w:rFonts w:ascii="Arial Narrow" w:hAnsi="Arial Narrow"/>
                <w:sz w:val="20"/>
                <w:szCs w:val="20"/>
              </w:rPr>
              <w:t>348.7%</w:t>
            </w:r>
          </w:p>
        </w:tc>
      </w:tr>
      <w:tr w:rsidR="00CC786B" w:rsidRPr="00B221AE" w14:paraId="001C5A79" w14:textId="4F1A79E7" w:rsidTr="00AE36DD">
        <w:tc>
          <w:tcPr>
            <w:tcW w:w="2092" w:type="pct"/>
            <w:tcBorders>
              <w:top w:val="nil"/>
              <w:bottom w:val="nil"/>
            </w:tcBorders>
          </w:tcPr>
          <w:p w14:paraId="414A7B2B" w14:textId="18B324D4" w:rsidR="00CC786B" w:rsidRPr="00C31B4D" w:rsidRDefault="00CC786B" w:rsidP="00D76EFB">
            <w:pPr>
              <w:spacing w:before="0"/>
              <w:ind w:left="170"/>
              <w:rPr>
                <w:rFonts w:ascii="Arial Narrow" w:hAnsi="Arial Narrow"/>
                <w:sz w:val="20"/>
                <w:szCs w:val="20"/>
              </w:rPr>
            </w:pPr>
            <w:r w:rsidRPr="00C31B4D">
              <w:rPr>
                <w:rFonts w:ascii="Arial Narrow" w:hAnsi="Arial Narrow"/>
                <w:sz w:val="20"/>
                <w:szCs w:val="20"/>
              </w:rPr>
              <w:t xml:space="preserve">10-year </w:t>
            </w:r>
          </w:p>
        </w:tc>
        <w:tc>
          <w:tcPr>
            <w:tcW w:w="754" w:type="pct"/>
            <w:tcBorders>
              <w:top w:val="nil"/>
              <w:bottom w:val="nil"/>
            </w:tcBorders>
          </w:tcPr>
          <w:p w14:paraId="61640446" w14:textId="77777777" w:rsidR="00CC786B" w:rsidRPr="00C31B4D" w:rsidRDefault="00CC786B" w:rsidP="00D76EFB">
            <w:pPr>
              <w:spacing w:before="0"/>
              <w:jc w:val="center"/>
              <w:rPr>
                <w:rFonts w:ascii="Arial Narrow" w:hAnsi="Arial Narrow"/>
                <w:sz w:val="20"/>
                <w:szCs w:val="20"/>
              </w:rPr>
            </w:pPr>
            <w:r w:rsidRPr="00C31B4D">
              <w:rPr>
                <w:rFonts w:ascii="Arial Narrow" w:hAnsi="Arial Narrow"/>
                <w:sz w:val="20"/>
                <w:szCs w:val="20"/>
              </w:rPr>
              <w:t>$14,412.50</w:t>
            </w:r>
          </w:p>
        </w:tc>
        <w:tc>
          <w:tcPr>
            <w:tcW w:w="631" w:type="pct"/>
            <w:tcBorders>
              <w:top w:val="nil"/>
              <w:bottom w:val="nil"/>
            </w:tcBorders>
          </w:tcPr>
          <w:p w14:paraId="5504E199" w14:textId="77777777" w:rsidR="00CC786B" w:rsidRPr="00C31B4D" w:rsidRDefault="00CC786B" w:rsidP="00D76EFB">
            <w:pPr>
              <w:spacing w:before="0"/>
              <w:jc w:val="center"/>
              <w:rPr>
                <w:rFonts w:ascii="Arial Narrow" w:hAnsi="Arial Narrow"/>
                <w:sz w:val="20"/>
                <w:szCs w:val="20"/>
              </w:rPr>
            </w:pPr>
            <w:r w:rsidRPr="00C31B4D">
              <w:rPr>
                <w:rFonts w:ascii="Arial Narrow" w:hAnsi="Arial Narrow"/>
                <w:sz w:val="20"/>
                <w:szCs w:val="20"/>
              </w:rPr>
              <w:t>0.4522</w:t>
            </w:r>
          </w:p>
        </w:tc>
        <w:tc>
          <w:tcPr>
            <w:tcW w:w="904" w:type="pct"/>
            <w:tcBorders>
              <w:top w:val="nil"/>
              <w:bottom w:val="nil"/>
            </w:tcBorders>
          </w:tcPr>
          <w:p w14:paraId="374F8133" w14:textId="77777777" w:rsidR="00CC786B" w:rsidRPr="00C31B4D" w:rsidRDefault="00CC786B" w:rsidP="00D76EFB">
            <w:pPr>
              <w:spacing w:before="0"/>
              <w:jc w:val="center"/>
              <w:rPr>
                <w:rFonts w:ascii="Arial Narrow" w:hAnsi="Arial Narrow"/>
                <w:sz w:val="20"/>
                <w:szCs w:val="20"/>
              </w:rPr>
            </w:pPr>
            <w:r w:rsidRPr="00C31B4D">
              <w:rPr>
                <w:rFonts w:ascii="Arial Narrow" w:hAnsi="Arial Narrow"/>
                <w:sz w:val="20"/>
                <w:szCs w:val="20"/>
              </w:rPr>
              <w:t>$31,868.70</w:t>
            </w:r>
          </w:p>
        </w:tc>
        <w:tc>
          <w:tcPr>
            <w:tcW w:w="619" w:type="pct"/>
            <w:tcBorders>
              <w:top w:val="nil"/>
              <w:bottom w:val="nil"/>
            </w:tcBorders>
          </w:tcPr>
          <w:p w14:paraId="45C37260" w14:textId="04194D31" w:rsidR="00CC786B" w:rsidRPr="00C31B4D" w:rsidRDefault="00AB4497">
            <w:pPr>
              <w:spacing w:before="0"/>
              <w:jc w:val="center"/>
              <w:rPr>
                <w:rFonts w:ascii="Arial Narrow" w:hAnsi="Arial Narrow"/>
                <w:sz w:val="20"/>
                <w:szCs w:val="20"/>
              </w:rPr>
            </w:pPr>
            <w:r>
              <w:rPr>
                <w:rFonts w:ascii="Arial Narrow" w:hAnsi="Arial Narrow"/>
                <w:sz w:val="20"/>
                <w:szCs w:val="20"/>
              </w:rPr>
              <w:t>153.1%</w:t>
            </w:r>
          </w:p>
        </w:tc>
      </w:tr>
      <w:tr w:rsidR="00CC786B" w:rsidRPr="00B221AE" w14:paraId="129DDB29" w14:textId="13376A9A" w:rsidTr="00AE36DD">
        <w:tc>
          <w:tcPr>
            <w:tcW w:w="2092" w:type="pct"/>
            <w:tcBorders>
              <w:top w:val="nil"/>
              <w:bottom w:val="single" w:sz="4" w:space="0" w:color="auto"/>
            </w:tcBorders>
          </w:tcPr>
          <w:p w14:paraId="5AC7785F" w14:textId="2B98A90A" w:rsidR="00CC786B" w:rsidRPr="00C31B4D" w:rsidRDefault="00CC786B" w:rsidP="00D76EFB">
            <w:pPr>
              <w:spacing w:before="0"/>
              <w:ind w:left="170"/>
              <w:rPr>
                <w:rFonts w:ascii="Arial Narrow" w:hAnsi="Arial Narrow"/>
                <w:sz w:val="20"/>
                <w:szCs w:val="20"/>
              </w:rPr>
            </w:pPr>
            <w:r w:rsidRPr="00C31B4D">
              <w:rPr>
                <w:rFonts w:ascii="Arial Narrow" w:hAnsi="Arial Narrow"/>
                <w:sz w:val="20"/>
                <w:szCs w:val="20"/>
              </w:rPr>
              <w:t xml:space="preserve">Lifetime </w:t>
            </w:r>
          </w:p>
        </w:tc>
        <w:tc>
          <w:tcPr>
            <w:tcW w:w="754" w:type="pct"/>
            <w:tcBorders>
              <w:top w:val="nil"/>
            </w:tcBorders>
          </w:tcPr>
          <w:p w14:paraId="3161B8FE" w14:textId="77777777" w:rsidR="00CC786B" w:rsidRPr="00C31B4D" w:rsidRDefault="00CC786B" w:rsidP="00D76EFB">
            <w:pPr>
              <w:spacing w:before="0"/>
              <w:jc w:val="center"/>
              <w:rPr>
                <w:rFonts w:ascii="Arial Narrow" w:hAnsi="Arial Narrow"/>
                <w:sz w:val="20"/>
                <w:szCs w:val="20"/>
              </w:rPr>
            </w:pPr>
            <w:r w:rsidRPr="00C31B4D">
              <w:rPr>
                <w:rFonts w:ascii="Arial Narrow" w:hAnsi="Arial Narrow"/>
                <w:sz w:val="20"/>
                <w:szCs w:val="20"/>
              </w:rPr>
              <w:t>$12,643.17</w:t>
            </w:r>
          </w:p>
        </w:tc>
        <w:tc>
          <w:tcPr>
            <w:tcW w:w="631" w:type="pct"/>
            <w:tcBorders>
              <w:top w:val="nil"/>
            </w:tcBorders>
          </w:tcPr>
          <w:p w14:paraId="0D02C064" w14:textId="77777777" w:rsidR="00CC786B" w:rsidRPr="00C31B4D" w:rsidRDefault="00CC786B" w:rsidP="00D76EFB">
            <w:pPr>
              <w:spacing w:before="0"/>
              <w:jc w:val="center"/>
              <w:rPr>
                <w:rFonts w:ascii="Arial Narrow" w:hAnsi="Arial Narrow"/>
                <w:sz w:val="20"/>
                <w:szCs w:val="20"/>
              </w:rPr>
            </w:pPr>
            <w:r w:rsidRPr="00C31B4D">
              <w:rPr>
                <w:rFonts w:ascii="Arial Narrow" w:hAnsi="Arial Narrow"/>
                <w:sz w:val="20"/>
                <w:szCs w:val="20"/>
              </w:rPr>
              <w:t>0.8854</w:t>
            </w:r>
          </w:p>
        </w:tc>
        <w:tc>
          <w:tcPr>
            <w:tcW w:w="904" w:type="pct"/>
            <w:tcBorders>
              <w:top w:val="nil"/>
            </w:tcBorders>
          </w:tcPr>
          <w:p w14:paraId="3D9B872F" w14:textId="77777777" w:rsidR="00CC786B" w:rsidRPr="00C31B4D" w:rsidRDefault="00CC786B" w:rsidP="00D76EFB">
            <w:pPr>
              <w:spacing w:before="0"/>
              <w:jc w:val="center"/>
              <w:rPr>
                <w:rFonts w:ascii="Arial Narrow" w:hAnsi="Arial Narrow"/>
                <w:sz w:val="20"/>
                <w:szCs w:val="20"/>
              </w:rPr>
            </w:pPr>
            <w:r w:rsidRPr="00C31B4D">
              <w:rPr>
                <w:rFonts w:ascii="Arial Narrow" w:hAnsi="Arial Narrow"/>
                <w:sz w:val="20"/>
                <w:szCs w:val="20"/>
              </w:rPr>
              <w:t>$14,358.52</w:t>
            </w:r>
          </w:p>
        </w:tc>
        <w:tc>
          <w:tcPr>
            <w:tcW w:w="619" w:type="pct"/>
            <w:tcBorders>
              <w:top w:val="nil"/>
            </w:tcBorders>
          </w:tcPr>
          <w:p w14:paraId="50013FC1" w14:textId="31F7D697" w:rsidR="00CC786B" w:rsidRPr="00C31B4D" w:rsidRDefault="00AB4497">
            <w:pPr>
              <w:spacing w:before="0"/>
              <w:jc w:val="center"/>
              <w:rPr>
                <w:rFonts w:ascii="Arial Narrow" w:hAnsi="Arial Narrow"/>
                <w:sz w:val="20"/>
                <w:szCs w:val="20"/>
              </w:rPr>
            </w:pPr>
            <w:r>
              <w:rPr>
                <w:rFonts w:ascii="Arial Narrow" w:hAnsi="Arial Narrow"/>
                <w:sz w:val="20"/>
                <w:szCs w:val="20"/>
              </w:rPr>
              <w:t>-4</w:t>
            </w:r>
            <w:r w:rsidR="00013339">
              <w:rPr>
                <w:rFonts w:ascii="Arial Narrow" w:hAnsi="Arial Narrow"/>
                <w:sz w:val="20"/>
                <w:szCs w:val="20"/>
              </w:rPr>
              <w:t>.0</w:t>
            </w:r>
            <w:r>
              <w:rPr>
                <w:rFonts w:ascii="Arial Narrow" w:hAnsi="Arial Narrow"/>
                <w:sz w:val="20"/>
                <w:szCs w:val="20"/>
              </w:rPr>
              <w:t>%</w:t>
            </w:r>
          </w:p>
        </w:tc>
      </w:tr>
      <w:tr w:rsidR="00D85343" w:rsidRPr="00B221AE" w14:paraId="7E2C85D3" w14:textId="521FA08D" w:rsidTr="00AE36DD">
        <w:tc>
          <w:tcPr>
            <w:tcW w:w="2092" w:type="pct"/>
            <w:tcBorders>
              <w:bottom w:val="single" w:sz="4" w:space="0" w:color="auto"/>
              <w:right w:val="nil"/>
            </w:tcBorders>
          </w:tcPr>
          <w:p w14:paraId="48DDFE07" w14:textId="1A99BE2D" w:rsidR="00D85343" w:rsidRPr="00C31B4D" w:rsidRDefault="00D85343" w:rsidP="00FF4F76">
            <w:pPr>
              <w:spacing w:before="0"/>
              <w:rPr>
                <w:rFonts w:ascii="Arial Narrow" w:hAnsi="Arial Narrow"/>
                <w:sz w:val="20"/>
                <w:szCs w:val="20"/>
              </w:rPr>
            </w:pPr>
            <w:r w:rsidRPr="00C31B4D">
              <w:rPr>
                <w:rFonts w:ascii="Arial Narrow" w:hAnsi="Arial Narrow"/>
                <w:sz w:val="20"/>
                <w:szCs w:val="20"/>
              </w:rPr>
              <w:t>Health state utilities</w:t>
            </w:r>
            <w:r>
              <w:rPr>
                <w:rFonts w:ascii="Arial Narrow" w:hAnsi="Arial Narrow"/>
                <w:sz w:val="20"/>
                <w:szCs w:val="20"/>
              </w:rPr>
              <w:t xml:space="preserve"> (BC: using</w:t>
            </w:r>
            <w:r w:rsidR="002F0874">
              <w:rPr>
                <w:rFonts w:ascii="Arial Narrow" w:hAnsi="Arial Narrow"/>
                <w:sz w:val="20"/>
                <w:szCs w:val="20"/>
              </w:rPr>
              <w:t xml:space="preserve"> </w:t>
            </w:r>
            <w:r>
              <w:rPr>
                <w:rFonts w:ascii="Arial Narrow" w:hAnsi="Arial Narrow"/>
                <w:sz w:val="20"/>
                <w:szCs w:val="20"/>
              </w:rPr>
              <w:t>Kelly et al.)</w:t>
            </w:r>
          </w:p>
        </w:tc>
        <w:tc>
          <w:tcPr>
            <w:tcW w:w="754" w:type="pct"/>
            <w:tcBorders>
              <w:left w:val="nil"/>
              <w:bottom w:val="single" w:sz="4" w:space="0" w:color="auto"/>
              <w:right w:val="nil"/>
            </w:tcBorders>
          </w:tcPr>
          <w:p w14:paraId="07671F33" w14:textId="77777777" w:rsidR="00D85343" w:rsidRPr="00C31B4D" w:rsidRDefault="00D85343">
            <w:pPr>
              <w:spacing w:before="0"/>
              <w:jc w:val="center"/>
              <w:rPr>
                <w:rFonts w:ascii="Arial Narrow" w:hAnsi="Arial Narrow"/>
                <w:sz w:val="20"/>
                <w:szCs w:val="20"/>
              </w:rPr>
            </w:pPr>
          </w:p>
        </w:tc>
        <w:tc>
          <w:tcPr>
            <w:tcW w:w="631" w:type="pct"/>
            <w:tcBorders>
              <w:left w:val="nil"/>
              <w:bottom w:val="single" w:sz="4" w:space="0" w:color="auto"/>
              <w:right w:val="nil"/>
            </w:tcBorders>
          </w:tcPr>
          <w:p w14:paraId="1A24940A" w14:textId="77777777" w:rsidR="00D85343" w:rsidRPr="00C31B4D" w:rsidRDefault="00D85343">
            <w:pPr>
              <w:spacing w:before="0"/>
              <w:jc w:val="center"/>
              <w:rPr>
                <w:rFonts w:ascii="Arial Narrow" w:hAnsi="Arial Narrow"/>
                <w:sz w:val="20"/>
                <w:szCs w:val="20"/>
              </w:rPr>
            </w:pPr>
          </w:p>
        </w:tc>
        <w:tc>
          <w:tcPr>
            <w:tcW w:w="1523" w:type="pct"/>
            <w:gridSpan w:val="2"/>
            <w:tcBorders>
              <w:left w:val="nil"/>
              <w:bottom w:val="single" w:sz="4" w:space="0" w:color="auto"/>
            </w:tcBorders>
          </w:tcPr>
          <w:p w14:paraId="225F2D59" w14:textId="77777777" w:rsidR="00D85343" w:rsidRPr="00C31B4D" w:rsidRDefault="00D85343">
            <w:pPr>
              <w:spacing w:before="0"/>
              <w:jc w:val="center"/>
              <w:rPr>
                <w:rFonts w:ascii="Arial Narrow" w:hAnsi="Arial Narrow"/>
                <w:sz w:val="20"/>
                <w:szCs w:val="20"/>
              </w:rPr>
            </w:pPr>
          </w:p>
        </w:tc>
      </w:tr>
      <w:tr w:rsidR="00CC786B" w:rsidRPr="00B221AE" w14:paraId="3A28838E" w14:textId="0219B464" w:rsidTr="00AE36DD">
        <w:tc>
          <w:tcPr>
            <w:tcW w:w="2092" w:type="pct"/>
            <w:tcBorders>
              <w:bottom w:val="nil"/>
            </w:tcBorders>
          </w:tcPr>
          <w:p w14:paraId="4CED7981" w14:textId="14863B28" w:rsidR="00CC786B" w:rsidRPr="00C31B4D" w:rsidRDefault="003B2A7A" w:rsidP="00D76EFB">
            <w:pPr>
              <w:spacing w:before="0"/>
              <w:ind w:left="170"/>
              <w:rPr>
                <w:rFonts w:ascii="Arial Narrow" w:hAnsi="Arial Narrow"/>
                <w:sz w:val="20"/>
                <w:szCs w:val="20"/>
              </w:rPr>
            </w:pPr>
            <w:r>
              <w:rPr>
                <w:rFonts w:ascii="Arial Narrow" w:hAnsi="Arial Narrow"/>
                <w:sz w:val="20"/>
                <w:szCs w:val="20"/>
              </w:rPr>
              <w:t>u</w:t>
            </w:r>
            <w:r w:rsidR="00CC786B">
              <w:rPr>
                <w:rFonts w:ascii="Arial Narrow" w:hAnsi="Arial Narrow"/>
                <w:sz w:val="20"/>
                <w:szCs w:val="20"/>
              </w:rPr>
              <w:t xml:space="preserve">sing </w:t>
            </w:r>
            <w:r w:rsidR="00CC786B" w:rsidRPr="00C31B4D">
              <w:rPr>
                <w:rFonts w:ascii="Arial Narrow" w:hAnsi="Arial Narrow"/>
                <w:sz w:val="20"/>
                <w:szCs w:val="20"/>
              </w:rPr>
              <w:t>Carrello et al. 2023</w:t>
            </w:r>
          </w:p>
        </w:tc>
        <w:tc>
          <w:tcPr>
            <w:tcW w:w="754" w:type="pct"/>
            <w:tcBorders>
              <w:bottom w:val="nil"/>
            </w:tcBorders>
          </w:tcPr>
          <w:p w14:paraId="4D5B19E3" w14:textId="77777777" w:rsidR="00CC786B" w:rsidRPr="00C31B4D" w:rsidRDefault="00CC786B" w:rsidP="00D76EFB">
            <w:pPr>
              <w:spacing w:before="0"/>
              <w:jc w:val="center"/>
              <w:rPr>
                <w:rFonts w:ascii="Arial Narrow" w:hAnsi="Arial Narrow"/>
                <w:sz w:val="20"/>
                <w:szCs w:val="20"/>
              </w:rPr>
            </w:pPr>
            <w:r w:rsidRPr="00C31B4D">
              <w:rPr>
                <w:rFonts w:ascii="Arial Narrow" w:hAnsi="Arial Narrow"/>
                <w:sz w:val="20"/>
                <w:szCs w:val="20"/>
              </w:rPr>
              <w:t>$12,560.33</w:t>
            </w:r>
          </w:p>
        </w:tc>
        <w:tc>
          <w:tcPr>
            <w:tcW w:w="631" w:type="pct"/>
            <w:tcBorders>
              <w:bottom w:val="nil"/>
            </w:tcBorders>
          </w:tcPr>
          <w:p w14:paraId="3AFCF301" w14:textId="77777777" w:rsidR="00CC786B" w:rsidRPr="00C31B4D" w:rsidRDefault="00CC786B" w:rsidP="00D76EFB">
            <w:pPr>
              <w:spacing w:before="0"/>
              <w:jc w:val="center"/>
              <w:rPr>
                <w:rFonts w:ascii="Arial Narrow" w:hAnsi="Arial Narrow"/>
                <w:sz w:val="20"/>
                <w:szCs w:val="20"/>
              </w:rPr>
            </w:pPr>
            <w:r w:rsidRPr="00C31B4D">
              <w:rPr>
                <w:rFonts w:ascii="Arial Narrow" w:hAnsi="Arial Narrow"/>
                <w:sz w:val="20"/>
                <w:szCs w:val="20"/>
              </w:rPr>
              <w:t>0.4302</w:t>
            </w:r>
          </w:p>
        </w:tc>
        <w:tc>
          <w:tcPr>
            <w:tcW w:w="904" w:type="pct"/>
            <w:tcBorders>
              <w:bottom w:val="nil"/>
            </w:tcBorders>
          </w:tcPr>
          <w:p w14:paraId="15034987" w14:textId="77777777" w:rsidR="00CC786B" w:rsidRPr="00C31B4D" w:rsidRDefault="00CC786B" w:rsidP="00D76EFB">
            <w:pPr>
              <w:spacing w:before="0"/>
              <w:jc w:val="center"/>
              <w:rPr>
                <w:rFonts w:ascii="Arial Narrow" w:hAnsi="Arial Narrow"/>
                <w:sz w:val="20"/>
                <w:szCs w:val="20"/>
              </w:rPr>
            </w:pPr>
            <w:r w:rsidRPr="00C31B4D">
              <w:rPr>
                <w:rFonts w:ascii="Arial Narrow" w:hAnsi="Arial Narrow"/>
                <w:sz w:val="20"/>
                <w:szCs w:val="20"/>
              </w:rPr>
              <w:t>$29,194.23</w:t>
            </w:r>
          </w:p>
        </w:tc>
        <w:tc>
          <w:tcPr>
            <w:tcW w:w="619" w:type="pct"/>
            <w:tcBorders>
              <w:bottom w:val="nil"/>
            </w:tcBorders>
          </w:tcPr>
          <w:p w14:paraId="2F2A1CCC" w14:textId="39AEF305" w:rsidR="00CC786B" w:rsidRPr="00C31B4D" w:rsidRDefault="005D51FC">
            <w:pPr>
              <w:spacing w:before="0"/>
              <w:jc w:val="center"/>
              <w:rPr>
                <w:rFonts w:ascii="Arial Narrow" w:hAnsi="Arial Narrow"/>
                <w:sz w:val="20"/>
                <w:szCs w:val="20"/>
              </w:rPr>
            </w:pPr>
            <w:r>
              <w:rPr>
                <w:rFonts w:ascii="Arial Narrow" w:hAnsi="Arial Narrow"/>
                <w:sz w:val="20"/>
                <w:szCs w:val="20"/>
              </w:rPr>
              <w:t>131.9%</w:t>
            </w:r>
          </w:p>
        </w:tc>
      </w:tr>
      <w:tr w:rsidR="005D51FC" w:rsidRPr="00B221AE" w14:paraId="08CD38F6" w14:textId="77777777" w:rsidTr="00AE36DD">
        <w:tc>
          <w:tcPr>
            <w:tcW w:w="2092" w:type="pct"/>
            <w:tcBorders>
              <w:top w:val="nil"/>
            </w:tcBorders>
          </w:tcPr>
          <w:p w14:paraId="71B29508" w14:textId="7C982101" w:rsidR="005D51FC" w:rsidRPr="00C31B4D" w:rsidDel="00855136" w:rsidRDefault="003B2A7A">
            <w:pPr>
              <w:spacing w:before="0"/>
              <w:ind w:left="170"/>
              <w:rPr>
                <w:rFonts w:ascii="Arial Narrow" w:hAnsi="Arial Narrow"/>
                <w:sz w:val="20"/>
                <w:szCs w:val="20"/>
              </w:rPr>
            </w:pPr>
            <w:r>
              <w:rPr>
                <w:rFonts w:ascii="Arial Narrow" w:hAnsi="Arial Narrow"/>
                <w:sz w:val="20"/>
                <w:szCs w:val="20"/>
              </w:rPr>
              <w:t>u</w:t>
            </w:r>
            <w:r w:rsidR="005D51FC">
              <w:rPr>
                <w:rFonts w:ascii="Arial Narrow" w:hAnsi="Arial Narrow"/>
                <w:sz w:val="20"/>
                <w:szCs w:val="20"/>
              </w:rPr>
              <w:t>sing Ngo et al. 2022</w:t>
            </w:r>
          </w:p>
        </w:tc>
        <w:tc>
          <w:tcPr>
            <w:tcW w:w="754" w:type="pct"/>
            <w:tcBorders>
              <w:top w:val="nil"/>
            </w:tcBorders>
          </w:tcPr>
          <w:p w14:paraId="6B0C59A7" w14:textId="16026971" w:rsidR="005D51FC" w:rsidRPr="00C31B4D" w:rsidRDefault="005D51FC">
            <w:pPr>
              <w:spacing w:before="0"/>
              <w:jc w:val="center"/>
              <w:rPr>
                <w:rFonts w:ascii="Arial Narrow" w:hAnsi="Arial Narrow"/>
                <w:sz w:val="20"/>
                <w:szCs w:val="20"/>
              </w:rPr>
            </w:pPr>
            <w:r>
              <w:rPr>
                <w:rFonts w:ascii="Arial Narrow" w:hAnsi="Arial Narrow"/>
                <w:sz w:val="20"/>
                <w:szCs w:val="20"/>
              </w:rPr>
              <w:t>$</w:t>
            </w:r>
            <w:r w:rsidR="007F3214">
              <w:rPr>
                <w:rFonts w:ascii="Arial Narrow" w:hAnsi="Arial Narrow"/>
                <w:sz w:val="20"/>
                <w:szCs w:val="20"/>
              </w:rPr>
              <w:t>12</w:t>
            </w:r>
            <w:r w:rsidR="00F73F6E">
              <w:rPr>
                <w:rFonts w:ascii="Arial Narrow" w:hAnsi="Arial Narrow"/>
                <w:sz w:val="20"/>
                <w:szCs w:val="20"/>
              </w:rPr>
              <w:t>,</w:t>
            </w:r>
            <w:r w:rsidR="007F3214">
              <w:rPr>
                <w:rFonts w:ascii="Arial Narrow" w:hAnsi="Arial Narrow"/>
                <w:sz w:val="20"/>
                <w:szCs w:val="20"/>
              </w:rPr>
              <w:t>560.53</w:t>
            </w:r>
          </w:p>
        </w:tc>
        <w:tc>
          <w:tcPr>
            <w:tcW w:w="631" w:type="pct"/>
            <w:tcBorders>
              <w:top w:val="nil"/>
            </w:tcBorders>
          </w:tcPr>
          <w:p w14:paraId="53D83E59" w14:textId="58AA7919" w:rsidR="005D51FC" w:rsidRPr="00C31B4D" w:rsidRDefault="007F3214">
            <w:pPr>
              <w:spacing w:before="0"/>
              <w:jc w:val="center"/>
              <w:rPr>
                <w:rFonts w:ascii="Arial Narrow" w:hAnsi="Arial Narrow"/>
                <w:sz w:val="20"/>
                <w:szCs w:val="20"/>
              </w:rPr>
            </w:pPr>
            <w:r>
              <w:rPr>
                <w:rFonts w:ascii="Arial Narrow" w:hAnsi="Arial Narrow"/>
                <w:sz w:val="20"/>
                <w:szCs w:val="20"/>
              </w:rPr>
              <w:t>0.5556</w:t>
            </w:r>
          </w:p>
        </w:tc>
        <w:tc>
          <w:tcPr>
            <w:tcW w:w="904" w:type="pct"/>
            <w:tcBorders>
              <w:top w:val="nil"/>
            </w:tcBorders>
          </w:tcPr>
          <w:p w14:paraId="29DCBEB7" w14:textId="12BE7CCA" w:rsidR="005D51FC" w:rsidRPr="00C31B4D" w:rsidRDefault="007F3214">
            <w:pPr>
              <w:spacing w:before="0"/>
              <w:jc w:val="center"/>
              <w:rPr>
                <w:rFonts w:ascii="Arial Narrow" w:hAnsi="Arial Narrow"/>
                <w:sz w:val="20"/>
                <w:szCs w:val="20"/>
              </w:rPr>
            </w:pPr>
            <w:r>
              <w:rPr>
                <w:rFonts w:ascii="Arial Narrow" w:hAnsi="Arial Narrow"/>
                <w:sz w:val="20"/>
                <w:szCs w:val="20"/>
              </w:rPr>
              <w:t>$22,605.96</w:t>
            </w:r>
          </w:p>
        </w:tc>
        <w:tc>
          <w:tcPr>
            <w:tcW w:w="619" w:type="pct"/>
            <w:tcBorders>
              <w:top w:val="nil"/>
            </w:tcBorders>
          </w:tcPr>
          <w:p w14:paraId="148D38EB" w14:textId="48B791DB" w:rsidR="005D51FC" w:rsidRDefault="007F3214">
            <w:pPr>
              <w:spacing w:before="0"/>
              <w:jc w:val="center"/>
              <w:rPr>
                <w:rFonts w:ascii="Arial Narrow" w:hAnsi="Arial Narrow"/>
                <w:sz w:val="20"/>
                <w:szCs w:val="20"/>
              </w:rPr>
            </w:pPr>
            <w:r>
              <w:rPr>
                <w:rFonts w:ascii="Arial Narrow" w:hAnsi="Arial Narrow"/>
                <w:sz w:val="20"/>
                <w:szCs w:val="20"/>
              </w:rPr>
              <w:t>79.5%</w:t>
            </w:r>
          </w:p>
        </w:tc>
      </w:tr>
      <w:tr w:rsidR="00D85343" w:rsidRPr="00B221AE" w14:paraId="1EB8E1B0" w14:textId="2B7A9F41" w:rsidTr="00AE36DD">
        <w:tc>
          <w:tcPr>
            <w:tcW w:w="2092" w:type="pct"/>
            <w:tcBorders>
              <w:bottom w:val="single" w:sz="4" w:space="0" w:color="auto"/>
              <w:right w:val="nil"/>
            </w:tcBorders>
          </w:tcPr>
          <w:p w14:paraId="67FDC9C0" w14:textId="73371B65" w:rsidR="00D85343" w:rsidRPr="00C31B4D" w:rsidRDefault="00D85343" w:rsidP="004D6D5C">
            <w:pPr>
              <w:spacing w:before="0"/>
              <w:rPr>
                <w:rFonts w:ascii="Arial Narrow" w:hAnsi="Arial Narrow"/>
                <w:sz w:val="20"/>
                <w:szCs w:val="20"/>
              </w:rPr>
            </w:pPr>
            <w:r w:rsidRPr="00C31B4D">
              <w:rPr>
                <w:rFonts w:ascii="Arial Narrow" w:hAnsi="Arial Narrow"/>
                <w:sz w:val="20"/>
                <w:szCs w:val="20"/>
              </w:rPr>
              <w:t>Reintervention rate</w:t>
            </w:r>
            <w:r>
              <w:rPr>
                <w:rFonts w:ascii="Arial Narrow" w:hAnsi="Arial Narrow"/>
                <w:sz w:val="20"/>
                <w:szCs w:val="20"/>
              </w:rPr>
              <w:t xml:space="preserve"> (BC: </w:t>
            </w:r>
            <w:r w:rsidR="0040427B">
              <w:rPr>
                <w:rFonts w:ascii="Arial Narrow" w:hAnsi="Arial Narrow"/>
                <w:sz w:val="20"/>
                <w:szCs w:val="20"/>
              </w:rPr>
              <w:t>6</w:t>
            </w:r>
            <w:r>
              <w:rPr>
                <w:rFonts w:ascii="Arial Narrow" w:hAnsi="Arial Narrow"/>
                <w:sz w:val="20"/>
                <w:szCs w:val="20"/>
              </w:rPr>
              <w:t>%)</w:t>
            </w:r>
          </w:p>
        </w:tc>
        <w:tc>
          <w:tcPr>
            <w:tcW w:w="754" w:type="pct"/>
            <w:tcBorders>
              <w:left w:val="nil"/>
              <w:bottom w:val="single" w:sz="4" w:space="0" w:color="auto"/>
              <w:right w:val="nil"/>
            </w:tcBorders>
          </w:tcPr>
          <w:p w14:paraId="0E31B30E" w14:textId="77777777" w:rsidR="00D85343" w:rsidRPr="00C31B4D" w:rsidRDefault="00D85343" w:rsidP="004D6D5C">
            <w:pPr>
              <w:spacing w:before="0"/>
              <w:jc w:val="center"/>
              <w:rPr>
                <w:rFonts w:ascii="Arial Narrow" w:hAnsi="Arial Narrow"/>
                <w:sz w:val="20"/>
                <w:szCs w:val="20"/>
              </w:rPr>
            </w:pPr>
          </w:p>
        </w:tc>
        <w:tc>
          <w:tcPr>
            <w:tcW w:w="631" w:type="pct"/>
            <w:tcBorders>
              <w:left w:val="nil"/>
              <w:bottom w:val="single" w:sz="4" w:space="0" w:color="auto"/>
              <w:right w:val="nil"/>
            </w:tcBorders>
          </w:tcPr>
          <w:p w14:paraId="23AECD92" w14:textId="77777777" w:rsidR="00D85343" w:rsidRPr="00C31B4D" w:rsidRDefault="00D85343" w:rsidP="004D6D5C">
            <w:pPr>
              <w:spacing w:before="0"/>
              <w:jc w:val="center"/>
              <w:rPr>
                <w:rFonts w:ascii="Arial Narrow" w:hAnsi="Arial Narrow"/>
                <w:sz w:val="20"/>
                <w:szCs w:val="20"/>
              </w:rPr>
            </w:pPr>
          </w:p>
        </w:tc>
        <w:tc>
          <w:tcPr>
            <w:tcW w:w="1523" w:type="pct"/>
            <w:gridSpan w:val="2"/>
            <w:tcBorders>
              <w:left w:val="nil"/>
              <w:bottom w:val="single" w:sz="4" w:space="0" w:color="auto"/>
            </w:tcBorders>
          </w:tcPr>
          <w:p w14:paraId="1A3C4CAB" w14:textId="77777777" w:rsidR="00D85343" w:rsidRPr="00C31B4D" w:rsidRDefault="00D85343" w:rsidP="004D6D5C">
            <w:pPr>
              <w:spacing w:before="0"/>
              <w:jc w:val="center"/>
              <w:rPr>
                <w:rFonts w:ascii="Arial Narrow" w:hAnsi="Arial Narrow"/>
                <w:sz w:val="20"/>
                <w:szCs w:val="20"/>
              </w:rPr>
            </w:pPr>
          </w:p>
        </w:tc>
      </w:tr>
      <w:tr w:rsidR="00CC786B" w:rsidRPr="008B7C1D" w14:paraId="6BE574F1" w14:textId="1EC7FA8F" w:rsidTr="00AE36DD">
        <w:tc>
          <w:tcPr>
            <w:tcW w:w="2092" w:type="pct"/>
            <w:tcBorders>
              <w:bottom w:val="nil"/>
            </w:tcBorders>
          </w:tcPr>
          <w:p w14:paraId="435455CA" w14:textId="2422F199" w:rsidR="00CC786B" w:rsidRPr="008B7C1D" w:rsidRDefault="00CC786B" w:rsidP="00CD1CA5">
            <w:pPr>
              <w:spacing w:before="0"/>
              <w:ind w:left="170"/>
              <w:rPr>
                <w:rFonts w:ascii="Arial Narrow" w:hAnsi="Arial Narrow"/>
                <w:sz w:val="20"/>
                <w:szCs w:val="20"/>
              </w:rPr>
            </w:pPr>
            <w:r>
              <w:rPr>
                <w:rFonts w:ascii="Arial Narrow" w:hAnsi="Arial Narrow"/>
                <w:sz w:val="20"/>
                <w:szCs w:val="20"/>
              </w:rPr>
              <w:t>18.</w:t>
            </w:r>
            <w:r w:rsidR="001C57AB">
              <w:rPr>
                <w:rFonts w:ascii="Arial Narrow" w:hAnsi="Arial Narrow"/>
                <w:sz w:val="20"/>
                <w:szCs w:val="20"/>
              </w:rPr>
              <w:t>2</w:t>
            </w:r>
            <w:r>
              <w:rPr>
                <w:rFonts w:ascii="Arial Narrow" w:hAnsi="Arial Narrow"/>
                <w:sz w:val="20"/>
                <w:szCs w:val="20"/>
              </w:rPr>
              <w:t>% at 2 years (from MERIT trial)</w:t>
            </w:r>
          </w:p>
        </w:tc>
        <w:tc>
          <w:tcPr>
            <w:tcW w:w="754" w:type="pct"/>
            <w:tcBorders>
              <w:bottom w:val="nil"/>
            </w:tcBorders>
          </w:tcPr>
          <w:p w14:paraId="156BEFE5" w14:textId="68ED9B88" w:rsidR="00CC786B" w:rsidRPr="008B7C1D" w:rsidRDefault="00435032" w:rsidP="00CD1CA5">
            <w:pPr>
              <w:spacing w:before="0"/>
              <w:jc w:val="center"/>
              <w:rPr>
                <w:rFonts w:ascii="Arial Narrow" w:hAnsi="Arial Narrow"/>
                <w:sz w:val="20"/>
                <w:szCs w:val="20"/>
              </w:rPr>
            </w:pPr>
            <w:r>
              <w:rPr>
                <w:rFonts w:ascii="Arial Narrow" w:hAnsi="Arial Narrow"/>
                <w:sz w:val="20"/>
                <w:szCs w:val="20"/>
              </w:rPr>
              <w:t>$14,379.56</w:t>
            </w:r>
          </w:p>
        </w:tc>
        <w:tc>
          <w:tcPr>
            <w:tcW w:w="631" w:type="pct"/>
            <w:tcBorders>
              <w:bottom w:val="nil"/>
            </w:tcBorders>
          </w:tcPr>
          <w:p w14:paraId="68DECF93" w14:textId="3E624C7C" w:rsidR="00CC786B" w:rsidRPr="008B7C1D" w:rsidRDefault="00435032" w:rsidP="00CD1CA5">
            <w:pPr>
              <w:spacing w:before="0"/>
              <w:jc w:val="center"/>
              <w:rPr>
                <w:rFonts w:ascii="Arial Narrow" w:hAnsi="Arial Narrow"/>
                <w:sz w:val="20"/>
                <w:szCs w:val="20"/>
              </w:rPr>
            </w:pPr>
            <w:r>
              <w:rPr>
                <w:rFonts w:ascii="Arial Narrow" w:hAnsi="Arial Narrow"/>
                <w:sz w:val="20"/>
                <w:szCs w:val="20"/>
              </w:rPr>
              <w:t>0.9976</w:t>
            </w:r>
          </w:p>
        </w:tc>
        <w:tc>
          <w:tcPr>
            <w:tcW w:w="904" w:type="pct"/>
            <w:tcBorders>
              <w:bottom w:val="nil"/>
            </w:tcBorders>
          </w:tcPr>
          <w:p w14:paraId="46CE1AC3" w14:textId="24AE7E8C" w:rsidR="00CC786B" w:rsidRPr="008B7C1D" w:rsidRDefault="00435032" w:rsidP="00CD1CA5">
            <w:pPr>
              <w:spacing w:before="0"/>
              <w:jc w:val="center"/>
              <w:rPr>
                <w:rFonts w:ascii="Arial Narrow" w:hAnsi="Arial Narrow"/>
                <w:sz w:val="20"/>
                <w:szCs w:val="20"/>
              </w:rPr>
            </w:pPr>
            <w:r>
              <w:rPr>
                <w:rFonts w:ascii="Arial Narrow" w:hAnsi="Arial Narrow"/>
                <w:sz w:val="20"/>
                <w:szCs w:val="20"/>
              </w:rPr>
              <w:t>$14</w:t>
            </w:r>
            <w:r w:rsidR="00F73F6E">
              <w:rPr>
                <w:rFonts w:ascii="Arial Narrow" w:hAnsi="Arial Narrow"/>
                <w:sz w:val="20"/>
                <w:szCs w:val="20"/>
              </w:rPr>
              <w:t>,414.60</w:t>
            </w:r>
          </w:p>
        </w:tc>
        <w:tc>
          <w:tcPr>
            <w:tcW w:w="619" w:type="pct"/>
            <w:tcBorders>
              <w:bottom w:val="nil"/>
            </w:tcBorders>
          </w:tcPr>
          <w:p w14:paraId="78E40781" w14:textId="0FCF4D4C" w:rsidR="00CC786B" w:rsidRPr="008B7C1D" w:rsidRDefault="00F73F6E" w:rsidP="00CD1CA5">
            <w:pPr>
              <w:spacing w:before="0"/>
              <w:jc w:val="center"/>
              <w:rPr>
                <w:rFonts w:ascii="Arial Narrow" w:hAnsi="Arial Narrow"/>
                <w:sz w:val="20"/>
                <w:szCs w:val="20"/>
              </w:rPr>
            </w:pPr>
            <w:r>
              <w:rPr>
                <w:rFonts w:ascii="Arial Narrow" w:hAnsi="Arial Narrow"/>
                <w:sz w:val="20"/>
                <w:szCs w:val="20"/>
              </w:rPr>
              <w:t>14.5%</w:t>
            </w:r>
          </w:p>
        </w:tc>
      </w:tr>
      <w:tr w:rsidR="00CC786B" w:rsidRPr="00972BD1" w14:paraId="3886811D" w14:textId="7B8EDACF" w:rsidTr="00AE36DD">
        <w:tc>
          <w:tcPr>
            <w:tcW w:w="2092" w:type="pct"/>
            <w:tcBorders>
              <w:top w:val="nil"/>
            </w:tcBorders>
          </w:tcPr>
          <w:p w14:paraId="3F4BAB50" w14:textId="45841401" w:rsidR="00CC786B" w:rsidRPr="00D76EFB" w:rsidRDefault="00CC786B" w:rsidP="00D76EFB">
            <w:pPr>
              <w:spacing w:before="0"/>
              <w:ind w:left="170"/>
              <w:rPr>
                <w:rFonts w:ascii="Arial Narrow" w:hAnsi="Arial Narrow"/>
                <w:i/>
                <w:sz w:val="20"/>
                <w:szCs w:val="20"/>
              </w:rPr>
            </w:pPr>
            <w:r w:rsidRPr="00D76EFB">
              <w:rPr>
                <w:rFonts w:ascii="Arial Narrow" w:hAnsi="Arial Narrow"/>
                <w:i/>
                <w:sz w:val="20"/>
                <w:szCs w:val="20"/>
              </w:rPr>
              <w:t>Assuming 30% at 2 years</w:t>
            </w:r>
            <w:r w:rsidR="00CD45D9">
              <w:rPr>
                <w:rFonts w:ascii="Arial Narrow" w:hAnsi="Arial Narrow"/>
                <w:i/>
                <w:sz w:val="20"/>
                <w:szCs w:val="20"/>
              </w:rPr>
              <w:t>*</w:t>
            </w:r>
          </w:p>
        </w:tc>
        <w:tc>
          <w:tcPr>
            <w:tcW w:w="754" w:type="pct"/>
            <w:tcBorders>
              <w:top w:val="nil"/>
            </w:tcBorders>
          </w:tcPr>
          <w:p w14:paraId="54F7F5E7" w14:textId="77777777" w:rsidR="00CC786B" w:rsidRPr="00D76EFB" w:rsidRDefault="00CC786B" w:rsidP="00D76EFB">
            <w:pPr>
              <w:spacing w:before="0"/>
              <w:jc w:val="center"/>
              <w:rPr>
                <w:rFonts w:ascii="Arial Narrow" w:hAnsi="Arial Narrow"/>
                <w:i/>
                <w:sz w:val="20"/>
                <w:szCs w:val="20"/>
              </w:rPr>
            </w:pPr>
            <w:r w:rsidRPr="00D76EFB">
              <w:rPr>
                <w:rFonts w:ascii="Arial Narrow" w:hAnsi="Arial Narrow"/>
                <w:i/>
                <w:sz w:val="20"/>
                <w:szCs w:val="20"/>
              </w:rPr>
              <w:t>$16,144.30</w:t>
            </w:r>
          </w:p>
        </w:tc>
        <w:tc>
          <w:tcPr>
            <w:tcW w:w="631" w:type="pct"/>
            <w:tcBorders>
              <w:top w:val="nil"/>
            </w:tcBorders>
          </w:tcPr>
          <w:p w14:paraId="47A17097" w14:textId="77777777" w:rsidR="00CC786B" w:rsidRPr="00D76EFB" w:rsidRDefault="00CC786B" w:rsidP="00D76EFB">
            <w:pPr>
              <w:spacing w:before="0"/>
              <w:jc w:val="center"/>
              <w:rPr>
                <w:rFonts w:ascii="Arial Narrow" w:hAnsi="Arial Narrow"/>
                <w:i/>
                <w:sz w:val="20"/>
                <w:szCs w:val="20"/>
              </w:rPr>
            </w:pPr>
            <w:r w:rsidRPr="00D76EFB">
              <w:rPr>
                <w:rFonts w:ascii="Arial Narrow" w:hAnsi="Arial Narrow"/>
                <w:i/>
                <w:sz w:val="20"/>
                <w:szCs w:val="20"/>
              </w:rPr>
              <w:t>0.9976</w:t>
            </w:r>
          </w:p>
        </w:tc>
        <w:tc>
          <w:tcPr>
            <w:tcW w:w="904" w:type="pct"/>
            <w:tcBorders>
              <w:top w:val="nil"/>
            </w:tcBorders>
          </w:tcPr>
          <w:p w14:paraId="17692A3F" w14:textId="77777777" w:rsidR="00CC786B" w:rsidRPr="00D76EFB" w:rsidRDefault="00CC786B" w:rsidP="00D76EFB">
            <w:pPr>
              <w:spacing w:before="0"/>
              <w:jc w:val="center"/>
              <w:rPr>
                <w:rFonts w:ascii="Arial Narrow" w:hAnsi="Arial Narrow"/>
                <w:i/>
                <w:sz w:val="20"/>
                <w:szCs w:val="20"/>
              </w:rPr>
            </w:pPr>
            <w:r w:rsidRPr="00D76EFB">
              <w:rPr>
                <w:rFonts w:ascii="Arial Narrow" w:hAnsi="Arial Narrow"/>
                <w:i/>
                <w:sz w:val="20"/>
                <w:szCs w:val="20"/>
              </w:rPr>
              <w:t>$16,183.64</w:t>
            </w:r>
          </w:p>
        </w:tc>
        <w:tc>
          <w:tcPr>
            <w:tcW w:w="619" w:type="pct"/>
            <w:tcBorders>
              <w:top w:val="nil"/>
            </w:tcBorders>
          </w:tcPr>
          <w:p w14:paraId="326D305C" w14:textId="73E05865" w:rsidR="00CC786B" w:rsidRPr="00CC786B" w:rsidRDefault="00F73F6E">
            <w:pPr>
              <w:spacing w:before="0"/>
              <w:jc w:val="center"/>
              <w:rPr>
                <w:rFonts w:ascii="Arial Narrow" w:hAnsi="Arial Narrow"/>
                <w:i/>
                <w:iCs/>
                <w:sz w:val="20"/>
                <w:szCs w:val="20"/>
              </w:rPr>
            </w:pPr>
            <w:r>
              <w:rPr>
                <w:rFonts w:ascii="Arial Narrow" w:hAnsi="Arial Narrow"/>
                <w:i/>
                <w:iCs/>
                <w:sz w:val="20"/>
                <w:szCs w:val="20"/>
              </w:rPr>
              <w:t>77.8%</w:t>
            </w:r>
          </w:p>
        </w:tc>
      </w:tr>
      <w:tr w:rsidR="00421AA9" w:rsidRPr="00532CD8" w14:paraId="14F23EA8" w14:textId="77777777" w:rsidTr="00AE36DD">
        <w:tc>
          <w:tcPr>
            <w:tcW w:w="2092" w:type="pct"/>
            <w:tcBorders>
              <w:bottom w:val="single" w:sz="4" w:space="0" w:color="auto"/>
              <w:right w:val="nil"/>
            </w:tcBorders>
          </w:tcPr>
          <w:p w14:paraId="50431116" w14:textId="49D4005A" w:rsidR="00F25116" w:rsidRDefault="00F25116" w:rsidP="00F25116">
            <w:pPr>
              <w:spacing w:before="0"/>
              <w:ind w:left="170"/>
              <w:rPr>
                <w:rFonts w:ascii="Arial Narrow" w:hAnsi="Arial Narrow"/>
                <w:i/>
                <w:iCs/>
                <w:sz w:val="20"/>
                <w:szCs w:val="20"/>
              </w:rPr>
            </w:pPr>
            <w:r w:rsidRPr="00B037FC">
              <w:rPr>
                <w:rFonts w:ascii="Arial Narrow" w:hAnsi="Arial Narrow"/>
                <w:b/>
                <w:bCs/>
                <w:i/>
                <w:iCs/>
                <w:sz w:val="20"/>
                <w:szCs w:val="20"/>
              </w:rPr>
              <w:t>POST ESC ANALYS</w:t>
            </w:r>
            <w:r w:rsidR="0009446B">
              <w:rPr>
                <w:rFonts w:ascii="Arial Narrow" w:hAnsi="Arial Narrow"/>
                <w:b/>
                <w:bCs/>
                <w:i/>
                <w:iCs/>
                <w:sz w:val="20"/>
                <w:szCs w:val="20"/>
              </w:rPr>
              <w:t>E</w:t>
            </w:r>
            <w:r w:rsidRPr="00B037FC">
              <w:rPr>
                <w:rFonts w:ascii="Arial Narrow" w:hAnsi="Arial Narrow"/>
                <w:b/>
                <w:bCs/>
                <w:i/>
                <w:iCs/>
                <w:sz w:val="20"/>
                <w:szCs w:val="20"/>
              </w:rPr>
              <w:t>S</w:t>
            </w:r>
          </w:p>
          <w:p w14:paraId="5F66B923" w14:textId="37F36377" w:rsidR="00421AA9" w:rsidRPr="00D76EFB" w:rsidRDefault="00F25116" w:rsidP="00F25116">
            <w:pPr>
              <w:spacing w:before="0"/>
              <w:ind w:left="170"/>
              <w:rPr>
                <w:rFonts w:ascii="Arial Narrow" w:hAnsi="Arial Narrow"/>
                <w:i/>
                <w:sz w:val="20"/>
                <w:szCs w:val="20"/>
              </w:rPr>
            </w:pPr>
            <w:r w:rsidRPr="004639B2">
              <w:rPr>
                <w:rFonts w:ascii="Arial Narrow" w:hAnsi="Arial Narrow"/>
                <w:i/>
                <w:iCs/>
                <w:sz w:val="20"/>
                <w:szCs w:val="20"/>
              </w:rPr>
              <w:t>Per cycle probability of 0.015</w:t>
            </w:r>
            <w:r>
              <w:rPr>
                <w:rFonts w:ascii="Arial Narrow" w:hAnsi="Arial Narrow"/>
                <w:i/>
                <w:iCs/>
                <w:sz w:val="20"/>
                <w:szCs w:val="20"/>
              </w:rPr>
              <w:t>**</w:t>
            </w:r>
          </w:p>
        </w:tc>
        <w:tc>
          <w:tcPr>
            <w:tcW w:w="754" w:type="pct"/>
            <w:tcBorders>
              <w:left w:val="nil"/>
              <w:bottom w:val="single" w:sz="4" w:space="0" w:color="auto"/>
              <w:right w:val="nil"/>
            </w:tcBorders>
          </w:tcPr>
          <w:p w14:paraId="02D95A4C" w14:textId="77777777" w:rsidR="00421AA9" w:rsidRPr="00D76EFB" w:rsidRDefault="00421AA9">
            <w:pPr>
              <w:spacing w:before="0"/>
              <w:jc w:val="center"/>
              <w:rPr>
                <w:rFonts w:ascii="Arial Narrow" w:hAnsi="Arial Narrow"/>
                <w:i/>
                <w:sz w:val="20"/>
                <w:szCs w:val="20"/>
              </w:rPr>
            </w:pPr>
          </w:p>
        </w:tc>
        <w:tc>
          <w:tcPr>
            <w:tcW w:w="631" w:type="pct"/>
            <w:tcBorders>
              <w:left w:val="nil"/>
              <w:bottom w:val="single" w:sz="4" w:space="0" w:color="auto"/>
              <w:right w:val="nil"/>
            </w:tcBorders>
          </w:tcPr>
          <w:p w14:paraId="6769BC45" w14:textId="77777777" w:rsidR="00421AA9" w:rsidRPr="00D76EFB" w:rsidRDefault="00421AA9">
            <w:pPr>
              <w:spacing w:before="0"/>
              <w:jc w:val="center"/>
              <w:rPr>
                <w:rFonts w:ascii="Arial Narrow" w:hAnsi="Arial Narrow"/>
                <w:i/>
                <w:sz w:val="20"/>
                <w:szCs w:val="20"/>
              </w:rPr>
            </w:pPr>
          </w:p>
        </w:tc>
        <w:tc>
          <w:tcPr>
            <w:tcW w:w="904" w:type="pct"/>
            <w:tcBorders>
              <w:left w:val="nil"/>
              <w:bottom w:val="single" w:sz="4" w:space="0" w:color="auto"/>
              <w:right w:val="nil"/>
            </w:tcBorders>
          </w:tcPr>
          <w:p w14:paraId="5E6898C8" w14:textId="77777777" w:rsidR="00421AA9" w:rsidRPr="00D76EFB" w:rsidRDefault="00421AA9">
            <w:pPr>
              <w:spacing w:before="0"/>
              <w:jc w:val="center"/>
              <w:rPr>
                <w:rFonts w:ascii="Arial Narrow" w:hAnsi="Arial Narrow"/>
                <w:i/>
                <w:sz w:val="20"/>
                <w:szCs w:val="20"/>
              </w:rPr>
            </w:pPr>
          </w:p>
        </w:tc>
        <w:tc>
          <w:tcPr>
            <w:tcW w:w="619" w:type="pct"/>
            <w:tcBorders>
              <w:left w:val="nil"/>
              <w:bottom w:val="single" w:sz="4" w:space="0" w:color="auto"/>
            </w:tcBorders>
          </w:tcPr>
          <w:p w14:paraId="6DBA08D8" w14:textId="77777777" w:rsidR="00421AA9" w:rsidRDefault="00421AA9">
            <w:pPr>
              <w:spacing w:before="0"/>
              <w:jc w:val="center"/>
              <w:rPr>
                <w:rFonts w:ascii="Arial Narrow" w:hAnsi="Arial Narrow"/>
                <w:i/>
                <w:iCs/>
                <w:sz w:val="20"/>
                <w:szCs w:val="20"/>
              </w:rPr>
            </w:pPr>
          </w:p>
        </w:tc>
      </w:tr>
      <w:tr w:rsidR="00421AA9" w:rsidRPr="00532CD8" w14:paraId="66975E83" w14:textId="77777777" w:rsidTr="00AE36DD">
        <w:tc>
          <w:tcPr>
            <w:tcW w:w="2092" w:type="pct"/>
            <w:tcBorders>
              <w:top w:val="single" w:sz="4" w:space="0" w:color="auto"/>
              <w:bottom w:val="nil"/>
            </w:tcBorders>
          </w:tcPr>
          <w:p w14:paraId="2C5A73FF" w14:textId="77777777" w:rsidR="00421AA9" w:rsidRPr="00D76EFB" w:rsidRDefault="00421AA9" w:rsidP="00421AA9">
            <w:pPr>
              <w:spacing w:before="0"/>
              <w:ind w:left="340"/>
              <w:rPr>
                <w:rFonts w:ascii="Arial Narrow" w:hAnsi="Arial Narrow"/>
                <w:i/>
                <w:sz w:val="20"/>
                <w:szCs w:val="20"/>
              </w:rPr>
            </w:pPr>
            <w:r>
              <w:rPr>
                <w:rFonts w:ascii="Arial Narrow" w:hAnsi="Arial Narrow"/>
                <w:i/>
                <w:iCs/>
                <w:sz w:val="20"/>
                <w:szCs w:val="20"/>
              </w:rPr>
              <w:t>A</w:t>
            </w:r>
            <w:r w:rsidRPr="00472216">
              <w:rPr>
                <w:rFonts w:ascii="Arial Narrow" w:hAnsi="Arial Narrow"/>
                <w:i/>
                <w:iCs/>
                <w:sz w:val="20"/>
                <w:szCs w:val="20"/>
              </w:rPr>
              <w:t>pplied for 5 years</w:t>
            </w:r>
          </w:p>
        </w:tc>
        <w:tc>
          <w:tcPr>
            <w:tcW w:w="754" w:type="pct"/>
            <w:tcBorders>
              <w:top w:val="single" w:sz="4" w:space="0" w:color="auto"/>
              <w:bottom w:val="nil"/>
            </w:tcBorders>
          </w:tcPr>
          <w:p w14:paraId="2520C39F" w14:textId="675838E6" w:rsidR="00421AA9" w:rsidRPr="00D76EFB" w:rsidRDefault="00AB6082" w:rsidP="00421AA9">
            <w:pPr>
              <w:spacing w:before="0"/>
              <w:jc w:val="center"/>
              <w:rPr>
                <w:rFonts w:ascii="Arial Narrow" w:hAnsi="Arial Narrow"/>
                <w:i/>
                <w:sz w:val="20"/>
                <w:szCs w:val="20"/>
              </w:rPr>
            </w:pPr>
            <w:r w:rsidRPr="000F5269">
              <w:rPr>
                <w:rFonts w:ascii="Arial Narrow" w:hAnsi="Arial Narrow"/>
                <w:i/>
                <w:sz w:val="20"/>
                <w:szCs w:val="20"/>
              </w:rPr>
              <w:t>$14,616.27</w:t>
            </w:r>
          </w:p>
        </w:tc>
        <w:tc>
          <w:tcPr>
            <w:tcW w:w="631" w:type="pct"/>
            <w:tcBorders>
              <w:top w:val="single" w:sz="4" w:space="0" w:color="auto"/>
              <w:bottom w:val="nil"/>
            </w:tcBorders>
          </w:tcPr>
          <w:p w14:paraId="74FD7743" w14:textId="3E8BBA2E" w:rsidR="00421AA9" w:rsidRPr="00D76EFB" w:rsidRDefault="00AB6082" w:rsidP="00421AA9">
            <w:pPr>
              <w:spacing w:before="0"/>
              <w:jc w:val="center"/>
              <w:rPr>
                <w:rFonts w:ascii="Arial Narrow" w:hAnsi="Arial Narrow"/>
                <w:i/>
                <w:sz w:val="20"/>
                <w:szCs w:val="20"/>
              </w:rPr>
            </w:pPr>
            <w:r w:rsidRPr="000F5269">
              <w:rPr>
                <w:rFonts w:ascii="Arial Narrow" w:hAnsi="Arial Narrow"/>
                <w:i/>
                <w:sz w:val="20"/>
                <w:szCs w:val="20"/>
              </w:rPr>
              <w:t>0.2706</w:t>
            </w:r>
          </w:p>
        </w:tc>
        <w:tc>
          <w:tcPr>
            <w:tcW w:w="904" w:type="pct"/>
            <w:tcBorders>
              <w:bottom w:val="nil"/>
            </w:tcBorders>
            <w:vAlign w:val="center"/>
          </w:tcPr>
          <w:p w14:paraId="3AD530A3" w14:textId="651E56AF" w:rsidR="00421AA9" w:rsidRPr="00D76EFB" w:rsidRDefault="00AB6082" w:rsidP="00421AA9">
            <w:pPr>
              <w:spacing w:before="0"/>
              <w:jc w:val="center"/>
              <w:rPr>
                <w:rFonts w:ascii="Arial Narrow" w:hAnsi="Arial Narrow"/>
                <w:i/>
                <w:sz w:val="20"/>
                <w:szCs w:val="20"/>
              </w:rPr>
            </w:pPr>
            <w:r w:rsidRPr="000F5269">
              <w:rPr>
                <w:rFonts w:ascii="Arial Narrow" w:hAnsi="Arial Narrow"/>
                <w:i/>
                <w:iCs/>
                <w:sz w:val="20"/>
                <w:szCs w:val="20"/>
              </w:rPr>
              <w:t>$54,023.70</w:t>
            </w:r>
          </w:p>
        </w:tc>
        <w:tc>
          <w:tcPr>
            <w:tcW w:w="619" w:type="pct"/>
            <w:tcBorders>
              <w:top w:val="single" w:sz="4" w:space="0" w:color="auto"/>
              <w:bottom w:val="nil"/>
            </w:tcBorders>
          </w:tcPr>
          <w:p w14:paraId="1FB7BB41" w14:textId="68439FFE" w:rsidR="00421AA9" w:rsidRDefault="00AB6082" w:rsidP="00421AA9">
            <w:pPr>
              <w:spacing w:before="0"/>
              <w:jc w:val="center"/>
              <w:rPr>
                <w:rFonts w:ascii="Arial Narrow" w:hAnsi="Arial Narrow"/>
                <w:i/>
                <w:iCs/>
                <w:sz w:val="20"/>
                <w:szCs w:val="20"/>
              </w:rPr>
            </w:pPr>
            <w:r w:rsidRPr="000F5269">
              <w:rPr>
                <w:rFonts w:ascii="Arial Narrow" w:hAnsi="Arial Narrow"/>
                <w:i/>
                <w:iCs/>
                <w:sz w:val="20"/>
                <w:szCs w:val="20"/>
              </w:rPr>
              <w:t>329.04%</w:t>
            </w:r>
          </w:p>
        </w:tc>
      </w:tr>
      <w:tr w:rsidR="00421AA9" w:rsidRPr="00532CD8" w14:paraId="55ED5752" w14:textId="77777777" w:rsidTr="00AE36DD">
        <w:tc>
          <w:tcPr>
            <w:tcW w:w="2092" w:type="pct"/>
            <w:tcBorders>
              <w:top w:val="nil"/>
              <w:bottom w:val="nil"/>
            </w:tcBorders>
          </w:tcPr>
          <w:p w14:paraId="5811C6BE" w14:textId="77777777" w:rsidR="00421AA9" w:rsidRPr="00D76EFB" w:rsidRDefault="00421AA9" w:rsidP="00421AA9">
            <w:pPr>
              <w:spacing w:before="0"/>
              <w:ind w:left="340"/>
              <w:rPr>
                <w:rFonts w:ascii="Arial Narrow" w:hAnsi="Arial Narrow"/>
                <w:i/>
                <w:sz w:val="20"/>
                <w:szCs w:val="20"/>
              </w:rPr>
            </w:pPr>
            <w:r w:rsidRPr="008667AB">
              <w:rPr>
                <w:rFonts w:ascii="Arial Narrow" w:hAnsi="Arial Narrow"/>
                <w:i/>
                <w:iCs/>
                <w:sz w:val="20"/>
                <w:szCs w:val="20"/>
              </w:rPr>
              <w:t xml:space="preserve">Applied for </w:t>
            </w:r>
            <w:r>
              <w:rPr>
                <w:rFonts w:ascii="Arial Narrow" w:hAnsi="Arial Narrow"/>
                <w:i/>
                <w:iCs/>
                <w:sz w:val="20"/>
                <w:szCs w:val="20"/>
              </w:rPr>
              <w:t>10</w:t>
            </w:r>
            <w:r w:rsidRPr="008667AB">
              <w:rPr>
                <w:rFonts w:ascii="Arial Narrow" w:hAnsi="Arial Narrow"/>
                <w:i/>
                <w:iCs/>
                <w:sz w:val="20"/>
                <w:szCs w:val="20"/>
              </w:rPr>
              <w:t xml:space="preserve"> years</w:t>
            </w:r>
          </w:p>
        </w:tc>
        <w:tc>
          <w:tcPr>
            <w:tcW w:w="754" w:type="pct"/>
            <w:tcBorders>
              <w:top w:val="nil"/>
              <w:bottom w:val="nil"/>
            </w:tcBorders>
          </w:tcPr>
          <w:p w14:paraId="3D024A3B" w14:textId="055DAFD0" w:rsidR="00421AA9" w:rsidRPr="00D76EFB" w:rsidRDefault="00AB6082" w:rsidP="00421AA9">
            <w:pPr>
              <w:spacing w:before="0"/>
              <w:jc w:val="center"/>
              <w:rPr>
                <w:rFonts w:ascii="Arial Narrow" w:hAnsi="Arial Narrow"/>
                <w:i/>
                <w:sz w:val="20"/>
                <w:szCs w:val="20"/>
              </w:rPr>
            </w:pPr>
            <w:r w:rsidRPr="000F5269">
              <w:rPr>
                <w:rFonts w:ascii="Arial Narrow" w:hAnsi="Arial Narrow"/>
                <w:i/>
                <w:sz w:val="20"/>
                <w:szCs w:val="20"/>
              </w:rPr>
              <w:t>$13,740.55</w:t>
            </w:r>
          </w:p>
        </w:tc>
        <w:tc>
          <w:tcPr>
            <w:tcW w:w="631" w:type="pct"/>
            <w:tcBorders>
              <w:top w:val="nil"/>
              <w:bottom w:val="nil"/>
            </w:tcBorders>
          </w:tcPr>
          <w:p w14:paraId="1BE67FCB" w14:textId="762E7E8C" w:rsidR="00421AA9" w:rsidRPr="00D76EFB" w:rsidRDefault="00AB6082" w:rsidP="00421AA9">
            <w:pPr>
              <w:spacing w:before="0"/>
              <w:jc w:val="center"/>
              <w:rPr>
                <w:rFonts w:ascii="Arial Narrow" w:hAnsi="Arial Narrow"/>
                <w:i/>
                <w:sz w:val="20"/>
                <w:szCs w:val="20"/>
              </w:rPr>
            </w:pPr>
            <w:r w:rsidRPr="000F5269">
              <w:rPr>
                <w:rFonts w:ascii="Arial Narrow" w:hAnsi="Arial Narrow"/>
                <w:i/>
                <w:sz w:val="20"/>
                <w:szCs w:val="20"/>
              </w:rPr>
              <w:t>0.4522</w:t>
            </w:r>
          </w:p>
        </w:tc>
        <w:tc>
          <w:tcPr>
            <w:tcW w:w="904" w:type="pct"/>
            <w:tcBorders>
              <w:top w:val="nil"/>
              <w:bottom w:val="nil"/>
            </w:tcBorders>
            <w:vAlign w:val="center"/>
          </w:tcPr>
          <w:p w14:paraId="74C157B9" w14:textId="57F0572E" w:rsidR="00421AA9" w:rsidRPr="00D76EFB" w:rsidRDefault="00AB6082" w:rsidP="00421AA9">
            <w:pPr>
              <w:spacing w:before="0"/>
              <w:jc w:val="center"/>
              <w:rPr>
                <w:rFonts w:ascii="Arial Narrow" w:hAnsi="Arial Narrow"/>
                <w:i/>
                <w:sz w:val="20"/>
                <w:szCs w:val="20"/>
              </w:rPr>
            </w:pPr>
            <w:r w:rsidRPr="000F5269">
              <w:rPr>
                <w:rFonts w:ascii="Arial Narrow" w:hAnsi="Arial Narrow"/>
                <w:i/>
                <w:iCs/>
                <w:sz w:val="20"/>
                <w:szCs w:val="20"/>
              </w:rPr>
              <w:t>$30,386.22</w:t>
            </w:r>
          </w:p>
        </w:tc>
        <w:tc>
          <w:tcPr>
            <w:tcW w:w="619" w:type="pct"/>
            <w:tcBorders>
              <w:top w:val="nil"/>
              <w:bottom w:val="nil"/>
            </w:tcBorders>
          </w:tcPr>
          <w:p w14:paraId="384F5143" w14:textId="0B36779B" w:rsidR="00421AA9" w:rsidRDefault="00AB6082" w:rsidP="00421AA9">
            <w:pPr>
              <w:spacing w:before="0"/>
              <w:jc w:val="center"/>
              <w:rPr>
                <w:rFonts w:ascii="Arial Narrow" w:hAnsi="Arial Narrow"/>
                <w:i/>
                <w:iCs/>
                <w:sz w:val="20"/>
                <w:szCs w:val="20"/>
              </w:rPr>
            </w:pPr>
            <w:r w:rsidRPr="000F5269">
              <w:rPr>
                <w:rFonts w:ascii="Arial Narrow" w:hAnsi="Arial Narrow"/>
                <w:i/>
                <w:iCs/>
                <w:sz w:val="20"/>
                <w:szCs w:val="20"/>
              </w:rPr>
              <w:t>141.32%</w:t>
            </w:r>
          </w:p>
        </w:tc>
      </w:tr>
      <w:tr w:rsidR="00421AA9" w:rsidRPr="00532CD8" w14:paraId="2380E268" w14:textId="77777777" w:rsidTr="00AE36DD">
        <w:tc>
          <w:tcPr>
            <w:tcW w:w="2092" w:type="pct"/>
            <w:tcBorders>
              <w:top w:val="nil"/>
              <w:bottom w:val="single" w:sz="4" w:space="0" w:color="auto"/>
            </w:tcBorders>
          </w:tcPr>
          <w:p w14:paraId="0D3BD8C8" w14:textId="77777777" w:rsidR="00421AA9" w:rsidRPr="00D76EFB" w:rsidRDefault="00421AA9" w:rsidP="00421AA9">
            <w:pPr>
              <w:spacing w:before="0"/>
              <w:ind w:left="340"/>
              <w:rPr>
                <w:rFonts w:ascii="Arial Narrow" w:hAnsi="Arial Narrow"/>
                <w:i/>
                <w:sz w:val="20"/>
                <w:szCs w:val="20"/>
              </w:rPr>
            </w:pPr>
            <w:r w:rsidRPr="008667AB">
              <w:rPr>
                <w:rFonts w:ascii="Arial Narrow" w:hAnsi="Arial Narrow"/>
                <w:i/>
                <w:iCs/>
                <w:sz w:val="20"/>
                <w:szCs w:val="20"/>
              </w:rPr>
              <w:t xml:space="preserve">Applied for </w:t>
            </w:r>
            <w:r>
              <w:rPr>
                <w:rFonts w:ascii="Arial Narrow" w:hAnsi="Arial Narrow"/>
                <w:i/>
                <w:iCs/>
                <w:sz w:val="20"/>
                <w:szCs w:val="20"/>
              </w:rPr>
              <w:t>1</w:t>
            </w:r>
            <w:r w:rsidRPr="008667AB">
              <w:rPr>
                <w:rFonts w:ascii="Arial Narrow" w:hAnsi="Arial Narrow"/>
                <w:i/>
                <w:iCs/>
                <w:sz w:val="20"/>
                <w:szCs w:val="20"/>
              </w:rPr>
              <w:t>5 years</w:t>
            </w:r>
          </w:p>
        </w:tc>
        <w:tc>
          <w:tcPr>
            <w:tcW w:w="754" w:type="pct"/>
            <w:tcBorders>
              <w:top w:val="nil"/>
              <w:bottom w:val="single" w:sz="4" w:space="0" w:color="auto"/>
            </w:tcBorders>
          </w:tcPr>
          <w:p w14:paraId="4BF82B06" w14:textId="4397373F" w:rsidR="00421AA9" w:rsidRPr="00D76EFB" w:rsidRDefault="00AB6082" w:rsidP="00421AA9">
            <w:pPr>
              <w:spacing w:before="0"/>
              <w:jc w:val="center"/>
              <w:rPr>
                <w:rFonts w:ascii="Arial Narrow" w:hAnsi="Arial Narrow"/>
                <w:i/>
                <w:sz w:val="20"/>
                <w:szCs w:val="20"/>
              </w:rPr>
            </w:pPr>
            <w:r w:rsidRPr="000F5269">
              <w:rPr>
                <w:rFonts w:ascii="Arial Narrow" w:hAnsi="Arial Narrow"/>
                <w:i/>
                <w:sz w:val="20"/>
                <w:szCs w:val="20"/>
              </w:rPr>
              <w:t>$13,083.86</w:t>
            </w:r>
          </w:p>
        </w:tc>
        <w:tc>
          <w:tcPr>
            <w:tcW w:w="631" w:type="pct"/>
            <w:tcBorders>
              <w:top w:val="nil"/>
              <w:bottom w:val="single" w:sz="4" w:space="0" w:color="auto"/>
            </w:tcBorders>
          </w:tcPr>
          <w:p w14:paraId="0A977221" w14:textId="1B2F3FBC" w:rsidR="00421AA9" w:rsidRPr="00D76EFB" w:rsidRDefault="00AB6082" w:rsidP="00421AA9">
            <w:pPr>
              <w:spacing w:before="0"/>
              <w:jc w:val="center"/>
              <w:rPr>
                <w:rFonts w:ascii="Arial Narrow" w:hAnsi="Arial Narrow"/>
                <w:i/>
                <w:sz w:val="20"/>
                <w:szCs w:val="20"/>
              </w:rPr>
            </w:pPr>
            <w:r w:rsidRPr="000F5269">
              <w:rPr>
                <w:rFonts w:ascii="Arial Narrow" w:hAnsi="Arial Narrow"/>
                <w:i/>
                <w:sz w:val="20"/>
                <w:szCs w:val="20"/>
              </w:rPr>
              <w:t>0.5972</w:t>
            </w:r>
          </w:p>
        </w:tc>
        <w:tc>
          <w:tcPr>
            <w:tcW w:w="904" w:type="pct"/>
            <w:tcBorders>
              <w:top w:val="nil"/>
              <w:bottom w:val="single" w:sz="4" w:space="0" w:color="auto"/>
            </w:tcBorders>
            <w:vAlign w:val="center"/>
          </w:tcPr>
          <w:p w14:paraId="6F021382" w14:textId="3A4D7739" w:rsidR="00421AA9" w:rsidRPr="00D76EFB" w:rsidRDefault="00AB6082" w:rsidP="00421AA9">
            <w:pPr>
              <w:spacing w:before="0"/>
              <w:jc w:val="center"/>
              <w:rPr>
                <w:rFonts w:ascii="Arial Narrow" w:hAnsi="Arial Narrow"/>
                <w:i/>
                <w:sz w:val="20"/>
                <w:szCs w:val="20"/>
              </w:rPr>
            </w:pPr>
            <w:r w:rsidRPr="000F5269">
              <w:rPr>
                <w:rFonts w:ascii="Arial Narrow" w:hAnsi="Arial Narrow"/>
                <w:i/>
                <w:iCs/>
                <w:sz w:val="20"/>
                <w:szCs w:val="20"/>
              </w:rPr>
              <w:t>$21,906.94</w:t>
            </w:r>
          </w:p>
        </w:tc>
        <w:tc>
          <w:tcPr>
            <w:tcW w:w="619" w:type="pct"/>
            <w:tcBorders>
              <w:top w:val="nil"/>
              <w:bottom w:val="single" w:sz="4" w:space="0" w:color="auto"/>
            </w:tcBorders>
          </w:tcPr>
          <w:p w14:paraId="3DB352EB" w14:textId="7507D815" w:rsidR="00421AA9" w:rsidRDefault="00AB6082" w:rsidP="00421AA9">
            <w:pPr>
              <w:spacing w:before="0"/>
              <w:jc w:val="center"/>
              <w:rPr>
                <w:rFonts w:ascii="Arial Narrow" w:hAnsi="Arial Narrow"/>
                <w:i/>
                <w:iCs/>
                <w:sz w:val="20"/>
                <w:szCs w:val="20"/>
              </w:rPr>
            </w:pPr>
            <w:r w:rsidRPr="000F5269">
              <w:rPr>
                <w:rFonts w:ascii="Arial Narrow" w:hAnsi="Arial Narrow"/>
                <w:i/>
                <w:iCs/>
                <w:sz w:val="20"/>
                <w:szCs w:val="20"/>
              </w:rPr>
              <w:t>73.98%</w:t>
            </w:r>
          </w:p>
        </w:tc>
      </w:tr>
      <w:tr w:rsidR="00FD68F5" w:rsidRPr="002F0874" w14:paraId="5FBA4F56" w14:textId="77777777" w:rsidTr="00AE36DD">
        <w:tc>
          <w:tcPr>
            <w:tcW w:w="5000" w:type="pct"/>
            <w:gridSpan w:val="5"/>
          </w:tcPr>
          <w:p w14:paraId="76596D12" w14:textId="77777777" w:rsidR="00FD68F5" w:rsidRPr="002F0874" w:rsidRDefault="00FD68F5" w:rsidP="0075575F">
            <w:pPr>
              <w:spacing w:before="0"/>
              <w:rPr>
                <w:rFonts w:ascii="Arial Narrow" w:hAnsi="Arial Narrow"/>
                <w:b/>
                <w:bCs/>
                <w:sz w:val="20"/>
                <w:szCs w:val="20"/>
              </w:rPr>
            </w:pPr>
            <w:r w:rsidRPr="005A6DEA">
              <w:rPr>
                <w:rFonts w:ascii="Arial Narrow" w:hAnsi="Arial Narrow"/>
                <w:b/>
                <w:bCs/>
                <w:sz w:val="20"/>
                <w:szCs w:val="20"/>
              </w:rPr>
              <w:t>Applicant’s pre-MSAC multivariate sensitivity analyses</w:t>
            </w:r>
            <w:r>
              <w:rPr>
                <w:rFonts w:ascii="Arial Narrow" w:hAnsi="Arial Narrow"/>
                <w:b/>
                <w:bCs/>
                <w:sz w:val="20"/>
                <w:szCs w:val="20"/>
              </w:rPr>
              <w:t>***</w:t>
            </w:r>
          </w:p>
        </w:tc>
      </w:tr>
      <w:tr w:rsidR="00514494" w:rsidRPr="002F0874" w14:paraId="6ED58202" w14:textId="77777777" w:rsidTr="00AE36DD">
        <w:tc>
          <w:tcPr>
            <w:tcW w:w="2092" w:type="pct"/>
            <w:tcBorders>
              <w:top w:val="single" w:sz="4" w:space="0" w:color="auto"/>
            </w:tcBorders>
          </w:tcPr>
          <w:p w14:paraId="09828391" w14:textId="77777777" w:rsidR="00514494" w:rsidRPr="004C22E6" w:rsidRDefault="00514494" w:rsidP="00514494">
            <w:pPr>
              <w:spacing w:before="0"/>
              <w:rPr>
                <w:rFonts w:ascii="Arial Narrow" w:hAnsi="Arial Narrow"/>
                <w:b/>
                <w:bCs/>
                <w:sz w:val="20"/>
                <w:szCs w:val="20"/>
              </w:rPr>
            </w:pPr>
            <w:r w:rsidRPr="00813660">
              <w:rPr>
                <w:rFonts w:ascii="Arial Narrow" w:hAnsi="Arial Narrow"/>
                <w:sz w:val="20"/>
                <w:szCs w:val="20"/>
              </w:rPr>
              <w:t>Scenario I (Criteria I, II a, III)</w:t>
            </w:r>
          </w:p>
        </w:tc>
        <w:tc>
          <w:tcPr>
            <w:tcW w:w="754" w:type="pct"/>
            <w:tcBorders>
              <w:top w:val="single" w:sz="4" w:space="0" w:color="auto"/>
            </w:tcBorders>
            <w:vAlign w:val="center"/>
          </w:tcPr>
          <w:p w14:paraId="6EFE05AC" w14:textId="6261EFDF" w:rsidR="00514494" w:rsidRPr="00D76EFB" w:rsidRDefault="00514494" w:rsidP="00514494">
            <w:pPr>
              <w:spacing w:before="0"/>
              <w:jc w:val="center"/>
              <w:rPr>
                <w:rFonts w:ascii="Arial Narrow" w:hAnsi="Arial Narrow"/>
                <w:b/>
                <w:sz w:val="20"/>
                <w:szCs w:val="20"/>
              </w:rPr>
            </w:pPr>
            <w:r w:rsidRPr="00350625">
              <w:rPr>
                <w:rFonts w:ascii="Arial Narrow" w:hAnsi="Arial Narrow"/>
                <w:bCs/>
                <w:sz w:val="20"/>
                <w:szCs w:val="20"/>
              </w:rPr>
              <w:t>$14,402.25</w:t>
            </w:r>
          </w:p>
        </w:tc>
        <w:tc>
          <w:tcPr>
            <w:tcW w:w="631" w:type="pct"/>
            <w:tcBorders>
              <w:top w:val="single" w:sz="4" w:space="0" w:color="auto"/>
            </w:tcBorders>
            <w:vAlign w:val="center"/>
          </w:tcPr>
          <w:p w14:paraId="222C99F0" w14:textId="623C3C44" w:rsidR="00514494" w:rsidRPr="00D76EFB" w:rsidRDefault="00514494" w:rsidP="00514494">
            <w:pPr>
              <w:spacing w:before="0"/>
              <w:jc w:val="center"/>
              <w:rPr>
                <w:rFonts w:ascii="Arial Narrow" w:hAnsi="Arial Narrow"/>
                <w:b/>
                <w:sz w:val="20"/>
                <w:szCs w:val="20"/>
              </w:rPr>
            </w:pPr>
            <w:r w:rsidRPr="00350625">
              <w:rPr>
                <w:rFonts w:ascii="Arial Narrow" w:hAnsi="Arial Narrow"/>
                <w:bCs/>
                <w:sz w:val="20"/>
                <w:szCs w:val="20"/>
              </w:rPr>
              <w:t>0.87</w:t>
            </w:r>
          </w:p>
        </w:tc>
        <w:tc>
          <w:tcPr>
            <w:tcW w:w="904" w:type="pct"/>
            <w:tcBorders>
              <w:top w:val="single" w:sz="4" w:space="0" w:color="auto"/>
            </w:tcBorders>
            <w:vAlign w:val="center"/>
          </w:tcPr>
          <w:p w14:paraId="241A48CE" w14:textId="3BE0D904" w:rsidR="00514494" w:rsidRPr="00D76EFB" w:rsidRDefault="00514494" w:rsidP="00514494">
            <w:pPr>
              <w:spacing w:before="0"/>
              <w:jc w:val="center"/>
              <w:rPr>
                <w:rFonts w:ascii="Arial Narrow" w:hAnsi="Arial Narrow"/>
                <w:b/>
                <w:sz w:val="20"/>
                <w:szCs w:val="20"/>
              </w:rPr>
            </w:pPr>
            <w:r w:rsidRPr="00350625">
              <w:rPr>
                <w:rFonts w:ascii="Arial Narrow" w:hAnsi="Arial Narrow"/>
                <w:bCs/>
                <w:sz w:val="20"/>
                <w:szCs w:val="20"/>
              </w:rPr>
              <w:t>$16,610.50</w:t>
            </w:r>
          </w:p>
        </w:tc>
        <w:tc>
          <w:tcPr>
            <w:tcW w:w="619" w:type="pct"/>
            <w:tcBorders>
              <w:top w:val="single" w:sz="4" w:space="0" w:color="auto"/>
            </w:tcBorders>
            <w:vAlign w:val="center"/>
          </w:tcPr>
          <w:p w14:paraId="1F67DEA7" w14:textId="3BF23FE7" w:rsidR="00514494" w:rsidRPr="002F0874" w:rsidRDefault="00514494" w:rsidP="00514494">
            <w:pPr>
              <w:spacing w:before="0"/>
              <w:jc w:val="center"/>
              <w:rPr>
                <w:rFonts w:ascii="Arial Narrow" w:hAnsi="Arial Narrow"/>
                <w:b/>
                <w:bCs/>
                <w:sz w:val="20"/>
                <w:szCs w:val="20"/>
              </w:rPr>
            </w:pPr>
            <w:r w:rsidRPr="00350625">
              <w:rPr>
                <w:rFonts w:ascii="Arial Narrow" w:hAnsi="Arial Narrow"/>
                <w:bCs/>
                <w:sz w:val="20"/>
                <w:szCs w:val="20"/>
              </w:rPr>
              <w:t>31.9%</w:t>
            </w:r>
          </w:p>
        </w:tc>
      </w:tr>
      <w:tr w:rsidR="00514494" w:rsidRPr="002F0874" w14:paraId="29E57BEA" w14:textId="77777777" w:rsidTr="00AE36DD">
        <w:tc>
          <w:tcPr>
            <w:tcW w:w="2092" w:type="pct"/>
            <w:tcBorders>
              <w:top w:val="single" w:sz="4" w:space="0" w:color="auto"/>
            </w:tcBorders>
          </w:tcPr>
          <w:p w14:paraId="0FE982A9" w14:textId="77777777" w:rsidR="00514494" w:rsidRPr="004C22E6" w:rsidRDefault="00514494" w:rsidP="00514494">
            <w:pPr>
              <w:spacing w:before="0"/>
              <w:rPr>
                <w:rFonts w:ascii="Arial Narrow" w:hAnsi="Arial Narrow"/>
                <w:b/>
                <w:bCs/>
                <w:sz w:val="20"/>
                <w:szCs w:val="20"/>
              </w:rPr>
            </w:pPr>
            <w:r w:rsidRPr="00813660">
              <w:rPr>
                <w:rFonts w:ascii="Arial Narrow" w:hAnsi="Arial Narrow"/>
                <w:sz w:val="20"/>
                <w:szCs w:val="20"/>
              </w:rPr>
              <w:t>Scenario 2 (Criteria I, II a)</w:t>
            </w:r>
          </w:p>
        </w:tc>
        <w:tc>
          <w:tcPr>
            <w:tcW w:w="754" w:type="pct"/>
            <w:tcBorders>
              <w:top w:val="single" w:sz="4" w:space="0" w:color="auto"/>
            </w:tcBorders>
            <w:vAlign w:val="center"/>
          </w:tcPr>
          <w:p w14:paraId="0C4651A8" w14:textId="578A4567" w:rsidR="00514494" w:rsidRPr="00D76EFB" w:rsidRDefault="00514494" w:rsidP="00514494">
            <w:pPr>
              <w:spacing w:before="0"/>
              <w:jc w:val="center"/>
              <w:rPr>
                <w:rFonts w:ascii="Arial Narrow" w:hAnsi="Arial Narrow"/>
                <w:b/>
                <w:sz w:val="20"/>
                <w:szCs w:val="20"/>
              </w:rPr>
            </w:pPr>
            <w:r w:rsidRPr="00350625">
              <w:rPr>
                <w:rFonts w:ascii="Arial Narrow" w:hAnsi="Arial Narrow"/>
                <w:bCs/>
                <w:sz w:val="20"/>
                <w:szCs w:val="20"/>
              </w:rPr>
              <w:t>$13,824.99</w:t>
            </w:r>
          </w:p>
        </w:tc>
        <w:tc>
          <w:tcPr>
            <w:tcW w:w="631" w:type="pct"/>
            <w:tcBorders>
              <w:top w:val="single" w:sz="4" w:space="0" w:color="auto"/>
            </w:tcBorders>
            <w:vAlign w:val="center"/>
          </w:tcPr>
          <w:p w14:paraId="00B75FB8" w14:textId="6E955B01" w:rsidR="00514494" w:rsidRPr="00D76EFB" w:rsidRDefault="00514494" w:rsidP="00514494">
            <w:pPr>
              <w:spacing w:before="0"/>
              <w:jc w:val="center"/>
              <w:rPr>
                <w:rFonts w:ascii="Arial Narrow" w:hAnsi="Arial Narrow"/>
                <w:b/>
                <w:sz w:val="20"/>
                <w:szCs w:val="20"/>
              </w:rPr>
            </w:pPr>
            <w:r w:rsidRPr="00813660">
              <w:rPr>
                <w:rFonts w:ascii="Arial Narrow" w:hAnsi="Arial Narrow"/>
                <w:sz w:val="20"/>
                <w:szCs w:val="20"/>
              </w:rPr>
              <w:t>1.00</w:t>
            </w:r>
          </w:p>
        </w:tc>
        <w:tc>
          <w:tcPr>
            <w:tcW w:w="904" w:type="pct"/>
            <w:tcBorders>
              <w:top w:val="single" w:sz="4" w:space="0" w:color="auto"/>
            </w:tcBorders>
            <w:vAlign w:val="center"/>
          </w:tcPr>
          <w:p w14:paraId="15DFC67A" w14:textId="72D1265A" w:rsidR="00514494" w:rsidRPr="00D76EFB" w:rsidRDefault="00514494" w:rsidP="00514494">
            <w:pPr>
              <w:spacing w:before="0"/>
              <w:jc w:val="center"/>
              <w:rPr>
                <w:rFonts w:ascii="Arial Narrow" w:hAnsi="Arial Narrow"/>
                <w:b/>
                <w:sz w:val="20"/>
                <w:szCs w:val="20"/>
              </w:rPr>
            </w:pPr>
            <w:r w:rsidRPr="00813660">
              <w:rPr>
                <w:rFonts w:ascii="Arial Narrow" w:hAnsi="Arial Narrow"/>
                <w:sz w:val="20"/>
                <w:szCs w:val="20"/>
              </w:rPr>
              <w:t>$13,858.68</w:t>
            </w:r>
          </w:p>
        </w:tc>
        <w:tc>
          <w:tcPr>
            <w:tcW w:w="619" w:type="pct"/>
            <w:tcBorders>
              <w:top w:val="single" w:sz="4" w:space="0" w:color="auto"/>
            </w:tcBorders>
            <w:vAlign w:val="center"/>
          </w:tcPr>
          <w:p w14:paraId="44CDE560" w14:textId="5CB94799" w:rsidR="00514494" w:rsidRPr="002F0874" w:rsidRDefault="00514494" w:rsidP="00514494">
            <w:pPr>
              <w:spacing w:before="0"/>
              <w:jc w:val="center"/>
              <w:rPr>
                <w:rFonts w:ascii="Arial Narrow" w:hAnsi="Arial Narrow"/>
                <w:b/>
                <w:bCs/>
                <w:sz w:val="20"/>
                <w:szCs w:val="20"/>
              </w:rPr>
            </w:pPr>
            <w:r w:rsidRPr="00813660">
              <w:rPr>
                <w:rFonts w:ascii="Arial Narrow" w:hAnsi="Arial Narrow"/>
                <w:sz w:val="20"/>
                <w:szCs w:val="20"/>
              </w:rPr>
              <w:t>10.1%</w:t>
            </w:r>
          </w:p>
        </w:tc>
      </w:tr>
      <w:tr w:rsidR="00514494" w:rsidRPr="002F0874" w14:paraId="4081CDD7" w14:textId="77777777" w:rsidTr="00AE36DD">
        <w:tc>
          <w:tcPr>
            <w:tcW w:w="2092" w:type="pct"/>
            <w:tcBorders>
              <w:top w:val="single" w:sz="4" w:space="0" w:color="auto"/>
            </w:tcBorders>
          </w:tcPr>
          <w:p w14:paraId="63CF8EAE" w14:textId="77777777" w:rsidR="00514494" w:rsidRPr="004C22E6" w:rsidRDefault="00514494" w:rsidP="00514494">
            <w:pPr>
              <w:spacing w:before="0"/>
              <w:rPr>
                <w:rFonts w:ascii="Arial Narrow" w:hAnsi="Arial Narrow"/>
                <w:b/>
                <w:bCs/>
                <w:sz w:val="20"/>
                <w:szCs w:val="20"/>
              </w:rPr>
            </w:pPr>
            <w:r w:rsidRPr="00813660">
              <w:rPr>
                <w:rFonts w:ascii="Arial Narrow" w:hAnsi="Arial Narrow"/>
                <w:sz w:val="20"/>
                <w:szCs w:val="20"/>
              </w:rPr>
              <w:t>Scenario 3 (Criteria I, II b)</w:t>
            </w:r>
          </w:p>
        </w:tc>
        <w:tc>
          <w:tcPr>
            <w:tcW w:w="754" w:type="pct"/>
            <w:tcBorders>
              <w:top w:val="single" w:sz="4" w:space="0" w:color="auto"/>
            </w:tcBorders>
            <w:vAlign w:val="center"/>
          </w:tcPr>
          <w:p w14:paraId="2CA19EC6" w14:textId="4AFCB0FE" w:rsidR="00514494" w:rsidRPr="00D76EFB" w:rsidRDefault="00514494" w:rsidP="00514494">
            <w:pPr>
              <w:spacing w:before="0"/>
              <w:jc w:val="center"/>
              <w:rPr>
                <w:rFonts w:ascii="Arial Narrow" w:hAnsi="Arial Narrow"/>
                <w:b/>
                <w:sz w:val="20"/>
                <w:szCs w:val="20"/>
              </w:rPr>
            </w:pPr>
            <w:r w:rsidRPr="00813660">
              <w:rPr>
                <w:rFonts w:ascii="Arial Narrow" w:hAnsi="Arial Narrow"/>
                <w:sz w:val="20"/>
                <w:szCs w:val="20"/>
              </w:rPr>
              <w:t>$17,335.03</w:t>
            </w:r>
          </w:p>
        </w:tc>
        <w:tc>
          <w:tcPr>
            <w:tcW w:w="631" w:type="pct"/>
            <w:tcBorders>
              <w:top w:val="single" w:sz="4" w:space="0" w:color="auto"/>
            </w:tcBorders>
            <w:vAlign w:val="center"/>
          </w:tcPr>
          <w:p w14:paraId="4F54EB8B" w14:textId="5B1ED624" w:rsidR="00514494" w:rsidRPr="00D76EFB" w:rsidRDefault="00514494" w:rsidP="00514494">
            <w:pPr>
              <w:spacing w:before="0"/>
              <w:jc w:val="center"/>
              <w:rPr>
                <w:rFonts w:ascii="Arial Narrow" w:hAnsi="Arial Narrow"/>
                <w:b/>
                <w:sz w:val="20"/>
                <w:szCs w:val="20"/>
              </w:rPr>
            </w:pPr>
            <w:r w:rsidRPr="00813660">
              <w:rPr>
                <w:rFonts w:ascii="Arial Narrow" w:hAnsi="Arial Narrow"/>
                <w:sz w:val="20"/>
                <w:szCs w:val="20"/>
              </w:rPr>
              <w:t>1.00</w:t>
            </w:r>
          </w:p>
        </w:tc>
        <w:tc>
          <w:tcPr>
            <w:tcW w:w="904" w:type="pct"/>
            <w:tcBorders>
              <w:top w:val="single" w:sz="4" w:space="0" w:color="auto"/>
            </w:tcBorders>
            <w:vAlign w:val="center"/>
          </w:tcPr>
          <w:p w14:paraId="07DD16A1" w14:textId="490A0310" w:rsidR="00514494" w:rsidRPr="00D76EFB" w:rsidRDefault="00514494" w:rsidP="00514494">
            <w:pPr>
              <w:spacing w:before="0"/>
              <w:jc w:val="center"/>
              <w:rPr>
                <w:rFonts w:ascii="Arial Narrow" w:hAnsi="Arial Narrow"/>
                <w:b/>
                <w:sz w:val="20"/>
                <w:szCs w:val="20"/>
              </w:rPr>
            </w:pPr>
            <w:r w:rsidRPr="00813660">
              <w:rPr>
                <w:rFonts w:ascii="Arial Narrow" w:hAnsi="Arial Narrow"/>
                <w:sz w:val="20"/>
                <w:szCs w:val="20"/>
              </w:rPr>
              <w:t>$17,377.27</w:t>
            </w:r>
          </w:p>
        </w:tc>
        <w:tc>
          <w:tcPr>
            <w:tcW w:w="619" w:type="pct"/>
            <w:tcBorders>
              <w:top w:val="single" w:sz="4" w:space="0" w:color="auto"/>
            </w:tcBorders>
            <w:vAlign w:val="center"/>
          </w:tcPr>
          <w:p w14:paraId="47B9DDE1" w14:textId="20244A71" w:rsidR="00514494" w:rsidRPr="002F0874" w:rsidRDefault="00514494" w:rsidP="00514494">
            <w:pPr>
              <w:spacing w:before="0"/>
              <w:jc w:val="center"/>
              <w:rPr>
                <w:rFonts w:ascii="Arial Narrow" w:hAnsi="Arial Narrow"/>
                <w:b/>
                <w:bCs/>
                <w:sz w:val="20"/>
                <w:szCs w:val="20"/>
              </w:rPr>
            </w:pPr>
            <w:r w:rsidRPr="00813660">
              <w:rPr>
                <w:rFonts w:ascii="Arial Narrow" w:hAnsi="Arial Narrow"/>
                <w:sz w:val="20"/>
                <w:szCs w:val="20"/>
              </w:rPr>
              <w:t>38.0</w:t>
            </w:r>
          </w:p>
        </w:tc>
      </w:tr>
      <w:tr w:rsidR="00514494" w:rsidRPr="002F0874" w14:paraId="3D38E650" w14:textId="77777777" w:rsidTr="00B562DC">
        <w:tc>
          <w:tcPr>
            <w:tcW w:w="2092" w:type="pct"/>
            <w:tcBorders>
              <w:top w:val="single" w:sz="4" w:space="0" w:color="auto"/>
              <w:bottom w:val="single" w:sz="4" w:space="0" w:color="auto"/>
            </w:tcBorders>
          </w:tcPr>
          <w:p w14:paraId="4EC2876C" w14:textId="77777777" w:rsidR="00514494" w:rsidRPr="004C22E6" w:rsidRDefault="00514494" w:rsidP="00514494">
            <w:pPr>
              <w:spacing w:before="0"/>
              <w:rPr>
                <w:rFonts w:ascii="Arial Narrow" w:hAnsi="Arial Narrow"/>
                <w:b/>
                <w:bCs/>
                <w:sz w:val="20"/>
                <w:szCs w:val="20"/>
              </w:rPr>
            </w:pPr>
            <w:r w:rsidRPr="00813660">
              <w:rPr>
                <w:rFonts w:ascii="Arial Narrow" w:hAnsi="Arial Narrow"/>
                <w:sz w:val="20"/>
                <w:szCs w:val="20"/>
              </w:rPr>
              <w:t>Scenario 4 (Criteria I, II b, III)</w:t>
            </w:r>
          </w:p>
        </w:tc>
        <w:tc>
          <w:tcPr>
            <w:tcW w:w="754" w:type="pct"/>
            <w:tcBorders>
              <w:top w:val="single" w:sz="4" w:space="0" w:color="auto"/>
              <w:bottom w:val="single" w:sz="4" w:space="0" w:color="auto"/>
            </w:tcBorders>
            <w:vAlign w:val="center"/>
          </w:tcPr>
          <w:p w14:paraId="17D21DAB" w14:textId="2B488B6C" w:rsidR="00514494" w:rsidRPr="00D76EFB" w:rsidRDefault="00514494" w:rsidP="00514494">
            <w:pPr>
              <w:spacing w:before="0"/>
              <w:jc w:val="center"/>
              <w:rPr>
                <w:rFonts w:ascii="Arial Narrow" w:hAnsi="Arial Narrow"/>
                <w:b/>
                <w:sz w:val="20"/>
                <w:szCs w:val="20"/>
              </w:rPr>
            </w:pPr>
            <w:r w:rsidRPr="00813660">
              <w:rPr>
                <w:rFonts w:ascii="Arial Narrow" w:hAnsi="Arial Narrow"/>
                <w:sz w:val="20"/>
                <w:szCs w:val="20"/>
              </w:rPr>
              <w:t>$17,912.28</w:t>
            </w:r>
          </w:p>
        </w:tc>
        <w:tc>
          <w:tcPr>
            <w:tcW w:w="631" w:type="pct"/>
            <w:tcBorders>
              <w:top w:val="single" w:sz="4" w:space="0" w:color="auto"/>
              <w:bottom w:val="single" w:sz="4" w:space="0" w:color="auto"/>
            </w:tcBorders>
            <w:vAlign w:val="center"/>
          </w:tcPr>
          <w:p w14:paraId="72C8DE05" w14:textId="191974D2" w:rsidR="00514494" w:rsidRPr="00D76EFB" w:rsidRDefault="00514494" w:rsidP="00514494">
            <w:pPr>
              <w:spacing w:before="0"/>
              <w:jc w:val="center"/>
              <w:rPr>
                <w:rFonts w:ascii="Arial Narrow" w:hAnsi="Arial Narrow"/>
                <w:b/>
                <w:sz w:val="20"/>
                <w:szCs w:val="20"/>
              </w:rPr>
            </w:pPr>
            <w:r w:rsidRPr="00813660">
              <w:rPr>
                <w:rFonts w:ascii="Arial Narrow" w:hAnsi="Arial Narrow"/>
                <w:sz w:val="20"/>
                <w:szCs w:val="20"/>
              </w:rPr>
              <w:t>0.87</w:t>
            </w:r>
          </w:p>
        </w:tc>
        <w:tc>
          <w:tcPr>
            <w:tcW w:w="904" w:type="pct"/>
            <w:tcBorders>
              <w:top w:val="single" w:sz="4" w:space="0" w:color="auto"/>
              <w:bottom w:val="single" w:sz="4" w:space="0" w:color="auto"/>
            </w:tcBorders>
            <w:vAlign w:val="center"/>
          </w:tcPr>
          <w:p w14:paraId="1EFA48CD" w14:textId="00A353D1" w:rsidR="00514494" w:rsidRPr="00D76EFB" w:rsidRDefault="00514494" w:rsidP="00514494">
            <w:pPr>
              <w:spacing w:before="0"/>
              <w:jc w:val="center"/>
              <w:rPr>
                <w:rFonts w:ascii="Arial Narrow" w:hAnsi="Arial Narrow"/>
                <w:b/>
                <w:sz w:val="20"/>
                <w:szCs w:val="20"/>
              </w:rPr>
            </w:pPr>
            <w:r w:rsidRPr="00813660">
              <w:rPr>
                <w:rFonts w:ascii="Arial Narrow" w:hAnsi="Arial Narrow"/>
                <w:sz w:val="20"/>
                <w:szCs w:val="20"/>
              </w:rPr>
              <w:t>$20,658.72</w:t>
            </w:r>
          </w:p>
        </w:tc>
        <w:tc>
          <w:tcPr>
            <w:tcW w:w="619" w:type="pct"/>
            <w:tcBorders>
              <w:top w:val="single" w:sz="4" w:space="0" w:color="auto"/>
              <w:bottom w:val="single" w:sz="4" w:space="0" w:color="auto"/>
            </w:tcBorders>
            <w:vAlign w:val="center"/>
          </w:tcPr>
          <w:p w14:paraId="02C79201" w14:textId="14D31CE5" w:rsidR="00514494" w:rsidRPr="002F0874" w:rsidRDefault="00514494" w:rsidP="00514494">
            <w:pPr>
              <w:spacing w:before="0"/>
              <w:jc w:val="center"/>
              <w:rPr>
                <w:rFonts w:ascii="Arial Narrow" w:hAnsi="Arial Narrow"/>
                <w:b/>
                <w:bCs/>
                <w:sz w:val="20"/>
                <w:szCs w:val="20"/>
              </w:rPr>
            </w:pPr>
            <w:r w:rsidRPr="00813660">
              <w:rPr>
                <w:rFonts w:ascii="Arial Narrow" w:hAnsi="Arial Narrow"/>
                <w:sz w:val="20"/>
                <w:szCs w:val="20"/>
              </w:rPr>
              <w:t>64.1%</w:t>
            </w:r>
          </w:p>
        </w:tc>
      </w:tr>
      <w:tr w:rsidR="00A32CEF" w:rsidRPr="002A2679" w14:paraId="6148C061" w14:textId="77777777" w:rsidTr="00AE36DD">
        <w:tc>
          <w:tcPr>
            <w:tcW w:w="2092" w:type="pct"/>
            <w:tcBorders>
              <w:top w:val="single" w:sz="4" w:space="0" w:color="auto"/>
            </w:tcBorders>
          </w:tcPr>
          <w:p w14:paraId="21782B2B" w14:textId="31CD58CB" w:rsidR="00A32CEF" w:rsidRPr="00B562DC" w:rsidRDefault="00A32CEF" w:rsidP="00A32CEF">
            <w:pPr>
              <w:spacing w:before="0"/>
              <w:rPr>
                <w:rFonts w:ascii="Arial Narrow" w:hAnsi="Arial Narrow"/>
                <w:i/>
                <w:iCs/>
                <w:sz w:val="20"/>
                <w:szCs w:val="20"/>
              </w:rPr>
            </w:pPr>
            <w:r>
              <w:rPr>
                <w:rFonts w:ascii="Arial Narrow" w:hAnsi="Arial Narrow"/>
                <w:i/>
                <w:iCs/>
                <w:sz w:val="20"/>
                <w:szCs w:val="20"/>
              </w:rPr>
              <w:t>MSAC extra analysis [Criteria I, IIa and duration of probability of reintervention=15 yrs (BC=5 yrs)</w:t>
            </w:r>
          </w:p>
        </w:tc>
        <w:tc>
          <w:tcPr>
            <w:tcW w:w="754" w:type="pct"/>
            <w:tcBorders>
              <w:top w:val="single" w:sz="4" w:space="0" w:color="auto"/>
            </w:tcBorders>
            <w:vAlign w:val="center"/>
          </w:tcPr>
          <w:p w14:paraId="1A1CD9AE" w14:textId="6028CADD" w:rsidR="00A32CEF" w:rsidRPr="00B562DC" w:rsidRDefault="00A32CEF" w:rsidP="00A32CEF">
            <w:pPr>
              <w:spacing w:before="0"/>
              <w:jc w:val="center"/>
              <w:rPr>
                <w:rFonts w:ascii="Arial Narrow" w:hAnsi="Arial Narrow"/>
                <w:i/>
                <w:iCs/>
                <w:sz w:val="20"/>
                <w:szCs w:val="20"/>
              </w:rPr>
            </w:pPr>
            <w:r>
              <w:rPr>
                <w:rFonts w:ascii="Arial Narrow" w:hAnsi="Arial Narrow"/>
                <w:bCs/>
                <w:i/>
                <w:iCs/>
                <w:sz w:val="20"/>
                <w:szCs w:val="20"/>
              </w:rPr>
              <w:t>$1</w:t>
            </w:r>
            <w:r w:rsidR="003D4760">
              <w:rPr>
                <w:rFonts w:ascii="Arial Narrow" w:hAnsi="Arial Narrow"/>
                <w:bCs/>
                <w:i/>
                <w:iCs/>
                <w:sz w:val="20"/>
                <w:szCs w:val="20"/>
              </w:rPr>
              <w:t>8</w:t>
            </w:r>
            <w:r w:rsidR="008A61DB">
              <w:rPr>
                <w:rFonts w:ascii="Arial Narrow" w:hAnsi="Arial Narrow"/>
                <w:bCs/>
                <w:i/>
                <w:iCs/>
                <w:sz w:val="20"/>
                <w:szCs w:val="20"/>
              </w:rPr>
              <w:t>,</w:t>
            </w:r>
            <w:r w:rsidR="003D4760">
              <w:rPr>
                <w:rFonts w:ascii="Arial Narrow" w:hAnsi="Arial Narrow"/>
                <w:bCs/>
                <w:i/>
                <w:iCs/>
                <w:sz w:val="20"/>
                <w:szCs w:val="20"/>
              </w:rPr>
              <w:t>409.18</w:t>
            </w:r>
          </w:p>
        </w:tc>
        <w:tc>
          <w:tcPr>
            <w:tcW w:w="631" w:type="pct"/>
            <w:tcBorders>
              <w:top w:val="single" w:sz="4" w:space="0" w:color="auto"/>
            </w:tcBorders>
            <w:vAlign w:val="center"/>
          </w:tcPr>
          <w:p w14:paraId="5FD79F82" w14:textId="19C3F1A8" w:rsidR="00A32CEF" w:rsidRPr="00B562DC" w:rsidRDefault="00A32CEF" w:rsidP="00A32CEF">
            <w:pPr>
              <w:spacing w:before="0"/>
              <w:jc w:val="center"/>
              <w:rPr>
                <w:rFonts w:ascii="Arial Narrow" w:hAnsi="Arial Narrow"/>
                <w:i/>
                <w:iCs/>
                <w:sz w:val="20"/>
                <w:szCs w:val="20"/>
              </w:rPr>
            </w:pPr>
            <w:r>
              <w:rPr>
                <w:rFonts w:ascii="Arial Narrow" w:hAnsi="Arial Narrow"/>
                <w:bCs/>
                <w:i/>
                <w:iCs/>
                <w:sz w:val="20"/>
                <w:szCs w:val="20"/>
              </w:rPr>
              <w:t>0.99</w:t>
            </w:r>
            <w:r w:rsidR="0047011D">
              <w:rPr>
                <w:rFonts w:ascii="Arial Narrow" w:hAnsi="Arial Narrow"/>
                <w:bCs/>
                <w:i/>
                <w:iCs/>
                <w:sz w:val="20"/>
                <w:szCs w:val="20"/>
              </w:rPr>
              <w:t>76</w:t>
            </w:r>
          </w:p>
        </w:tc>
        <w:tc>
          <w:tcPr>
            <w:tcW w:w="904" w:type="pct"/>
            <w:tcBorders>
              <w:top w:val="single" w:sz="4" w:space="0" w:color="auto"/>
            </w:tcBorders>
            <w:vAlign w:val="center"/>
          </w:tcPr>
          <w:p w14:paraId="6E0F1A03" w14:textId="1A081CD1" w:rsidR="00A32CEF" w:rsidRPr="00B562DC" w:rsidRDefault="00A32CEF" w:rsidP="00A32CEF">
            <w:pPr>
              <w:spacing w:before="0"/>
              <w:jc w:val="center"/>
              <w:rPr>
                <w:rFonts w:ascii="Arial Narrow" w:hAnsi="Arial Narrow"/>
                <w:i/>
                <w:iCs/>
                <w:sz w:val="20"/>
                <w:szCs w:val="20"/>
              </w:rPr>
            </w:pPr>
            <w:r>
              <w:rPr>
                <w:rFonts w:ascii="Arial Narrow" w:hAnsi="Arial Narrow"/>
                <w:bCs/>
                <w:i/>
                <w:iCs/>
                <w:sz w:val="20"/>
                <w:szCs w:val="20"/>
              </w:rPr>
              <w:t>$1</w:t>
            </w:r>
            <w:r w:rsidR="003D4760">
              <w:rPr>
                <w:rFonts w:ascii="Arial Narrow" w:hAnsi="Arial Narrow"/>
                <w:bCs/>
                <w:i/>
                <w:iCs/>
                <w:sz w:val="20"/>
                <w:szCs w:val="20"/>
              </w:rPr>
              <w:t>8,454.05</w:t>
            </w:r>
          </w:p>
        </w:tc>
        <w:tc>
          <w:tcPr>
            <w:tcW w:w="619" w:type="pct"/>
            <w:tcBorders>
              <w:top w:val="single" w:sz="4" w:space="0" w:color="auto"/>
            </w:tcBorders>
            <w:vAlign w:val="center"/>
          </w:tcPr>
          <w:p w14:paraId="5465D27C" w14:textId="2D30F8E4" w:rsidR="00A32CEF" w:rsidRPr="00B562DC" w:rsidRDefault="003D4760" w:rsidP="00A32CEF">
            <w:pPr>
              <w:spacing w:before="0"/>
              <w:jc w:val="center"/>
              <w:rPr>
                <w:rFonts w:ascii="Arial Narrow" w:hAnsi="Arial Narrow"/>
                <w:i/>
                <w:iCs/>
                <w:sz w:val="20"/>
                <w:szCs w:val="20"/>
              </w:rPr>
            </w:pPr>
            <w:r>
              <w:rPr>
                <w:rFonts w:ascii="Arial Narrow" w:hAnsi="Arial Narrow"/>
                <w:bCs/>
                <w:i/>
                <w:iCs/>
                <w:sz w:val="20"/>
                <w:szCs w:val="20"/>
              </w:rPr>
              <w:t>47</w:t>
            </w:r>
            <w:r w:rsidR="00A32CEF">
              <w:rPr>
                <w:rFonts w:ascii="Arial Narrow" w:hAnsi="Arial Narrow"/>
                <w:bCs/>
                <w:i/>
                <w:iCs/>
                <w:sz w:val="20"/>
                <w:szCs w:val="20"/>
              </w:rPr>
              <w:t>%</w:t>
            </w:r>
          </w:p>
        </w:tc>
      </w:tr>
    </w:tbl>
    <w:p w14:paraId="489653CF" w14:textId="749B97D4" w:rsidR="00334737" w:rsidRPr="00D76EFB" w:rsidRDefault="00CD540B" w:rsidP="00FD4D96">
      <w:pPr>
        <w:pStyle w:val="TableFigureFooter"/>
      </w:pPr>
      <w:r w:rsidRPr="00D76EFB">
        <w:t>Abbreviations:</w:t>
      </w:r>
      <w:r w:rsidRPr="003A7036">
        <w:t xml:space="preserve"> </w:t>
      </w:r>
      <w:r w:rsidR="00AF7183" w:rsidRPr="003A7036">
        <w:t xml:space="preserve">BC: base case; </w:t>
      </w:r>
      <w:r w:rsidRPr="00D76EFB">
        <w:t>ICER</w:t>
      </w:r>
      <w:r w:rsidR="008E3B3F" w:rsidRPr="003A7036">
        <w:t>:</w:t>
      </w:r>
      <w:r w:rsidRPr="003A7036">
        <w:t xml:space="preserve"> Incremental cost-effectiveness ratio</w:t>
      </w:r>
      <w:r w:rsidR="00611308" w:rsidRPr="003A7036">
        <w:t xml:space="preserve">; </w:t>
      </w:r>
      <w:r w:rsidR="00611308" w:rsidRPr="00D76EFB">
        <w:t>QALY</w:t>
      </w:r>
      <w:r w:rsidR="00611308" w:rsidRPr="003A7036">
        <w:t>: quality-adjusted life year</w:t>
      </w:r>
    </w:p>
    <w:p w14:paraId="75278378" w14:textId="7384EF31" w:rsidR="008E3B3F" w:rsidRDefault="008E3B3F" w:rsidP="00FD4D96">
      <w:pPr>
        <w:pStyle w:val="TableFigureFooter"/>
      </w:pPr>
      <w:r w:rsidRPr="00D76EFB">
        <w:t>Source:</w:t>
      </w:r>
      <w:r w:rsidRPr="00611308">
        <w:t xml:space="preserve"> Submission Table 3-40 and Table 3-41 (pp. 160 and 162); Attachment 3.1-ESG cost-effectiveness model</w:t>
      </w:r>
      <w:r w:rsidR="00C40FA2">
        <w:t xml:space="preserve">; </w:t>
      </w:r>
      <w:r w:rsidR="00E45369">
        <w:t xml:space="preserve">Table </w:t>
      </w:r>
      <w:r w:rsidR="00BE73D2">
        <w:t>4 of applicant’s pre-MSAC response.</w:t>
      </w:r>
    </w:p>
    <w:p w14:paraId="68D8A27C" w14:textId="30F34121" w:rsidR="00C8214D" w:rsidRPr="00D76EFB" w:rsidRDefault="00372597" w:rsidP="00FD4D96">
      <w:pPr>
        <w:pStyle w:val="TableFigureFooter"/>
      </w:pPr>
      <w:r w:rsidRPr="006A4AB3">
        <w:t>*</w:t>
      </w:r>
      <w:r>
        <w:t xml:space="preserve"> </w:t>
      </w:r>
      <w:r w:rsidR="00C8214D" w:rsidRPr="2AA1CA0C">
        <w:t xml:space="preserve">Additional sensitivity analyses conducted during the evaluation </w:t>
      </w:r>
      <w:r w:rsidR="003B2A7A" w:rsidRPr="2AA1CA0C">
        <w:t>a</w:t>
      </w:r>
      <w:r w:rsidR="00C8214D" w:rsidRPr="2AA1CA0C">
        <w:t xml:space="preserve">re presented in </w:t>
      </w:r>
      <w:r w:rsidR="00C8214D" w:rsidRPr="2AA1CA0C">
        <w:rPr>
          <w:i/>
          <w:iCs/>
        </w:rPr>
        <w:t>italics</w:t>
      </w:r>
      <w:r w:rsidR="00C8214D" w:rsidRPr="2AA1CA0C">
        <w:t>.</w:t>
      </w:r>
    </w:p>
    <w:p w14:paraId="687E267A" w14:textId="5F36DC39" w:rsidR="006A4AB3" w:rsidRPr="00CD0D7F" w:rsidRDefault="006A4AB3" w:rsidP="00FD4D96">
      <w:pPr>
        <w:pStyle w:val="TableFigureFooter"/>
        <w:rPr>
          <w:i/>
          <w:iCs/>
        </w:rPr>
      </w:pPr>
      <w:r w:rsidRPr="00CD0D7F">
        <w:rPr>
          <w:i/>
          <w:iCs/>
        </w:rPr>
        <w:t xml:space="preserve">** Additional sensitivity analyses conducted </w:t>
      </w:r>
      <w:r w:rsidR="007E0154">
        <w:rPr>
          <w:i/>
          <w:iCs/>
        </w:rPr>
        <w:t>by the assessment group</w:t>
      </w:r>
      <w:r w:rsidR="00366B26">
        <w:rPr>
          <w:i/>
          <w:iCs/>
        </w:rPr>
        <w:t>, at ESC’s request,</w:t>
      </w:r>
      <w:r>
        <w:rPr>
          <w:i/>
        </w:rPr>
        <w:t xml:space="preserve"> </w:t>
      </w:r>
      <w:r w:rsidRPr="00CD0D7F">
        <w:rPr>
          <w:i/>
          <w:iCs/>
        </w:rPr>
        <w:t xml:space="preserve">are </w:t>
      </w:r>
      <w:r w:rsidR="00366B26">
        <w:rPr>
          <w:i/>
          <w:iCs/>
        </w:rPr>
        <w:t xml:space="preserve">also </w:t>
      </w:r>
      <w:r w:rsidRPr="00CD0D7F">
        <w:rPr>
          <w:i/>
          <w:iCs/>
        </w:rPr>
        <w:t xml:space="preserve">presented in </w:t>
      </w:r>
      <w:r w:rsidRPr="006A4AB3">
        <w:rPr>
          <w:i/>
          <w:iCs/>
        </w:rPr>
        <w:t>italics</w:t>
      </w:r>
      <w:r w:rsidRPr="00CD0D7F">
        <w:rPr>
          <w:i/>
          <w:iCs/>
        </w:rPr>
        <w:t>.</w:t>
      </w:r>
      <w:r w:rsidR="006170FA">
        <w:rPr>
          <w:i/>
          <w:iCs/>
        </w:rPr>
        <w:t xml:space="preserve"> </w:t>
      </w:r>
      <w:r w:rsidR="006170FA" w:rsidRPr="006170FA">
        <w:rPr>
          <w:i/>
          <w:iCs/>
        </w:rPr>
        <w:t xml:space="preserve">The </w:t>
      </w:r>
      <w:r w:rsidR="006170FA">
        <w:rPr>
          <w:i/>
          <w:iCs/>
        </w:rPr>
        <w:t xml:space="preserve">assessment group </w:t>
      </w:r>
      <w:r w:rsidR="006170FA" w:rsidRPr="006170FA">
        <w:rPr>
          <w:i/>
          <w:iCs/>
        </w:rPr>
        <w:t xml:space="preserve">manually adjusted </w:t>
      </w:r>
      <w:r w:rsidR="0029784B">
        <w:rPr>
          <w:i/>
          <w:iCs/>
        </w:rPr>
        <w:t>the model</w:t>
      </w:r>
      <w:r w:rsidR="006170FA" w:rsidRPr="006170FA">
        <w:rPr>
          <w:i/>
          <w:iCs/>
        </w:rPr>
        <w:t xml:space="preserve"> to accumulate costs for revision/reintervention procedures based on an annual reintervention rate</w:t>
      </w:r>
      <w:r w:rsidR="00E619ED">
        <w:rPr>
          <w:i/>
          <w:iCs/>
        </w:rPr>
        <w:t xml:space="preserve"> and used </w:t>
      </w:r>
      <w:r w:rsidR="006170FA" w:rsidRPr="006170FA">
        <w:rPr>
          <w:i/>
          <w:iCs/>
        </w:rPr>
        <w:t>arbitrary assumptions. Specifically, the 2-year probability used in the model was converted to a per cycle (6-monthly) probability and applied over varying time intervals (5, 10 and 15 years) in a series of sensitivity analyses. No changes were made to the cost of reintervention procedures (i.e. they remain to be costed at the same cost as the initial ESG procedure)</w:t>
      </w:r>
      <w:r w:rsidR="004E5BB9">
        <w:rPr>
          <w:i/>
          <w:iCs/>
        </w:rPr>
        <w:t>.</w:t>
      </w:r>
    </w:p>
    <w:p w14:paraId="4A7BB549" w14:textId="4B236D54" w:rsidR="00DD2888" w:rsidRPr="00AE36DD" w:rsidRDefault="00D55B5B" w:rsidP="00FD4D96">
      <w:pPr>
        <w:pStyle w:val="TableFigureFooter"/>
      </w:pPr>
      <w:r>
        <w:t xml:space="preserve">*** </w:t>
      </w:r>
      <w:r w:rsidR="00457691">
        <w:t xml:space="preserve">Applicant’s pre-MSAC </w:t>
      </w:r>
      <w:r w:rsidR="000F55AB">
        <w:t xml:space="preserve">multivariate sensitivity analyses. </w:t>
      </w:r>
      <w:r w:rsidR="00FC3F12" w:rsidRPr="00FC3F12">
        <w:t>Criterion I: Including a 2.7% proportion of patients converting to LSG at 3 years</w:t>
      </w:r>
      <w:r w:rsidR="00BE63E2">
        <w:t xml:space="preserve">; </w:t>
      </w:r>
      <w:r w:rsidR="0030067E" w:rsidRPr="0030067E">
        <w:t>Criterion IIa: Re-intervention 1.5% per 6-month cycle Yr 2-5 (Sharaiha 6%)</w:t>
      </w:r>
      <w:r w:rsidR="0030067E">
        <w:t xml:space="preserve">; </w:t>
      </w:r>
      <w:r w:rsidR="004F08B7" w:rsidRPr="004F08B7">
        <w:t>Criterion IIb: Re-intervention 4.9% per 6-month cycle Yr 2-5 (MERIT trial 18.2%)</w:t>
      </w:r>
      <w:r w:rsidR="008269AF">
        <w:t xml:space="preserve">; </w:t>
      </w:r>
      <w:r w:rsidR="00CC4098" w:rsidRPr="00CC4098">
        <w:t xml:space="preserve">Criterion III: </w:t>
      </w:r>
      <w:r w:rsidR="00DF32E2" w:rsidRPr="00DF32E2">
        <w:t>An assumption for weight loss that in both arms after 5 years, 1% of patients in weight classes below baseline weight transition to a higher weight class every cycle until the end of the time horizon. This scenario ensures that patients have a small but continuous probability of gaining weight over time</w:t>
      </w:r>
      <w:r w:rsidR="00CC4098">
        <w:t>.</w:t>
      </w:r>
    </w:p>
    <w:p w14:paraId="02B0A7EC" w14:textId="152F80E2" w:rsidR="003C7B11" w:rsidRPr="00CD0D7F" w:rsidRDefault="003C7B11" w:rsidP="00CD0D7F">
      <w:pPr>
        <w:pStyle w:val="Caption"/>
        <w:spacing w:after="40"/>
        <w:rPr>
          <w:i/>
          <w:iCs/>
        </w:rPr>
      </w:pPr>
      <w:bookmarkStart w:id="102" w:name="_Ref191574135"/>
      <w:r>
        <w:t xml:space="preserve">Table </w:t>
      </w:r>
      <w:r w:rsidR="00707F6D">
        <w:fldChar w:fldCharType="begin"/>
      </w:r>
      <w:r w:rsidR="00707F6D">
        <w:instrText xml:space="preserve"> SEQ Table \* ARABIC </w:instrText>
      </w:r>
      <w:r w:rsidR="00707F6D">
        <w:fldChar w:fldCharType="separate"/>
      </w:r>
      <w:r w:rsidR="008F37D1">
        <w:rPr>
          <w:noProof/>
        </w:rPr>
        <w:t>28</w:t>
      </w:r>
      <w:r w:rsidR="00707F6D">
        <w:rPr>
          <w:noProof/>
        </w:rPr>
        <w:fldChar w:fldCharType="end"/>
      </w:r>
      <w:bookmarkEnd w:id="102"/>
      <w:r>
        <w:t>: Post-ESC Sensitivity Analys</w:t>
      </w:r>
      <w:r w:rsidR="00AC5CF5">
        <w:t>e</w:t>
      </w:r>
      <w:r>
        <w:t>s for impact of anaesthesia times</w:t>
      </w:r>
    </w:p>
    <w:tbl>
      <w:tblPr>
        <w:tblStyle w:val="TableGrid"/>
        <w:tblW w:w="0" w:type="auto"/>
        <w:tblLook w:val="04A0" w:firstRow="1" w:lastRow="0" w:firstColumn="1" w:lastColumn="0" w:noHBand="0" w:noVBand="1"/>
      </w:tblPr>
      <w:tblGrid>
        <w:gridCol w:w="2267"/>
        <w:gridCol w:w="2312"/>
        <w:gridCol w:w="2313"/>
        <w:gridCol w:w="2124"/>
      </w:tblGrid>
      <w:tr w:rsidR="007B770D" w:rsidRPr="00D45C04" w14:paraId="33813374" w14:textId="77777777">
        <w:tc>
          <w:tcPr>
            <w:tcW w:w="2267" w:type="dxa"/>
          </w:tcPr>
          <w:p w14:paraId="06178626" w14:textId="77777777" w:rsidR="007B770D" w:rsidRPr="00D45C04" w:rsidRDefault="007B770D">
            <w:pPr>
              <w:spacing w:before="100" w:beforeAutospacing="1" w:after="100" w:afterAutospacing="1"/>
              <w:rPr>
                <w:rFonts w:ascii="Arial Narrow" w:hAnsi="Arial Narrow"/>
                <w:b/>
                <w:bCs/>
                <w:sz w:val="20"/>
                <w:szCs w:val="20"/>
              </w:rPr>
            </w:pPr>
          </w:p>
        </w:tc>
        <w:tc>
          <w:tcPr>
            <w:tcW w:w="2312" w:type="dxa"/>
          </w:tcPr>
          <w:p w14:paraId="4F82044B" w14:textId="77777777" w:rsidR="007B770D" w:rsidRPr="00D45C04" w:rsidRDefault="007B770D">
            <w:pPr>
              <w:spacing w:before="100" w:beforeAutospacing="1" w:after="100" w:afterAutospacing="1"/>
              <w:rPr>
                <w:rFonts w:ascii="Arial Narrow" w:hAnsi="Arial Narrow"/>
                <w:b/>
                <w:bCs/>
                <w:sz w:val="20"/>
                <w:szCs w:val="20"/>
              </w:rPr>
            </w:pPr>
            <w:r w:rsidRPr="00D45C04">
              <w:rPr>
                <w:rFonts w:ascii="Arial Narrow" w:hAnsi="Arial Narrow"/>
                <w:b/>
                <w:bCs/>
                <w:sz w:val="20"/>
                <w:szCs w:val="20"/>
              </w:rPr>
              <w:t>ICER, Obesity class I</w:t>
            </w:r>
          </w:p>
        </w:tc>
        <w:tc>
          <w:tcPr>
            <w:tcW w:w="2313" w:type="dxa"/>
          </w:tcPr>
          <w:p w14:paraId="49EB9CB1" w14:textId="77777777" w:rsidR="007B770D" w:rsidRPr="00D45C04" w:rsidRDefault="007B770D">
            <w:pPr>
              <w:spacing w:before="100" w:beforeAutospacing="1" w:after="100" w:afterAutospacing="1"/>
              <w:rPr>
                <w:rFonts w:ascii="Arial Narrow" w:hAnsi="Arial Narrow"/>
                <w:b/>
                <w:bCs/>
                <w:sz w:val="20"/>
                <w:szCs w:val="20"/>
              </w:rPr>
            </w:pPr>
            <w:r w:rsidRPr="00D45C04">
              <w:rPr>
                <w:rFonts w:ascii="Arial Narrow" w:hAnsi="Arial Narrow"/>
                <w:b/>
                <w:bCs/>
                <w:sz w:val="20"/>
                <w:szCs w:val="20"/>
              </w:rPr>
              <w:t>ICER, Obesity class II</w:t>
            </w:r>
          </w:p>
        </w:tc>
        <w:tc>
          <w:tcPr>
            <w:tcW w:w="2124" w:type="dxa"/>
          </w:tcPr>
          <w:p w14:paraId="6EE71E45" w14:textId="77777777" w:rsidR="007B770D" w:rsidRPr="00D45C04" w:rsidRDefault="007B770D">
            <w:pPr>
              <w:spacing w:before="100" w:beforeAutospacing="1" w:after="100" w:afterAutospacing="1"/>
              <w:rPr>
                <w:rFonts w:ascii="Arial Narrow" w:hAnsi="Arial Narrow"/>
                <w:b/>
                <w:bCs/>
                <w:sz w:val="20"/>
                <w:szCs w:val="20"/>
              </w:rPr>
            </w:pPr>
            <w:r>
              <w:rPr>
                <w:rFonts w:ascii="Arial Narrow" w:hAnsi="Arial Narrow"/>
                <w:b/>
                <w:bCs/>
                <w:sz w:val="20"/>
                <w:szCs w:val="20"/>
              </w:rPr>
              <w:t>CMA</w:t>
            </w:r>
          </w:p>
        </w:tc>
      </w:tr>
      <w:tr w:rsidR="007B770D" w:rsidRPr="003F31D8" w14:paraId="6F1EF0EB" w14:textId="77777777">
        <w:tc>
          <w:tcPr>
            <w:tcW w:w="2267" w:type="dxa"/>
          </w:tcPr>
          <w:p w14:paraId="7E9FC2AD" w14:textId="77777777" w:rsidR="007B770D" w:rsidRPr="003F31D8" w:rsidRDefault="007B770D">
            <w:pPr>
              <w:spacing w:before="100" w:beforeAutospacing="1" w:after="100" w:afterAutospacing="1"/>
              <w:rPr>
                <w:rFonts w:ascii="Arial Narrow" w:hAnsi="Arial Narrow"/>
                <w:sz w:val="20"/>
                <w:szCs w:val="20"/>
              </w:rPr>
            </w:pPr>
            <w:r>
              <w:rPr>
                <w:rFonts w:ascii="Arial Narrow" w:hAnsi="Arial Narrow"/>
                <w:sz w:val="20"/>
                <w:szCs w:val="20"/>
              </w:rPr>
              <w:t>Submission b</w:t>
            </w:r>
            <w:r w:rsidRPr="003F31D8">
              <w:rPr>
                <w:rFonts w:ascii="Arial Narrow" w:hAnsi="Arial Narrow"/>
                <w:sz w:val="20"/>
                <w:szCs w:val="20"/>
              </w:rPr>
              <w:t xml:space="preserve">ase </w:t>
            </w:r>
            <w:r>
              <w:rPr>
                <w:rFonts w:ascii="Arial Narrow" w:hAnsi="Arial Narrow"/>
                <w:sz w:val="20"/>
                <w:szCs w:val="20"/>
              </w:rPr>
              <w:t>c</w:t>
            </w:r>
            <w:r w:rsidRPr="003F31D8">
              <w:rPr>
                <w:rFonts w:ascii="Arial Narrow" w:hAnsi="Arial Narrow"/>
                <w:sz w:val="20"/>
                <w:szCs w:val="20"/>
              </w:rPr>
              <w:t>ase</w:t>
            </w:r>
          </w:p>
        </w:tc>
        <w:tc>
          <w:tcPr>
            <w:tcW w:w="2312" w:type="dxa"/>
          </w:tcPr>
          <w:p w14:paraId="51FC695F" w14:textId="77777777" w:rsidR="007B770D" w:rsidRPr="003F31D8" w:rsidRDefault="007B770D">
            <w:pPr>
              <w:spacing w:before="100" w:beforeAutospacing="1" w:after="100" w:afterAutospacing="1"/>
              <w:rPr>
                <w:rFonts w:ascii="Arial Narrow" w:hAnsi="Arial Narrow"/>
                <w:sz w:val="20"/>
                <w:szCs w:val="20"/>
              </w:rPr>
            </w:pPr>
            <w:r>
              <w:rPr>
                <w:rFonts w:ascii="Arial Narrow" w:hAnsi="Arial Narrow"/>
                <w:sz w:val="20"/>
                <w:szCs w:val="20"/>
              </w:rPr>
              <w:t>$7,544</w:t>
            </w:r>
          </w:p>
        </w:tc>
        <w:tc>
          <w:tcPr>
            <w:tcW w:w="2313" w:type="dxa"/>
          </w:tcPr>
          <w:p w14:paraId="5B634B89" w14:textId="77777777" w:rsidR="007B770D" w:rsidRPr="003F31D8" w:rsidRDefault="007B770D">
            <w:pPr>
              <w:spacing w:before="100" w:beforeAutospacing="1" w:after="100" w:afterAutospacing="1"/>
              <w:rPr>
                <w:rFonts w:ascii="Arial Narrow" w:hAnsi="Arial Narrow"/>
                <w:sz w:val="20"/>
                <w:szCs w:val="20"/>
              </w:rPr>
            </w:pPr>
            <w:r>
              <w:rPr>
                <w:rFonts w:ascii="Arial Narrow" w:hAnsi="Arial Narrow"/>
                <w:sz w:val="20"/>
                <w:szCs w:val="20"/>
              </w:rPr>
              <w:t>$12,592</w:t>
            </w:r>
          </w:p>
        </w:tc>
        <w:tc>
          <w:tcPr>
            <w:tcW w:w="2124" w:type="dxa"/>
          </w:tcPr>
          <w:p w14:paraId="0B55A170" w14:textId="77777777" w:rsidR="007B770D" w:rsidRPr="003F31D8" w:rsidRDefault="007B770D">
            <w:pPr>
              <w:spacing w:before="100" w:beforeAutospacing="1" w:after="100" w:afterAutospacing="1"/>
              <w:rPr>
                <w:rFonts w:ascii="Arial Narrow" w:hAnsi="Arial Narrow"/>
                <w:sz w:val="20"/>
                <w:szCs w:val="20"/>
              </w:rPr>
            </w:pPr>
            <w:r>
              <w:rPr>
                <w:rFonts w:ascii="Arial Narrow" w:hAnsi="Arial Narrow"/>
                <w:sz w:val="20"/>
                <w:szCs w:val="20"/>
              </w:rPr>
              <w:t>-$5,658</w:t>
            </w:r>
          </w:p>
        </w:tc>
      </w:tr>
      <w:tr w:rsidR="007B770D" w:rsidRPr="003F31D8" w14:paraId="649EB92D" w14:textId="77777777">
        <w:tc>
          <w:tcPr>
            <w:tcW w:w="2267" w:type="dxa"/>
          </w:tcPr>
          <w:p w14:paraId="110D6029" w14:textId="77777777" w:rsidR="007B770D" w:rsidRPr="003F31D8" w:rsidRDefault="007B770D">
            <w:pPr>
              <w:spacing w:before="100" w:beforeAutospacing="1" w:after="100" w:afterAutospacing="1"/>
              <w:rPr>
                <w:rFonts w:ascii="Arial Narrow" w:hAnsi="Arial Narrow"/>
                <w:sz w:val="20"/>
                <w:szCs w:val="20"/>
              </w:rPr>
            </w:pPr>
            <w:r w:rsidRPr="003F31D8">
              <w:rPr>
                <w:rFonts w:ascii="Arial Narrow" w:hAnsi="Arial Narrow"/>
                <w:sz w:val="20"/>
                <w:szCs w:val="20"/>
              </w:rPr>
              <w:t>Use item 23045 for ESG</w:t>
            </w:r>
          </w:p>
        </w:tc>
        <w:tc>
          <w:tcPr>
            <w:tcW w:w="2312" w:type="dxa"/>
          </w:tcPr>
          <w:p w14:paraId="492EB0E1" w14:textId="77777777" w:rsidR="007B770D" w:rsidRPr="003F31D8" w:rsidRDefault="007B770D">
            <w:pPr>
              <w:spacing w:before="100" w:beforeAutospacing="1" w:after="100" w:afterAutospacing="1"/>
              <w:rPr>
                <w:rFonts w:ascii="Arial Narrow" w:hAnsi="Arial Narrow"/>
                <w:sz w:val="20"/>
                <w:szCs w:val="20"/>
              </w:rPr>
            </w:pPr>
            <w:r>
              <w:rPr>
                <w:rFonts w:ascii="Arial Narrow" w:hAnsi="Arial Narrow"/>
                <w:sz w:val="20"/>
                <w:szCs w:val="20"/>
              </w:rPr>
              <w:t>$7,578</w:t>
            </w:r>
          </w:p>
        </w:tc>
        <w:tc>
          <w:tcPr>
            <w:tcW w:w="2313" w:type="dxa"/>
          </w:tcPr>
          <w:p w14:paraId="1F44731E" w14:textId="77777777" w:rsidR="007B770D" w:rsidRPr="003F31D8" w:rsidRDefault="007B770D">
            <w:pPr>
              <w:spacing w:before="100" w:beforeAutospacing="1" w:after="100" w:afterAutospacing="1"/>
              <w:rPr>
                <w:rFonts w:ascii="Arial Narrow" w:hAnsi="Arial Narrow"/>
                <w:sz w:val="20"/>
                <w:szCs w:val="20"/>
              </w:rPr>
            </w:pPr>
            <w:r>
              <w:rPr>
                <w:rFonts w:ascii="Arial Narrow" w:hAnsi="Arial Narrow"/>
                <w:sz w:val="20"/>
                <w:szCs w:val="20"/>
              </w:rPr>
              <w:t>$12,616</w:t>
            </w:r>
          </w:p>
        </w:tc>
        <w:tc>
          <w:tcPr>
            <w:tcW w:w="2124" w:type="dxa"/>
          </w:tcPr>
          <w:p w14:paraId="20011566" w14:textId="77777777" w:rsidR="007B770D" w:rsidRDefault="007B770D">
            <w:pPr>
              <w:spacing w:before="100" w:beforeAutospacing="1" w:after="100" w:afterAutospacing="1"/>
              <w:rPr>
                <w:rFonts w:ascii="Arial Narrow" w:hAnsi="Arial Narrow"/>
                <w:sz w:val="20"/>
                <w:szCs w:val="20"/>
              </w:rPr>
            </w:pPr>
            <w:r>
              <w:rPr>
                <w:rFonts w:ascii="Arial Narrow" w:hAnsi="Arial Narrow"/>
                <w:sz w:val="20"/>
                <w:szCs w:val="20"/>
              </w:rPr>
              <w:t>-$5,636</w:t>
            </w:r>
          </w:p>
        </w:tc>
      </w:tr>
      <w:tr w:rsidR="007B770D" w:rsidRPr="003F31D8" w14:paraId="75BA1C62" w14:textId="77777777">
        <w:tc>
          <w:tcPr>
            <w:tcW w:w="2267" w:type="dxa"/>
          </w:tcPr>
          <w:p w14:paraId="3832EC5C" w14:textId="77777777" w:rsidR="007B770D" w:rsidRPr="003F31D8" w:rsidRDefault="007B770D">
            <w:pPr>
              <w:spacing w:before="100" w:beforeAutospacing="1" w:after="100" w:afterAutospacing="1"/>
              <w:rPr>
                <w:rFonts w:ascii="Arial Narrow" w:hAnsi="Arial Narrow"/>
                <w:sz w:val="20"/>
                <w:szCs w:val="20"/>
              </w:rPr>
            </w:pPr>
            <w:r w:rsidRPr="003F31D8">
              <w:rPr>
                <w:rFonts w:ascii="Arial Narrow" w:hAnsi="Arial Narrow"/>
                <w:sz w:val="20"/>
                <w:szCs w:val="20"/>
              </w:rPr>
              <w:t>Use item 23055 for ESG</w:t>
            </w:r>
          </w:p>
        </w:tc>
        <w:tc>
          <w:tcPr>
            <w:tcW w:w="2312" w:type="dxa"/>
          </w:tcPr>
          <w:p w14:paraId="14A24650" w14:textId="77777777" w:rsidR="007B770D" w:rsidRPr="003F31D8" w:rsidRDefault="007B770D">
            <w:pPr>
              <w:spacing w:before="100" w:beforeAutospacing="1" w:after="100" w:afterAutospacing="1"/>
              <w:rPr>
                <w:rFonts w:ascii="Arial Narrow" w:hAnsi="Arial Narrow"/>
                <w:sz w:val="20"/>
                <w:szCs w:val="20"/>
              </w:rPr>
            </w:pPr>
            <w:r>
              <w:rPr>
                <w:rFonts w:ascii="Arial Narrow" w:hAnsi="Arial Narrow"/>
                <w:sz w:val="20"/>
                <w:szCs w:val="20"/>
              </w:rPr>
              <w:t>$7,602</w:t>
            </w:r>
          </w:p>
        </w:tc>
        <w:tc>
          <w:tcPr>
            <w:tcW w:w="2313" w:type="dxa"/>
          </w:tcPr>
          <w:p w14:paraId="30702A14" w14:textId="77777777" w:rsidR="007B770D" w:rsidRPr="003F31D8" w:rsidRDefault="007B770D">
            <w:pPr>
              <w:spacing w:before="100" w:beforeAutospacing="1" w:after="100" w:afterAutospacing="1"/>
              <w:rPr>
                <w:rFonts w:ascii="Arial Narrow" w:hAnsi="Arial Narrow"/>
                <w:sz w:val="20"/>
                <w:szCs w:val="20"/>
              </w:rPr>
            </w:pPr>
            <w:r>
              <w:rPr>
                <w:rFonts w:ascii="Arial Narrow" w:hAnsi="Arial Narrow"/>
                <w:sz w:val="20"/>
                <w:szCs w:val="20"/>
              </w:rPr>
              <w:t>$12,640</w:t>
            </w:r>
          </w:p>
        </w:tc>
        <w:tc>
          <w:tcPr>
            <w:tcW w:w="2124" w:type="dxa"/>
          </w:tcPr>
          <w:p w14:paraId="5A0B11E3" w14:textId="77777777" w:rsidR="007B770D" w:rsidRDefault="007B770D">
            <w:pPr>
              <w:spacing w:before="100" w:beforeAutospacing="1" w:after="100" w:afterAutospacing="1"/>
              <w:rPr>
                <w:rFonts w:ascii="Arial Narrow" w:hAnsi="Arial Narrow"/>
                <w:sz w:val="20"/>
                <w:szCs w:val="20"/>
              </w:rPr>
            </w:pPr>
            <w:r>
              <w:rPr>
                <w:rFonts w:ascii="Arial Narrow" w:hAnsi="Arial Narrow"/>
                <w:sz w:val="20"/>
                <w:szCs w:val="20"/>
              </w:rPr>
              <w:t>-$5,613</w:t>
            </w:r>
          </w:p>
        </w:tc>
      </w:tr>
      <w:tr w:rsidR="007B770D" w:rsidRPr="003F31D8" w14:paraId="67DC552E" w14:textId="77777777">
        <w:tc>
          <w:tcPr>
            <w:tcW w:w="2267" w:type="dxa"/>
          </w:tcPr>
          <w:p w14:paraId="7FDFE385" w14:textId="77777777" w:rsidR="007B770D" w:rsidRPr="003F31D8" w:rsidRDefault="007B770D">
            <w:pPr>
              <w:spacing w:before="100" w:beforeAutospacing="1" w:after="100" w:afterAutospacing="1"/>
              <w:rPr>
                <w:rFonts w:ascii="Arial Narrow" w:hAnsi="Arial Narrow"/>
                <w:sz w:val="20"/>
                <w:szCs w:val="20"/>
              </w:rPr>
            </w:pPr>
            <w:r w:rsidRPr="003F31D8">
              <w:rPr>
                <w:rFonts w:ascii="Arial Narrow" w:hAnsi="Arial Narrow"/>
                <w:sz w:val="20"/>
                <w:szCs w:val="20"/>
              </w:rPr>
              <w:t>Use item 23065 for ESG</w:t>
            </w:r>
          </w:p>
        </w:tc>
        <w:tc>
          <w:tcPr>
            <w:tcW w:w="2312" w:type="dxa"/>
          </w:tcPr>
          <w:p w14:paraId="4B285256" w14:textId="77777777" w:rsidR="007B770D" w:rsidRPr="003F31D8" w:rsidRDefault="007B770D">
            <w:pPr>
              <w:spacing w:before="100" w:beforeAutospacing="1" w:after="100" w:afterAutospacing="1"/>
              <w:rPr>
                <w:rFonts w:ascii="Arial Narrow" w:hAnsi="Arial Narrow"/>
                <w:sz w:val="20"/>
                <w:szCs w:val="20"/>
              </w:rPr>
            </w:pPr>
            <w:r>
              <w:rPr>
                <w:rFonts w:ascii="Arial Narrow" w:hAnsi="Arial Narrow"/>
                <w:sz w:val="20"/>
                <w:szCs w:val="20"/>
              </w:rPr>
              <w:t>$7,627</w:t>
            </w:r>
          </w:p>
        </w:tc>
        <w:tc>
          <w:tcPr>
            <w:tcW w:w="2313" w:type="dxa"/>
          </w:tcPr>
          <w:p w14:paraId="64EB922B" w14:textId="77777777" w:rsidR="007B770D" w:rsidRPr="003F31D8" w:rsidRDefault="007B770D">
            <w:pPr>
              <w:spacing w:before="100" w:beforeAutospacing="1" w:after="100" w:afterAutospacing="1"/>
              <w:rPr>
                <w:rFonts w:ascii="Arial Narrow" w:hAnsi="Arial Narrow"/>
                <w:sz w:val="20"/>
                <w:szCs w:val="20"/>
              </w:rPr>
            </w:pPr>
            <w:r>
              <w:rPr>
                <w:rFonts w:ascii="Arial Narrow" w:hAnsi="Arial Narrow"/>
                <w:sz w:val="20"/>
                <w:szCs w:val="20"/>
              </w:rPr>
              <w:t>$12,664</w:t>
            </w:r>
          </w:p>
        </w:tc>
        <w:tc>
          <w:tcPr>
            <w:tcW w:w="2124" w:type="dxa"/>
          </w:tcPr>
          <w:p w14:paraId="3C536F29" w14:textId="77777777" w:rsidR="007B770D" w:rsidRDefault="007B770D">
            <w:pPr>
              <w:spacing w:before="100" w:beforeAutospacing="1" w:after="100" w:afterAutospacing="1"/>
              <w:rPr>
                <w:rFonts w:ascii="Arial Narrow" w:hAnsi="Arial Narrow"/>
                <w:sz w:val="20"/>
                <w:szCs w:val="20"/>
              </w:rPr>
            </w:pPr>
            <w:r>
              <w:rPr>
                <w:rFonts w:ascii="Arial Narrow" w:hAnsi="Arial Narrow"/>
                <w:sz w:val="20"/>
                <w:szCs w:val="20"/>
              </w:rPr>
              <w:t>-$5,591</w:t>
            </w:r>
          </w:p>
        </w:tc>
      </w:tr>
    </w:tbl>
    <w:p w14:paraId="740C808E" w14:textId="77777777" w:rsidR="00037AEC" w:rsidRDefault="007B770D" w:rsidP="00FD4D96">
      <w:pPr>
        <w:pStyle w:val="TableFigureFooter"/>
      </w:pPr>
      <w:r w:rsidRPr="00CD0D7F">
        <w:t>Abbreviations: CMA: cost-minimisation analysis; ESG: endoscopic sleeve gastroplasty; ICER: incremental cost-effectiveness ratio.</w:t>
      </w:r>
      <w:r w:rsidR="00037AEC">
        <w:t xml:space="preserve"> </w:t>
      </w:r>
    </w:p>
    <w:p w14:paraId="2CFD78AE" w14:textId="35F65AAA" w:rsidR="00677BBE" w:rsidRPr="00CD0D7F" w:rsidRDefault="00037AEC" w:rsidP="00FD4D96">
      <w:pPr>
        <w:pStyle w:val="TableFigureFooter"/>
      </w:pPr>
      <w:r>
        <w:t xml:space="preserve">Source: </w:t>
      </w:r>
      <w:r w:rsidR="006C7509">
        <w:t>Post-ESC additional analysis conducted by the evaluation</w:t>
      </w:r>
    </w:p>
    <w:p w14:paraId="1023510F" w14:textId="150B6B65" w:rsidR="00AC1A55" w:rsidRDefault="00AC1A55" w:rsidP="00B3310A">
      <w:pPr>
        <w:pStyle w:val="Heading3"/>
      </w:pPr>
      <w:r>
        <w:t xml:space="preserve">10.2 </w:t>
      </w:r>
      <w:r w:rsidR="000142C5">
        <w:t xml:space="preserve">PICO set 2: </w:t>
      </w:r>
      <w:r w:rsidR="005B3092">
        <w:t>c</w:t>
      </w:r>
      <w:r w:rsidRPr="00A36D20">
        <w:t>ost-</w:t>
      </w:r>
      <w:r w:rsidR="00202CD7">
        <w:t>minimi</w:t>
      </w:r>
      <w:r w:rsidR="00631187">
        <w:t>sation</w:t>
      </w:r>
      <w:r w:rsidRPr="00A36D20">
        <w:t xml:space="preserve"> analysis</w:t>
      </w:r>
    </w:p>
    <w:p w14:paraId="33543C23" w14:textId="65C4ABA8" w:rsidR="00FC40CA" w:rsidRPr="002606CF" w:rsidRDefault="005D6E93" w:rsidP="00FC40CA">
      <w:r>
        <w:t>I</w:t>
      </w:r>
      <w:r w:rsidRPr="00B3310A">
        <w:t xml:space="preserve">n the </w:t>
      </w:r>
      <w:r>
        <w:t>ADAR, a</w:t>
      </w:r>
      <w:r w:rsidR="003E4AC1" w:rsidRPr="00B3310A">
        <w:t xml:space="preserve"> cost-minimisation analysis was presented that compare</w:t>
      </w:r>
      <w:r w:rsidR="00C64F22">
        <w:t>d</w:t>
      </w:r>
      <w:r w:rsidR="003E4AC1" w:rsidRPr="00B3310A">
        <w:t xml:space="preserve"> ESG to LSG for the treatment of patients with </w:t>
      </w:r>
      <w:r>
        <w:t>c</w:t>
      </w:r>
      <w:r w:rsidR="003E4AC1" w:rsidRPr="00B3310A">
        <w:t>lass II obesity (BMI 35</w:t>
      </w:r>
      <w:r>
        <w:t>–</w:t>
      </w:r>
      <w:r w:rsidR="003E4AC1" w:rsidRPr="00B3310A">
        <w:t>40</w:t>
      </w:r>
      <w:r w:rsidR="002D3EBF">
        <w:t xml:space="preserve"> kg/m</w:t>
      </w:r>
      <w:r w:rsidR="002D3EBF" w:rsidRPr="007D18A3">
        <w:rPr>
          <w:vertAlign w:val="superscript"/>
        </w:rPr>
        <w:t>2</w:t>
      </w:r>
      <w:r w:rsidR="003E4AC1" w:rsidRPr="00B3310A">
        <w:t xml:space="preserve">) with comorbidities and </w:t>
      </w:r>
      <w:r w:rsidR="004A2D66">
        <w:t xml:space="preserve">patients with </w:t>
      </w:r>
      <w:r w:rsidR="008F5EBB">
        <w:t>class</w:t>
      </w:r>
      <w:r w:rsidR="003E4AC1" w:rsidRPr="00B3310A">
        <w:t xml:space="preserve"> III obesity (BMI </w:t>
      </w:r>
      <w:r w:rsidR="008464AC" w:rsidRPr="00B3310A">
        <w:t>&gt;</w:t>
      </w:r>
      <w:r w:rsidR="003E4AC1" w:rsidRPr="00B3310A">
        <w:t>40</w:t>
      </w:r>
      <w:r w:rsidR="002D3EBF" w:rsidRPr="002D3EBF">
        <w:t xml:space="preserve"> </w:t>
      </w:r>
      <w:r w:rsidR="002D3EBF">
        <w:t>kg/m</w:t>
      </w:r>
      <w:r w:rsidR="002D3EBF" w:rsidRPr="002E24CC">
        <w:rPr>
          <w:vertAlign w:val="superscript"/>
        </w:rPr>
        <w:t>2</w:t>
      </w:r>
      <w:r w:rsidR="003E4AC1" w:rsidRPr="00B3310A">
        <w:t xml:space="preserve">) with or without comorbidities. </w:t>
      </w:r>
      <w:r w:rsidR="00B3310A" w:rsidRPr="00B3310A">
        <w:t xml:space="preserve">A summary of the economic evaluation is </w:t>
      </w:r>
      <w:r w:rsidR="00B3310A" w:rsidRPr="003227FD">
        <w:t>presented in</w:t>
      </w:r>
      <w:r w:rsidR="00651E13">
        <w:t xml:space="preserve"> </w:t>
      </w:r>
      <w:r w:rsidR="00651E13">
        <w:fldChar w:fldCharType="begin"/>
      </w:r>
      <w:r w:rsidR="00651E13">
        <w:instrText xml:space="preserve"> REF _Ref184239186 \h </w:instrText>
      </w:r>
      <w:r w:rsidR="00651E13">
        <w:fldChar w:fldCharType="separate"/>
      </w:r>
      <w:r w:rsidR="008F37D1">
        <w:t xml:space="preserve">Table </w:t>
      </w:r>
      <w:r w:rsidR="008F37D1">
        <w:rPr>
          <w:noProof/>
        </w:rPr>
        <w:t>29</w:t>
      </w:r>
      <w:r w:rsidR="00651E13">
        <w:fldChar w:fldCharType="end"/>
      </w:r>
      <w:r w:rsidR="00660FFE" w:rsidRPr="003227FD">
        <w:t>.</w:t>
      </w:r>
    </w:p>
    <w:p w14:paraId="042A00BE" w14:textId="162A6AA5" w:rsidR="00651E13" w:rsidRDefault="00651E13" w:rsidP="00651E13">
      <w:pPr>
        <w:pStyle w:val="Caption"/>
      </w:pPr>
      <w:bookmarkStart w:id="103" w:name="_Ref184239186"/>
      <w:r>
        <w:t xml:space="preserve">Table </w:t>
      </w:r>
      <w:r w:rsidR="00707F6D">
        <w:fldChar w:fldCharType="begin"/>
      </w:r>
      <w:r w:rsidR="00707F6D">
        <w:instrText xml:space="preserve"> SEQ Table \* ARABIC </w:instrText>
      </w:r>
      <w:r w:rsidR="00707F6D">
        <w:fldChar w:fldCharType="separate"/>
      </w:r>
      <w:r w:rsidR="008F37D1">
        <w:rPr>
          <w:noProof/>
        </w:rPr>
        <w:t>29</w:t>
      </w:r>
      <w:r w:rsidR="00707F6D">
        <w:rPr>
          <w:noProof/>
        </w:rPr>
        <w:fldChar w:fldCharType="end"/>
      </w:r>
      <w:bookmarkEnd w:id="103"/>
      <w:r>
        <w:t>:</w:t>
      </w:r>
      <w:r>
        <w:tab/>
        <w:t>Summary of cost-minimisation analysis</w:t>
      </w:r>
      <w:r w:rsidR="001F08FF">
        <w:t xml:space="preserve"> </w:t>
      </w:r>
      <w:r w:rsidR="00711C9E">
        <w:t xml:space="preserve">in the ADAR </w:t>
      </w:r>
      <w:r w:rsidR="001F08FF">
        <w:t>(</w:t>
      </w:r>
      <w:r w:rsidR="004A2098">
        <w:t xml:space="preserve">PICO set 2: </w:t>
      </w:r>
      <w:r w:rsidR="00711C9E">
        <w:t>ESG vs LSG)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689"/>
        <w:gridCol w:w="6327"/>
      </w:tblGrid>
      <w:tr w:rsidR="00FC40CA" w:rsidRPr="00123D62" w14:paraId="3939953D" w14:textId="77777777" w:rsidTr="2AA1CA0C">
        <w:trPr>
          <w:tblHeader/>
        </w:trPr>
        <w:tc>
          <w:tcPr>
            <w:tcW w:w="1491" w:type="pct"/>
            <w:shd w:val="clear" w:color="auto" w:fill="auto"/>
          </w:tcPr>
          <w:p w14:paraId="4193DA5D" w14:textId="4C70769E" w:rsidR="00FC40CA" w:rsidRPr="00123D62" w:rsidRDefault="00FC40CA" w:rsidP="00FD4D96">
            <w:pPr>
              <w:pStyle w:val="Tabletext0"/>
              <w:keepNext/>
              <w:spacing w:before="0" w:after="0"/>
              <w:rPr>
                <w:b/>
                <w:bCs/>
              </w:rPr>
            </w:pPr>
            <w:r w:rsidRPr="2AA1CA0C">
              <w:rPr>
                <w:b/>
                <w:bCs/>
              </w:rPr>
              <w:t>Component</w:t>
            </w:r>
          </w:p>
        </w:tc>
        <w:tc>
          <w:tcPr>
            <w:tcW w:w="3509" w:type="pct"/>
            <w:shd w:val="clear" w:color="auto" w:fill="auto"/>
          </w:tcPr>
          <w:p w14:paraId="602CFED8" w14:textId="77777777" w:rsidR="00FC40CA" w:rsidRPr="00123D62" w:rsidRDefault="00FC40CA" w:rsidP="00FD4D96">
            <w:pPr>
              <w:pStyle w:val="Tabletext0"/>
              <w:keepNext/>
              <w:spacing w:before="0" w:after="0"/>
              <w:rPr>
                <w:b/>
              </w:rPr>
            </w:pPr>
            <w:r w:rsidRPr="00123D62">
              <w:rPr>
                <w:b/>
              </w:rPr>
              <w:t>Description</w:t>
            </w:r>
          </w:p>
        </w:tc>
      </w:tr>
      <w:tr w:rsidR="00FC40CA" w:rsidRPr="00CC1EF2" w14:paraId="1F4F4944" w14:textId="77777777" w:rsidTr="2AA1CA0C">
        <w:tc>
          <w:tcPr>
            <w:tcW w:w="1491" w:type="pct"/>
          </w:tcPr>
          <w:p w14:paraId="711F06CB" w14:textId="77777777" w:rsidR="00FC40CA" w:rsidRPr="00CC1EF2" w:rsidRDefault="00FC40CA" w:rsidP="00FD4D96">
            <w:pPr>
              <w:pStyle w:val="Tabletext0"/>
              <w:keepNext/>
              <w:spacing w:before="0" w:after="0"/>
            </w:pPr>
            <w:r w:rsidRPr="00CC1EF2">
              <w:t>Perspective</w:t>
            </w:r>
          </w:p>
        </w:tc>
        <w:tc>
          <w:tcPr>
            <w:tcW w:w="3509" w:type="pct"/>
          </w:tcPr>
          <w:p w14:paraId="4E549E72" w14:textId="717FF59A" w:rsidR="00FC40CA" w:rsidRPr="00CC1EF2" w:rsidRDefault="00FC40CA" w:rsidP="00FD4D96">
            <w:pPr>
              <w:pStyle w:val="Tabletext0"/>
              <w:keepNext/>
              <w:spacing w:before="0" w:after="0"/>
            </w:pPr>
            <w:r>
              <w:t>Healthcare system perspective</w:t>
            </w:r>
          </w:p>
        </w:tc>
      </w:tr>
      <w:tr w:rsidR="00FC40CA" w:rsidRPr="00CC1EF2" w14:paraId="2E358D6E" w14:textId="77777777" w:rsidTr="2AA1CA0C">
        <w:trPr>
          <w:tblHeader/>
        </w:trPr>
        <w:tc>
          <w:tcPr>
            <w:tcW w:w="1491" w:type="pct"/>
          </w:tcPr>
          <w:p w14:paraId="3FBA84FA" w14:textId="77777777" w:rsidR="00FC40CA" w:rsidRPr="00CC1EF2" w:rsidRDefault="00FC40CA" w:rsidP="00FD4D96">
            <w:pPr>
              <w:pStyle w:val="Tabletext0"/>
              <w:keepNext/>
              <w:spacing w:before="0" w:after="0"/>
            </w:pPr>
            <w:r w:rsidRPr="00CC1EF2">
              <w:t>Population</w:t>
            </w:r>
          </w:p>
        </w:tc>
        <w:tc>
          <w:tcPr>
            <w:tcW w:w="3509" w:type="pct"/>
          </w:tcPr>
          <w:p w14:paraId="718C4B66" w14:textId="04B01054" w:rsidR="00FC40CA" w:rsidRPr="00CC1EF2" w:rsidRDefault="00FC40CA" w:rsidP="00FD4D96">
            <w:pPr>
              <w:pStyle w:val="Tabletext0"/>
              <w:keepNext/>
              <w:spacing w:before="0" w:after="0"/>
            </w:pPr>
            <w:r>
              <w:t xml:space="preserve">Adults with </w:t>
            </w:r>
            <w:r w:rsidR="008F5EBB">
              <w:t>class</w:t>
            </w:r>
            <w:r>
              <w:t xml:space="preserve"> II obesity with comorbidities</w:t>
            </w:r>
            <w:r w:rsidR="00CE6FB3">
              <w:t>;</w:t>
            </w:r>
            <w:r w:rsidDel="00CE6FB3">
              <w:t xml:space="preserve"> </w:t>
            </w:r>
            <w:r w:rsidR="00157517">
              <w:t xml:space="preserve">adults with </w:t>
            </w:r>
            <w:r w:rsidR="008F5EBB">
              <w:t>class</w:t>
            </w:r>
            <w:r>
              <w:t xml:space="preserve"> III obesity with or without comorbidities</w:t>
            </w:r>
          </w:p>
        </w:tc>
      </w:tr>
      <w:tr w:rsidR="00FC40CA" w:rsidRPr="00CC1EF2" w14:paraId="59A412E1" w14:textId="77777777" w:rsidTr="2AA1CA0C">
        <w:tc>
          <w:tcPr>
            <w:tcW w:w="1491" w:type="pct"/>
          </w:tcPr>
          <w:p w14:paraId="577F74B9" w14:textId="77777777" w:rsidR="00FC40CA" w:rsidRPr="00CC1EF2" w:rsidRDefault="00FC40CA" w:rsidP="00FD4D96">
            <w:pPr>
              <w:pStyle w:val="Tabletext0"/>
              <w:keepNext/>
              <w:spacing w:before="0" w:after="0"/>
            </w:pPr>
            <w:r w:rsidRPr="00CC1EF2">
              <w:t>Comparator</w:t>
            </w:r>
          </w:p>
        </w:tc>
        <w:tc>
          <w:tcPr>
            <w:tcW w:w="3509" w:type="pct"/>
          </w:tcPr>
          <w:p w14:paraId="4FADCD26" w14:textId="77777777" w:rsidR="00FC40CA" w:rsidRPr="00CC1EF2" w:rsidRDefault="00FC40CA" w:rsidP="00FD4D96">
            <w:pPr>
              <w:pStyle w:val="Tabletext0"/>
              <w:keepNext/>
              <w:spacing w:before="0" w:after="0"/>
            </w:pPr>
            <w:r>
              <w:t>LSG</w:t>
            </w:r>
          </w:p>
        </w:tc>
      </w:tr>
      <w:tr w:rsidR="00FC40CA" w:rsidRPr="00CC1EF2" w14:paraId="3CA4C159" w14:textId="77777777" w:rsidTr="2AA1CA0C">
        <w:tc>
          <w:tcPr>
            <w:tcW w:w="1491" w:type="pct"/>
          </w:tcPr>
          <w:p w14:paraId="0675270C" w14:textId="6F2B4B6D" w:rsidR="00FC40CA" w:rsidRPr="00CC1EF2" w:rsidRDefault="00FC40CA" w:rsidP="00FD4D96">
            <w:pPr>
              <w:pStyle w:val="Tabletext0"/>
              <w:keepNext/>
              <w:spacing w:before="0" w:after="0"/>
            </w:pPr>
            <w:r w:rsidRPr="00CC1EF2">
              <w:t>Type of analysis</w:t>
            </w:r>
          </w:p>
        </w:tc>
        <w:tc>
          <w:tcPr>
            <w:tcW w:w="3509" w:type="pct"/>
          </w:tcPr>
          <w:p w14:paraId="57679AA6" w14:textId="77777777" w:rsidR="00FC40CA" w:rsidRPr="00CC1EF2" w:rsidRDefault="00FC40CA" w:rsidP="00FD4D96">
            <w:pPr>
              <w:pStyle w:val="Tabletext0"/>
              <w:keepNext/>
              <w:spacing w:before="0" w:after="0"/>
            </w:pPr>
            <w:r>
              <w:t>Cost-minimisation analysis</w:t>
            </w:r>
          </w:p>
        </w:tc>
      </w:tr>
      <w:tr w:rsidR="00FC40CA" w:rsidRPr="00CC1EF2" w14:paraId="6FBD29B4" w14:textId="77777777" w:rsidTr="2AA1CA0C">
        <w:trPr>
          <w:trHeight w:val="46"/>
        </w:trPr>
        <w:tc>
          <w:tcPr>
            <w:tcW w:w="1491" w:type="pct"/>
          </w:tcPr>
          <w:p w14:paraId="179A5484" w14:textId="77777777" w:rsidR="00FC40CA" w:rsidRPr="00CC1EF2" w:rsidRDefault="00FC40CA" w:rsidP="00FD4D96">
            <w:pPr>
              <w:pStyle w:val="Tabletext0"/>
              <w:keepNext/>
              <w:spacing w:before="0" w:after="0"/>
            </w:pPr>
            <w:r w:rsidRPr="00CC1EF2">
              <w:t>Time horizon</w:t>
            </w:r>
          </w:p>
        </w:tc>
        <w:tc>
          <w:tcPr>
            <w:tcW w:w="3509" w:type="pct"/>
          </w:tcPr>
          <w:p w14:paraId="16A915FC" w14:textId="77777777" w:rsidR="00FC40CA" w:rsidRPr="00CC1EF2" w:rsidRDefault="00FC40CA" w:rsidP="00FD4D96">
            <w:pPr>
              <w:pStyle w:val="Tabletext0"/>
              <w:keepNext/>
              <w:spacing w:before="0" w:after="0"/>
            </w:pPr>
            <w:r>
              <w:t>Procedural (30 days after the procedure)</w:t>
            </w:r>
          </w:p>
        </w:tc>
      </w:tr>
      <w:tr w:rsidR="00FC40CA" w:rsidRPr="00CC1EF2" w14:paraId="5EEF5392" w14:textId="77777777" w:rsidTr="2AA1CA0C">
        <w:trPr>
          <w:trHeight w:val="46"/>
        </w:trPr>
        <w:tc>
          <w:tcPr>
            <w:tcW w:w="1491" w:type="pct"/>
          </w:tcPr>
          <w:p w14:paraId="46F5D155" w14:textId="77777777" w:rsidR="00FC40CA" w:rsidRPr="00CC1EF2" w:rsidRDefault="00FC40CA" w:rsidP="00FD4D96">
            <w:pPr>
              <w:pStyle w:val="Tabletext0"/>
              <w:keepNext/>
              <w:spacing w:before="0" w:after="0"/>
              <w:jc w:val="left"/>
            </w:pPr>
            <w:r w:rsidRPr="00607C3B">
              <w:t>Therapeutic claim: effectiveness</w:t>
            </w:r>
          </w:p>
        </w:tc>
        <w:tc>
          <w:tcPr>
            <w:tcW w:w="3509" w:type="pct"/>
          </w:tcPr>
          <w:p w14:paraId="5F6C75C8" w14:textId="6AF99553" w:rsidR="00FC40CA" w:rsidRPr="002606CF" w:rsidRDefault="00FC40CA" w:rsidP="00FD4D96">
            <w:pPr>
              <w:pStyle w:val="Tabletext0"/>
              <w:keepNext/>
              <w:spacing w:before="0" w:after="0"/>
            </w:pPr>
            <w:r w:rsidRPr="002606CF">
              <w:t xml:space="preserve">Based on evidence presented in Section </w:t>
            </w:r>
            <w:r w:rsidR="008433B2">
              <w:t>9</w:t>
            </w:r>
            <w:r w:rsidR="002757E2">
              <w:t xml:space="preserve"> (PICO 2)</w:t>
            </w:r>
            <w:r w:rsidRPr="002606CF">
              <w:t>, the effectiveness of ESG is non-inferior to LSG</w:t>
            </w:r>
          </w:p>
        </w:tc>
      </w:tr>
      <w:tr w:rsidR="00FC40CA" w:rsidRPr="00CC1EF2" w14:paraId="730E6548" w14:textId="77777777" w:rsidTr="2AA1CA0C">
        <w:trPr>
          <w:trHeight w:val="46"/>
        </w:trPr>
        <w:tc>
          <w:tcPr>
            <w:tcW w:w="1491" w:type="pct"/>
          </w:tcPr>
          <w:p w14:paraId="1E65E0AE" w14:textId="77777777" w:rsidR="00FC40CA" w:rsidRPr="00CC1EF2" w:rsidRDefault="00FC40CA" w:rsidP="00FD4D96">
            <w:pPr>
              <w:pStyle w:val="Tabletext0"/>
              <w:keepNext/>
              <w:spacing w:before="0" w:after="0"/>
            </w:pPr>
            <w:r w:rsidRPr="00607C3B">
              <w:t>Therapeutic claim: safety</w:t>
            </w:r>
          </w:p>
        </w:tc>
        <w:tc>
          <w:tcPr>
            <w:tcW w:w="3509" w:type="pct"/>
          </w:tcPr>
          <w:p w14:paraId="4569487B" w14:textId="0F5446FC" w:rsidR="00FC40CA" w:rsidRPr="002606CF" w:rsidRDefault="00FC40CA" w:rsidP="00FD4D96">
            <w:pPr>
              <w:pStyle w:val="Tabletext0"/>
              <w:keepNext/>
              <w:spacing w:before="0" w:after="0"/>
            </w:pPr>
            <w:r w:rsidRPr="002606CF">
              <w:t xml:space="preserve">Based on evidence presented in Section </w:t>
            </w:r>
            <w:r w:rsidR="008433B2">
              <w:t>8</w:t>
            </w:r>
            <w:r w:rsidR="002757E2">
              <w:t xml:space="preserve"> (PICO 2)</w:t>
            </w:r>
            <w:r w:rsidRPr="002606CF">
              <w:t>, the safety of ESG is non-inferior to LSG</w:t>
            </w:r>
          </w:p>
        </w:tc>
      </w:tr>
      <w:tr w:rsidR="00FC40CA" w:rsidRPr="00CC1EF2" w14:paraId="75191FCD" w14:textId="77777777" w:rsidTr="2AA1CA0C">
        <w:trPr>
          <w:trHeight w:val="46"/>
        </w:trPr>
        <w:tc>
          <w:tcPr>
            <w:tcW w:w="1491" w:type="pct"/>
          </w:tcPr>
          <w:p w14:paraId="0A5069C1" w14:textId="77777777" w:rsidR="00FC40CA" w:rsidRPr="00607C3B" w:rsidRDefault="00FC40CA" w:rsidP="00FD4D96">
            <w:pPr>
              <w:pStyle w:val="Tabletext0"/>
              <w:keepNext/>
              <w:spacing w:before="0" w:after="0"/>
            </w:pPr>
            <w:r>
              <w:t>Evidence base</w:t>
            </w:r>
          </w:p>
        </w:tc>
        <w:tc>
          <w:tcPr>
            <w:tcW w:w="3509" w:type="pct"/>
          </w:tcPr>
          <w:p w14:paraId="49F5C87C" w14:textId="77777777" w:rsidR="00FC40CA" w:rsidRPr="00607C3B" w:rsidRDefault="00FC40CA" w:rsidP="00FD4D96">
            <w:pPr>
              <w:pStyle w:val="Tabletext0"/>
              <w:keepNext/>
              <w:spacing w:before="0" w:after="0"/>
            </w:pPr>
            <w:r>
              <w:t>Systematic review of non-randomised studies</w:t>
            </w:r>
          </w:p>
        </w:tc>
      </w:tr>
      <w:tr w:rsidR="00FC40CA" w:rsidRPr="00CC1EF2" w14:paraId="43212E09" w14:textId="77777777" w:rsidTr="2AA1CA0C">
        <w:trPr>
          <w:trHeight w:val="46"/>
        </w:trPr>
        <w:tc>
          <w:tcPr>
            <w:tcW w:w="1491" w:type="pct"/>
          </w:tcPr>
          <w:p w14:paraId="5FE5E4BF" w14:textId="77777777" w:rsidR="00FC40CA" w:rsidRDefault="00FC40CA" w:rsidP="00FD4D96">
            <w:pPr>
              <w:pStyle w:val="Tabletext0"/>
              <w:keepNext/>
              <w:spacing w:before="0" w:after="0"/>
              <w:jc w:val="left"/>
            </w:pPr>
            <w:r>
              <w:t>Direct health technology costs</w:t>
            </w:r>
          </w:p>
        </w:tc>
        <w:tc>
          <w:tcPr>
            <w:tcW w:w="3509" w:type="pct"/>
          </w:tcPr>
          <w:p w14:paraId="1185552C" w14:textId="77777777" w:rsidR="00FC40CA" w:rsidRPr="00607C3B" w:rsidRDefault="00FC40CA" w:rsidP="00FD4D96">
            <w:pPr>
              <w:pStyle w:val="Tabletext0"/>
              <w:keepNext/>
              <w:spacing w:before="0" w:after="0"/>
            </w:pPr>
            <w:r>
              <w:t>Cost of index procedure</w:t>
            </w:r>
          </w:p>
        </w:tc>
      </w:tr>
    </w:tbl>
    <w:p w14:paraId="18A0E33A" w14:textId="21948418" w:rsidR="007C19FE" w:rsidRDefault="007C19FE" w:rsidP="00FD4D96">
      <w:pPr>
        <w:pStyle w:val="TableFigureFooter"/>
      </w:pPr>
      <w:r w:rsidRPr="00D76EFB">
        <w:t>Abbreviations:</w:t>
      </w:r>
      <w:r w:rsidRPr="007E4DE7">
        <w:t xml:space="preserve"> </w:t>
      </w:r>
      <w:r w:rsidRPr="00D76EFB">
        <w:t>ESG</w:t>
      </w:r>
      <w:r w:rsidR="00041AC3">
        <w:t>:</w:t>
      </w:r>
      <w:r>
        <w:t xml:space="preserve"> </w:t>
      </w:r>
      <w:r w:rsidR="004D6016">
        <w:t>e</w:t>
      </w:r>
      <w:r>
        <w:t xml:space="preserve">ndoscopic </w:t>
      </w:r>
      <w:r w:rsidR="004D6016">
        <w:t>s</w:t>
      </w:r>
      <w:r>
        <w:t xml:space="preserve">leeve </w:t>
      </w:r>
      <w:r w:rsidR="004D6016">
        <w:t>g</w:t>
      </w:r>
      <w:r>
        <w:t xml:space="preserve">astroplasty; </w:t>
      </w:r>
      <w:r w:rsidRPr="00D76EFB">
        <w:t>LSG</w:t>
      </w:r>
      <w:r>
        <w:t xml:space="preserve"> </w:t>
      </w:r>
      <w:r w:rsidR="004D6016">
        <w:t>l</w:t>
      </w:r>
      <w:r>
        <w:t xml:space="preserve">aparoscopic </w:t>
      </w:r>
      <w:r w:rsidR="004D6016">
        <w:t>s</w:t>
      </w:r>
      <w:r>
        <w:t xml:space="preserve">leeve </w:t>
      </w:r>
      <w:r w:rsidR="004D6016">
        <w:t>g</w:t>
      </w:r>
      <w:r>
        <w:t>astrectomy</w:t>
      </w:r>
    </w:p>
    <w:p w14:paraId="72E12975" w14:textId="41321726" w:rsidR="00A21F5C" w:rsidRDefault="00A21F5C" w:rsidP="00FD4D96">
      <w:pPr>
        <w:pStyle w:val="TableFigureFooter"/>
      </w:pPr>
      <w:r w:rsidRPr="00D76EFB">
        <w:t>Source:</w:t>
      </w:r>
      <w:r>
        <w:t xml:space="preserve"> Table </w:t>
      </w:r>
      <w:r w:rsidR="003C4893">
        <w:t>3-42 of ADAR</w:t>
      </w:r>
    </w:p>
    <w:p w14:paraId="08A8FB78" w14:textId="7B509C6F" w:rsidR="00123D62" w:rsidRDefault="00123D62" w:rsidP="00E7264C">
      <w:r w:rsidRPr="2AA1CA0C">
        <w:t xml:space="preserve">MSAC Guidelines </w:t>
      </w:r>
      <w:r w:rsidR="0078702C" w:rsidRPr="2AA1CA0C">
        <w:t>(T</w:t>
      </w:r>
      <w:r w:rsidR="00E25B7A" w:rsidRPr="2AA1CA0C">
        <w:t>G 26.1,</w:t>
      </w:r>
      <w:r w:rsidR="00E75355" w:rsidRPr="2AA1CA0C">
        <w:t xml:space="preserve"> page </w:t>
      </w:r>
      <w:r w:rsidR="00FC6EC5" w:rsidRPr="2AA1CA0C">
        <w:t>205)</w:t>
      </w:r>
      <w:r w:rsidR="00E25B7A" w:rsidRPr="2AA1CA0C">
        <w:t xml:space="preserve"> </w:t>
      </w:r>
      <w:r w:rsidRPr="2AA1CA0C">
        <w:t xml:space="preserve">state that a cost-minimisation approach can only be used when the proposed medical service has been demonstrated to be non-inferior to its comparator in terms of both effectiveness and safety. </w:t>
      </w:r>
    </w:p>
    <w:p w14:paraId="6D430A7D" w14:textId="4F0105DA" w:rsidR="00F34405" w:rsidRDefault="002E0B08" w:rsidP="00E7264C">
      <w:r>
        <w:t>ESC agreed with the commentary that</w:t>
      </w:r>
      <w:r w:rsidR="007F74AF" w:rsidRPr="00B3310A">
        <w:t xml:space="preserve"> </w:t>
      </w:r>
      <w:r w:rsidR="00B51856" w:rsidRPr="00B3310A">
        <w:t xml:space="preserve">a cost-minimisation </w:t>
      </w:r>
      <w:r w:rsidR="007F74AF" w:rsidRPr="00B3310A">
        <w:t>analysis</w:t>
      </w:r>
      <w:r w:rsidR="00B51856" w:rsidRPr="00B3310A">
        <w:t xml:space="preserve"> </w:t>
      </w:r>
      <w:r w:rsidR="00980756">
        <w:t>is</w:t>
      </w:r>
      <w:r w:rsidR="00B51856" w:rsidRPr="00B3310A">
        <w:t xml:space="preserve"> </w:t>
      </w:r>
      <w:r w:rsidR="007F74AF" w:rsidRPr="00B3310A">
        <w:t xml:space="preserve">inappropriate </w:t>
      </w:r>
      <w:r w:rsidR="003F02FD">
        <w:t>in this instance</w:t>
      </w:r>
      <w:r w:rsidR="003E4AC1" w:rsidRPr="00B3310A">
        <w:t>.</w:t>
      </w:r>
      <w:r w:rsidR="00B00FA9" w:rsidRPr="00B3310A">
        <w:t xml:space="preserve"> </w:t>
      </w:r>
      <w:r w:rsidR="005B6AFA" w:rsidRPr="005B6AFA">
        <w:rPr>
          <w:lang w:val="en-GB"/>
        </w:rPr>
        <w:t xml:space="preserve">As </w:t>
      </w:r>
      <w:r w:rsidR="007E2536" w:rsidRPr="005B6AFA">
        <w:rPr>
          <w:lang w:val="en-GB"/>
        </w:rPr>
        <w:t xml:space="preserve">indicated </w:t>
      </w:r>
      <w:r w:rsidR="005B6AFA" w:rsidRPr="005B6AFA">
        <w:rPr>
          <w:lang w:val="en-GB"/>
        </w:rPr>
        <w:t>in Section</w:t>
      </w:r>
      <w:r w:rsidR="002757E2">
        <w:rPr>
          <w:lang w:val="en-GB"/>
        </w:rPr>
        <w:t xml:space="preserve"> 9 (PICO 2)</w:t>
      </w:r>
      <w:r w:rsidR="005B6AFA" w:rsidRPr="005B6AFA">
        <w:rPr>
          <w:lang w:val="en-GB"/>
        </w:rPr>
        <w:t>,</w:t>
      </w:r>
      <w:r w:rsidR="007E2536" w:rsidRPr="005B6AFA">
        <w:rPr>
          <w:lang w:val="en-GB"/>
        </w:rPr>
        <w:t xml:space="preserve"> </w:t>
      </w:r>
      <w:r w:rsidR="00A815A2" w:rsidRPr="005B6AFA">
        <w:rPr>
          <w:lang w:val="en-GB"/>
        </w:rPr>
        <w:t xml:space="preserve">the assumption of clinical </w:t>
      </w:r>
      <w:r w:rsidR="00903632" w:rsidRPr="005B6AFA">
        <w:rPr>
          <w:lang w:val="en-GB"/>
        </w:rPr>
        <w:t>equivalence</w:t>
      </w:r>
      <w:r w:rsidR="00A815A2" w:rsidRPr="005B6AFA">
        <w:rPr>
          <w:lang w:val="en-GB"/>
        </w:rPr>
        <w:t xml:space="preserve"> is ina</w:t>
      </w:r>
      <w:r w:rsidR="00903632" w:rsidRPr="005B6AFA">
        <w:rPr>
          <w:lang w:val="en-GB"/>
        </w:rPr>
        <w:t>ppropriate</w:t>
      </w:r>
      <w:r w:rsidR="005B6AFA" w:rsidRPr="005B6AFA">
        <w:rPr>
          <w:lang w:val="en-GB"/>
        </w:rPr>
        <w:t>,</w:t>
      </w:r>
      <w:r w:rsidR="00A815A2" w:rsidRPr="005B6AFA">
        <w:rPr>
          <w:lang w:val="en-GB"/>
        </w:rPr>
        <w:t xml:space="preserve"> </w:t>
      </w:r>
      <w:r w:rsidR="00DE370D" w:rsidRPr="005B6AFA">
        <w:rPr>
          <w:lang w:val="en-GB"/>
        </w:rPr>
        <w:t>as</w:t>
      </w:r>
      <w:r w:rsidR="00953DAB" w:rsidRPr="005B6AFA">
        <w:rPr>
          <w:lang w:val="en-GB"/>
        </w:rPr>
        <w:t xml:space="preserve"> b</w:t>
      </w:r>
      <w:r w:rsidR="00B00FA9" w:rsidRPr="005B6AFA">
        <w:rPr>
          <w:lang w:val="en-GB"/>
        </w:rPr>
        <w:t xml:space="preserve">oth summary measures from the meta-analyses of observational studies </w:t>
      </w:r>
      <w:r w:rsidR="005B6AFA" w:rsidRPr="005B6AFA">
        <w:rPr>
          <w:lang w:val="en-GB"/>
        </w:rPr>
        <w:t>of</w:t>
      </w:r>
      <w:r w:rsidR="00E7264C" w:rsidRPr="005B6AFA">
        <w:rPr>
          <w:lang w:val="en-GB"/>
        </w:rPr>
        <w:t xml:space="preserve"> %TWL </w:t>
      </w:r>
      <w:r w:rsidR="00B00FA9" w:rsidRPr="005B6AFA">
        <w:rPr>
          <w:lang w:val="en-GB"/>
        </w:rPr>
        <w:t>at 6</w:t>
      </w:r>
      <w:r w:rsidR="005B6AFA" w:rsidRPr="005B6AFA">
        <w:rPr>
          <w:lang w:val="en-GB"/>
        </w:rPr>
        <w:t xml:space="preserve"> months</w:t>
      </w:r>
      <w:r w:rsidR="00B00FA9" w:rsidRPr="005B6AFA">
        <w:rPr>
          <w:lang w:val="en-GB"/>
        </w:rPr>
        <w:t xml:space="preserve"> (MD -7.48; 95%</w:t>
      </w:r>
      <w:r w:rsidR="005B6AFA" w:rsidRPr="005B6AFA">
        <w:rPr>
          <w:lang w:val="en-GB"/>
        </w:rPr>
        <w:t xml:space="preserve"> </w:t>
      </w:r>
      <w:r w:rsidR="00B00FA9" w:rsidRPr="005B6AFA">
        <w:rPr>
          <w:lang w:val="en-GB"/>
        </w:rPr>
        <w:t>CI -10.47 to -4.50) and 12</w:t>
      </w:r>
      <w:r w:rsidR="005B6AFA" w:rsidRPr="005B6AFA">
        <w:rPr>
          <w:lang w:val="en-GB"/>
        </w:rPr>
        <w:t xml:space="preserve"> months</w:t>
      </w:r>
      <w:r w:rsidR="00B00FA9" w:rsidRPr="005B6AFA">
        <w:rPr>
          <w:lang w:val="en-GB"/>
        </w:rPr>
        <w:t xml:space="preserve"> (MD -9.95; 95%</w:t>
      </w:r>
      <w:r w:rsidR="005B6AFA" w:rsidRPr="005B6AFA">
        <w:rPr>
          <w:lang w:val="en-GB"/>
        </w:rPr>
        <w:t xml:space="preserve"> </w:t>
      </w:r>
      <w:r w:rsidR="00B00FA9" w:rsidRPr="005B6AFA">
        <w:rPr>
          <w:lang w:val="en-GB"/>
        </w:rPr>
        <w:t xml:space="preserve">CI -10.70 to -9.19) exceed the 10% margin for </w:t>
      </w:r>
      <w:r w:rsidR="005638BD" w:rsidRPr="005B6AFA">
        <w:rPr>
          <w:lang w:val="en-GB"/>
        </w:rPr>
        <w:t xml:space="preserve">%TWL </w:t>
      </w:r>
      <w:r w:rsidR="00B00FA9" w:rsidRPr="005B6AFA">
        <w:rPr>
          <w:lang w:val="en-GB"/>
        </w:rPr>
        <w:t>non-inferiority.</w:t>
      </w:r>
      <w:r w:rsidR="00B00FA9">
        <w:rPr>
          <w:lang w:val="en-GB"/>
        </w:rPr>
        <w:t xml:space="preserve"> </w:t>
      </w:r>
      <w:r w:rsidR="005D696E" w:rsidRPr="00B3310A">
        <w:t xml:space="preserve">Additional </w:t>
      </w:r>
      <w:r w:rsidR="00B7391E" w:rsidRPr="00B3310A">
        <w:t xml:space="preserve">reasons to question the </w:t>
      </w:r>
      <w:r w:rsidR="00C336DC" w:rsidRPr="00B3310A">
        <w:t xml:space="preserve">clinical </w:t>
      </w:r>
      <w:r w:rsidR="00767EF2">
        <w:t>non-inferiority</w:t>
      </w:r>
      <w:r w:rsidR="00767EF2" w:rsidRPr="00B3310A">
        <w:t xml:space="preserve"> </w:t>
      </w:r>
      <w:r w:rsidR="00C336DC" w:rsidRPr="00B3310A">
        <w:t>claim between ESG and LSG</w:t>
      </w:r>
      <w:r w:rsidR="004D7F3D" w:rsidRPr="00B3310A">
        <w:t xml:space="preserve"> include th</w:t>
      </w:r>
      <w:r w:rsidR="002B26EA" w:rsidRPr="00B3310A">
        <w:t xml:space="preserve">at </w:t>
      </w:r>
      <w:r w:rsidR="005D696E" w:rsidRPr="00B3310A">
        <w:t xml:space="preserve">LSG </w:t>
      </w:r>
      <w:r w:rsidR="009D634D" w:rsidRPr="00B3310A">
        <w:t xml:space="preserve">(compared to ESG) </w:t>
      </w:r>
      <w:r w:rsidR="005D696E" w:rsidRPr="00B3310A">
        <w:t xml:space="preserve">provides both a statistical and clinical benefit (based on </w:t>
      </w:r>
      <w:r w:rsidR="00EC513A">
        <w:t xml:space="preserve">the </w:t>
      </w:r>
      <w:r w:rsidR="005D696E" w:rsidRPr="00B3310A">
        <w:t>PASC</w:t>
      </w:r>
      <w:r w:rsidR="00025140" w:rsidRPr="00025140">
        <w:rPr>
          <w:rFonts w:ascii="Helvetica Neue" w:hAnsi="Helvetica Neue" w:cs="Helvetica Neue"/>
          <w:color w:val="3F3F3F"/>
          <w:sz w:val="26"/>
          <w:szCs w:val="26"/>
          <w:lang w:val="en-GB"/>
        </w:rPr>
        <w:t xml:space="preserve"> </w:t>
      </w:r>
      <w:r w:rsidR="00025140">
        <w:rPr>
          <w:lang w:val="en-GB"/>
        </w:rPr>
        <w:t>m</w:t>
      </w:r>
      <w:r w:rsidR="00025140" w:rsidRPr="00025140">
        <w:rPr>
          <w:lang w:val="en-GB"/>
        </w:rPr>
        <w:t>inimum clinically important difference</w:t>
      </w:r>
      <w:r w:rsidR="00AF3EC9">
        <w:rPr>
          <w:lang w:val="en-GB"/>
        </w:rPr>
        <w:t xml:space="preserve"> </w:t>
      </w:r>
      <w:r w:rsidR="00025140">
        <w:rPr>
          <w:lang w:val="en-GB"/>
        </w:rPr>
        <w:t>[</w:t>
      </w:r>
      <w:r w:rsidR="005D696E" w:rsidRPr="00B3310A">
        <w:t>MCID</w:t>
      </w:r>
      <w:r w:rsidR="00025140">
        <w:t>]</w:t>
      </w:r>
      <w:r w:rsidR="005D696E" w:rsidRPr="00B3310A">
        <w:t xml:space="preserve"> of 5%) at 6</w:t>
      </w:r>
      <w:r w:rsidR="00692B1A">
        <w:t xml:space="preserve"> and 12 </w:t>
      </w:r>
      <w:r w:rsidR="005D696E" w:rsidRPr="00B3310A" w:rsidDel="00692B1A">
        <w:t>months</w:t>
      </w:r>
      <w:r w:rsidR="0095467A" w:rsidRPr="00B3310A">
        <w:t>, and that</w:t>
      </w:r>
      <w:r w:rsidR="00905C54" w:rsidRPr="00B3310A">
        <w:t xml:space="preserve"> uncertainty around the appropriateness of the 10% non-inferiority margin </w:t>
      </w:r>
      <w:r w:rsidR="00867A91" w:rsidRPr="00B3310A">
        <w:t>for %TWL</w:t>
      </w:r>
      <w:r w:rsidR="00FC1F79">
        <w:t xml:space="preserve"> that</w:t>
      </w:r>
      <w:r w:rsidR="00FC1F79" w:rsidRPr="00B3310A">
        <w:t xml:space="preserve"> does not meet the PICO 2 criteria due to the study population including overweight patients and not detail</w:t>
      </w:r>
      <w:r w:rsidR="00FC1F79">
        <w:t>ing</w:t>
      </w:r>
      <w:r w:rsidR="00FC1F79" w:rsidRPr="00B3310A">
        <w:t xml:space="preserve"> obesity </w:t>
      </w:r>
      <w:r w:rsidR="00FC1F79">
        <w:t>class</w:t>
      </w:r>
      <w:r w:rsidR="00FC1F79" w:rsidRPr="00B3310A">
        <w:t>es</w:t>
      </w:r>
      <w:r w:rsidR="00686F27">
        <w:t xml:space="preserve">. </w:t>
      </w:r>
      <w:r w:rsidR="00E54E63" w:rsidRPr="00115CA8">
        <w:rPr>
          <w:vertAlign w:val="superscript"/>
        </w:rPr>
        <w:fldChar w:fldCharType="begin"/>
      </w:r>
      <w:r w:rsidR="00E54E63" w:rsidRPr="00115CA8">
        <w:rPr>
          <w:vertAlign w:val="superscript"/>
        </w:rPr>
        <w:instrText xml:space="preserve"> NOTEREF _Ref187070487 \h </w:instrText>
      </w:r>
      <w:r w:rsidR="00E54E63">
        <w:rPr>
          <w:vertAlign w:val="superscript"/>
        </w:rPr>
        <w:instrText xml:space="preserve"> \* MERGEFORMAT </w:instrText>
      </w:r>
      <w:r w:rsidR="00E54E63" w:rsidRPr="00115CA8">
        <w:rPr>
          <w:vertAlign w:val="superscript"/>
        </w:rPr>
      </w:r>
      <w:r w:rsidR="00E54E63" w:rsidRPr="00115CA8">
        <w:rPr>
          <w:vertAlign w:val="superscript"/>
        </w:rPr>
        <w:fldChar w:fldCharType="separate"/>
      </w:r>
      <w:r w:rsidR="008F37D1">
        <w:rPr>
          <w:vertAlign w:val="superscript"/>
        </w:rPr>
        <w:t>35</w:t>
      </w:r>
      <w:r w:rsidR="00E54E63" w:rsidRPr="00115CA8">
        <w:rPr>
          <w:vertAlign w:val="superscript"/>
        </w:rPr>
        <w:fldChar w:fldCharType="end"/>
      </w:r>
    </w:p>
    <w:p w14:paraId="0AA4EA3F" w14:textId="77777777" w:rsidR="007E2861" w:rsidRDefault="00813E94" w:rsidP="00E7264C">
      <w:r>
        <w:t>ESC noted that w</w:t>
      </w:r>
      <w:r w:rsidR="00ED72BD">
        <w:t xml:space="preserve">hilst </w:t>
      </w:r>
      <w:r>
        <w:t xml:space="preserve">the commentary provided </w:t>
      </w:r>
      <w:r w:rsidR="00ED72BD">
        <w:t>additional comments on</w:t>
      </w:r>
      <w:r>
        <w:t xml:space="preserve"> </w:t>
      </w:r>
      <w:r w:rsidR="00ED72BD">
        <w:t>the CMA</w:t>
      </w:r>
      <w:r w:rsidR="00D46111">
        <w:t xml:space="preserve">, these comments should not over-ride the advice from ESC that a CMA is inappropriate for PICO Set 2. </w:t>
      </w:r>
    </w:p>
    <w:p w14:paraId="2D5AF2A7" w14:textId="510A13C2" w:rsidR="002A2304" w:rsidRPr="00B3310A" w:rsidRDefault="002A2304" w:rsidP="00E7264C">
      <w:pPr>
        <w:rPr>
          <w:b/>
        </w:rPr>
      </w:pPr>
      <w:r w:rsidRPr="00B3310A">
        <w:rPr>
          <w:b/>
        </w:rPr>
        <w:t xml:space="preserve">Model </w:t>
      </w:r>
      <w:r w:rsidR="00EA404C" w:rsidRPr="00B3310A">
        <w:rPr>
          <w:b/>
        </w:rPr>
        <w:t xml:space="preserve">costs </w:t>
      </w:r>
    </w:p>
    <w:p w14:paraId="4540ADC2" w14:textId="60DF3E83" w:rsidR="004764C2" w:rsidRDefault="00EE52AA" w:rsidP="004D75D5">
      <w:pPr>
        <w:pStyle w:val="BodyText"/>
        <w:rPr>
          <w:lang w:val="en-US"/>
        </w:rPr>
      </w:pPr>
      <w:r w:rsidRPr="00B3310A">
        <w:rPr>
          <w:lang w:val="en-US"/>
        </w:rPr>
        <w:t xml:space="preserve">The applicant modelled </w:t>
      </w:r>
      <w:r w:rsidR="00FB1C86" w:rsidRPr="00B3310A">
        <w:rPr>
          <w:lang w:val="en-US"/>
        </w:rPr>
        <w:t>p</w:t>
      </w:r>
      <w:r w:rsidRPr="00B3310A">
        <w:rPr>
          <w:lang w:val="en-US"/>
        </w:rPr>
        <w:t>re</w:t>
      </w:r>
      <w:r w:rsidR="00FB1C86" w:rsidRPr="00B3310A">
        <w:rPr>
          <w:lang w:val="en-US"/>
        </w:rPr>
        <w:t>-</w:t>
      </w:r>
      <w:r w:rsidRPr="00B3310A">
        <w:rPr>
          <w:lang w:val="en-US"/>
        </w:rPr>
        <w:t xml:space="preserve">surgery costs, hospital costs (based </w:t>
      </w:r>
      <w:r w:rsidR="007879CB" w:rsidRPr="00B3310A">
        <w:rPr>
          <w:lang w:val="en-US"/>
        </w:rPr>
        <w:t xml:space="preserve">on </w:t>
      </w:r>
      <w:r w:rsidR="003B0C6E">
        <w:rPr>
          <w:lang w:val="en-US"/>
        </w:rPr>
        <w:t xml:space="preserve">private </w:t>
      </w:r>
      <w:r w:rsidR="00F370F2">
        <w:rPr>
          <w:lang w:val="en-US"/>
        </w:rPr>
        <w:t xml:space="preserve">hospital </w:t>
      </w:r>
      <w:r w:rsidR="007879CB" w:rsidRPr="00B3310A">
        <w:rPr>
          <w:lang w:val="en-US"/>
        </w:rPr>
        <w:t>AR-DRG</w:t>
      </w:r>
      <w:r w:rsidR="0081422F">
        <w:rPr>
          <w:lang w:val="en-US"/>
        </w:rPr>
        <w:t>s</w:t>
      </w:r>
      <w:r w:rsidRPr="00B3310A">
        <w:rPr>
          <w:lang w:val="en-US"/>
        </w:rPr>
        <w:t>)</w:t>
      </w:r>
      <w:r w:rsidR="007879CB" w:rsidRPr="00B3310A">
        <w:rPr>
          <w:lang w:val="en-US"/>
        </w:rPr>
        <w:t>,</w:t>
      </w:r>
      <w:r w:rsidR="007879CB" w:rsidRPr="00B3310A" w:rsidDel="0095087E">
        <w:rPr>
          <w:lang w:val="en-US"/>
        </w:rPr>
        <w:t xml:space="preserve"> </w:t>
      </w:r>
      <w:r w:rsidR="00FB1C86" w:rsidRPr="00B3310A">
        <w:rPr>
          <w:lang w:val="en-US"/>
        </w:rPr>
        <w:t xml:space="preserve">procedure MBS </w:t>
      </w:r>
      <w:r w:rsidR="006B2438" w:rsidRPr="00B3310A">
        <w:rPr>
          <w:lang w:val="en-US"/>
        </w:rPr>
        <w:t>fee, an</w:t>
      </w:r>
      <w:r w:rsidR="006B2438">
        <w:rPr>
          <w:lang w:val="en-US"/>
        </w:rPr>
        <w:t>a</w:t>
      </w:r>
      <w:r w:rsidR="006B2438" w:rsidRPr="00B3310A">
        <w:rPr>
          <w:lang w:val="en-US"/>
        </w:rPr>
        <w:t>esthesia costs</w:t>
      </w:r>
      <w:r w:rsidR="00FF6153">
        <w:rPr>
          <w:lang w:val="en-US"/>
        </w:rPr>
        <w:t>,</w:t>
      </w:r>
      <w:r w:rsidR="006B2438" w:rsidRPr="00B3310A">
        <w:rPr>
          <w:lang w:val="en-US"/>
        </w:rPr>
        <w:t xml:space="preserve"> </w:t>
      </w:r>
      <w:r w:rsidR="00FB1C86" w:rsidRPr="00B3310A">
        <w:rPr>
          <w:lang w:val="en-US"/>
        </w:rPr>
        <w:t>and device costs</w:t>
      </w:r>
      <w:r w:rsidR="007879CB" w:rsidRPr="00B3310A">
        <w:rPr>
          <w:lang w:val="en-US"/>
        </w:rPr>
        <w:t xml:space="preserve"> (</w:t>
      </w:r>
      <w:r w:rsidR="00FF6153">
        <w:rPr>
          <w:lang w:val="en-US"/>
        </w:rPr>
        <w:t xml:space="preserve">with the proposed </w:t>
      </w:r>
      <w:r w:rsidR="007879CB" w:rsidRPr="00B3310A">
        <w:rPr>
          <w:lang w:val="en-US"/>
        </w:rPr>
        <w:t xml:space="preserve">ESG cost provided </w:t>
      </w:r>
      <w:r w:rsidR="00FF6153">
        <w:rPr>
          <w:lang w:val="en-US"/>
        </w:rPr>
        <w:t>by the applicant</w:t>
      </w:r>
      <w:r w:rsidR="007879CB" w:rsidRPr="00B3310A">
        <w:rPr>
          <w:lang w:val="en-US"/>
        </w:rPr>
        <w:t>)</w:t>
      </w:r>
      <w:r w:rsidRPr="00B3310A">
        <w:rPr>
          <w:lang w:val="en-US"/>
        </w:rPr>
        <w:t>.</w:t>
      </w:r>
      <w:r w:rsidR="00AD3598" w:rsidRPr="00B3310A">
        <w:rPr>
          <w:lang w:val="en-US"/>
        </w:rPr>
        <w:t xml:space="preserve"> </w:t>
      </w:r>
    </w:p>
    <w:p w14:paraId="5662F1EE" w14:textId="77777777" w:rsidR="004764C2" w:rsidRDefault="009F649C" w:rsidP="004D75D5">
      <w:pPr>
        <w:pStyle w:val="BodyText"/>
      </w:pPr>
      <w:r w:rsidRPr="00B3310A">
        <w:rPr>
          <w:lang w:val="en-US"/>
        </w:rPr>
        <w:t xml:space="preserve">The applicant </w:t>
      </w:r>
      <w:r w:rsidRPr="00B3310A">
        <w:t xml:space="preserve">did not </w:t>
      </w:r>
      <w:r w:rsidR="001C2F26" w:rsidRPr="00B3310A">
        <w:t>model</w:t>
      </w:r>
      <w:r w:rsidRPr="00B3310A">
        <w:t xml:space="preserve"> AE costs</w:t>
      </w:r>
      <w:r w:rsidR="0095087E">
        <w:t>,</w:t>
      </w:r>
      <w:r w:rsidRPr="00B3310A">
        <w:t xml:space="preserve"> as the </w:t>
      </w:r>
      <w:r w:rsidR="00DC1C10">
        <w:t>ADAR</w:t>
      </w:r>
      <w:r w:rsidRPr="00B3310A">
        <w:t xml:space="preserve"> stated that there was inconsistent reporting of rates between the </w:t>
      </w:r>
      <w:r w:rsidR="0095087E" w:rsidRPr="00B3310A">
        <w:t xml:space="preserve">identified </w:t>
      </w:r>
      <w:r w:rsidRPr="00B3310A">
        <w:t xml:space="preserve">studies. The </w:t>
      </w:r>
      <w:r w:rsidR="00E93D7A">
        <w:t>ADAR</w:t>
      </w:r>
      <w:r w:rsidRPr="00B3310A">
        <w:t xml:space="preserve"> used the cost of AEs in the ESG arm</w:t>
      </w:r>
      <w:r w:rsidR="0095087E" w:rsidRPr="0095087E">
        <w:t xml:space="preserve"> </w:t>
      </w:r>
      <w:r w:rsidR="000420D3">
        <w:t xml:space="preserve">of the </w:t>
      </w:r>
      <w:r w:rsidR="008F1FBC">
        <w:t>CUA (Section 10.1)</w:t>
      </w:r>
      <w:r w:rsidR="0095087E" w:rsidRPr="0095087E">
        <w:t xml:space="preserve"> </w:t>
      </w:r>
      <w:r w:rsidR="0095087E" w:rsidRPr="00B3310A">
        <w:t xml:space="preserve">to </w:t>
      </w:r>
      <w:r w:rsidR="009728D1">
        <w:t xml:space="preserve">narratively estimate </w:t>
      </w:r>
      <w:r w:rsidR="0063530B">
        <w:t xml:space="preserve">the </w:t>
      </w:r>
      <w:r w:rsidR="00601923">
        <w:t>potential</w:t>
      </w:r>
      <w:r w:rsidR="0063530B">
        <w:t xml:space="preserve"> </w:t>
      </w:r>
      <w:r w:rsidR="0034253F">
        <w:t xml:space="preserve">impact </w:t>
      </w:r>
      <w:r w:rsidR="004A505A">
        <w:t>of</w:t>
      </w:r>
      <w:r w:rsidR="0034253F">
        <w:t xml:space="preserve"> </w:t>
      </w:r>
      <w:r w:rsidR="00703BEB">
        <w:t>AE</w:t>
      </w:r>
      <w:r w:rsidR="00F32FD9">
        <w:t>s</w:t>
      </w:r>
      <w:r w:rsidR="0034253F">
        <w:t xml:space="preserve"> (</w:t>
      </w:r>
      <w:r w:rsidR="0034253F" w:rsidRPr="00B3310A">
        <w:t>$172.62</w:t>
      </w:r>
      <w:r w:rsidR="0034253F">
        <w:t>)</w:t>
      </w:r>
      <w:r w:rsidR="00703BEB">
        <w:t xml:space="preserve"> </w:t>
      </w:r>
      <w:r w:rsidR="0034253F">
        <w:t>on the</w:t>
      </w:r>
      <w:r w:rsidR="0063530B">
        <w:t xml:space="preserve"> </w:t>
      </w:r>
      <w:r w:rsidR="0095087E" w:rsidRPr="00B3310A">
        <w:t>cost-minimisation analysis</w:t>
      </w:r>
      <w:r w:rsidRPr="00B3310A" w:rsidDel="0095087E">
        <w:t xml:space="preserve"> </w:t>
      </w:r>
      <w:r w:rsidR="004A505A">
        <w:t>(although these costs were not included in the CMA)</w:t>
      </w:r>
      <w:r w:rsidRPr="00B3310A">
        <w:t>.</w:t>
      </w:r>
      <w:r w:rsidR="009834A7" w:rsidRPr="00B3310A">
        <w:t xml:space="preserve"> </w:t>
      </w:r>
    </w:p>
    <w:p w14:paraId="7664C7AD" w14:textId="77777777" w:rsidR="004676CD" w:rsidRDefault="009834A7" w:rsidP="004D75D5">
      <w:pPr>
        <w:pStyle w:val="BodyText"/>
        <w:rPr>
          <w:lang w:val="en-US"/>
        </w:rPr>
      </w:pPr>
      <w:r w:rsidRPr="00B3310A">
        <w:t>The assessment group consider</w:t>
      </w:r>
      <w:r w:rsidR="0095087E">
        <w:t>s the</w:t>
      </w:r>
      <w:r w:rsidR="00722CC7" w:rsidRPr="00B3310A">
        <w:t xml:space="preserve"> use of MBS, PBS and PL </w:t>
      </w:r>
      <w:r w:rsidR="0095087E">
        <w:t xml:space="preserve">costs </w:t>
      </w:r>
      <w:r w:rsidR="00722CC7" w:rsidRPr="00B3310A">
        <w:t xml:space="preserve">with </w:t>
      </w:r>
      <w:r w:rsidR="00EE52AA" w:rsidRPr="00B3310A">
        <w:rPr>
          <w:lang w:val="en-US"/>
        </w:rPr>
        <w:t>AR-DRG code</w:t>
      </w:r>
      <w:r w:rsidR="00552F54" w:rsidRPr="00B3310A">
        <w:rPr>
          <w:lang w:val="en-US"/>
        </w:rPr>
        <w:t>s</w:t>
      </w:r>
      <w:r w:rsidR="00EE52AA" w:rsidRPr="00B3310A">
        <w:rPr>
          <w:lang w:val="en-US"/>
        </w:rPr>
        <w:t xml:space="preserve"> </w:t>
      </w:r>
      <w:r w:rsidR="00722CC7" w:rsidRPr="00B3310A">
        <w:rPr>
          <w:lang w:val="en-US"/>
        </w:rPr>
        <w:t>to be appro</w:t>
      </w:r>
      <w:r w:rsidR="005F0D44" w:rsidRPr="00B3310A">
        <w:rPr>
          <w:lang w:val="en-US"/>
        </w:rPr>
        <w:t>pr</w:t>
      </w:r>
      <w:r w:rsidR="00722CC7" w:rsidRPr="00B3310A">
        <w:rPr>
          <w:lang w:val="en-US"/>
        </w:rPr>
        <w:t xml:space="preserve">iate and representative of </w:t>
      </w:r>
      <w:r w:rsidR="0095087E">
        <w:rPr>
          <w:lang w:val="en-US"/>
        </w:rPr>
        <w:t xml:space="preserve">the </w:t>
      </w:r>
      <w:r w:rsidR="00EE52AA" w:rsidRPr="00B3310A">
        <w:rPr>
          <w:lang w:val="en-US"/>
        </w:rPr>
        <w:t>cost</w:t>
      </w:r>
      <w:r w:rsidR="0095087E">
        <w:rPr>
          <w:lang w:val="en-US"/>
        </w:rPr>
        <w:t>s</w:t>
      </w:r>
      <w:r w:rsidR="00EE52AA" w:rsidRPr="00B3310A">
        <w:rPr>
          <w:lang w:val="en-US"/>
        </w:rPr>
        <w:t xml:space="preserve"> of care</w:t>
      </w:r>
      <w:r w:rsidR="00722CC7" w:rsidRPr="00B3310A">
        <w:rPr>
          <w:lang w:val="en-US"/>
        </w:rPr>
        <w:t xml:space="preserve">. </w:t>
      </w:r>
      <w:r w:rsidR="008D4A0B">
        <w:rPr>
          <w:lang w:val="en-US"/>
        </w:rPr>
        <w:t xml:space="preserve">However, use of </w:t>
      </w:r>
      <w:r w:rsidR="00512BEA">
        <w:rPr>
          <w:lang w:val="en-US"/>
        </w:rPr>
        <w:t xml:space="preserve">the </w:t>
      </w:r>
      <w:r w:rsidR="008D4A0B">
        <w:rPr>
          <w:lang w:val="en-US"/>
        </w:rPr>
        <w:t xml:space="preserve">MBS </w:t>
      </w:r>
      <w:r w:rsidR="00512BEA">
        <w:rPr>
          <w:lang w:val="en-US"/>
        </w:rPr>
        <w:t>item</w:t>
      </w:r>
      <w:r w:rsidR="008D4A0B">
        <w:rPr>
          <w:lang w:val="en-US"/>
        </w:rPr>
        <w:t xml:space="preserve"> for LSG </w:t>
      </w:r>
      <w:r w:rsidR="00512BEA">
        <w:rPr>
          <w:lang w:val="en-US"/>
        </w:rPr>
        <w:t xml:space="preserve">alone does not </w:t>
      </w:r>
      <w:r w:rsidR="00D810FA">
        <w:rPr>
          <w:lang w:val="en-US"/>
        </w:rPr>
        <w:t>represent the full suite of bariatric surgery items currently available</w:t>
      </w:r>
      <w:r w:rsidR="00722CC7" w:rsidRPr="00B3310A">
        <w:rPr>
          <w:lang w:val="en-US"/>
        </w:rPr>
        <w:t xml:space="preserve"> </w:t>
      </w:r>
      <w:r w:rsidR="00AB525D">
        <w:rPr>
          <w:lang w:val="en-US"/>
        </w:rPr>
        <w:t>to this patient group.</w:t>
      </w:r>
      <w:r w:rsidR="00722CC7" w:rsidRPr="00B3310A">
        <w:rPr>
          <w:lang w:val="en-US"/>
        </w:rPr>
        <w:t xml:space="preserve"> </w:t>
      </w:r>
      <w:r w:rsidR="0049635C">
        <w:rPr>
          <w:lang w:val="en-US"/>
        </w:rPr>
        <w:t>The</w:t>
      </w:r>
      <w:r w:rsidR="006D78F7">
        <w:rPr>
          <w:lang w:val="en-US"/>
        </w:rPr>
        <w:t xml:space="preserve">re are </w:t>
      </w:r>
      <w:r w:rsidR="00761C83">
        <w:rPr>
          <w:lang w:val="en-US"/>
        </w:rPr>
        <w:t>multiple</w:t>
      </w:r>
      <w:r w:rsidR="006D78F7">
        <w:rPr>
          <w:lang w:val="en-US"/>
        </w:rPr>
        <w:t xml:space="preserve"> MBS </w:t>
      </w:r>
      <w:r w:rsidR="00E13D0E">
        <w:rPr>
          <w:lang w:val="en-US"/>
        </w:rPr>
        <w:t xml:space="preserve">items for </w:t>
      </w:r>
      <w:r w:rsidR="006612CB">
        <w:rPr>
          <w:lang w:val="en-US"/>
        </w:rPr>
        <w:t>bari</w:t>
      </w:r>
      <w:r w:rsidR="00525D6B">
        <w:rPr>
          <w:lang w:val="en-US"/>
        </w:rPr>
        <w:t xml:space="preserve">atric </w:t>
      </w:r>
      <w:r w:rsidR="00761C83">
        <w:rPr>
          <w:lang w:val="en-US"/>
        </w:rPr>
        <w:t>surgery</w:t>
      </w:r>
      <w:r w:rsidR="00E07260">
        <w:rPr>
          <w:lang w:val="en-US"/>
        </w:rPr>
        <w:t xml:space="preserve">. </w:t>
      </w:r>
    </w:p>
    <w:p w14:paraId="70BF66CB" w14:textId="77777777" w:rsidR="004F04B4" w:rsidRPr="00CB0FFF" w:rsidRDefault="00170318" w:rsidP="00C05DB4">
      <w:pPr>
        <w:pStyle w:val="BodyText"/>
        <w:numPr>
          <w:ilvl w:val="0"/>
          <w:numId w:val="20"/>
        </w:numPr>
      </w:pPr>
      <w:r>
        <w:rPr>
          <w:lang w:val="en-US"/>
        </w:rPr>
        <w:t>The</w:t>
      </w:r>
      <w:r w:rsidR="001859B3">
        <w:rPr>
          <w:lang w:val="en-US"/>
        </w:rPr>
        <w:t xml:space="preserve"> individual</w:t>
      </w:r>
      <w:r>
        <w:rPr>
          <w:lang w:val="en-US"/>
        </w:rPr>
        <w:t xml:space="preserve"> MBS </w:t>
      </w:r>
      <w:r w:rsidR="00761C83">
        <w:rPr>
          <w:lang w:val="en-US"/>
        </w:rPr>
        <w:t>item</w:t>
      </w:r>
      <w:r>
        <w:rPr>
          <w:lang w:val="en-US"/>
        </w:rPr>
        <w:t xml:space="preserve"> for </w:t>
      </w:r>
      <w:r w:rsidR="00A8244E">
        <w:rPr>
          <w:lang w:val="en-US"/>
        </w:rPr>
        <w:t>‘</w:t>
      </w:r>
      <w:r>
        <w:rPr>
          <w:lang w:val="en-US"/>
        </w:rPr>
        <w:t>gastric band</w:t>
      </w:r>
      <w:r w:rsidR="00A8244E">
        <w:rPr>
          <w:lang w:val="en-US"/>
        </w:rPr>
        <w:t>’</w:t>
      </w:r>
      <w:r w:rsidR="001859B3">
        <w:rPr>
          <w:lang w:val="en-US"/>
        </w:rPr>
        <w:t xml:space="preserve"> (MBS 31569)</w:t>
      </w:r>
      <w:r>
        <w:rPr>
          <w:lang w:val="en-US"/>
        </w:rPr>
        <w:t xml:space="preserve">, </w:t>
      </w:r>
      <w:r w:rsidR="00A8244E">
        <w:rPr>
          <w:lang w:val="en-US"/>
        </w:rPr>
        <w:t>‘</w:t>
      </w:r>
      <w:r w:rsidR="00034BA1">
        <w:rPr>
          <w:lang w:val="en-US"/>
        </w:rPr>
        <w:t>sleeve gast</w:t>
      </w:r>
      <w:r w:rsidR="00160522">
        <w:rPr>
          <w:lang w:val="en-US"/>
        </w:rPr>
        <w:t>rectomy</w:t>
      </w:r>
      <w:r w:rsidR="00A8244E">
        <w:rPr>
          <w:lang w:val="en-US"/>
        </w:rPr>
        <w:t>’</w:t>
      </w:r>
      <w:r w:rsidR="001859B3">
        <w:rPr>
          <w:lang w:val="en-US"/>
        </w:rPr>
        <w:t xml:space="preserve"> (MBS</w:t>
      </w:r>
      <w:r w:rsidR="00CB3436">
        <w:rPr>
          <w:lang w:val="en-US"/>
        </w:rPr>
        <w:t xml:space="preserve"> 31575)</w:t>
      </w:r>
      <w:r w:rsidR="00160522">
        <w:rPr>
          <w:lang w:val="en-US"/>
        </w:rPr>
        <w:t xml:space="preserve"> and </w:t>
      </w:r>
      <w:r w:rsidR="00A8244E">
        <w:rPr>
          <w:lang w:val="en-US"/>
        </w:rPr>
        <w:t>‘</w:t>
      </w:r>
      <w:r w:rsidR="00160522">
        <w:rPr>
          <w:lang w:val="en-US"/>
        </w:rPr>
        <w:t>gastroplasty</w:t>
      </w:r>
      <w:r w:rsidR="00A8244E">
        <w:rPr>
          <w:lang w:val="en-US"/>
        </w:rPr>
        <w:t>’</w:t>
      </w:r>
      <w:r w:rsidR="00CB3436">
        <w:rPr>
          <w:lang w:val="en-US"/>
        </w:rPr>
        <w:t xml:space="preserve"> (</w:t>
      </w:r>
      <w:r w:rsidR="00CA0F6B">
        <w:rPr>
          <w:lang w:val="en-US"/>
        </w:rPr>
        <w:t>MBS 31578)</w:t>
      </w:r>
      <w:r w:rsidR="00160522">
        <w:rPr>
          <w:lang w:val="en-US"/>
        </w:rPr>
        <w:t xml:space="preserve"> </w:t>
      </w:r>
      <w:r w:rsidR="001B39CE">
        <w:rPr>
          <w:lang w:val="en-US"/>
        </w:rPr>
        <w:t xml:space="preserve">are all </w:t>
      </w:r>
      <w:r w:rsidR="00761C83">
        <w:rPr>
          <w:lang w:val="en-US"/>
        </w:rPr>
        <w:t>costed</w:t>
      </w:r>
      <w:r w:rsidR="001B39CE">
        <w:rPr>
          <w:lang w:val="en-US"/>
        </w:rPr>
        <w:t xml:space="preserve"> at </w:t>
      </w:r>
      <w:r w:rsidR="00363958">
        <w:rPr>
          <w:lang w:val="en-US"/>
        </w:rPr>
        <w:t>$</w:t>
      </w:r>
      <w:r w:rsidR="004B793D">
        <w:rPr>
          <w:lang w:val="en-US"/>
        </w:rPr>
        <w:t>9</w:t>
      </w:r>
      <w:r w:rsidR="00920CDA">
        <w:rPr>
          <w:lang w:val="en-US"/>
        </w:rPr>
        <w:t>67</w:t>
      </w:r>
      <w:r w:rsidR="00E403E4">
        <w:rPr>
          <w:lang w:val="en-US"/>
        </w:rPr>
        <w:t>.</w:t>
      </w:r>
      <w:r w:rsidR="00920CDA">
        <w:rPr>
          <w:lang w:val="en-US"/>
        </w:rPr>
        <w:t>90</w:t>
      </w:r>
      <w:r w:rsidR="00761C83">
        <w:rPr>
          <w:lang w:val="en-US"/>
        </w:rPr>
        <w:t xml:space="preserve">. </w:t>
      </w:r>
    </w:p>
    <w:p w14:paraId="6B6A9936" w14:textId="77777777" w:rsidR="00216361" w:rsidRPr="00CB0FFF" w:rsidRDefault="00A20F90" w:rsidP="00216361">
      <w:pPr>
        <w:pStyle w:val="BodyText"/>
        <w:numPr>
          <w:ilvl w:val="0"/>
          <w:numId w:val="20"/>
        </w:numPr>
      </w:pPr>
      <w:r>
        <w:rPr>
          <w:lang w:val="en-US"/>
        </w:rPr>
        <w:t xml:space="preserve">The MBS items </w:t>
      </w:r>
      <w:r w:rsidR="00A8244E">
        <w:rPr>
          <w:lang w:val="en-US"/>
        </w:rPr>
        <w:t>for ‘</w:t>
      </w:r>
      <w:r>
        <w:rPr>
          <w:lang w:val="en-US"/>
        </w:rPr>
        <w:t>Roux-en-Y</w:t>
      </w:r>
      <w:r w:rsidR="00A8244E">
        <w:rPr>
          <w:lang w:val="en-US"/>
        </w:rPr>
        <w:t>’</w:t>
      </w:r>
      <w:r>
        <w:rPr>
          <w:lang w:val="en-US"/>
        </w:rPr>
        <w:t xml:space="preserve"> </w:t>
      </w:r>
      <w:r w:rsidR="00CA0F6B">
        <w:rPr>
          <w:lang w:val="en-US"/>
        </w:rPr>
        <w:t xml:space="preserve">(MBS </w:t>
      </w:r>
      <w:r w:rsidR="004E7206">
        <w:rPr>
          <w:lang w:val="en-US"/>
        </w:rPr>
        <w:t>31572</w:t>
      </w:r>
      <w:r w:rsidR="00E863CD">
        <w:rPr>
          <w:lang w:val="en-US"/>
        </w:rPr>
        <w:t xml:space="preserve">) </w:t>
      </w:r>
      <w:r>
        <w:rPr>
          <w:lang w:val="en-US"/>
        </w:rPr>
        <w:t xml:space="preserve">and </w:t>
      </w:r>
      <w:r w:rsidR="00A8244E">
        <w:rPr>
          <w:lang w:val="en-US"/>
        </w:rPr>
        <w:t>‘</w:t>
      </w:r>
      <w:r>
        <w:rPr>
          <w:lang w:val="en-US"/>
        </w:rPr>
        <w:t>biliopancreatic diversion</w:t>
      </w:r>
      <w:r w:rsidR="00A8244E">
        <w:rPr>
          <w:lang w:val="en-US"/>
        </w:rPr>
        <w:t>’</w:t>
      </w:r>
      <w:r>
        <w:rPr>
          <w:lang w:val="en-US"/>
        </w:rPr>
        <w:t xml:space="preserve"> </w:t>
      </w:r>
      <w:r w:rsidR="00E863CD">
        <w:rPr>
          <w:lang w:val="en-US"/>
        </w:rPr>
        <w:t xml:space="preserve">(MBS </w:t>
      </w:r>
      <w:r w:rsidR="00760451">
        <w:rPr>
          <w:lang w:val="en-US"/>
        </w:rPr>
        <w:t>31581</w:t>
      </w:r>
      <w:r w:rsidR="00E863CD">
        <w:rPr>
          <w:lang w:val="en-US"/>
        </w:rPr>
        <w:t>)</w:t>
      </w:r>
      <w:r w:rsidR="00A7404D">
        <w:rPr>
          <w:lang w:val="en-US"/>
        </w:rPr>
        <w:t xml:space="preserve"> </w:t>
      </w:r>
      <w:r>
        <w:rPr>
          <w:lang w:val="en-US"/>
        </w:rPr>
        <w:t xml:space="preserve">are costed at $1,190.95 </w:t>
      </w:r>
      <w:r w:rsidR="00216361">
        <w:rPr>
          <w:lang w:val="en-US"/>
        </w:rPr>
        <w:t xml:space="preserve">each. </w:t>
      </w:r>
    </w:p>
    <w:p w14:paraId="73849211" w14:textId="4A95AEF2" w:rsidR="00216361" w:rsidRPr="00CB0FFF" w:rsidRDefault="00216361" w:rsidP="00216361">
      <w:pPr>
        <w:pStyle w:val="BodyText"/>
        <w:numPr>
          <w:ilvl w:val="0"/>
          <w:numId w:val="20"/>
        </w:numPr>
      </w:pPr>
      <w:r>
        <w:rPr>
          <w:lang w:val="en-US"/>
        </w:rPr>
        <w:t xml:space="preserve">An MBS item for ‘surgical reversal’ (including revision or conversion) of a previous bariatric procedure (MBS 31584) exists. This item is costed at $1,753.45. </w:t>
      </w:r>
    </w:p>
    <w:p w14:paraId="3FE49448" w14:textId="0A5066A2" w:rsidR="00216361" w:rsidRDefault="00216361" w:rsidP="00216361">
      <w:pPr>
        <w:pStyle w:val="BodyText"/>
        <w:rPr>
          <w:lang w:val="en-US"/>
        </w:rPr>
      </w:pPr>
      <w:r>
        <w:rPr>
          <w:lang w:val="en-US"/>
        </w:rPr>
        <w:t>The proposed cost for ESG is equivalent to the cost of sleeve gastronomy</w:t>
      </w:r>
      <w:r w:rsidR="00DE7E01">
        <w:rPr>
          <w:lang w:val="en-US"/>
        </w:rPr>
        <w:t>, LSG</w:t>
      </w:r>
      <w:r>
        <w:rPr>
          <w:lang w:val="en-US"/>
        </w:rPr>
        <w:t xml:space="preserve"> (MBS 31575). </w:t>
      </w:r>
    </w:p>
    <w:p w14:paraId="376057E6" w14:textId="0EE4F85C" w:rsidR="00F86F65" w:rsidRDefault="0039258D" w:rsidP="00185F5D">
      <w:pPr>
        <w:pStyle w:val="BodyText"/>
      </w:pPr>
      <w:r>
        <w:rPr>
          <w:lang w:val="en-US"/>
        </w:rPr>
        <w:t xml:space="preserve">ESC agreed with the </w:t>
      </w:r>
      <w:r w:rsidR="00DE7E01">
        <w:rPr>
          <w:lang w:val="en-US"/>
        </w:rPr>
        <w:t>commentary</w:t>
      </w:r>
      <w:r w:rsidR="00216361" w:rsidRPr="00B3310A" w:rsidDel="0039258D">
        <w:rPr>
          <w:lang w:val="en-US"/>
        </w:rPr>
        <w:t xml:space="preserve"> </w:t>
      </w:r>
      <w:r>
        <w:rPr>
          <w:lang w:val="en-US"/>
        </w:rPr>
        <w:t>that</w:t>
      </w:r>
      <w:r w:rsidRPr="00B3310A">
        <w:rPr>
          <w:lang w:val="en-US"/>
        </w:rPr>
        <w:t xml:space="preserve"> </w:t>
      </w:r>
      <w:r w:rsidR="00216361" w:rsidRPr="00B3310A">
        <w:t>exclu</w:t>
      </w:r>
      <w:r w:rsidR="00216361">
        <w:t>ding</w:t>
      </w:r>
      <w:r w:rsidR="00216361" w:rsidRPr="00B3310A">
        <w:t xml:space="preserve"> AE costs related to ESG and LSG from the cost-minimisation analysis </w:t>
      </w:r>
      <w:r>
        <w:t xml:space="preserve">was </w:t>
      </w:r>
      <w:r w:rsidR="00216361" w:rsidRPr="00B3310A">
        <w:t xml:space="preserve">inappropriate. </w:t>
      </w:r>
      <w:r w:rsidR="00836689">
        <w:t xml:space="preserve">ESC agreed with </w:t>
      </w:r>
      <w:r w:rsidR="004925DB">
        <w:t>the</w:t>
      </w:r>
      <w:r w:rsidR="00836689">
        <w:t xml:space="preserve"> commentary</w:t>
      </w:r>
      <w:r w:rsidR="00250540" w:rsidRPr="00B3310A">
        <w:t xml:space="preserve"> that</w:t>
      </w:r>
      <w:r w:rsidR="00722CC7" w:rsidRPr="00B3310A">
        <w:t xml:space="preserve"> </w:t>
      </w:r>
      <w:r w:rsidR="00250540" w:rsidRPr="00B3310A">
        <w:t>t</w:t>
      </w:r>
      <w:r w:rsidR="00722CC7" w:rsidRPr="00B3310A">
        <w:t xml:space="preserve">he </w:t>
      </w:r>
      <w:r w:rsidR="00C04B89">
        <w:t xml:space="preserve">comparative </w:t>
      </w:r>
      <w:r w:rsidR="00722CC7" w:rsidRPr="00B3310A">
        <w:t xml:space="preserve">safety outcomes </w:t>
      </w:r>
      <w:r w:rsidR="00C04B89">
        <w:t>(</w:t>
      </w:r>
      <w:r w:rsidR="00C96FD0">
        <w:t>i.e. ESG vs LSG</w:t>
      </w:r>
      <w:r w:rsidR="00C04B89">
        <w:t>)</w:t>
      </w:r>
      <w:r w:rsidR="00781B5D">
        <w:t xml:space="preserve"> </w:t>
      </w:r>
      <w:r w:rsidR="00513208">
        <w:t xml:space="preserve">reported in </w:t>
      </w:r>
      <w:r w:rsidR="00591F1C">
        <w:t>the clinical evaluation</w:t>
      </w:r>
      <w:r w:rsidR="00C04B89">
        <w:t xml:space="preserve"> </w:t>
      </w:r>
      <w:r w:rsidR="00722CC7" w:rsidRPr="00B3310A">
        <w:t xml:space="preserve">provide sufficient information to inform </w:t>
      </w:r>
      <w:r w:rsidR="003D04C9">
        <w:t>the impact of AE</w:t>
      </w:r>
      <w:r w:rsidR="007A4184">
        <w:t>s</w:t>
      </w:r>
      <w:r w:rsidR="003D04C9">
        <w:t xml:space="preserve"> in t</w:t>
      </w:r>
      <w:r w:rsidR="009752CE">
        <w:t>he</w:t>
      </w:r>
      <w:r w:rsidR="00722CC7" w:rsidRPr="00B3310A">
        <w:t xml:space="preserve"> cost-minimisation analysis. </w:t>
      </w:r>
      <w:r w:rsidR="00836689">
        <w:t xml:space="preserve">ESC noted that </w:t>
      </w:r>
      <w:r w:rsidR="0040752F">
        <w:t>the commentary had</w:t>
      </w:r>
      <w:r w:rsidR="005F4447">
        <w:t xml:space="preserve"> conducted a sensitivity analysis </w:t>
      </w:r>
      <w:r w:rsidR="008F3899">
        <w:t>where</w:t>
      </w:r>
      <w:r w:rsidR="005F4447">
        <w:t xml:space="preserve"> AE costs </w:t>
      </w:r>
      <w:r w:rsidR="0040752F">
        <w:t xml:space="preserve">were </w:t>
      </w:r>
      <w:r w:rsidR="005F4447">
        <w:t xml:space="preserve">included in the </w:t>
      </w:r>
      <w:r w:rsidR="007A2CAF">
        <w:t>CMA</w:t>
      </w:r>
      <w:r w:rsidR="00306EC5">
        <w:t>.</w:t>
      </w:r>
      <w:r w:rsidR="00315D27">
        <w:t xml:space="preserve"> </w:t>
      </w:r>
    </w:p>
    <w:p w14:paraId="50CFC195" w14:textId="15F2071F" w:rsidR="004D75D5" w:rsidRPr="00B3310A" w:rsidRDefault="008C0403" w:rsidP="004D75D5">
      <w:pPr>
        <w:pStyle w:val="BodyText"/>
      </w:pPr>
      <w:r w:rsidRPr="2AA1CA0C">
        <w:t>The assessment group found that t</w:t>
      </w:r>
      <w:r w:rsidR="00722CC7" w:rsidRPr="2AA1CA0C">
        <w:t xml:space="preserve">he meta-analysis </w:t>
      </w:r>
      <w:r w:rsidR="00C269D8" w:rsidRPr="2AA1CA0C">
        <w:t>of AE</w:t>
      </w:r>
      <w:r w:rsidR="00F86F65" w:rsidRPr="2AA1CA0C">
        <w:t>s</w:t>
      </w:r>
      <w:r w:rsidR="00C269D8" w:rsidRPr="2AA1CA0C">
        <w:t xml:space="preserve"> for PICO 2 </w:t>
      </w:r>
      <w:r w:rsidR="00722CC7" w:rsidRPr="2AA1CA0C">
        <w:t xml:space="preserve">is impacted by </w:t>
      </w:r>
      <w:r w:rsidR="00F86F65" w:rsidRPr="2AA1CA0C">
        <w:t xml:space="preserve">only </w:t>
      </w:r>
      <w:r w:rsidR="00722CC7" w:rsidRPr="2AA1CA0C">
        <w:t>moderate heterogeneity (I</w:t>
      </w:r>
      <w:r w:rsidR="00722CC7" w:rsidRPr="2AA1CA0C">
        <w:rPr>
          <w:vertAlign w:val="superscript"/>
        </w:rPr>
        <w:t>2</w:t>
      </w:r>
      <w:r w:rsidR="00722CC7" w:rsidRPr="2AA1CA0C">
        <w:t xml:space="preserve"> 55%), substantially less heterogeneity (I</w:t>
      </w:r>
      <w:r w:rsidR="00722CC7" w:rsidRPr="2AA1CA0C">
        <w:rPr>
          <w:vertAlign w:val="superscript"/>
        </w:rPr>
        <w:t>2</w:t>
      </w:r>
      <w:r w:rsidR="00722CC7" w:rsidRPr="2AA1CA0C">
        <w:t xml:space="preserve"> 94%) than the 6-month meta-analysis of observational studies</w:t>
      </w:r>
      <w:r w:rsidR="00C67024" w:rsidRPr="2AA1CA0C">
        <w:t>,</w:t>
      </w:r>
      <w:r w:rsidR="00722CC7" w:rsidRPr="2AA1CA0C">
        <w:t xml:space="preserve"> </w:t>
      </w:r>
      <w:r w:rsidR="00C86C1E" w:rsidRPr="2AA1CA0C">
        <w:t xml:space="preserve">which </w:t>
      </w:r>
      <w:r w:rsidR="00722CC7" w:rsidRPr="2AA1CA0C">
        <w:t>compared %TWL in ESG and LSG</w:t>
      </w:r>
      <w:r w:rsidR="00C67024" w:rsidRPr="2AA1CA0C">
        <w:t>,</w:t>
      </w:r>
      <w:r w:rsidR="00722CC7" w:rsidRPr="2AA1CA0C">
        <w:t xml:space="preserve"> used to claim the non-inferiority of ESG. </w:t>
      </w:r>
      <w:r w:rsidR="000936D3" w:rsidRPr="2AA1CA0C">
        <w:t>If</w:t>
      </w:r>
      <w:r w:rsidR="00722CC7" w:rsidRPr="2AA1CA0C">
        <w:t xml:space="preserve"> the heterogeneity was a concern</w:t>
      </w:r>
      <w:r w:rsidR="00087DE3" w:rsidRPr="2AA1CA0C">
        <w:t xml:space="preserve"> for the </w:t>
      </w:r>
      <w:r w:rsidR="000F091C" w:rsidRPr="2AA1CA0C">
        <w:t xml:space="preserve">ADAR </w:t>
      </w:r>
      <w:r w:rsidR="00B8731F" w:rsidRPr="2AA1CA0C">
        <w:t>authors</w:t>
      </w:r>
      <w:r w:rsidR="00AC0EF2" w:rsidRPr="2AA1CA0C">
        <w:t>,</w:t>
      </w:r>
      <w:r w:rsidR="007C5034" w:rsidRPr="2AA1CA0C">
        <w:t xml:space="preserve"> the assessment group suggest</w:t>
      </w:r>
      <w:r w:rsidR="00F86F65" w:rsidRPr="2AA1CA0C">
        <w:t>s</w:t>
      </w:r>
      <w:r w:rsidR="007C5034" w:rsidRPr="2AA1CA0C">
        <w:t xml:space="preserve"> that</w:t>
      </w:r>
      <w:r w:rsidR="00722CC7" w:rsidRPr="2AA1CA0C">
        <w:t xml:space="preserve"> statistical techniques such as sensitivity analysis (</w:t>
      </w:r>
      <w:r w:rsidR="00F86F65" w:rsidRPr="2AA1CA0C">
        <w:t>for</w:t>
      </w:r>
      <w:r w:rsidR="00722CC7" w:rsidRPr="2AA1CA0C">
        <w:t xml:space="preserve"> bleeding, revision surgery etc.), subgroup analysis or meta-regression could have been conducted to explore potential causes</w:t>
      </w:r>
      <w:r w:rsidR="00C20419" w:rsidRPr="2AA1CA0C">
        <w:t>.</w:t>
      </w:r>
      <w:r w:rsidR="0041686F" w:rsidRPr="2AA1CA0C">
        <w:t xml:space="preserve"> </w:t>
      </w:r>
      <w:r w:rsidR="000D576C" w:rsidRPr="2AA1CA0C">
        <w:t xml:space="preserve">For </w:t>
      </w:r>
      <w:r w:rsidR="00F25FD7" w:rsidRPr="2AA1CA0C">
        <w:t>example</w:t>
      </w:r>
      <w:r w:rsidR="000D576C" w:rsidRPr="2AA1CA0C">
        <w:t xml:space="preserve">, </w:t>
      </w:r>
      <w:r w:rsidR="00537CC1" w:rsidRPr="2AA1CA0C">
        <w:t xml:space="preserve">conducting a safety analysis </w:t>
      </w:r>
      <w:r w:rsidR="008D7032" w:rsidRPr="2AA1CA0C">
        <w:t>purely</w:t>
      </w:r>
      <w:r w:rsidR="00537CC1" w:rsidRPr="2AA1CA0C">
        <w:t xml:space="preserve"> on</w:t>
      </w:r>
      <w:r w:rsidR="005641FC" w:rsidRPr="2AA1CA0C">
        <w:t xml:space="preserve"> types of</w:t>
      </w:r>
      <w:r w:rsidR="00537CC1" w:rsidRPr="2AA1CA0C">
        <w:t xml:space="preserve"> bleed</w:t>
      </w:r>
      <w:r w:rsidR="005641FC" w:rsidRPr="2AA1CA0C">
        <w:t xml:space="preserve">s </w:t>
      </w:r>
      <w:r w:rsidR="00537CC1" w:rsidRPr="2AA1CA0C">
        <w:t xml:space="preserve">and </w:t>
      </w:r>
      <w:r w:rsidR="00B64F26" w:rsidRPr="2AA1CA0C">
        <w:t xml:space="preserve">BMI </w:t>
      </w:r>
      <w:r w:rsidR="008F5EBB" w:rsidRPr="2AA1CA0C">
        <w:t>class</w:t>
      </w:r>
      <w:r w:rsidR="00B64F26" w:rsidRPr="2AA1CA0C">
        <w:t xml:space="preserve"> </w:t>
      </w:r>
      <w:r w:rsidR="00093904" w:rsidRPr="2AA1CA0C">
        <w:t xml:space="preserve">subgroup </w:t>
      </w:r>
      <w:r w:rsidR="00B64F26" w:rsidRPr="2AA1CA0C">
        <w:t xml:space="preserve">(e.g. </w:t>
      </w:r>
      <w:r w:rsidR="008F5EBB" w:rsidRPr="2AA1CA0C">
        <w:t>class</w:t>
      </w:r>
      <w:r w:rsidR="00B64F26" w:rsidRPr="2AA1CA0C">
        <w:t xml:space="preserve"> II vs </w:t>
      </w:r>
      <w:r w:rsidR="008F5EBB" w:rsidRPr="2AA1CA0C">
        <w:t>class</w:t>
      </w:r>
      <w:r w:rsidR="00B64F26" w:rsidRPr="2AA1CA0C">
        <w:t xml:space="preserve"> III) or </w:t>
      </w:r>
      <w:r w:rsidR="00B05061" w:rsidRPr="2AA1CA0C">
        <w:t>age group (</w:t>
      </w:r>
      <w:r w:rsidR="008D7032" w:rsidRPr="2AA1CA0C">
        <w:t xml:space="preserve">e.g. </w:t>
      </w:r>
      <w:r w:rsidR="005E29D1" w:rsidRPr="2AA1CA0C">
        <w:t>&gt;</w:t>
      </w:r>
      <w:r w:rsidR="008D7032" w:rsidRPr="2AA1CA0C">
        <w:t xml:space="preserve">50 years vs </w:t>
      </w:r>
      <w:r w:rsidR="005E29D1" w:rsidRPr="2AA1CA0C">
        <w:t>&lt;</w:t>
      </w:r>
      <w:r w:rsidR="008D7032" w:rsidRPr="2AA1CA0C">
        <w:t>50 years).</w:t>
      </w:r>
      <w:r w:rsidR="00B64F26" w:rsidRPr="2AA1CA0C">
        <w:t xml:space="preserve"> </w:t>
      </w:r>
      <w:r w:rsidR="00D962F1" w:rsidRPr="2AA1CA0C">
        <w:t xml:space="preserve">The selective inclusion of </w:t>
      </w:r>
      <w:r w:rsidR="005E29D1" w:rsidRPr="2AA1CA0C">
        <w:t>AEs</w:t>
      </w:r>
      <w:r w:rsidR="00D962F1" w:rsidRPr="2AA1CA0C">
        <w:t xml:space="preserve"> </w:t>
      </w:r>
      <w:r w:rsidR="007D6B19" w:rsidRPr="2AA1CA0C">
        <w:t>(exclusion of</w:t>
      </w:r>
      <w:r w:rsidR="00D962F1" w:rsidRPr="2AA1CA0C">
        <w:t xml:space="preserve"> </w:t>
      </w:r>
      <w:r w:rsidR="000B50D2" w:rsidRPr="2AA1CA0C">
        <w:t xml:space="preserve">bridging fibrosis, </w:t>
      </w:r>
      <w:r w:rsidR="002F1E5A" w:rsidRPr="2AA1CA0C">
        <w:t xml:space="preserve">pulmonary embolism, </w:t>
      </w:r>
      <w:r w:rsidR="00ED0D88" w:rsidRPr="2AA1CA0C">
        <w:t>stomach</w:t>
      </w:r>
      <w:r w:rsidR="001C62C4" w:rsidRPr="2AA1CA0C">
        <w:t xml:space="preserve"> tears, </w:t>
      </w:r>
      <w:r w:rsidR="00B0740A" w:rsidRPr="2AA1CA0C">
        <w:t>infection etc.)</w:t>
      </w:r>
      <w:r w:rsidR="00D962F1" w:rsidRPr="2AA1CA0C">
        <w:t xml:space="preserve"> biases </w:t>
      </w:r>
      <w:r w:rsidR="00770DCD" w:rsidRPr="2AA1CA0C">
        <w:t>the</w:t>
      </w:r>
      <w:r w:rsidR="008E338A" w:rsidRPr="2AA1CA0C">
        <w:t xml:space="preserve"> non</w:t>
      </w:r>
      <w:r w:rsidR="003944A8" w:rsidRPr="2AA1CA0C">
        <w:t>-</w:t>
      </w:r>
      <w:r w:rsidR="004D75D5" w:rsidRPr="2AA1CA0C">
        <w:t xml:space="preserve">comparative data </w:t>
      </w:r>
      <w:r w:rsidR="008E338A" w:rsidRPr="2AA1CA0C">
        <w:t>between ESG and</w:t>
      </w:r>
      <w:r w:rsidR="004D75D5" w:rsidRPr="2AA1CA0C">
        <w:t xml:space="preserve"> LSG</w:t>
      </w:r>
      <w:r w:rsidR="0093242C" w:rsidRPr="2AA1CA0C">
        <w:t>,</w:t>
      </w:r>
      <w:r w:rsidR="004D75D5" w:rsidRPr="2AA1CA0C">
        <w:t xml:space="preserve"> </w:t>
      </w:r>
      <w:r w:rsidR="0093242C" w:rsidRPr="2AA1CA0C">
        <w:t>thus biasing</w:t>
      </w:r>
      <w:r w:rsidR="008E338A" w:rsidRPr="2AA1CA0C">
        <w:t xml:space="preserve"> the results in favour of </w:t>
      </w:r>
      <w:r w:rsidR="001B585F" w:rsidRPr="2AA1CA0C">
        <w:t>ESG. ESG</w:t>
      </w:r>
      <w:r w:rsidR="00955EDC" w:rsidRPr="2AA1CA0C">
        <w:t>-</w:t>
      </w:r>
      <w:r w:rsidR="001B585F" w:rsidRPr="2AA1CA0C">
        <w:t>related AE</w:t>
      </w:r>
      <w:r w:rsidR="00955EDC" w:rsidRPr="2AA1CA0C">
        <w:t>s</w:t>
      </w:r>
      <w:r w:rsidR="004D75D5" w:rsidRPr="2AA1CA0C">
        <w:t xml:space="preserve"> are more frequent and severe </w:t>
      </w:r>
      <w:r w:rsidR="001B585F" w:rsidRPr="2AA1CA0C">
        <w:t xml:space="preserve">than </w:t>
      </w:r>
      <w:r w:rsidR="00955EDC" w:rsidRPr="2AA1CA0C">
        <w:t xml:space="preserve">for </w:t>
      </w:r>
      <w:r w:rsidR="001B585F" w:rsidRPr="2AA1CA0C">
        <w:t>LSG</w:t>
      </w:r>
      <w:r w:rsidR="0023435D" w:rsidRPr="2AA1CA0C">
        <w:t>,</w:t>
      </w:r>
      <w:r w:rsidR="004D75D5" w:rsidRPr="2AA1CA0C">
        <w:t xml:space="preserve"> therefore </w:t>
      </w:r>
      <w:r w:rsidR="00955EDC" w:rsidRPr="2AA1CA0C">
        <w:t xml:space="preserve">ESG is </w:t>
      </w:r>
      <w:r w:rsidR="004D75D5" w:rsidRPr="2AA1CA0C">
        <w:t>associated with higher treatment costs</w:t>
      </w:r>
      <w:r w:rsidR="007E39B4" w:rsidRPr="2AA1CA0C">
        <w:t>.</w:t>
      </w:r>
    </w:p>
    <w:p w14:paraId="155236CD" w14:textId="0EE55390" w:rsidR="00476FD7" w:rsidRDefault="00EB0785" w:rsidP="00EB0785">
      <w:pPr>
        <w:pStyle w:val="BodyText"/>
      </w:pPr>
      <w:r w:rsidRPr="2AA1CA0C">
        <w:t>The cost-minimisation analyses capture</w:t>
      </w:r>
      <w:r w:rsidR="00955EDC" w:rsidRPr="2AA1CA0C">
        <w:t>d</w:t>
      </w:r>
      <w:r w:rsidRPr="2AA1CA0C">
        <w:t xml:space="preserve"> LSG and ES</w:t>
      </w:r>
      <w:r w:rsidR="00706BE5" w:rsidRPr="2AA1CA0C">
        <w:t>G</w:t>
      </w:r>
      <w:r w:rsidRPr="2AA1CA0C">
        <w:t xml:space="preserve"> procedure costs and related costs up to 30 days post</w:t>
      </w:r>
      <w:r w:rsidR="00955EDC" w:rsidRPr="2AA1CA0C">
        <w:t>-</w:t>
      </w:r>
      <w:r w:rsidRPr="2AA1CA0C">
        <w:t>procedure. The</w:t>
      </w:r>
      <w:r w:rsidR="00E44A23" w:rsidRPr="2AA1CA0C">
        <w:t xml:space="preserve"> assessment group found that the</w:t>
      </w:r>
      <w:r w:rsidRPr="2AA1CA0C">
        <w:t xml:space="preserve"> time horizon of 30 days after the procedure is likely inappropriate. The cost-minimisation analysis should have used a time horizon that capture</w:t>
      </w:r>
      <w:r w:rsidR="004925DB">
        <w:t>s</w:t>
      </w:r>
      <w:r w:rsidRPr="2AA1CA0C">
        <w:t xml:space="preserve"> the costs associated with treatment failure (e.g. weight loss ≥5% of %TBW, retightening</w:t>
      </w:r>
      <w:r w:rsidR="004A0168" w:rsidRPr="2AA1CA0C">
        <w:t xml:space="preserve"> </w:t>
      </w:r>
      <w:r w:rsidR="0061620C" w:rsidRPr="2AA1CA0C">
        <w:t>[</w:t>
      </w:r>
      <w:r w:rsidR="00915BCF" w:rsidRPr="2AA1CA0C">
        <w:t>ESG only</w:t>
      </w:r>
      <w:r w:rsidR="0061620C" w:rsidRPr="2AA1CA0C">
        <w:t>]</w:t>
      </w:r>
      <w:r w:rsidRPr="2AA1CA0C">
        <w:t xml:space="preserve">, conversation to other forms of bariatric surgery). </w:t>
      </w:r>
    </w:p>
    <w:p w14:paraId="38845AAC" w14:textId="53B657C6" w:rsidR="00EB0785" w:rsidRPr="00B3310A" w:rsidRDefault="00910848" w:rsidP="00EB0785">
      <w:pPr>
        <w:pStyle w:val="BodyText"/>
      </w:pPr>
      <w:r w:rsidRPr="00B3310A">
        <w:t>Exclusion</w:t>
      </w:r>
      <w:r w:rsidR="00915BCF" w:rsidRPr="00B3310A">
        <w:t xml:space="preserve"> of treatment failur</w:t>
      </w:r>
      <w:r w:rsidR="0064436F" w:rsidRPr="00B3310A">
        <w:t>e</w:t>
      </w:r>
      <w:r w:rsidR="00EB0785" w:rsidRPr="00B3310A">
        <w:t xml:space="preserve"> biases the cost-minimisation analysis towards favouring ESG over LSG</w:t>
      </w:r>
      <w:r w:rsidR="00FF3984">
        <w:t>,</w:t>
      </w:r>
      <w:r w:rsidR="00EB0785" w:rsidRPr="00B3310A">
        <w:t xml:space="preserve"> due to the high rate of treatment failure (reoperation with ESG, conversion to other forms of bariatric surger</w:t>
      </w:r>
      <w:r w:rsidR="00FF3984">
        <w:t>y</w:t>
      </w:r>
      <w:r w:rsidR="00EB0785" w:rsidRPr="00B3310A">
        <w:t xml:space="preserve">, treatment for bleeding) not being captured. </w:t>
      </w:r>
    </w:p>
    <w:p w14:paraId="6A1AC9FC" w14:textId="55011BB1" w:rsidR="00910848" w:rsidRPr="00B3310A" w:rsidRDefault="00910848" w:rsidP="00722CC7">
      <w:pPr>
        <w:pStyle w:val="BodyText"/>
        <w:rPr>
          <w:b/>
        </w:rPr>
      </w:pPr>
      <w:r w:rsidRPr="00B3310A">
        <w:rPr>
          <w:b/>
        </w:rPr>
        <w:t xml:space="preserve">Model results </w:t>
      </w:r>
    </w:p>
    <w:p w14:paraId="047888AF" w14:textId="4FB4BF4D" w:rsidR="00307AAA" w:rsidRDefault="00F67669" w:rsidP="002606CF">
      <w:r w:rsidRPr="00B3310A">
        <w:rPr>
          <w:lang w:val="en-US"/>
        </w:rPr>
        <w:t>The applicant presented</w:t>
      </w:r>
      <w:r w:rsidR="008C1122" w:rsidRPr="00B3310A">
        <w:rPr>
          <w:lang w:val="en-US"/>
        </w:rPr>
        <w:t xml:space="preserve"> a cost saving of </w:t>
      </w:r>
      <w:r w:rsidR="00363DAC" w:rsidRPr="00B3310A">
        <w:t>$5,658.15 per patient over the 30-day time horizon</w:t>
      </w:r>
      <w:r w:rsidR="004549AF" w:rsidRPr="00B3310A">
        <w:t xml:space="preserve"> </w:t>
      </w:r>
      <w:r w:rsidR="00240FB1">
        <w:t>for</w:t>
      </w:r>
      <w:r w:rsidR="00957D18" w:rsidRPr="00B3310A">
        <w:t xml:space="preserve"> ESG ($14,932.39) over LSG ($20,590.54)</w:t>
      </w:r>
      <w:r w:rsidR="002210FE">
        <w:t xml:space="preserve"> (</w:t>
      </w:r>
      <w:r w:rsidR="005F77D0">
        <w:fldChar w:fldCharType="begin"/>
      </w:r>
      <w:r w:rsidR="005F77D0">
        <w:instrText xml:space="preserve"> REF _Ref197094872 \h </w:instrText>
      </w:r>
      <w:r w:rsidR="005F77D0">
        <w:fldChar w:fldCharType="separate"/>
      </w:r>
      <w:r w:rsidR="008F37D1">
        <w:t xml:space="preserve">Table </w:t>
      </w:r>
      <w:r w:rsidR="008F37D1">
        <w:rPr>
          <w:noProof/>
        </w:rPr>
        <w:t>30</w:t>
      </w:r>
      <w:r w:rsidR="005F77D0">
        <w:fldChar w:fldCharType="end"/>
      </w:r>
      <w:r w:rsidR="002210FE">
        <w:t>)</w:t>
      </w:r>
      <w:r w:rsidRPr="00B3310A">
        <w:t xml:space="preserve">. </w:t>
      </w:r>
    </w:p>
    <w:p w14:paraId="22E4687C" w14:textId="25EDA170" w:rsidR="00467E2E" w:rsidRDefault="00F67669" w:rsidP="002606CF">
      <w:r w:rsidRPr="00B3310A">
        <w:t xml:space="preserve">As previously mentioned, </w:t>
      </w:r>
      <w:r w:rsidR="004549AF" w:rsidRPr="00B3310A">
        <w:t xml:space="preserve">the </w:t>
      </w:r>
      <w:r w:rsidR="00256DAF">
        <w:t>commentary</w:t>
      </w:r>
      <w:r w:rsidR="004549AF" w:rsidRPr="00B3310A">
        <w:t xml:space="preserve"> highlight</w:t>
      </w:r>
      <w:r w:rsidR="00D45B87">
        <w:t>s</w:t>
      </w:r>
      <w:r w:rsidRPr="00B3310A">
        <w:t xml:space="preserve"> </w:t>
      </w:r>
      <w:r w:rsidR="00957D18" w:rsidRPr="00B3310A">
        <w:t>several</w:t>
      </w:r>
      <w:r w:rsidRPr="00B3310A">
        <w:t xml:space="preserve"> </w:t>
      </w:r>
      <w:r w:rsidR="004549AF" w:rsidRPr="00B3310A">
        <w:t>concerns with the cost-minimisation analysis</w:t>
      </w:r>
      <w:r w:rsidR="00D27F80" w:rsidRPr="00B3310A">
        <w:t xml:space="preserve"> that create</w:t>
      </w:r>
      <w:r w:rsidR="00D45B87">
        <w:t>s</w:t>
      </w:r>
      <w:r w:rsidR="00D27F80" w:rsidRPr="00B3310A">
        <w:t xml:space="preserve"> uncertainty around the</w:t>
      </w:r>
      <w:r w:rsidR="002F096E" w:rsidRPr="00B3310A">
        <w:t xml:space="preserve"> model results</w:t>
      </w:r>
      <w:r w:rsidR="00957D18" w:rsidRPr="00B3310A">
        <w:t>. The</w:t>
      </w:r>
      <w:r w:rsidR="008C35F2" w:rsidRPr="00B3310A">
        <w:t>se</w:t>
      </w:r>
      <w:r w:rsidR="00957D18" w:rsidRPr="00B3310A">
        <w:t xml:space="preserve"> concerns include</w:t>
      </w:r>
      <w:r w:rsidR="00020548" w:rsidRPr="00B3310A">
        <w:t xml:space="preserve"> the </w:t>
      </w:r>
      <w:r w:rsidR="001D3384" w:rsidRPr="00B3310A">
        <w:t xml:space="preserve">inappropriate assumption of </w:t>
      </w:r>
      <w:r w:rsidR="00295BB3" w:rsidRPr="00B3310A">
        <w:t>non-in</w:t>
      </w:r>
      <w:r w:rsidR="008C35F2" w:rsidRPr="00B3310A">
        <w:t>feriority</w:t>
      </w:r>
      <w:r w:rsidR="00295BB3" w:rsidRPr="00B3310A">
        <w:t xml:space="preserve"> between ESG and LSG,</w:t>
      </w:r>
      <w:r w:rsidR="00957D18" w:rsidRPr="00B3310A">
        <w:t xml:space="preserve"> the exclusion of comparative AE data</w:t>
      </w:r>
      <w:r w:rsidR="0079517A" w:rsidRPr="00B3310A">
        <w:t xml:space="preserve"> </w:t>
      </w:r>
      <w:r w:rsidR="008F3580" w:rsidRPr="00B3310A">
        <w:t>and costs</w:t>
      </w:r>
      <w:r w:rsidR="0079517A" w:rsidRPr="00B3310A">
        <w:t xml:space="preserve">, </w:t>
      </w:r>
      <w:r w:rsidR="00295BB3" w:rsidRPr="00B3310A">
        <w:t>and the short</w:t>
      </w:r>
      <w:r w:rsidR="007C4E1A">
        <w:t>-</w:t>
      </w:r>
      <w:r w:rsidR="00295BB3" w:rsidRPr="00B3310A">
        <w:t>t</w:t>
      </w:r>
      <w:r w:rsidR="007C4E1A">
        <w:t>erm</w:t>
      </w:r>
      <w:r w:rsidR="00295BB3" w:rsidRPr="00B3310A">
        <w:t xml:space="preserve"> </w:t>
      </w:r>
      <w:r w:rsidR="00951A74" w:rsidRPr="00B3310A">
        <w:t xml:space="preserve">30-day time horizon that </w:t>
      </w:r>
      <w:r w:rsidR="00850C99" w:rsidRPr="00B3310A">
        <w:t xml:space="preserve">does not capture </w:t>
      </w:r>
      <w:r w:rsidR="00A86387" w:rsidRPr="00B3310A">
        <w:t xml:space="preserve">the </w:t>
      </w:r>
      <w:r w:rsidR="00940159" w:rsidRPr="00B3310A">
        <w:t>treatment failure</w:t>
      </w:r>
      <w:r w:rsidR="008F3580" w:rsidRPr="00B3310A">
        <w:t xml:space="preserve"> data and costs</w:t>
      </w:r>
      <w:r w:rsidR="00A86387" w:rsidRPr="00B3310A">
        <w:t xml:space="preserve"> </w:t>
      </w:r>
      <w:r w:rsidR="00F012DE" w:rsidRPr="00B3310A">
        <w:t>associated with both ESG and LSG.</w:t>
      </w:r>
      <w:r w:rsidR="00C9101B" w:rsidRPr="00B3310A">
        <w:t xml:space="preserve"> </w:t>
      </w:r>
    </w:p>
    <w:p w14:paraId="3142295D" w14:textId="20B0D2F6" w:rsidR="00F67669" w:rsidRPr="002210FE" w:rsidRDefault="00C9101B" w:rsidP="001D484C">
      <w:pPr>
        <w:spacing w:after="120"/>
      </w:pPr>
      <w:r w:rsidRPr="00B3310A">
        <w:t xml:space="preserve">The key drivers of the </w:t>
      </w:r>
      <w:r w:rsidRPr="002210FE">
        <w:t>model are presented in</w:t>
      </w:r>
      <w:r w:rsidR="002210FE" w:rsidRPr="002210FE">
        <w:t xml:space="preserve"> </w:t>
      </w:r>
      <w:r w:rsidR="00B22D7B">
        <w:fldChar w:fldCharType="begin"/>
      </w:r>
      <w:r w:rsidR="00B22D7B">
        <w:instrText xml:space="preserve"> REF _Ref197094893 \h </w:instrText>
      </w:r>
      <w:r w:rsidR="00B22D7B">
        <w:fldChar w:fldCharType="separate"/>
      </w:r>
      <w:r w:rsidR="008F37D1">
        <w:t xml:space="preserve">Table </w:t>
      </w:r>
      <w:r w:rsidR="008F37D1">
        <w:rPr>
          <w:noProof/>
        </w:rPr>
        <w:t>31</w:t>
      </w:r>
      <w:r w:rsidR="00B22D7B">
        <w:fldChar w:fldCharType="end"/>
      </w:r>
      <w:r w:rsidRPr="002210FE">
        <w:t>.</w:t>
      </w:r>
      <w:r w:rsidRPr="00B3310A">
        <w:t xml:space="preserve"> In addition to </w:t>
      </w:r>
      <w:r w:rsidR="007C4E1A">
        <w:t>these</w:t>
      </w:r>
      <w:r w:rsidRPr="00B3310A">
        <w:t xml:space="preserve"> </w:t>
      </w:r>
      <w:r w:rsidR="00AF31FB" w:rsidRPr="00B3310A">
        <w:t xml:space="preserve">causes of </w:t>
      </w:r>
      <w:r w:rsidRPr="002210FE">
        <w:t>uncertainty, the complexity of the ESG</w:t>
      </w:r>
      <w:r w:rsidR="007C4E1A" w:rsidRPr="002210FE">
        <w:t>-</w:t>
      </w:r>
      <w:r w:rsidRPr="002210FE">
        <w:t xml:space="preserve"> and LSG</w:t>
      </w:r>
      <w:r w:rsidR="00AF31FB" w:rsidRPr="002210FE">
        <w:t>-</w:t>
      </w:r>
      <w:r w:rsidRPr="002210FE">
        <w:t>related AR-D</w:t>
      </w:r>
      <w:r w:rsidR="00AF31FB" w:rsidRPr="002210FE">
        <w:t>R</w:t>
      </w:r>
      <w:r w:rsidRPr="002210FE">
        <w:t xml:space="preserve">G </w:t>
      </w:r>
      <w:r w:rsidR="00AF31FB" w:rsidRPr="002210FE">
        <w:t xml:space="preserve">cost </w:t>
      </w:r>
      <w:r w:rsidRPr="002210FE">
        <w:t xml:space="preserve">items are considered key model drivers. </w:t>
      </w:r>
    </w:p>
    <w:p w14:paraId="4AAC0767" w14:textId="645B47A3" w:rsidR="003C7B11" w:rsidRDefault="003C7B11" w:rsidP="001D484C">
      <w:pPr>
        <w:pStyle w:val="Caption"/>
        <w:spacing w:before="0"/>
      </w:pPr>
      <w:bookmarkStart w:id="104" w:name="_Ref197094872"/>
      <w:r>
        <w:t xml:space="preserve">Table </w:t>
      </w:r>
      <w:r w:rsidR="005F77D0">
        <w:fldChar w:fldCharType="begin"/>
      </w:r>
      <w:r w:rsidR="005F77D0">
        <w:instrText xml:space="preserve"> SEQ Table \* ARABIC </w:instrText>
      </w:r>
      <w:r w:rsidR="005F77D0">
        <w:fldChar w:fldCharType="separate"/>
      </w:r>
      <w:r w:rsidR="008F37D1">
        <w:rPr>
          <w:noProof/>
        </w:rPr>
        <w:t>30</w:t>
      </w:r>
      <w:r w:rsidR="005F77D0">
        <w:rPr>
          <w:noProof/>
        </w:rPr>
        <w:fldChar w:fldCharType="end"/>
      </w:r>
      <w:bookmarkEnd w:id="104"/>
      <w:r>
        <w:t xml:space="preserve">: </w:t>
      </w:r>
      <w:r w:rsidRPr="00096730">
        <w:t>Results of the economic evaluation in the ADAR</w:t>
      </w:r>
      <w:r>
        <w:t xml:space="preserve"> (PICO set 2)</w:t>
      </w:r>
    </w:p>
    <w:tbl>
      <w:tblPr>
        <w:tblStyle w:val="TableGrid"/>
        <w:tblW w:w="5000" w:type="pct"/>
        <w:tblLook w:val="04A0" w:firstRow="1" w:lastRow="0" w:firstColumn="1" w:lastColumn="0" w:noHBand="0" w:noVBand="1"/>
      </w:tblPr>
      <w:tblGrid>
        <w:gridCol w:w="3257"/>
        <w:gridCol w:w="992"/>
        <w:gridCol w:w="992"/>
        <w:gridCol w:w="1417"/>
        <w:gridCol w:w="1114"/>
        <w:gridCol w:w="1244"/>
      </w:tblGrid>
      <w:tr w:rsidR="00141D13" w:rsidRPr="004C5832" w14:paraId="4E2BE014" w14:textId="55F0FD2E" w:rsidTr="2AA1CA0C">
        <w:trPr>
          <w:tblHeader/>
        </w:trPr>
        <w:tc>
          <w:tcPr>
            <w:tcW w:w="1806" w:type="pct"/>
            <w:vMerge w:val="restart"/>
            <w:vAlign w:val="center"/>
          </w:tcPr>
          <w:p w14:paraId="0F685995" w14:textId="188A5832" w:rsidR="00570338" w:rsidRPr="00872183" w:rsidRDefault="00570338" w:rsidP="00FD4D96">
            <w:pPr>
              <w:pStyle w:val="Tabletext0"/>
              <w:spacing w:before="0" w:after="0"/>
              <w:jc w:val="center"/>
              <w:rPr>
                <w:b/>
                <w:bCs/>
              </w:rPr>
            </w:pPr>
            <w:r w:rsidRPr="00872183">
              <w:rPr>
                <w:b/>
                <w:bCs/>
              </w:rPr>
              <w:t>Description</w:t>
            </w:r>
          </w:p>
        </w:tc>
        <w:tc>
          <w:tcPr>
            <w:tcW w:w="1100" w:type="pct"/>
            <w:gridSpan w:val="2"/>
            <w:vAlign w:val="center"/>
          </w:tcPr>
          <w:p w14:paraId="137C7DF9" w14:textId="1CD866BB" w:rsidR="00570338" w:rsidRPr="00872183" w:rsidRDefault="00570338" w:rsidP="00FD4D96">
            <w:pPr>
              <w:pStyle w:val="Tabletext0"/>
              <w:spacing w:before="0" w:after="0"/>
              <w:jc w:val="center"/>
              <w:rPr>
                <w:b/>
                <w:bCs/>
              </w:rPr>
            </w:pPr>
            <w:r>
              <w:rPr>
                <w:b/>
                <w:bCs/>
              </w:rPr>
              <w:t>Item number</w:t>
            </w:r>
          </w:p>
        </w:tc>
        <w:tc>
          <w:tcPr>
            <w:tcW w:w="786" w:type="pct"/>
            <w:tcBorders>
              <w:bottom w:val="nil"/>
            </w:tcBorders>
            <w:vAlign w:val="center"/>
          </w:tcPr>
          <w:p w14:paraId="31416898" w14:textId="1007BA23" w:rsidR="00570338" w:rsidRPr="00872183" w:rsidRDefault="00570338" w:rsidP="00FD4D96">
            <w:pPr>
              <w:pStyle w:val="Tabletext0"/>
              <w:spacing w:before="0" w:after="0"/>
              <w:jc w:val="center"/>
              <w:rPr>
                <w:b/>
                <w:bCs/>
              </w:rPr>
            </w:pPr>
            <w:r w:rsidRPr="00872183">
              <w:rPr>
                <w:b/>
                <w:bCs/>
              </w:rPr>
              <w:t>ESG</w:t>
            </w:r>
          </w:p>
        </w:tc>
        <w:tc>
          <w:tcPr>
            <w:tcW w:w="618" w:type="pct"/>
            <w:tcBorders>
              <w:bottom w:val="nil"/>
            </w:tcBorders>
            <w:vAlign w:val="center"/>
          </w:tcPr>
          <w:p w14:paraId="3556634A" w14:textId="77777777" w:rsidR="00570338" w:rsidRPr="00872183" w:rsidRDefault="00570338" w:rsidP="00FD4D96">
            <w:pPr>
              <w:pStyle w:val="Tabletext0"/>
              <w:spacing w:before="0" w:after="0"/>
              <w:jc w:val="center"/>
              <w:rPr>
                <w:b/>
                <w:bCs/>
              </w:rPr>
            </w:pPr>
            <w:r w:rsidRPr="00872183">
              <w:rPr>
                <w:b/>
                <w:bCs/>
              </w:rPr>
              <w:t>LSG</w:t>
            </w:r>
          </w:p>
        </w:tc>
        <w:tc>
          <w:tcPr>
            <w:tcW w:w="690" w:type="pct"/>
            <w:tcBorders>
              <w:bottom w:val="nil"/>
            </w:tcBorders>
            <w:vAlign w:val="center"/>
          </w:tcPr>
          <w:p w14:paraId="1B378707" w14:textId="65CB8F7C" w:rsidR="00570338" w:rsidRDefault="00570338" w:rsidP="00FD4D96">
            <w:pPr>
              <w:pStyle w:val="Tabletext0"/>
              <w:spacing w:before="0" w:after="0"/>
              <w:jc w:val="center"/>
              <w:rPr>
                <w:b/>
                <w:bCs/>
              </w:rPr>
            </w:pPr>
            <w:r>
              <w:rPr>
                <w:b/>
                <w:bCs/>
              </w:rPr>
              <w:t>Cost difference</w:t>
            </w:r>
          </w:p>
        </w:tc>
      </w:tr>
      <w:tr w:rsidR="00141D13" w14:paraId="2360C162" w14:textId="77777777" w:rsidTr="2AA1CA0C">
        <w:tc>
          <w:tcPr>
            <w:tcW w:w="1806" w:type="pct"/>
            <w:vMerge/>
            <w:vAlign w:val="center"/>
          </w:tcPr>
          <w:p w14:paraId="21A36228" w14:textId="77777777" w:rsidR="00570338" w:rsidRPr="002601A9" w:rsidRDefault="00570338" w:rsidP="00FD4D96">
            <w:pPr>
              <w:pStyle w:val="Tabletext0"/>
              <w:spacing w:before="0" w:after="0"/>
              <w:jc w:val="center"/>
            </w:pPr>
          </w:p>
        </w:tc>
        <w:tc>
          <w:tcPr>
            <w:tcW w:w="550" w:type="pct"/>
            <w:vAlign w:val="center"/>
          </w:tcPr>
          <w:p w14:paraId="13F96137" w14:textId="34E9DA11" w:rsidR="00570338" w:rsidRPr="00D76EFB" w:rsidRDefault="00570338" w:rsidP="00FD4D96">
            <w:pPr>
              <w:pStyle w:val="Tabletext0"/>
              <w:spacing w:before="0" w:after="0"/>
              <w:jc w:val="center"/>
              <w:rPr>
                <w:b/>
                <w:i/>
              </w:rPr>
            </w:pPr>
            <w:r w:rsidRPr="00D76EFB">
              <w:rPr>
                <w:b/>
                <w:i/>
              </w:rPr>
              <w:t>MBS/PL</w:t>
            </w:r>
          </w:p>
        </w:tc>
        <w:tc>
          <w:tcPr>
            <w:tcW w:w="550" w:type="pct"/>
            <w:vAlign w:val="center"/>
          </w:tcPr>
          <w:p w14:paraId="611335CC" w14:textId="67A107BB" w:rsidR="00570338" w:rsidRPr="00D76EFB" w:rsidRDefault="00570338" w:rsidP="00FD4D96">
            <w:pPr>
              <w:pStyle w:val="Tabletext0"/>
              <w:spacing w:before="0" w:after="0"/>
              <w:jc w:val="center"/>
              <w:rPr>
                <w:b/>
                <w:i/>
              </w:rPr>
            </w:pPr>
            <w:r w:rsidRPr="00D76EFB">
              <w:rPr>
                <w:b/>
                <w:i/>
              </w:rPr>
              <w:t>AR-DRG</w:t>
            </w:r>
          </w:p>
        </w:tc>
        <w:tc>
          <w:tcPr>
            <w:tcW w:w="786" w:type="pct"/>
            <w:tcBorders>
              <w:top w:val="nil"/>
            </w:tcBorders>
            <w:vAlign w:val="center"/>
          </w:tcPr>
          <w:p w14:paraId="3903C381" w14:textId="77777777" w:rsidR="00570338" w:rsidRPr="002601A9" w:rsidRDefault="00570338" w:rsidP="00FD4D96">
            <w:pPr>
              <w:pStyle w:val="Tabletext0"/>
              <w:spacing w:before="0" w:after="0"/>
              <w:jc w:val="center"/>
            </w:pPr>
          </w:p>
        </w:tc>
        <w:tc>
          <w:tcPr>
            <w:tcW w:w="618" w:type="pct"/>
            <w:tcBorders>
              <w:top w:val="nil"/>
            </w:tcBorders>
            <w:vAlign w:val="center"/>
          </w:tcPr>
          <w:p w14:paraId="606FF105" w14:textId="77777777" w:rsidR="00570338" w:rsidRPr="002601A9" w:rsidRDefault="00570338" w:rsidP="00FD4D96">
            <w:pPr>
              <w:pStyle w:val="Tabletext0"/>
              <w:spacing w:before="0" w:after="0"/>
              <w:jc w:val="center"/>
            </w:pPr>
          </w:p>
        </w:tc>
        <w:tc>
          <w:tcPr>
            <w:tcW w:w="690" w:type="pct"/>
            <w:tcBorders>
              <w:top w:val="nil"/>
            </w:tcBorders>
            <w:vAlign w:val="center"/>
          </w:tcPr>
          <w:p w14:paraId="417E3FC2" w14:textId="77777777" w:rsidR="00570338" w:rsidRDefault="00570338" w:rsidP="00FD4D96">
            <w:pPr>
              <w:pStyle w:val="Tabletext0"/>
              <w:spacing w:before="0" w:after="0"/>
              <w:jc w:val="center"/>
            </w:pPr>
          </w:p>
        </w:tc>
      </w:tr>
      <w:tr w:rsidR="00141D13" w14:paraId="23F21C19" w14:textId="5C945F63" w:rsidTr="2AA1CA0C">
        <w:tc>
          <w:tcPr>
            <w:tcW w:w="1806" w:type="pct"/>
            <w:tcBorders>
              <w:right w:val="nil"/>
            </w:tcBorders>
          </w:tcPr>
          <w:p w14:paraId="04404313" w14:textId="7F4D2B23" w:rsidR="003B435F" w:rsidRPr="00D76EFB" w:rsidRDefault="003C26F7" w:rsidP="00FD4D96">
            <w:pPr>
              <w:pStyle w:val="Tabletext0"/>
              <w:spacing w:before="0" w:after="0"/>
              <w:rPr>
                <w:b/>
              </w:rPr>
            </w:pPr>
            <w:r>
              <w:rPr>
                <w:b/>
                <w:bCs/>
              </w:rPr>
              <w:t>Subt</w:t>
            </w:r>
            <w:r w:rsidRPr="00A138A2">
              <w:rPr>
                <w:b/>
                <w:bCs/>
              </w:rPr>
              <w:t xml:space="preserve">otal </w:t>
            </w:r>
            <w:r w:rsidR="000721EA" w:rsidRPr="00D76EFB">
              <w:rPr>
                <w:b/>
              </w:rPr>
              <w:t>p</w:t>
            </w:r>
            <w:r w:rsidR="003B435F" w:rsidRPr="00D76EFB">
              <w:rPr>
                <w:b/>
              </w:rPr>
              <w:t>re-surgery cost</w:t>
            </w:r>
          </w:p>
        </w:tc>
        <w:tc>
          <w:tcPr>
            <w:tcW w:w="550" w:type="pct"/>
            <w:tcBorders>
              <w:left w:val="nil"/>
              <w:right w:val="nil"/>
            </w:tcBorders>
          </w:tcPr>
          <w:p w14:paraId="2D3DE72E" w14:textId="2D28E668" w:rsidR="003B435F" w:rsidRPr="00D76EFB" w:rsidRDefault="003B435F" w:rsidP="00FD4D96">
            <w:pPr>
              <w:pStyle w:val="Tabletext0"/>
              <w:spacing w:before="0" w:after="0"/>
              <w:jc w:val="center"/>
              <w:rPr>
                <w:b/>
              </w:rPr>
            </w:pPr>
          </w:p>
        </w:tc>
        <w:tc>
          <w:tcPr>
            <w:tcW w:w="550" w:type="pct"/>
            <w:tcBorders>
              <w:left w:val="nil"/>
              <w:right w:val="single" w:sz="4" w:space="0" w:color="auto"/>
            </w:tcBorders>
          </w:tcPr>
          <w:p w14:paraId="32A61E14" w14:textId="77777777" w:rsidR="003B435F" w:rsidRPr="00D76EFB" w:rsidRDefault="003B435F" w:rsidP="00FD4D96">
            <w:pPr>
              <w:pStyle w:val="Tabletext0"/>
              <w:spacing w:before="0" w:after="0"/>
              <w:jc w:val="center"/>
              <w:rPr>
                <w:b/>
              </w:rPr>
            </w:pPr>
          </w:p>
        </w:tc>
        <w:tc>
          <w:tcPr>
            <w:tcW w:w="786" w:type="pct"/>
            <w:tcBorders>
              <w:left w:val="single" w:sz="4" w:space="0" w:color="auto"/>
            </w:tcBorders>
          </w:tcPr>
          <w:p w14:paraId="3059E148" w14:textId="2D8717BB" w:rsidR="003B435F" w:rsidRPr="00D76EFB" w:rsidRDefault="003B435F" w:rsidP="00FD4D96">
            <w:pPr>
              <w:pStyle w:val="Tabletext0"/>
              <w:spacing w:before="0" w:after="0"/>
              <w:jc w:val="center"/>
              <w:rPr>
                <w:b/>
              </w:rPr>
            </w:pPr>
            <w:r w:rsidRPr="00D76EFB">
              <w:rPr>
                <w:b/>
              </w:rPr>
              <w:t>$981.90</w:t>
            </w:r>
          </w:p>
        </w:tc>
        <w:tc>
          <w:tcPr>
            <w:tcW w:w="618" w:type="pct"/>
          </w:tcPr>
          <w:p w14:paraId="03245589" w14:textId="77777777" w:rsidR="003B435F" w:rsidRPr="00D76EFB" w:rsidRDefault="003B435F" w:rsidP="00FD4D96">
            <w:pPr>
              <w:pStyle w:val="Tabletext0"/>
              <w:spacing w:before="0" w:after="0"/>
              <w:jc w:val="center"/>
              <w:rPr>
                <w:b/>
              </w:rPr>
            </w:pPr>
            <w:r w:rsidRPr="00D76EFB">
              <w:rPr>
                <w:b/>
              </w:rPr>
              <w:t>$981.90</w:t>
            </w:r>
          </w:p>
        </w:tc>
        <w:tc>
          <w:tcPr>
            <w:tcW w:w="690" w:type="pct"/>
          </w:tcPr>
          <w:p w14:paraId="68D45030" w14:textId="62A6487D" w:rsidR="003B435F" w:rsidRPr="00D76EFB" w:rsidRDefault="003B435F" w:rsidP="00FD4D96">
            <w:pPr>
              <w:pStyle w:val="Tabletext0"/>
              <w:spacing w:before="0" w:after="0"/>
              <w:jc w:val="center"/>
              <w:rPr>
                <w:b/>
              </w:rPr>
            </w:pPr>
            <w:r w:rsidRPr="00D76EFB">
              <w:rPr>
                <w:b/>
              </w:rPr>
              <w:t>$0.00</w:t>
            </w:r>
          </w:p>
        </w:tc>
      </w:tr>
      <w:tr w:rsidR="00547350" w14:paraId="0D6E36F3" w14:textId="77777777" w:rsidTr="2AA1CA0C">
        <w:tc>
          <w:tcPr>
            <w:tcW w:w="1806" w:type="pct"/>
            <w:tcBorders>
              <w:bottom w:val="nil"/>
            </w:tcBorders>
          </w:tcPr>
          <w:p w14:paraId="315BF855" w14:textId="768C108F" w:rsidR="00595DCF" w:rsidRPr="002601A9" w:rsidRDefault="00595DCF" w:rsidP="00FD4D96">
            <w:pPr>
              <w:pStyle w:val="Tabletext0"/>
              <w:spacing w:before="0" w:after="0"/>
            </w:pPr>
          </w:p>
        </w:tc>
        <w:tc>
          <w:tcPr>
            <w:tcW w:w="550" w:type="pct"/>
          </w:tcPr>
          <w:p w14:paraId="69DFA8B7" w14:textId="3C6CBD81" w:rsidR="00595DCF" w:rsidRPr="00FD4D96" w:rsidRDefault="00595DCF" w:rsidP="00FD4D96">
            <w:pPr>
              <w:pStyle w:val="Tabletext0"/>
              <w:spacing w:before="0" w:after="0"/>
              <w:jc w:val="center"/>
              <w:rPr>
                <w:rFonts w:cs="Arial"/>
              </w:rPr>
            </w:pPr>
            <w:r w:rsidRPr="00FD4D96">
              <w:rPr>
                <w:rFonts w:cs="Arial"/>
                <w:lang w:val="en-GB"/>
              </w:rPr>
              <w:t>65070</w:t>
            </w:r>
          </w:p>
        </w:tc>
        <w:tc>
          <w:tcPr>
            <w:tcW w:w="550" w:type="pct"/>
          </w:tcPr>
          <w:p w14:paraId="3CCDBE05" w14:textId="5AF63E49" w:rsidR="00595DCF" w:rsidRPr="002601A9" w:rsidRDefault="00595DCF" w:rsidP="00FD4D96">
            <w:pPr>
              <w:pStyle w:val="Tabletext0"/>
              <w:spacing w:before="0" w:after="0"/>
              <w:jc w:val="center"/>
            </w:pPr>
            <w:r>
              <w:t>NA</w:t>
            </w:r>
          </w:p>
        </w:tc>
        <w:tc>
          <w:tcPr>
            <w:tcW w:w="786" w:type="pct"/>
          </w:tcPr>
          <w:p w14:paraId="305297B7" w14:textId="3CD723B8" w:rsidR="00595DCF" w:rsidRPr="002601A9" w:rsidRDefault="00595DCF" w:rsidP="00FD4D96">
            <w:pPr>
              <w:pStyle w:val="Tabletext0"/>
              <w:spacing w:before="0" w:after="0"/>
              <w:jc w:val="center"/>
            </w:pPr>
            <w:r>
              <w:t>$16.95</w:t>
            </w:r>
          </w:p>
        </w:tc>
        <w:tc>
          <w:tcPr>
            <w:tcW w:w="618" w:type="pct"/>
          </w:tcPr>
          <w:p w14:paraId="6B932237" w14:textId="24822F39" w:rsidR="00595DCF" w:rsidRPr="002601A9" w:rsidRDefault="00595DCF" w:rsidP="00FD4D96">
            <w:pPr>
              <w:pStyle w:val="Tabletext0"/>
              <w:spacing w:before="0" w:after="0"/>
              <w:jc w:val="center"/>
            </w:pPr>
            <w:r>
              <w:t>$16.95</w:t>
            </w:r>
          </w:p>
        </w:tc>
        <w:tc>
          <w:tcPr>
            <w:tcW w:w="690" w:type="pct"/>
          </w:tcPr>
          <w:p w14:paraId="069496EA" w14:textId="63122737" w:rsidR="00595DCF" w:rsidRDefault="00D213EC" w:rsidP="00FD4D96">
            <w:pPr>
              <w:pStyle w:val="Tabletext0"/>
              <w:spacing w:before="0" w:after="0"/>
              <w:jc w:val="center"/>
            </w:pPr>
            <w:r>
              <w:t>$0.00</w:t>
            </w:r>
          </w:p>
        </w:tc>
      </w:tr>
      <w:tr w:rsidR="00547350" w14:paraId="6F6F826D" w14:textId="77777777" w:rsidTr="2AA1CA0C">
        <w:tc>
          <w:tcPr>
            <w:tcW w:w="1806" w:type="pct"/>
            <w:tcBorders>
              <w:top w:val="nil"/>
              <w:bottom w:val="nil"/>
            </w:tcBorders>
          </w:tcPr>
          <w:p w14:paraId="69B7E9FC" w14:textId="734980A9" w:rsidR="00595DCF" w:rsidRPr="002601A9" w:rsidRDefault="00595DCF" w:rsidP="00FD4D96">
            <w:pPr>
              <w:pStyle w:val="Tabletext0"/>
              <w:spacing w:before="0" w:after="0"/>
            </w:pPr>
          </w:p>
        </w:tc>
        <w:tc>
          <w:tcPr>
            <w:tcW w:w="550" w:type="pct"/>
          </w:tcPr>
          <w:p w14:paraId="7353A858" w14:textId="36F66253" w:rsidR="00595DCF" w:rsidRPr="009E01B3" w:rsidRDefault="00595DCF" w:rsidP="00FD4D96">
            <w:pPr>
              <w:pStyle w:val="Tabletext0"/>
              <w:spacing w:before="0" w:after="0"/>
              <w:jc w:val="center"/>
            </w:pPr>
            <w:r w:rsidRPr="009E01B3">
              <w:t>12527</w:t>
            </w:r>
          </w:p>
        </w:tc>
        <w:tc>
          <w:tcPr>
            <w:tcW w:w="550" w:type="pct"/>
          </w:tcPr>
          <w:p w14:paraId="0006FE62" w14:textId="42EF3573" w:rsidR="00595DCF" w:rsidRDefault="00595DCF" w:rsidP="00FD4D96">
            <w:pPr>
              <w:pStyle w:val="Tabletext0"/>
              <w:spacing w:before="0" w:after="0"/>
              <w:jc w:val="center"/>
            </w:pPr>
            <w:r>
              <w:t>NA</w:t>
            </w:r>
          </w:p>
        </w:tc>
        <w:tc>
          <w:tcPr>
            <w:tcW w:w="786" w:type="pct"/>
          </w:tcPr>
          <w:p w14:paraId="4F985531" w14:textId="315A6E55" w:rsidR="00595DCF" w:rsidRPr="002601A9" w:rsidRDefault="00595DCF" w:rsidP="00FD4D96">
            <w:pPr>
              <w:pStyle w:val="Tabletext0"/>
              <w:spacing w:before="0" w:after="0"/>
              <w:jc w:val="center"/>
            </w:pPr>
            <w:r>
              <w:t>$96.75</w:t>
            </w:r>
          </w:p>
        </w:tc>
        <w:tc>
          <w:tcPr>
            <w:tcW w:w="618" w:type="pct"/>
          </w:tcPr>
          <w:p w14:paraId="2209212E" w14:textId="7547776F" w:rsidR="00595DCF" w:rsidRPr="002601A9" w:rsidRDefault="00595DCF" w:rsidP="00FD4D96">
            <w:pPr>
              <w:pStyle w:val="Tabletext0"/>
              <w:spacing w:before="0" w:after="0"/>
              <w:jc w:val="center"/>
            </w:pPr>
            <w:r>
              <w:t>$96.75</w:t>
            </w:r>
          </w:p>
        </w:tc>
        <w:tc>
          <w:tcPr>
            <w:tcW w:w="690" w:type="pct"/>
          </w:tcPr>
          <w:p w14:paraId="534A9629" w14:textId="32EAE12F" w:rsidR="00595DCF" w:rsidRDefault="00595DCF" w:rsidP="00FD4D96">
            <w:pPr>
              <w:pStyle w:val="Tabletext0"/>
              <w:spacing w:before="0" w:after="0"/>
              <w:jc w:val="center"/>
            </w:pPr>
            <w:r>
              <w:t>$0.00</w:t>
            </w:r>
          </w:p>
        </w:tc>
      </w:tr>
      <w:tr w:rsidR="00547350" w14:paraId="02F9B503" w14:textId="77777777" w:rsidTr="2AA1CA0C">
        <w:tc>
          <w:tcPr>
            <w:tcW w:w="1806" w:type="pct"/>
            <w:tcBorders>
              <w:top w:val="nil"/>
              <w:bottom w:val="nil"/>
            </w:tcBorders>
          </w:tcPr>
          <w:p w14:paraId="5C844789" w14:textId="65D9CAFA" w:rsidR="00595DCF" w:rsidRPr="002601A9" w:rsidRDefault="00595DCF" w:rsidP="00FD4D96">
            <w:pPr>
              <w:pStyle w:val="Tabletext0"/>
              <w:spacing w:before="0" w:after="0"/>
            </w:pPr>
          </w:p>
        </w:tc>
        <w:tc>
          <w:tcPr>
            <w:tcW w:w="550" w:type="pct"/>
          </w:tcPr>
          <w:p w14:paraId="7C3E1EDA" w14:textId="013DECA2" w:rsidR="00595DCF" w:rsidRPr="00453213" w:rsidRDefault="00595DCF" w:rsidP="00FD4D96">
            <w:pPr>
              <w:pStyle w:val="Tabletext0"/>
              <w:spacing w:before="0" w:after="0"/>
              <w:jc w:val="center"/>
              <w:rPr>
                <w:rFonts w:cs="Arial"/>
              </w:rPr>
            </w:pPr>
            <w:r w:rsidRPr="00D76EFB">
              <w:rPr>
                <w:rFonts w:cs="Arial"/>
              </w:rPr>
              <w:t>110</w:t>
            </w:r>
          </w:p>
        </w:tc>
        <w:tc>
          <w:tcPr>
            <w:tcW w:w="550" w:type="pct"/>
          </w:tcPr>
          <w:p w14:paraId="2D3DDCCF" w14:textId="6D21A66C" w:rsidR="00595DCF" w:rsidRDefault="00595DCF" w:rsidP="00FD4D96">
            <w:pPr>
              <w:pStyle w:val="Tabletext0"/>
              <w:spacing w:before="0" w:after="0"/>
              <w:jc w:val="center"/>
            </w:pPr>
            <w:r>
              <w:t>NA</w:t>
            </w:r>
          </w:p>
        </w:tc>
        <w:tc>
          <w:tcPr>
            <w:tcW w:w="786" w:type="pct"/>
          </w:tcPr>
          <w:p w14:paraId="59B93659" w14:textId="51BDE53E" w:rsidR="00595DCF" w:rsidRPr="002601A9" w:rsidRDefault="00595DCF" w:rsidP="00FD4D96">
            <w:pPr>
              <w:pStyle w:val="Tabletext0"/>
              <w:spacing w:before="0" w:after="0"/>
              <w:jc w:val="center"/>
            </w:pPr>
            <w:r>
              <w:t>$174.50</w:t>
            </w:r>
          </w:p>
        </w:tc>
        <w:tc>
          <w:tcPr>
            <w:tcW w:w="618" w:type="pct"/>
          </w:tcPr>
          <w:p w14:paraId="3166DD88" w14:textId="7D106864" w:rsidR="00595DCF" w:rsidRPr="002601A9" w:rsidRDefault="00595DCF" w:rsidP="00FD4D96">
            <w:pPr>
              <w:pStyle w:val="Tabletext0"/>
              <w:spacing w:before="0" w:after="0"/>
              <w:jc w:val="center"/>
            </w:pPr>
            <w:r>
              <w:t>$174.50</w:t>
            </w:r>
          </w:p>
        </w:tc>
        <w:tc>
          <w:tcPr>
            <w:tcW w:w="690" w:type="pct"/>
          </w:tcPr>
          <w:p w14:paraId="524D8525" w14:textId="718ADF7B" w:rsidR="00595DCF" w:rsidRDefault="00595DCF" w:rsidP="00FD4D96">
            <w:pPr>
              <w:pStyle w:val="Tabletext0"/>
              <w:spacing w:before="0" w:after="0"/>
              <w:jc w:val="center"/>
            </w:pPr>
            <w:r>
              <w:t>$0.00</w:t>
            </w:r>
          </w:p>
        </w:tc>
      </w:tr>
      <w:tr w:rsidR="00547350" w14:paraId="2C8C9D8D" w14:textId="77777777" w:rsidTr="2AA1CA0C">
        <w:tc>
          <w:tcPr>
            <w:tcW w:w="1806" w:type="pct"/>
            <w:tcBorders>
              <w:top w:val="nil"/>
              <w:bottom w:val="nil"/>
            </w:tcBorders>
          </w:tcPr>
          <w:p w14:paraId="19DAD5F4" w14:textId="6F4CD520" w:rsidR="00595DCF" w:rsidRPr="002601A9" w:rsidRDefault="00595DCF" w:rsidP="00FD4D96">
            <w:pPr>
              <w:pStyle w:val="Tabletext0"/>
              <w:spacing w:before="0" w:after="0"/>
            </w:pPr>
          </w:p>
        </w:tc>
        <w:tc>
          <w:tcPr>
            <w:tcW w:w="550" w:type="pct"/>
          </w:tcPr>
          <w:p w14:paraId="7B4EC003" w14:textId="532EDF45" w:rsidR="00595DCF" w:rsidRPr="00453213" w:rsidRDefault="00595DCF" w:rsidP="00FD4D96">
            <w:pPr>
              <w:pStyle w:val="Tabletext0"/>
              <w:spacing w:before="0" w:after="0"/>
              <w:jc w:val="center"/>
              <w:rPr>
                <w:rFonts w:cs="Arial"/>
              </w:rPr>
            </w:pPr>
            <w:r w:rsidRPr="00453213">
              <w:rPr>
                <w:rFonts w:cs="Arial"/>
              </w:rPr>
              <w:t>116</w:t>
            </w:r>
          </w:p>
        </w:tc>
        <w:tc>
          <w:tcPr>
            <w:tcW w:w="550" w:type="pct"/>
          </w:tcPr>
          <w:p w14:paraId="61999CB6" w14:textId="32220930" w:rsidR="00595DCF" w:rsidRDefault="00595DCF" w:rsidP="00FD4D96">
            <w:pPr>
              <w:pStyle w:val="Tabletext0"/>
              <w:spacing w:before="0" w:after="0"/>
              <w:jc w:val="center"/>
            </w:pPr>
            <w:r>
              <w:t>NA</w:t>
            </w:r>
          </w:p>
        </w:tc>
        <w:tc>
          <w:tcPr>
            <w:tcW w:w="786" w:type="pct"/>
          </w:tcPr>
          <w:p w14:paraId="17293325" w14:textId="7981C19B" w:rsidR="00595DCF" w:rsidRPr="002601A9" w:rsidRDefault="00595DCF" w:rsidP="00FD4D96">
            <w:pPr>
              <w:pStyle w:val="Tabletext0"/>
              <w:spacing w:before="0" w:after="0"/>
              <w:jc w:val="center"/>
            </w:pPr>
            <w:r>
              <w:t>$87.30</w:t>
            </w:r>
          </w:p>
        </w:tc>
        <w:tc>
          <w:tcPr>
            <w:tcW w:w="618" w:type="pct"/>
          </w:tcPr>
          <w:p w14:paraId="229BD641" w14:textId="01ED4C20" w:rsidR="00595DCF" w:rsidRPr="002601A9" w:rsidRDefault="00595DCF" w:rsidP="00FD4D96">
            <w:pPr>
              <w:pStyle w:val="Tabletext0"/>
              <w:spacing w:before="0" w:after="0"/>
              <w:jc w:val="center"/>
            </w:pPr>
            <w:r>
              <w:t>$87.30</w:t>
            </w:r>
          </w:p>
        </w:tc>
        <w:tc>
          <w:tcPr>
            <w:tcW w:w="690" w:type="pct"/>
          </w:tcPr>
          <w:p w14:paraId="4F773DD9" w14:textId="77AC563C" w:rsidR="00595DCF" w:rsidRDefault="00595DCF" w:rsidP="00FD4D96">
            <w:pPr>
              <w:pStyle w:val="Tabletext0"/>
              <w:spacing w:before="0" w:after="0"/>
              <w:jc w:val="center"/>
            </w:pPr>
            <w:r>
              <w:t>$0.00</w:t>
            </w:r>
          </w:p>
        </w:tc>
      </w:tr>
      <w:tr w:rsidR="00547350" w14:paraId="5FB333DA" w14:textId="77777777" w:rsidTr="2AA1CA0C">
        <w:tc>
          <w:tcPr>
            <w:tcW w:w="1806" w:type="pct"/>
            <w:tcBorders>
              <w:top w:val="nil"/>
              <w:bottom w:val="nil"/>
            </w:tcBorders>
          </w:tcPr>
          <w:p w14:paraId="23CF3525" w14:textId="71991393" w:rsidR="00595DCF" w:rsidRPr="002601A9" w:rsidRDefault="00595DCF" w:rsidP="00FD4D96">
            <w:pPr>
              <w:pStyle w:val="Tabletext0"/>
              <w:spacing w:before="0" w:after="0"/>
            </w:pPr>
          </w:p>
        </w:tc>
        <w:tc>
          <w:tcPr>
            <w:tcW w:w="550" w:type="pct"/>
          </w:tcPr>
          <w:p w14:paraId="5F36A00F" w14:textId="0FE5F879" w:rsidR="00595DCF" w:rsidRPr="00453213" w:rsidRDefault="00595DCF" w:rsidP="00FD4D96">
            <w:pPr>
              <w:pStyle w:val="Tabletext0"/>
              <w:spacing w:before="0" w:after="0"/>
              <w:jc w:val="center"/>
              <w:rPr>
                <w:rFonts w:cs="Arial"/>
              </w:rPr>
            </w:pPr>
            <w:r w:rsidRPr="00453213">
              <w:rPr>
                <w:rFonts w:cs="Arial"/>
              </w:rPr>
              <w:t>721</w:t>
            </w:r>
          </w:p>
        </w:tc>
        <w:tc>
          <w:tcPr>
            <w:tcW w:w="550" w:type="pct"/>
          </w:tcPr>
          <w:p w14:paraId="130EA789" w14:textId="408D8B24" w:rsidR="00595DCF" w:rsidRDefault="00595DCF" w:rsidP="00FD4D96">
            <w:pPr>
              <w:pStyle w:val="Tabletext0"/>
              <w:spacing w:before="0" w:after="0"/>
              <w:jc w:val="center"/>
            </w:pPr>
            <w:r>
              <w:t>NA</w:t>
            </w:r>
          </w:p>
        </w:tc>
        <w:tc>
          <w:tcPr>
            <w:tcW w:w="786" w:type="pct"/>
          </w:tcPr>
          <w:p w14:paraId="4DA75490" w14:textId="078E21FF" w:rsidR="00595DCF" w:rsidRPr="002601A9" w:rsidRDefault="00595DCF" w:rsidP="00FD4D96">
            <w:pPr>
              <w:pStyle w:val="Tabletext0"/>
              <w:spacing w:before="0" w:after="0"/>
              <w:jc w:val="center"/>
            </w:pPr>
            <w:r>
              <w:t>$164.35</w:t>
            </w:r>
          </w:p>
        </w:tc>
        <w:tc>
          <w:tcPr>
            <w:tcW w:w="618" w:type="pct"/>
          </w:tcPr>
          <w:p w14:paraId="2763EE7B" w14:textId="72BAFA38" w:rsidR="00595DCF" w:rsidRPr="002601A9" w:rsidRDefault="00595DCF" w:rsidP="00FD4D96">
            <w:pPr>
              <w:pStyle w:val="Tabletext0"/>
              <w:spacing w:before="0" w:after="0"/>
              <w:jc w:val="center"/>
            </w:pPr>
            <w:r>
              <w:t>$164.35</w:t>
            </w:r>
          </w:p>
        </w:tc>
        <w:tc>
          <w:tcPr>
            <w:tcW w:w="690" w:type="pct"/>
          </w:tcPr>
          <w:p w14:paraId="3FC0BA2D" w14:textId="297532DC" w:rsidR="00595DCF" w:rsidRDefault="00595DCF" w:rsidP="00FD4D96">
            <w:pPr>
              <w:pStyle w:val="Tabletext0"/>
              <w:spacing w:before="0" w:after="0"/>
              <w:jc w:val="center"/>
            </w:pPr>
            <w:r>
              <w:t>$0.00</w:t>
            </w:r>
          </w:p>
        </w:tc>
      </w:tr>
      <w:tr w:rsidR="00547350" w14:paraId="42A89F5D" w14:textId="77777777" w:rsidTr="2AA1CA0C">
        <w:tc>
          <w:tcPr>
            <w:tcW w:w="1806" w:type="pct"/>
            <w:tcBorders>
              <w:top w:val="nil"/>
              <w:bottom w:val="nil"/>
            </w:tcBorders>
          </w:tcPr>
          <w:p w14:paraId="204023D8" w14:textId="1890DE46" w:rsidR="00595DCF" w:rsidRPr="002601A9" w:rsidRDefault="00595DCF" w:rsidP="00FD4D96">
            <w:pPr>
              <w:pStyle w:val="Tabletext0"/>
              <w:spacing w:before="0" w:after="0"/>
            </w:pPr>
          </w:p>
        </w:tc>
        <w:tc>
          <w:tcPr>
            <w:tcW w:w="550" w:type="pct"/>
          </w:tcPr>
          <w:p w14:paraId="57ABDF1F" w14:textId="3CB607B1" w:rsidR="00595DCF" w:rsidRPr="00453213" w:rsidRDefault="00595DCF" w:rsidP="00FD4D96">
            <w:pPr>
              <w:pStyle w:val="Tabletext0"/>
              <w:spacing w:before="0" w:after="0"/>
              <w:jc w:val="center"/>
              <w:rPr>
                <w:rFonts w:cs="Arial"/>
              </w:rPr>
            </w:pPr>
            <w:r w:rsidRPr="00453213">
              <w:rPr>
                <w:rFonts w:cs="Arial"/>
              </w:rPr>
              <w:t>723</w:t>
            </w:r>
          </w:p>
        </w:tc>
        <w:tc>
          <w:tcPr>
            <w:tcW w:w="550" w:type="pct"/>
          </w:tcPr>
          <w:p w14:paraId="74F24246" w14:textId="126FA840" w:rsidR="00595DCF" w:rsidRDefault="00595DCF" w:rsidP="00FD4D96">
            <w:pPr>
              <w:pStyle w:val="Tabletext0"/>
              <w:spacing w:before="0" w:after="0"/>
              <w:jc w:val="center"/>
            </w:pPr>
            <w:r>
              <w:t>NA</w:t>
            </w:r>
          </w:p>
        </w:tc>
        <w:tc>
          <w:tcPr>
            <w:tcW w:w="786" w:type="pct"/>
          </w:tcPr>
          <w:p w14:paraId="779B974D" w14:textId="0A1E2B3A" w:rsidR="00595DCF" w:rsidRPr="002601A9" w:rsidRDefault="00595DCF" w:rsidP="00FD4D96">
            <w:pPr>
              <w:pStyle w:val="Tabletext0"/>
              <w:spacing w:before="0" w:after="0"/>
              <w:jc w:val="center"/>
            </w:pPr>
            <w:r>
              <w:t>$130.25</w:t>
            </w:r>
          </w:p>
        </w:tc>
        <w:tc>
          <w:tcPr>
            <w:tcW w:w="618" w:type="pct"/>
          </w:tcPr>
          <w:p w14:paraId="27086C85" w14:textId="426D020C" w:rsidR="00595DCF" w:rsidRPr="002601A9" w:rsidRDefault="00595DCF" w:rsidP="00FD4D96">
            <w:pPr>
              <w:pStyle w:val="Tabletext0"/>
              <w:spacing w:before="0" w:after="0"/>
              <w:jc w:val="center"/>
            </w:pPr>
            <w:r>
              <w:t>$130.25</w:t>
            </w:r>
          </w:p>
        </w:tc>
        <w:tc>
          <w:tcPr>
            <w:tcW w:w="690" w:type="pct"/>
          </w:tcPr>
          <w:p w14:paraId="0937F46D" w14:textId="66A20555" w:rsidR="00595DCF" w:rsidRDefault="00595DCF" w:rsidP="00FD4D96">
            <w:pPr>
              <w:pStyle w:val="Tabletext0"/>
              <w:spacing w:before="0" w:after="0"/>
              <w:jc w:val="center"/>
            </w:pPr>
            <w:r>
              <w:t>$0.00</w:t>
            </w:r>
          </w:p>
        </w:tc>
      </w:tr>
      <w:tr w:rsidR="00547350" w14:paraId="242E836D" w14:textId="77777777" w:rsidTr="2AA1CA0C">
        <w:tc>
          <w:tcPr>
            <w:tcW w:w="1806" w:type="pct"/>
            <w:tcBorders>
              <w:top w:val="nil"/>
              <w:bottom w:val="nil"/>
            </w:tcBorders>
          </w:tcPr>
          <w:p w14:paraId="5910C151" w14:textId="08ABDE41" w:rsidR="00570338" w:rsidRPr="002601A9" w:rsidRDefault="00570338" w:rsidP="00FD4D96">
            <w:pPr>
              <w:pStyle w:val="Tabletext0"/>
              <w:spacing w:before="0" w:after="0"/>
            </w:pPr>
          </w:p>
        </w:tc>
        <w:tc>
          <w:tcPr>
            <w:tcW w:w="550" w:type="pct"/>
          </w:tcPr>
          <w:p w14:paraId="72D53217" w14:textId="5D005E3D" w:rsidR="00570338" w:rsidRPr="00453213" w:rsidRDefault="00570338" w:rsidP="00FD4D96">
            <w:pPr>
              <w:pStyle w:val="Tabletext0"/>
              <w:spacing w:before="0" w:after="0"/>
              <w:jc w:val="center"/>
            </w:pPr>
            <w:r w:rsidRPr="00453213">
              <w:t>10954</w:t>
            </w:r>
          </w:p>
        </w:tc>
        <w:tc>
          <w:tcPr>
            <w:tcW w:w="550" w:type="pct"/>
          </w:tcPr>
          <w:p w14:paraId="7E2BFB78" w14:textId="08284BF7" w:rsidR="00570338" w:rsidRDefault="00570338" w:rsidP="00FD4D96">
            <w:pPr>
              <w:pStyle w:val="Tabletext0"/>
              <w:spacing w:before="0" w:after="0"/>
              <w:jc w:val="center"/>
            </w:pPr>
            <w:r>
              <w:t>NA</w:t>
            </w:r>
          </w:p>
        </w:tc>
        <w:tc>
          <w:tcPr>
            <w:tcW w:w="786" w:type="pct"/>
          </w:tcPr>
          <w:p w14:paraId="77EF8B3F" w14:textId="2B9C84F7" w:rsidR="00570338" w:rsidRPr="002601A9" w:rsidRDefault="00570338" w:rsidP="00FD4D96">
            <w:pPr>
              <w:pStyle w:val="Tabletext0"/>
              <w:spacing w:before="0" w:after="0"/>
              <w:jc w:val="center"/>
            </w:pPr>
            <w:r>
              <w:t>$70.95</w:t>
            </w:r>
          </w:p>
        </w:tc>
        <w:tc>
          <w:tcPr>
            <w:tcW w:w="618" w:type="pct"/>
          </w:tcPr>
          <w:p w14:paraId="3BBDE97F" w14:textId="2EA5BF5D" w:rsidR="00570338" w:rsidRPr="002601A9" w:rsidRDefault="00570338" w:rsidP="00FD4D96">
            <w:pPr>
              <w:pStyle w:val="Tabletext0"/>
              <w:spacing w:before="0" w:after="0"/>
              <w:jc w:val="center"/>
            </w:pPr>
            <w:r>
              <w:t>$70.95</w:t>
            </w:r>
          </w:p>
        </w:tc>
        <w:tc>
          <w:tcPr>
            <w:tcW w:w="690" w:type="pct"/>
          </w:tcPr>
          <w:p w14:paraId="7FB37F7B" w14:textId="67EF5677" w:rsidR="00570338" w:rsidRDefault="00570338" w:rsidP="00FD4D96">
            <w:pPr>
              <w:pStyle w:val="Tabletext0"/>
              <w:spacing w:before="0" w:after="0"/>
              <w:jc w:val="center"/>
            </w:pPr>
            <w:r>
              <w:t>$0.00</w:t>
            </w:r>
          </w:p>
        </w:tc>
      </w:tr>
      <w:tr w:rsidR="00547350" w14:paraId="0631D7D3" w14:textId="77777777" w:rsidTr="2AA1CA0C">
        <w:tc>
          <w:tcPr>
            <w:tcW w:w="1806" w:type="pct"/>
            <w:tcBorders>
              <w:top w:val="nil"/>
              <w:bottom w:val="nil"/>
            </w:tcBorders>
          </w:tcPr>
          <w:p w14:paraId="7587B968" w14:textId="447A0747" w:rsidR="00570338" w:rsidRDefault="00570338" w:rsidP="00FD4D96">
            <w:pPr>
              <w:pStyle w:val="Tabletext0"/>
              <w:spacing w:before="0" w:after="0"/>
            </w:pPr>
          </w:p>
        </w:tc>
        <w:tc>
          <w:tcPr>
            <w:tcW w:w="550" w:type="pct"/>
          </w:tcPr>
          <w:p w14:paraId="72E0C01E" w14:textId="414434B0" w:rsidR="00570338" w:rsidRPr="00453213" w:rsidRDefault="00570338" w:rsidP="00FD4D96">
            <w:pPr>
              <w:pStyle w:val="Tabletext0"/>
              <w:spacing w:before="0" w:after="0"/>
              <w:jc w:val="center"/>
            </w:pPr>
            <w:r w:rsidRPr="00453213">
              <w:t>10968</w:t>
            </w:r>
          </w:p>
        </w:tc>
        <w:tc>
          <w:tcPr>
            <w:tcW w:w="550" w:type="pct"/>
          </w:tcPr>
          <w:p w14:paraId="558C4BB9" w14:textId="26622D1A" w:rsidR="00570338" w:rsidRDefault="00570338" w:rsidP="00FD4D96">
            <w:pPr>
              <w:pStyle w:val="Tabletext0"/>
              <w:spacing w:before="0" w:after="0"/>
              <w:jc w:val="center"/>
            </w:pPr>
            <w:r>
              <w:t>NA</w:t>
            </w:r>
          </w:p>
        </w:tc>
        <w:tc>
          <w:tcPr>
            <w:tcW w:w="786" w:type="pct"/>
          </w:tcPr>
          <w:p w14:paraId="333729F9" w14:textId="67522618" w:rsidR="00570338" w:rsidRPr="002601A9" w:rsidRDefault="00570338" w:rsidP="00FD4D96">
            <w:pPr>
              <w:pStyle w:val="Tabletext0"/>
              <w:spacing w:before="0" w:after="0"/>
              <w:jc w:val="center"/>
            </w:pPr>
            <w:r>
              <w:t>$70.95</w:t>
            </w:r>
          </w:p>
        </w:tc>
        <w:tc>
          <w:tcPr>
            <w:tcW w:w="618" w:type="pct"/>
          </w:tcPr>
          <w:p w14:paraId="6651FEA9" w14:textId="6A123ACC" w:rsidR="00570338" w:rsidRPr="002601A9" w:rsidRDefault="00570338" w:rsidP="00FD4D96">
            <w:pPr>
              <w:pStyle w:val="Tabletext0"/>
              <w:spacing w:before="0" w:after="0"/>
              <w:jc w:val="center"/>
            </w:pPr>
            <w:r>
              <w:t>$70.95</w:t>
            </w:r>
          </w:p>
        </w:tc>
        <w:tc>
          <w:tcPr>
            <w:tcW w:w="690" w:type="pct"/>
          </w:tcPr>
          <w:p w14:paraId="72A384FD" w14:textId="50FAC760" w:rsidR="00570338" w:rsidRDefault="00570338" w:rsidP="00FD4D96">
            <w:pPr>
              <w:pStyle w:val="Tabletext0"/>
              <w:spacing w:before="0" w:after="0"/>
              <w:jc w:val="center"/>
            </w:pPr>
            <w:r>
              <w:t>$0.00</w:t>
            </w:r>
          </w:p>
        </w:tc>
      </w:tr>
      <w:tr w:rsidR="00547350" w14:paraId="2A0BC922" w14:textId="77777777" w:rsidTr="2AA1CA0C">
        <w:tc>
          <w:tcPr>
            <w:tcW w:w="1806" w:type="pct"/>
            <w:tcBorders>
              <w:top w:val="nil"/>
              <w:bottom w:val="nil"/>
            </w:tcBorders>
          </w:tcPr>
          <w:p w14:paraId="3CA6A7D7" w14:textId="18761A51" w:rsidR="00570338" w:rsidRDefault="00570338" w:rsidP="00FD4D96">
            <w:pPr>
              <w:pStyle w:val="Tabletext0"/>
              <w:spacing w:before="0" w:after="0"/>
            </w:pPr>
          </w:p>
        </w:tc>
        <w:tc>
          <w:tcPr>
            <w:tcW w:w="550" w:type="pct"/>
          </w:tcPr>
          <w:p w14:paraId="6081B227" w14:textId="05A69C8E" w:rsidR="00570338" w:rsidRPr="00453213" w:rsidRDefault="00570338" w:rsidP="00FD4D96">
            <w:pPr>
              <w:pStyle w:val="Tabletext0"/>
              <w:spacing w:before="0" w:after="0"/>
              <w:jc w:val="center"/>
            </w:pPr>
            <w:r w:rsidRPr="00453213">
              <w:t>10953</w:t>
            </w:r>
          </w:p>
        </w:tc>
        <w:tc>
          <w:tcPr>
            <w:tcW w:w="550" w:type="pct"/>
          </w:tcPr>
          <w:p w14:paraId="02CBFD6E" w14:textId="1E7F2C37" w:rsidR="00570338" w:rsidRDefault="00570338" w:rsidP="00FD4D96">
            <w:pPr>
              <w:pStyle w:val="Tabletext0"/>
              <w:spacing w:before="0" w:after="0"/>
              <w:jc w:val="center"/>
            </w:pPr>
            <w:r>
              <w:t>NA</w:t>
            </w:r>
          </w:p>
        </w:tc>
        <w:tc>
          <w:tcPr>
            <w:tcW w:w="786" w:type="pct"/>
          </w:tcPr>
          <w:p w14:paraId="6A9C7435" w14:textId="69A1E49B" w:rsidR="00570338" w:rsidRPr="002601A9" w:rsidRDefault="00570338" w:rsidP="00FD4D96">
            <w:pPr>
              <w:pStyle w:val="Tabletext0"/>
              <w:spacing w:before="0" w:after="0"/>
              <w:jc w:val="center"/>
            </w:pPr>
            <w:r>
              <w:t>$70.95</w:t>
            </w:r>
          </w:p>
        </w:tc>
        <w:tc>
          <w:tcPr>
            <w:tcW w:w="618" w:type="pct"/>
          </w:tcPr>
          <w:p w14:paraId="0F2300A1" w14:textId="58668D75" w:rsidR="00570338" w:rsidRPr="002601A9" w:rsidRDefault="00570338" w:rsidP="00FD4D96">
            <w:pPr>
              <w:pStyle w:val="Tabletext0"/>
              <w:spacing w:before="0" w:after="0"/>
              <w:jc w:val="center"/>
            </w:pPr>
            <w:r>
              <w:t>$70.95</w:t>
            </w:r>
          </w:p>
        </w:tc>
        <w:tc>
          <w:tcPr>
            <w:tcW w:w="690" w:type="pct"/>
          </w:tcPr>
          <w:p w14:paraId="4CDBDF21" w14:textId="01831DC9" w:rsidR="00570338" w:rsidRDefault="00570338" w:rsidP="00FD4D96">
            <w:pPr>
              <w:pStyle w:val="Tabletext0"/>
              <w:spacing w:before="0" w:after="0"/>
              <w:jc w:val="center"/>
            </w:pPr>
            <w:r>
              <w:t>$0.00</w:t>
            </w:r>
          </w:p>
        </w:tc>
      </w:tr>
      <w:tr w:rsidR="00547350" w14:paraId="6C3D0FE0" w14:textId="77777777" w:rsidTr="2AA1CA0C">
        <w:tc>
          <w:tcPr>
            <w:tcW w:w="1806" w:type="pct"/>
            <w:tcBorders>
              <w:top w:val="nil"/>
            </w:tcBorders>
          </w:tcPr>
          <w:p w14:paraId="39016F36" w14:textId="05DC6202" w:rsidR="00570338" w:rsidRDefault="00570338" w:rsidP="00FD4D96">
            <w:pPr>
              <w:pStyle w:val="Tabletext0"/>
              <w:spacing w:before="0" w:after="0"/>
            </w:pPr>
          </w:p>
        </w:tc>
        <w:tc>
          <w:tcPr>
            <w:tcW w:w="550" w:type="pct"/>
          </w:tcPr>
          <w:p w14:paraId="07143AA5" w14:textId="59858328" w:rsidR="00570338" w:rsidRPr="00453213" w:rsidRDefault="00570338" w:rsidP="00FD4D96">
            <w:pPr>
              <w:pStyle w:val="Tabletext0"/>
              <w:spacing w:before="0" w:after="0"/>
              <w:jc w:val="center"/>
            </w:pPr>
            <w:r w:rsidRPr="00453213">
              <w:t>17615</w:t>
            </w:r>
          </w:p>
        </w:tc>
        <w:tc>
          <w:tcPr>
            <w:tcW w:w="550" w:type="pct"/>
          </w:tcPr>
          <w:p w14:paraId="78D584CF" w14:textId="4B9DA911" w:rsidR="00570338" w:rsidRDefault="00570338" w:rsidP="00FD4D96">
            <w:pPr>
              <w:pStyle w:val="Tabletext0"/>
              <w:spacing w:before="0" w:after="0"/>
              <w:jc w:val="center"/>
            </w:pPr>
            <w:r>
              <w:t>NA</w:t>
            </w:r>
          </w:p>
        </w:tc>
        <w:tc>
          <w:tcPr>
            <w:tcW w:w="786" w:type="pct"/>
          </w:tcPr>
          <w:p w14:paraId="2E1A7F1E" w14:textId="798184EE" w:rsidR="00570338" w:rsidRPr="002601A9" w:rsidRDefault="00570338" w:rsidP="00FD4D96">
            <w:pPr>
              <w:pStyle w:val="Tabletext0"/>
              <w:spacing w:before="0" w:after="0"/>
              <w:jc w:val="center"/>
            </w:pPr>
            <w:r>
              <w:t>$98.95</w:t>
            </w:r>
          </w:p>
        </w:tc>
        <w:tc>
          <w:tcPr>
            <w:tcW w:w="618" w:type="pct"/>
          </w:tcPr>
          <w:p w14:paraId="498B7E0F" w14:textId="714DAA2D" w:rsidR="00570338" w:rsidRPr="002601A9" w:rsidRDefault="00570338" w:rsidP="00FD4D96">
            <w:pPr>
              <w:pStyle w:val="Tabletext0"/>
              <w:spacing w:before="0" w:after="0"/>
              <w:jc w:val="center"/>
            </w:pPr>
            <w:r>
              <w:t>$98.95</w:t>
            </w:r>
          </w:p>
        </w:tc>
        <w:tc>
          <w:tcPr>
            <w:tcW w:w="690" w:type="pct"/>
          </w:tcPr>
          <w:p w14:paraId="076FEF54" w14:textId="642E73FC" w:rsidR="00570338" w:rsidRDefault="00570338" w:rsidP="00FD4D96">
            <w:pPr>
              <w:pStyle w:val="Tabletext0"/>
              <w:spacing w:before="0" w:after="0"/>
              <w:jc w:val="center"/>
            </w:pPr>
            <w:r>
              <w:t>$0.00</w:t>
            </w:r>
          </w:p>
        </w:tc>
      </w:tr>
      <w:tr w:rsidR="003C26F7" w14:paraId="22EA04D4" w14:textId="7E6546E6" w:rsidTr="2AA1CA0C">
        <w:tc>
          <w:tcPr>
            <w:tcW w:w="2356" w:type="pct"/>
            <w:gridSpan w:val="2"/>
            <w:tcBorders>
              <w:right w:val="nil"/>
            </w:tcBorders>
          </w:tcPr>
          <w:p w14:paraId="0C59A68A" w14:textId="260FC0EB" w:rsidR="003C26F7" w:rsidRPr="00D76EFB" w:rsidRDefault="003C26F7" w:rsidP="00FD4D96">
            <w:pPr>
              <w:pStyle w:val="Tabletext0"/>
              <w:spacing w:before="0" w:after="0"/>
              <w:jc w:val="left"/>
              <w:rPr>
                <w:b/>
              </w:rPr>
            </w:pPr>
            <w:r>
              <w:rPr>
                <w:b/>
                <w:bCs/>
              </w:rPr>
              <w:t>Subt</w:t>
            </w:r>
            <w:r w:rsidRPr="00A138A2">
              <w:rPr>
                <w:b/>
                <w:bCs/>
              </w:rPr>
              <w:t xml:space="preserve">otal </w:t>
            </w:r>
            <w:r w:rsidRPr="00D76EFB">
              <w:rPr>
                <w:b/>
              </w:rPr>
              <w:t>hospital cost based on AR-DRG*</w:t>
            </w:r>
          </w:p>
        </w:tc>
        <w:tc>
          <w:tcPr>
            <w:tcW w:w="550" w:type="pct"/>
            <w:tcBorders>
              <w:left w:val="nil"/>
              <w:right w:val="single" w:sz="4" w:space="0" w:color="auto"/>
            </w:tcBorders>
          </w:tcPr>
          <w:p w14:paraId="53556913" w14:textId="77777777" w:rsidR="003C26F7" w:rsidRPr="00D76EFB" w:rsidRDefault="003C26F7" w:rsidP="00FD4D96">
            <w:pPr>
              <w:pStyle w:val="Tabletext0"/>
              <w:spacing w:before="0" w:after="0"/>
              <w:jc w:val="center"/>
              <w:rPr>
                <w:b/>
              </w:rPr>
            </w:pPr>
          </w:p>
        </w:tc>
        <w:tc>
          <w:tcPr>
            <w:tcW w:w="786" w:type="pct"/>
            <w:tcBorders>
              <w:left w:val="single" w:sz="4" w:space="0" w:color="auto"/>
            </w:tcBorders>
          </w:tcPr>
          <w:p w14:paraId="3F3B8090" w14:textId="6296EED6" w:rsidR="003C26F7" w:rsidRPr="00D76EFB" w:rsidRDefault="003C26F7" w:rsidP="00FD4D96">
            <w:pPr>
              <w:pStyle w:val="Tabletext0"/>
              <w:spacing w:before="0" w:after="0"/>
              <w:jc w:val="center"/>
              <w:rPr>
                <w:b/>
              </w:rPr>
            </w:pPr>
            <w:r w:rsidRPr="00D76EFB">
              <w:rPr>
                <w:b/>
              </w:rPr>
              <w:t>$2,551.93</w:t>
            </w:r>
          </w:p>
        </w:tc>
        <w:tc>
          <w:tcPr>
            <w:tcW w:w="618" w:type="pct"/>
          </w:tcPr>
          <w:p w14:paraId="68BFD8B8" w14:textId="77777777" w:rsidR="003C26F7" w:rsidRPr="00D76EFB" w:rsidRDefault="003C26F7" w:rsidP="00FD4D96">
            <w:pPr>
              <w:pStyle w:val="Tabletext0"/>
              <w:spacing w:before="0" w:after="0"/>
              <w:jc w:val="center"/>
              <w:rPr>
                <w:b/>
              </w:rPr>
            </w:pPr>
            <w:r w:rsidRPr="00D76EFB">
              <w:rPr>
                <w:b/>
              </w:rPr>
              <w:t>$14,037.59</w:t>
            </w:r>
          </w:p>
        </w:tc>
        <w:tc>
          <w:tcPr>
            <w:tcW w:w="690" w:type="pct"/>
          </w:tcPr>
          <w:p w14:paraId="1B23F9AB" w14:textId="70F83469" w:rsidR="003C26F7" w:rsidRPr="00D76EFB" w:rsidRDefault="003C26F7" w:rsidP="00FD4D96">
            <w:pPr>
              <w:pStyle w:val="Tabletext0"/>
              <w:spacing w:before="0" w:after="0"/>
              <w:jc w:val="center"/>
              <w:rPr>
                <w:b/>
              </w:rPr>
            </w:pPr>
            <w:r w:rsidRPr="00D76EFB">
              <w:rPr>
                <w:b/>
              </w:rPr>
              <w:t>-$11,485.68</w:t>
            </w:r>
          </w:p>
        </w:tc>
      </w:tr>
      <w:tr w:rsidR="00547350" w14:paraId="4DD79703" w14:textId="77777777" w:rsidTr="2AA1CA0C">
        <w:tc>
          <w:tcPr>
            <w:tcW w:w="1806" w:type="pct"/>
            <w:tcBorders>
              <w:bottom w:val="nil"/>
            </w:tcBorders>
          </w:tcPr>
          <w:p w14:paraId="0D28830C" w14:textId="1DFDFA0E" w:rsidR="00570338" w:rsidRPr="002601A9" w:rsidRDefault="00570338" w:rsidP="00FD4D96">
            <w:pPr>
              <w:pStyle w:val="Tabletext0"/>
              <w:spacing w:before="0" w:after="0"/>
            </w:pPr>
          </w:p>
        </w:tc>
        <w:tc>
          <w:tcPr>
            <w:tcW w:w="550" w:type="pct"/>
          </w:tcPr>
          <w:p w14:paraId="66380C31" w14:textId="26B6BEDD" w:rsidR="00570338" w:rsidRPr="002601A9" w:rsidRDefault="00570338" w:rsidP="00FD4D96">
            <w:pPr>
              <w:pStyle w:val="Tabletext0"/>
              <w:spacing w:before="0" w:after="0"/>
              <w:jc w:val="center"/>
            </w:pPr>
            <w:r>
              <w:t>NA</w:t>
            </w:r>
          </w:p>
        </w:tc>
        <w:tc>
          <w:tcPr>
            <w:tcW w:w="550" w:type="pct"/>
          </w:tcPr>
          <w:p w14:paraId="07DBFC45" w14:textId="3645CC03" w:rsidR="00570338" w:rsidRPr="002601A9" w:rsidRDefault="00570338" w:rsidP="00FD4D96">
            <w:pPr>
              <w:pStyle w:val="Tabletext0"/>
              <w:spacing w:before="0" w:after="0"/>
              <w:jc w:val="center"/>
            </w:pPr>
            <w:r>
              <w:t>K40A</w:t>
            </w:r>
          </w:p>
        </w:tc>
        <w:tc>
          <w:tcPr>
            <w:tcW w:w="786" w:type="pct"/>
          </w:tcPr>
          <w:p w14:paraId="0F38B3C8" w14:textId="745CD70E" w:rsidR="00570338" w:rsidRPr="002601A9" w:rsidRDefault="00570338" w:rsidP="00FD4D96">
            <w:pPr>
              <w:pStyle w:val="Tabletext0"/>
              <w:spacing w:before="0" w:after="0"/>
              <w:jc w:val="center"/>
            </w:pPr>
            <w:r>
              <w:t>$14,399.49</w:t>
            </w:r>
          </w:p>
        </w:tc>
        <w:tc>
          <w:tcPr>
            <w:tcW w:w="618" w:type="pct"/>
          </w:tcPr>
          <w:p w14:paraId="0D55BC6D" w14:textId="19EBB2D8" w:rsidR="00570338" w:rsidRPr="002601A9" w:rsidRDefault="00570338" w:rsidP="00FD4D96">
            <w:pPr>
              <w:pStyle w:val="Tabletext0"/>
              <w:spacing w:before="0" w:after="0"/>
              <w:jc w:val="center"/>
            </w:pPr>
            <w:r>
              <w:t>$0.00</w:t>
            </w:r>
          </w:p>
        </w:tc>
        <w:tc>
          <w:tcPr>
            <w:tcW w:w="690" w:type="pct"/>
          </w:tcPr>
          <w:p w14:paraId="2D2A60FD" w14:textId="3ADF3500" w:rsidR="00570338" w:rsidRDefault="00570338" w:rsidP="00FD4D96">
            <w:pPr>
              <w:pStyle w:val="Tabletext0"/>
              <w:spacing w:before="0" w:after="0"/>
              <w:jc w:val="center"/>
            </w:pPr>
            <w:r>
              <w:t>$14,399.49</w:t>
            </w:r>
          </w:p>
        </w:tc>
      </w:tr>
      <w:tr w:rsidR="00547350" w14:paraId="6C1EB905" w14:textId="77777777" w:rsidTr="2AA1CA0C">
        <w:tc>
          <w:tcPr>
            <w:tcW w:w="1806" w:type="pct"/>
            <w:tcBorders>
              <w:top w:val="nil"/>
              <w:bottom w:val="nil"/>
            </w:tcBorders>
          </w:tcPr>
          <w:p w14:paraId="27D140C6" w14:textId="336EBA10" w:rsidR="00570338" w:rsidRPr="002601A9" w:rsidRDefault="00570338" w:rsidP="00FD4D96">
            <w:pPr>
              <w:pStyle w:val="Tabletext0"/>
              <w:spacing w:before="0" w:after="0"/>
            </w:pPr>
          </w:p>
        </w:tc>
        <w:tc>
          <w:tcPr>
            <w:tcW w:w="550" w:type="pct"/>
          </w:tcPr>
          <w:p w14:paraId="21AEACE5" w14:textId="2172CB69" w:rsidR="00570338" w:rsidRPr="002601A9" w:rsidRDefault="00570338" w:rsidP="00FD4D96">
            <w:pPr>
              <w:pStyle w:val="Tabletext0"/>
              <w:spacing w:before="0" w:after="0"/>
              <w:jc w:val="center"/>
            </w:pPr>
            <w:r>
              <w:t>NA</w:t>
            </w:r>
          </w:p>
        </w:tc>
        <w:tc>
          <w:tcPr>
            <w:tcW w:w="550" w:type="pct"/>
          </w:tcPr>
          <w:p w14:paraId="3987F83A" w14:textId="2EB05E71" w:rsidR="00570338" w:rsidRPr="002601A9" w:rsidRDefault="00570338" w:rsidP="00FD4D96">
            <w:pPr>
              <w:pStyle w:val="Tabletext0"/>
              <w:spacing w:before="0" w:after="0"/>
              <w:jc w:val="center"/>
            </w:pPr>
            <w:r>
              <w:t>K40B</w:t>
            </w:r>
          </w:p>
        </w:tc>
        <w:tc>
          <w:tcPr>
            <w:tcW w:w="786" w:type="pct"/>
          </w:tcPr>
          <w:p w14:paraId="452B932D" w14:textId="474788F6" w:rsidR="00570338" w:rsidRPr="002601A9" w:rsidRDefault="00570338" w:rsidP="00FD4D96">
            <w:pPr>
              <w:pStyle w:val="Tabletext0"/>
              <w:spacing w:before="0" w:after="0"/>
              <w:jc w:val="center"/>
            </w:pPr>
            <w:r>
              <w:t>$2,098.54</w:t>
            </w:r>
          </w:p>
        </w:tc>
        <w:tc>
          <w:tcPr>
            <w:tcW w:w="618" w:type="pct"/>
          </w:tcPr>
          <w:p w14:paraId="33B9F1DA" w14:textId="3A38FBEF" w:rsidR="00570338" w:rsidRPr="002601A9" w:rsidRDefault="00570338" w:rsidP="00FD4D96">
            <w:pPr>
              <w:pStyle w:val="Tabletext0"/>
              <w:spacing w:before="0" w:after="0"/>
              <w:jc w:val="center"/>
            </w:pPr>
            <w:r>
              <w:t>$0.00</w:t>
            </w:r>
          </w:p>
        </w:tc>
        <w:tc>
          <w:tcPr>
            <w:tcW w:w="690" w:type="pct"/>
          </w:tcPr>
          <w:p w14:paraId="7F7FFD20" w14:textId="20011D8A" w:rsidR="00570338" w:rsidRDefault="00570338" w:rsidP="00FD4D96">
            <w:pPr>
              <w:pStyle w:val="Tabletext0"/>
              <w:spacing w:before="0" w:after="0"/>
              <w:jc w:val="center"/>
            </w:pPr>
            <w:r>
              <w:t>$2,098.54</w:t>
            </w:r>
          </w:p>
        </w:tc>
      </w:tr>
      <w:tr w:rsidR="00547350" w14:paraId="72C86DA6" w14:textId="77777777" w:rsidTr="2AA1CA0C">
        <w:tc>
          <w:tcPr>
            <w:tcW w:w="1806" w:type="pct"/>
            <w:tcBorders>
              <w:top w:val="nil"/>
              <w:bottom w:val="nil"/>
            </w:tcBorders>
          </w:tcPr>
          <w:p w14:paraId="35154A67" w14:textId="39E4BC86" w:rsidR="00570338" w:rsidRPr="002601A9" w:rsidRDefault="00570338" w:rsidP="00FD4D96">
            <w:pPr>
              <w:pStyle w:val="Tabletext0"/>
              <w:spacing w:before="0" w:after="0"/>
            </w:pPr>
          </w:p>
        </w:tc>
        <w:tc>
          <w:tcPr>
            <w:tcW w:w="550" w:type="pct"/>
          </w:tcPr>
          <w:p w14:paraId="0CD41934" w14:textId="7AB7C782" w:rsidR="00570338" w:rsidRPr="002601A9" w:rsidRDefault="00570338" w:rsidP="00FD4D96">
            <w:pPr>
              <w:pStyle w:val="Tabletext0"/>
              <w:spacing w:before="0" w:after="0"/>
              <w:jc w:val="center"/>
            </w:pPr>
            <w:r>
              <w:t>NA</w:t>
            </w:r>
          </w:p>
        </w:tc>
        <w:tc>
          <w:tcPr>
            <w:tcW w:w="550" w:type="pct"/>
          </w:tcPr>
          <w:p w14:paraId="5082BBCA" w14:textId="3F23D63D" w:rsidR="00570338" w:rsidRPr="002601A9" w:rsidRDefault="00570338" w:rsidP="00FD4D96">
            <w:pPr>
              <w:pStyle w:val="Tabletext0"/>
              <w:spacing w:before="0" w:after="0"/>
              <w:jc w:val="center"/>
            </w:pPr>
            <w:r>
              <w:t>G46A</w:t>
            </w:r>
          </w:p>
        </w:tc>
        <w:tc>
          <w:tcPr>
            <w:tcW w:w="786" w:type="pct"/>
          </w:tcPr>
          <w:p w14:paraId="3FD793D1" w14:textId="18E9129D" w:rsidR="00570338" w:rsidRPr="002601A9" w:rsidRDefault="00570338" w:rsidP="00FD4D96">
            <w:pPr>
              <w:pStyle w:val="Tabletext0"/>
              <w:spacing w:before="0" w:after="0"/>
              <w:jc w:val="center"/>
            </w:pPr>
            <w:r>
              <w:t>$10,934.25</w:t>
            </w:r>
          </w:p>
        </w:tc>
        <w:tc>
          <w:tcPr>
            <w:tcW w:w="618" w:type="pct"/>
          </w:tcPr>
          <w:p w14:paraId="4C4E8E0B" w14:textId="23743440" w:rsidR="00570338" w:rsidRPr="002601A9" w:rsidRDefault="00570338" w:rsidP="00FD4D96">
            <w:pPr>
              <w:pStyle w:val="Tabletext0"/>
              <w:spacing w:before="0" w:after="0"/>
              <w:jc w:val="center"/>
            </w:pPr>
            <w:r>
              <w:t>$0.00</w:t>
            </w:r>
          </w:p>
        </w:tc>
        <w:tc>
          <w:tcPr>
            <w:tcW w:w="690" w:type="pct"/>
          </w:tcPr>
          <w:p w14:paraId="7CAC2305" w14:textId="65D6F71F" w:rsidR="00570338" w:rsidRDefault="00570338" w:rsidP="00FD4D96">
            <w:pPr>
              <w:pStyle w:val="Tabletext0"/>
              <w:spacing w:before="0" w:after="0"/>
              <w:jc w:val="center"/>
            </w:pPr>
            <w:r>
              <w:t>$10,934.25</w:t>
            </w:r>
          </w:p>
        </w:tc>
      </w:tr>
      <w:tr w:rsidR="00547350" w14:paraId="1802CC3D" w14:textId="77777777" w:rsidTr="2AA1CA0C">
        <w:tc>
          <w:tcPr>
            <w:tcW w:w="1806" w:type="pct"/>
            <w:tcBorders>
              <w:top w:val="nil"/>
              <w:bottom w:val="nil"/>
            </w:tcBorders>
          </w:tcPr>
          <w:p w14:paraId="04C7DB3C" w14:textId="172129D0" w:rsidR="00570338" w:rsidRPr="002601A9" w:rsidRDefault="00570338" w:rsidP="00FD4D96">
            <w:pPr>
              <w:pStyle w:val="Tabletext0"/>
              <w:spacing w:before="0" w:after="0"/>
            </w:pPr>
          </w:p>
        </w:tc>
        <w:tc>
          <w:tcPr>
            <w:tcW w:w="550" w:type="pct"/>
          </w:tcPr>
          <w:p w14:paraId="02323111" w14:textId="3B1B0554" w:rsidR="00570338" w:rsidRPr="002601A9" w:rsidRDefault="00570338" w:rsidP="00FD4D96">
            <w:pPr>
              <w:pStyle w:val="Tabletext0"/>
              <w:spacing w:before="0" w:after="0"/>
              <w:jc w:val="center"/>
            </w:pPr>
            <w:r>
              <w:t>NA</w:t>
            </w:r>
          </w:p>
        </w:tc>
        <w:tc>
          <w:tcPr>
            <w:tcW w:w="550" w:type="pct"/>
          </w:tcPr>
          <w:p w14:paraId="5A91095A" w14:textId="295C85C3" w:rsidR="00570338" w:rsidRPr="002601A9" w:rsidRDefault="00570338" w:rsidP="00FD4D96">
            <w:pPr>
              <w:pStyle w:val="Tabletext0"/>
              <w:spacing w:before="0" w:after="0"/>
              <w:jc w:val="center"/>
            </w:pPr>
            <w:r>
              <w:t>G46B</w:t>
            </w:r>
          </w:p>
        </w:tc>
        <w:tc>
          <w:tcPr>
            <w:tcW w:w="786" w:type="pct"/>
          </w:tcPr>
          <w:p w14:paraId="0920BA09" w14:textId="4F1DD21F" w:rsidR="00570338" w:rsidRPr="002601A9" w:rsidRDefault="00570338" w:rsidP="00FD4D96">
            <w:pPr>
              <w:pStyle w:val="Tabletext0"/>
              <w:spacing w:before="0" w:after="0"/>
              <w:jc w:val="center"/>
            </w:pPr>
            <w:r>
              <w:t>$2,328.69</w:t>
            </w:r>
          </w:p>
        </w:tc>
        <w:tc>
          <w:tcPr>
            <w:tcW w:w="618" w:type="pct"/>
          </w:tcPr>
          <w:p w14:paraId="478DAACF" w14:textId="4485D912" w:rsidR="00570338" w:rsidRPr="002601A9" w:rsidRDefault="00570338" w:rsidP="00FD4D96">
            <w:pPr>
              <w:pStyle w:val="Tabletext0"/>
              <w:spacing w:before="0" w:after="0"/>
              <w:jc w:val="center"/>
            </w:pPr>
            <w:r>
              <w:t>$0.00</w:t>
            </w:r>
          </w:p>
        </w:tc>
        <w:tc>
          <w:tcPr>
            <w:tcW w:w="690" w:type="pct"/>
          </w:tcPr>
          <w:p w14:paraId="20DEA23D" w14:textId="02D33EC0" w:rsidR="00570338" w:rsidRDefault="00570338" w:rsidP="00FD4D96">
            <w:pPr>
              <w:pStyle w:val="Tabletext0"/>
              <w:spacing w:before="0" w:after="0"/>
              <w:jc w:val="center"/>
            </w:pPr>
            <w:r>
              <w:t>$2,328.69</w:t>
            </w:r>
          </w:p>
        </w:tc>
      </w:tr>
      <w:tr w:rsidR="00547350" w14:paraId="5363B1EE" w14:textId="77777777" w:rsidTr="2AA1CA0C">
        <w:tc>
          <w:tcPr>
            <w:tcW w:w="1806" w:type="pct"/>
            <w:tcBorders>
              <w:top w:val="nil"/>
              <w:bottom w:val="nil"/>
            </w:tcBorders>
          </w:tcPr>
          <w:p w14:paraId="74944331" w14:textId="77777777" w:rsidR="00570338" w:rsidRPr="002601A9" w:rsidRDefault="00570338" w:rsidP="00FD4D96">
            <w:pPr>
              <w:pStyle w:val="Tabletext0"/>
              <w:spacing w:before="0" w:after="0"/>
            </w:pPr>
          </w:p>
        </w:tc>
        <w:tc>
          <w:tcPr>
            <w:tcW w:w="550" w:type="pct"/>
          </w:tcPr>
          <w:p w14:paraId="76E2AF13" w14:textId="1777B51D" w:rsidR="00570338" w:rsidRDefault="00570338" w:rsidP="00FD4D96">
            <w:pPr>
              <w:pStyle w:val="Tabletext0"/>
              <w:spacing w:before="0" w:after="0"/>
              <w:jc w:val="center"/>
            </w:pPr>
            <w:r>
              <w:t>NA</w:t>
            </w:r>
          </w:p>
        </w:tc>
        <w:tc>
          <w:tcPr>
            <w:tcW w:w="550" w:type="pct"/>
          </w:tcPr>
          <w:p w14:paraId="71636AE7" w14:textId="518D5181" w:rsidR="00570338" w:rsidRDefault="00570338" w:rsidP="00FD4D96">
            <w:pPr>
              <w:pStyle w:val="Tabletext0"/>
              <w:spacing w:before="0" w:after="0"/>
              <w:jc w:val="center"/>
            </w:pPr>
            <w:r>
              <w:t>K11A</w:t>
            </w:r>
          </w:p>
        </w:tc>
        <w:tc>
          <w:tcPr>
            <w:tcW w:w="786" w:type="pct"/>
          </w:tcPr>
          <w:p w14:paraId="0E091BA1" w14:textId="490A0FC8" w:rsidR="00570338" w:rsidRDefault="00570338" w:rsidP="00FD4D96">
            <w:pPr>
              <w:pStyle w:val="Tabletext0"/>
              <w:spacing w:before="0" w:after="0"/>
              <w:jc w:val="center"/>
            </w:pPr>
            <w:r>
              <w:t>$0.00</w:t>
            </w:r>
          </w:p>
        </w:tc>
        <w:tc>
          <w:tcPr>
            <w:tcW w:w="618" w:type="pct"/>
          </w:tcPr>
          <w:p w14:paraId="0E759EC5" w14:textId="3B1659C6" w:rsidR="00570338" w:rsidRPr="002601A9" w:rsidRDefault="00570338" w:rsidP="00FD4D96">
            <w:pPr>
              <w:pStyle w:val="Tabletext0"/>
              <w:spacing w:before="0" w:after="0"/>
              <w:jc w:val="center"/>
            </w:pPr>
            <w:r>
              <w:t>$18,204.15</w:t>
            </w:r>
          </w:p>
        </w:tc>
        <w:tc>
          <w:tcPr>
            <w:tcW w:w="690" w:type="pct"/>
          </w:tcPr>
          <w:p w14:paraId="5158B6A5" w14:textId="588AD51A" w:rsidR="00570338" w:rsidRDefault="00570338" w:rsidP="00FD4D96">
            <w:pPr>
              <w:pStyle w:val="Tabletext0"/>
              <w:spacing w:before="0" w:after="0"/>
              <w:jc w:val="center"/>
            </w:pPr>
            <w:r>
              <w:t>-$18,204.15</w:t>
            </w:r>
          </w:p>
        </w:tc>
      </w:tr>
      <w:tr w:rsidR="00547350" w14:paraId="00C501A1" w14:textId="77777777" w:rsidTr="2AA1CA0C">
        <w:tc>
          <w:tcPr>
            <w:tcW w:w="1806" w:type="pct"/>
            <w:tcBorders>
              <w:top w:val="nil"/>
            </w:tcBorders>
          </w:tcPr>
          <w:p w14:paraId="2E71DB1D" w14:textId="77777777" w:rsidR="00570338" w:rsidRPr="002601A9" w:rsidRDefault="00570338" w:rsidP="00FD4D96">
            <w:pPr>
              <w:pStyle w:val="Tabletext0"/>
              <w:spacing w:before="0" w:after="0"/>
            </w:pPr>
          </w:p>
        </w:tc>
        <w:tc>
          <w:tcPr>
            <w:tcW w:w="550" w:type="pct"/>
          </w:tcPr>
          <w:p w14:paraId="60EFA726" w14:textId="58B120B2" w:rsidR="00570338" w:rsidRDefault="00570338" w:rsidP="00FD4D96">
            <w:pPr>
              <w:pStyle w:val="Tabletext0"/>
              <w:spacing w:before="0" w:after="0"/>
              <w:jc w:val="center"/>
            </w:pPr>
            <w:r>
              <w:t>NA</w:t>
            </w:r>
          </w:p>
        </w:tc>
        <w:tc>
          <w:tcPr>
            <w:tcW w:w="550" w:type="pct"/>
          </w:tcPr>
          <w:p w14:paraId="64EC3ECF" w14:textId="4B3A79D0" w:rsidR="00570338" w:rsidRDefault="00570338" w:rsidP="00FD4D96">
            <w:pPr>
              <w:pStyle w:val="Tabletext0"/>
              <w:spacing w:before="0" w:after="0"/>
              <w:jc w:val="center"/>
            </w:pPr>
            <w:r>
              <w:t>K11B</w:t>
            </w:r>
          </w:p>
        </w:tc>
        <w:tc>
          <w:tcPr>
            <w:tcW w:w="786" w:type="pct"/>
          </w:tcPr>
          <w:p w14:paraId="56327B84" w14:textId="20CE2141" w:rsidR="00570338" w:rsidRDefault="00570338" w:rsidP="00FD4D96">
            <w:pPr>
              <w:pStyle w:val="Tabletext0"/>
              <w:spacing w:before="0" w:after="0"/>
              <w:jc w:val="center"/>
            </w:pPr>
            <w:r>
              <w:t>$0.00</w:t>
            </w:r>
          </w:p>
        </w:tc>
        <w:tc>
          <w:tcPr>
            <w:tcW w:w="618" w:type="pct"/>
          </w:tcPr>
          <w:p w14:paraId="69B95B81" w14:textId="7DCFAB7D" w:rsidR="00570338" w:rsidRPr="002601A9" w:rsidRDefault="00570338" w:rsidP="00FD4D96">
            <w:pPr>
              <w:pStyle w:val="Tabletext0"/>
              <w:spacing w:before="0" w:after="0"/>
              <w:jc w:val="center"/>
            </w:pPr>
            <w:r>
              <w:t>$13,496.98</w:t>
            </w:r>
          </w:p>
        </w:tc>
        <w:tc>
          <w:tcPr>
            <w:tcW w:w="690" w:type="pct"/>
          </w:tcPr>
          <w:p w14:paraId="06F85AEE" w14:textId="186B5A8A" w:rsidR="00570338" w:rsidRDefault="00570338" w:rsidP="00FD4D96">
            <w:pPr>
              <w:pStyle w:val="Tabletext0"/>
              <w:spacing w:before="0" w:after="0"/>
              <w:jc w:val="center"/>
            </w:pPr>
            <w:r>
              <w:t>-$13,496.98</w:t>
            </w:r>
          </w:p>
        </w:tc>
      </w:tr>
      <w:tr w:rsidR="00141D13" w14:paraId="2D3353DF" w14:textId="14BD278A" w:rsidTr="2AA1CA0C">
        <w:tc>
          <w:tcPr>
            <w:tcW w:w="1806" w:type="pct"/>
            <w:tcBorders>
              <w:right w:val="nil"/>
            </w:tcBorders>
            <w:vAlign w:val="center"/>
          </w:tcPr>
          <w:p w14:paraId="06C807C5" w14:textId="322E491F" w:rsidR="00570338" w:rsidRPr="00D76EFB" w:rsidRDefault="003C26F7" w:rsidP="00FD4D96">
            <w:pPr>
              <w:pStyle w:val="Tabletext0"/>
              <w:spacing w:before="0" w:after="0"/>
              <w:rPr>
                <w:b/>
              </w:rPr>
            </w:pPr>
            <w:r>
              <w:rPr>
                <w:b/>
                <w:bCs/>
              </w:rPr>
              <w:t>Subt</w:t>
            </w:r>
            <w:r w:rsidRPr="00A138A2">
              <w:rPr>
                <w:b/>
                <w:bCs/>
              </w:rPr>
              <w:t xml:space="preserve">otal </w:t>
            </w:r>
            <w:r w:rsidR="00D16C43" w:rsidRPr="00D76EFB">
              <w:rPr>
                <w:b/>
              </w:rPr>
              <w:t>p</w:t>
            </w:r>
            <w:r w:rsidR="00570338" w:rsidRPr="00D76EFB">
              <w:rPr>
                <w:b/>
              </w:rPr>
              <w:t>rocedure cost</w:t>
            </w:r>
          </w:p>
        </w:tc>
        <w:tc>
          <w:tcPr>
            <w:tcW w:w="550" w:type="pct"/>
            <w:tcBorders>
              <w:left w:val="nil"/>
              <w:right w:val="nil"/>
            </w:tcBorders>
          </w:tcPr>
          <w:p w14:paraId="7F6AB710" w14:textId="77777777" w:rsidR="00570338" w:rsidRPr="00D76EFB" w:rsidRDefault="00570338" w:rsidP="00FD4D96">
            <w:pPr>
              <w:pStyle w:val="Tabletext0"/>
              <w:spacing w:before="0" w:after="0"/>
              <w:jc w:val="center"/>
              <w:rPr>
                <w:b/>
              </w:rPr>
            </w:pPr>
          </w:p>
        </w:tc>
        <w:tc>
          <w:tcPr>
            <w:tcW w:w="550" w:type="pct"/>
            <w:tcBorders>
              <w:left w:val="nil"/>
              <w:right w:val="single" w:sz="4" w:space="0" w:color="auto"/>
            </w:tcBorders>
          </w:tcPr>
          <w:p w14:paraId="62E25D67" w14:textId="77777777" w:rsidR="00570338" w:rsidRPr="00D76EFB" w:rsidRDefault="00570338" w:rsidP="00FD4D96">
            <w:pPr>
              <w:pStyle w:val="Tabletext0"/>
              <w:spacing w:before="0" w:after="0"/>
              <w:jc w:val="center"/>
              <w:rPr>
                <w:b/>
              </w:rPr>
            </w:pPr>
          </w:p>
        </w:tc>
        <w:tc>
          <w:tcPr>
            <w:tcW w:w="786" w:type="pct"/>
            <w:tcBorders>
              <w:left w:val="single" w:sz="4" w:space="0" w:color="auto"/>
            </w:tcBorders>
          </w:tcPr>
          <w:p w14:paraId="42DEC05F" w14:textId="6FAD354A" w:rsidR="00570338" w:rsidRPr="00D76EFB" w:rsidRDefault="00570338" w:rsidP="00FD4D96">
            <w:pPr>
              <w:pStyle w:val="Tabletext0"/>
              <w:spacing w:before="0" w:after="0"/>
              <w:jc w:val="center"/>
              <w:rPr>
                <w:b/>
              </w:rPr>
            </w:pPr>
            <w:r w:rsidRPr="00D76EFB">
              <w:rPr>
                <w:b/>
              </w:rPr>
              <w:t>$967.90</w:t>
            </w:r>
          </w:p>
        </w:tc>
        <w:tc>
          <w:tcPr>
            <w:tcW w:w="618" w:type="pct"/>
          </w:tcPr>
          <w:p w14:paraId="7686D200" w14:textId="77777777" w:rsidR="00570338" w:rsidRPr="00D76EFB" w:rsidRDefault="00570338" w:rsidP="00FD4D96">
            <w:pPr>
              <w:pStyle w:val="Tabletext0"/>
              <w:spacing w:before="0" w:after="0"/>
              <w:jc w:val="center"/>
              <w:rPr>
                <w:b/>
              </w:rPr>
            </w:pPr>
            <w:r w:rsidRPr="00D76EFB">
              <w:rPr>
                <w:b/>
              </w:rPr>
              <w:t>$967.90</w:t>
            </w:r>
          </w:p>
        </w:tc>
        <w:tc>
          <w:tcPr>
            <w:tcW w:w="690" w:type="pct"/>
          </w:tcPr>
          <w:p w14:paraId="1BE065B5" w14:textId="1F8C8724" w:rsidR="00570338" w:rsidRPr="00D76EFB" w:rsidRDefault="00570338" w:rsidP="00FD4D96">
            <w:pPr>
              <w:pStyle w:val="Tabletext0"/>
              <w:spacing w:before="0" w:after="0"/>
              <w:jc w:val="center"/>
              <w:rPr>
                <w:b/>
              </w:rPr>
            </w:pPr>
            <w:r w:rsidRPr="00D76EFB">
              <w:rPr>
                <w:b/>
              </w:rPr>
              <w:t>$0.00</w:t>
            </w:r>
          </w:p>
        </w:tc>
      </w:tr>
      <w:tr w:rsidR="00547350" w14:paraId="46FC3B8D" w14:textId="77777777" w:rsidTr="2AA1CA0C">
        <w:tc>
          <w:tcPr>
            <w:tcW w:w="1806" w:type="pct"/>
            <w:vAlign w:val="center"/>
          </w:tcPr>
          <w:p w14:paraId="4F9E91D5" w14:textId="77777777" w:rsidR="00570338" w:rsidRPr="002601A9" w:rsidRDefault="00570338" w:rsidP="00FD4D96">
            <w:pPr>
              <w:pStyle w:val="Tabletext0"/>
              <w:spacing w:before="0" w:after="0"/>
            </w:pPr>
          </w:p>
        </w:tc>
        <w:tc>
          <w:tcPr>
            <w:tcW w:w="550" w:type="pct"/>
          </w:tcPr>
          <w:p w14:paraId="114D7D03" w14:textId="363FDA85" w:rsidR="00570338" w:rsidRPr="002601A9" w:rsidRDefault="00570338" w:rsidP="00FD4D96">
            <w:pPr>
              <w:pStyle w:val="Tabletext0"/>
              <w:spacing w:before="0" w:after="0"/>
              <w:jc w:val="center"/>
            </w:pPr>
            <w:r>
              <w:t>31575</w:t>
            </w:r>
          </w:p>
        </w:tc>
        <w:tc>
          <w:tcPr>
            <w:tcW w:w="550" w:type="pct"/>
          </w:tcPr>
          <w:p w14:paraId="60EACDDB" w14:textId="0A165ECF" w:rsidR="00570338" w:rsidRDefault="00570338" w:rsidP="00FD4D96">
            <w:pPr>
              <w:pStyle w:val="Tabletext0"/>
              <w:spacing w:before="0" w:after="0"/>
              <w:jc w:val="center"/>
            </w:pPr>
            <w:r>
              <w:t>NA</w:t>
            </w:r>
          </w:p>
        </w:tc>
        <w:tc>
          <w:tcPr>
            <w:tcW w:w="786" w:type="pct"/>
          </w:tcPr>
          <w:p w14:paraId="64C18D64" w14:textId="25B6626E" w:rsidR="00570338" w:rsidRPr="002601A9" w:rsidRDefault="00570338" w:rsidP="00FD4D96">
            <w:pPr>
              <w:pStyle w:val="Tabletext0"/>
              <w:spacing w:before="0" w:after="0"/>
              <w:jc w:val="center"/>
            </w:pPr>
            <w:r>
              <w:t>$967.90</w:t>
            </w:r>
          </w:p>
        </w:tc>
        <w:tc>
          <w:tcPr>
            <w:tcW w:w="618" w:type="pct"/>
          </w:tcPr>
          <w:p w14:paraId="705A2318" w14:textId="0B1E97A2" w:rsidR="00570338" w:rsidRPr="002601A9" w:rsidRDefault="00570338" w:rsidP="00FD4D96">
            <w:pPr>
              <w:pStyle w:val="Tabletext0"/>
              <w:spacing w:before="0" w:after="0"/>
              <w:jc w:val="center"/>
            </w:pPr>
            <w:r>
              <w:t>$967.90</w:t>
            </w:r>
          </w:p>
        </w:tc>
        <w:tc>
          <w:tcPr>
            <w:tcW w:w="690" w:type="pct"/>
          </w:tcPr>
          <w:p w14:paraId="4D0153E4" w14:textId="012C06DD" w:rsidR="00570338" w:rsidRDefault="00570338" w:rsidP="00FD4D96">
            <w:pPr>
              <w:pStyle w:val="Tabletext0"/>
              <w:spacing w:before="0" w:after="0"/>
              <w:jc w:val="center"/>
            </w:pPr>
            <w:r>
              <w:t>$0.00</w:t>
            </w:r>
          </w:p>
        </w:tc>
      </w:tr>
      <w:tr w:rsidR="00141D13" w14:paraId="419B55C0" w14:textId="18A558F8" w:rsidTr="2AA1CA0C">
        <w:tc>
          <w:tcPr>
            <w:tcW w:w="1806" w:type="pct"/>
            <w:tcBorders>
              <w:right w:val="nil"/>
            </w:tcBorders>
          </w:tcPr>
          <w:p w14:paraId="25254DE2" w14:textId="331F3887" w:rsidR="00570338" w:rsidRPr="00D76EFB" w:rsidRDefault="003C26F7" w:rsidP="00FD4D96">
            <w:pPr>
              <w:pStyle w:val="Tabletext0"/>
              <w:spacing w:before="0" w:after="0"/>
              <w:rPr>
                <w:b/>
              </w:rPr>
            </w:pPr>
            <w:r>
              <w:rPr>
                <w:b/>
                <w:bCs/>
              </w:rPr>
              <w:t>Subt</w:t>
            </w:r>
            <w:r w:rsidRPr="00A138A2">
              <w:rPr>
                <w:b/>
                <w:bCs/>
              </w:rPr>
              <w:t>otal</w:t>
            </w:r>
            <w:r w:rsidR="00D16C43" w:rsidRPr="00D76EFB">
              <w:rPr>
                <w:b/>
              </w:rPr>
              <w:t xml:space="preserve"> a</w:t>
            </w:r>
            <w:r w:rsidR="00570338" w:rsidRPr="00D76EFB">
              <w:rPr>
                <w:b/>
              </w:rPr>
              <w:t>naesthesia cost</w:t>
            </w:r>
          </w:p>
        </w:tc>
        <w:tc>
          <w:tcPr>
            <w:tcW w:w="550" w:type="pct"/>
            <w:tcBorders>
              <w:left w:val="nil"/>
              <w:right w:val="nil"/>
            </w:tcBorders>
          </w:tcPr>
          <w:p w14:paraId="653B71DE" w14:textId="77777777" w:rsidR="00570338" w:rsidRPr="00D76EFB" w:rsidRDefault="00570338" w:rsidP="00FD4D96">
            <w:pPr>
              <w:pStyle w:val="Tabletext0"/>
              <w:spacing w:before="0" w:after="0"/>
              <w:jc w:val="center"/>
              <w:rPr>
                <w:b/>
              </w:rPr>
            </w:pPr>
          </w:p>
        </w:tc>
        <w:tc>
          <w:tcPr>
            <w:tcW w:w="550" w:type="pct"/>
            <w:tcBorders>
              <w:left w:val="nil"/>
              <w:right w:val="single" w:sz="4" w:space="0" w:color="auto"/>
            </w:tcBorders>
          </w:tcPr>
          <w:p w14:paraId="242075E8" w14:textId="77777777" w:rsidR="00570338" w:rsidRPr="00D76EFB" w:rsidRDefault="00570338" w:rsidP="00FD4D96">
            <w:pPr>
              <w:pStyle w:val="Tabletext0"/>
              <w:spacing w:before="0" w:after="0"/>
              <w:jc w:val="center"/>
              <w:rPr>
                <w:b/>
              </w:rPr>
            </w:pPr>
          </w:p>
        </w:tc>
        <w:tc>
          <w:tcPr>
            <w:tcW w:w="786" w:type="pct"/>
            <w:tcBorders>
              <w:left w:val="single" w:sz="4" w:space="0" w:color="auto"/>
            </w:tcBorders>
          </w:tcPr>
          <w:p w14:paraId="23298F99" w14:textId="320926C1" w:rsidR="00570338" w:rsidRPr="00D76EFB" w:rsidRDefault="00570338" w:rsidP="00FD4D96">
            <w:pPr>
              <w:pStyle w:val="Tabletext0"/>
              <w:spacing w:before="0" w:after="0"/>
              <w:jc w:val="center"/>
              <w:rPr>
                <w:b/>
              </w:rPr>
            </w:pPr>
            <w:r w:rsidRPr="00D76EFB">
              <w:rPr>
                <w:b/>
              </w:rPr>
              <w:t>$293.15</w:t>
            </w:r>
          </w:p>
        </w:tc>
        <w:tc>
          <w:tcPr>
            <w:tcW w:w="618" w:type="pct"/>
          </w:tcPr>
          <w:p w14:paraId="0C76B8C7" w14:textId="77777777" w:rsidR="00570338" w:rsidRPr="00D76EFB" w:rsidRDefault="00570338" w:rsidP="00FD4D96">
            <w:pPr>
              <w:pStyle w:val="Tabletext0"/>
              <w:spacing w:before="0" w:after="0"/>
              <w:jc w:val="center"/>
              <w:rPr>
                <w:b/>
              </w:rPr>
            </w:pPr>
            <w:r w:rsidRPr="00D76EFB">
              <w:rPr>
                <w:b/>
              </w:rPr>
              <w:t>$293.15</w:t>
            </w:r>
          </w:p>
        </w:tc>
        <w:tc>
          <w:tcPr>
            <w:tcW w:w="690" w:type="pct"/>
          </w:tcPr>
          <w:p w14:paraId="1F13DA31" w14:textId="383C2CC9" w:rsidR="00570338" w:rsidRPr="00D76EFB" w:rsidRDefault="00570338" w:rsidP="00FD4D96">
            <w:pPr>
              <w:pStyle w:val="Tabletext0"/>
              <w:spacing w:before="0" w:after="0"/>
              <w:jc w:val="center"/>
              <w:rPr>
                <w:b/>
              </w:rPr>
            </w:pPr>
            <w:r w:rsidRPr="00D76EFB">
              <w:rPr>
                <w:b/>
              </w:rPr>
              <w:t>$0.00</w:t>
            </w:r>
          </w:p>
        </w:tc>
      </w:tr>
      <w:tr w:rsidR="00547350" w14:paraId="490BA12C" w14:textId="77777777" w:rsidTr="2AA1CA0C">
        <w:tc>
          <w:tcPr>
            <w:tcW w:w="1806" w:type="pct"/>
            <w:tcBorders>
              <w:bottom w:val="nil"/>
            </w:tcBorders>
          </w:tcPr>
          <w:p w14:paraId="07AB29B9" w14:textId="77777777" w:rsidR="00570338" w:rsidRPr="002601A9" w:rsidRDefault="00570338" w:rsidP="00FD4D96">
            <w:pPr>
              <w:pStyle w:val="Tabletext0"/>
              <w:spacing w:before="0" w:after="0"/>
            </w:pPr>
          </w:p>
        </w:tc>
        <w:tc>
          <w:tcPr>
            <w:tcW w:w="550" w:type="pct"/>
          </w:tcPr>
          <w:p w14:paraId="4C6C5820" w14:textId="53E5871D" w:rsidR="00570338" w:rsidRPr="002601A9" w:rsidRDefault="00570338" w:rsidP="00FD4D96">
            <w:pPr>
              <w:pStyle w:val="Tabletext0"/>
              <w:spacing w:before="0" w:after="0"/>
              <w:jc w:val="center"/>
            </w:pPr>
            <w:r>
              <w:t>20791</w:t>
            </w:r>
          </w:p>
        </w:tc>
        <w:tc>
          <w:tcPr>
            <w:tcW w:w="550" w:type="pct"/>
          </w:tcPr>
          <w:p w14:paraId="3102E9EF" w14:textId="5274BFE9" w:rsidR="00570338" w:rsidRDefault="00570338" w:rsidP="00FD4D96">
            <w:pPr>
              <w:pStyle w:val="Tabletext0"/>
              <w:spacing w:before="0" w:after="0"/>
              <w:jc w:val="center"/>
            </w:pPr>
            <w:r>
              <w:t>NA</w:t>
            </w:r>
          </w:p>
        </w:tc>
        <w:tc>
          <w:tcPr>
            <w:tcW w:w="786" w:type="pct"/>
          </w:tcPr>
          <w:p w14:paraId="737DAD1F" w14:textId="35F91E0F" w:rsidR="00570338" w:rsidRPr="002601A9" w:rsidRDefault="00570338" w:rsidP="00FD4D96">
            <w:pPr>
              <w:pStyle w:val="Tabletext0"/>
              <w:spacing w:before="0" w:after="0"/>
              <w:jc w:val="center"/>
            </w:pPr>
            <w:r>
              <w:t>$225.50</w:t>
            </w:r>
          </w:p>
        </w:tc>
        <w:tc>
          <w:tcPr>
            <w:tcW w:w="618" w:type="pct"/>
          </w:tcPr>
          <w:p w14:paraId="376774E0" w14:textId="7159885A" w:rsidR="00570338" w:rsidRPr="002601A9" w:rsidRDefault="00570338" w:rsidP="00FD4D96">
            <w:pPr>
              <w:pStyle w:val="Tabletext0"/>
              <w:spacing w:before="0" w:after="0"/>
              <w:jc w:val="center"/>
            </w:pPr>
            <w:r>
              <w:t>$225.50</w:t>
            </w:r>
          </w:p>
        </w:tc>
        <w:tc>
          <w:tcPr>
            <w:tcW w:w="690" w:type="pct"/>
          </w:tcPr>
          <w:p w14:paraId="16FB7D89" w14:textId="2F26E47B" w:rsidR="00570338" w:rsidRDefault="00570338" w:rsidP="00FD4D96">
            <w:pPr>
              <w:pStyle w:val="Tabletext0"/>
              <w:spacing w:before="0" w:after="0"/>
              <w:jc w:val="center"/>
            </w:pPr>
            <w:r>
              <w:t>$0.00</w:t>
            </w:r>
          </w:p>
        </w:tc>
      </w:tr>
      <w:tr w:rsidR="00547350" w14:paraId="67CE4A5A" w14:textId="77777777" w:rsidTr="2AA1CA0C">
        <w:tc>
          <w:tcPr>
            <w:tcW w:w="1806" w:type="pct"/>
            <w:tcBorders>
              <w:top w:val="nil"/>
            </w:tcBorders>
          </w:tcPr>
          <w:p w14:paraId="15D17C25" w14:textId="77777777" w:rsidR="00570338" w:rsidRPr="002601A9" w:rsidRDefault="00570338" w:rsidP="00FD4D96">
            <w:pPr>
              <w:pStyle w:val="Tabletext0"/>
              <w:spacing w:before="0" w:after="0"/>
            </w:pPr>
          </w:p>
        </w:tc>
        <w:tc>
          <w:tcPr>
            <w:tcW w:w="550" w:type="pct"/>
          </w:tcPr>
          <w:p w14:paraId="20944599" w14:textId="6FCCCBA1" w:rsidR="00570338" w:rsidRPr="002601A9" w:rsidRDefault="00570338" w:rsidP="00FD4D96">
            <w:pPr>
              <w:pStyle w:val="Tabletext0"/>
              <w:spacing w:before="0" w:after="0"/>
              <w:jc w:val="center"/>
            </w:pPr>
            <w:r>
              <w:t>23035</w:t>
            </w:r>
          </w:p>
        </w:tc>
        <w:tc>
          <w:tcPr>
            <w:tcW w:w="550" w:type="pct"/>
          </w:tcPr>
          <w:p w14:paraId="75ADBBF2" w14:textId="50A9A6FF" w:rsidR="00570338" w:rsidRDefault="00570338" w:rsidP="00FD4D96">
            <w:pPr>
              <w:pStyle w:val="Tabletext0"/>
              <w:spacing w:before="0" w:after="0"/>
              <w:jc w:val="center"/>
            </w:pPr>
            <w:r>
              <w:t>NA</w:t>
            </w:r>
          </w:p>
        </w:tc>
        <w:tc>
          <w:tcPr>
            <w:tcW w:w="786" w:type="pct"/>
          </w:tcPr>
          <w:p w14:paraId="733ED439" w14:textId="58B6BE41" w:rsidR="00570338" w:rsidRPr="002601A9" w:rsidRDefault="00570338" w:rsidP="00FD4D96">
            <w:pPr>
              <w:pStyle w:val="Tabletext0"/>
              <w:spacing w:before="0" w:after="0"/>
              <w:jc w:val="center"/>
            </w:pPr>
            <w:r>
              <w:t>$67.65</w:t>
            </w:r>
          </w:p>
        </w:tc>
        <w:tc>
          <w:tcPr>
            <w:tcW w:w="618" w:type="pct"/>
          </w:tcPr>
          <w:p w14:paraId="4C608026" w14:textId="12D0E965" w:rsidR="00570338" w:rsidRPr="002601A9" w:rsidRDefault="00570338" w:rsidP="00FD4D96">
            <w:pPr>
              <w:pStyle w:val="Tabletext0"/>
              <w:spacing w:before="0" w:after="0"/>
              <w:jc w:val="center"/>
            </w:pPr>
            <w:r>
              <w:t>$67.65</w:t>
            </w:r>
          </w:p>
        </w:tc>
        <w:tc>
          <w:tcPr>
            <w:tcW w:w="690" w:type="pct"/>
          </w:tcPr>
          <w:p w14:paraId="2D210BCC" w14:textId="5DF1E925" w:rsidR="00570338" w:rsidRDefault="00570338" w:rsidP="00FD4D96">
            <w:pPr>
              <w:pStyle w:val="Tabletext0"/>
              <w:spacing w:before="0" w:after="0"/>
              <w:jc w:val="center"/>
            </w:pPr>
            <w:r>
              <w:t>$0.00</w:t>
            </w:r>
          </w:p>
        </w:tc>
      </w:tr>
      <w:tr w:rsidR="00141D13" w14:paraId="00CC1B0D" w14:textId="7C2508EF" w:rsidTr="2AA1CA0C">
        <w:tc>
          <w:tcPr>
            <w:tcW w:w="1806" w:type="pct"/>
            <w:tcBorders>
              <w:right w:val="nil"/>
            </w:tcBorders>
          </w:tcPr>
          <w:p w14:paraId="7F358E13" w14:textId="38F76585" w:rsidR="00570338" w:rsidRPr="00D76EFB" w:rsidRDefault="003C26F7" w:rsidP="00FD4D96">
            <w:pPr>
              <w:pStyle w:val="Tabletext0"/>
              <w:keepNext/>
              <w:spacing w:before="0" w:after="0"/>
              <w:rPr>
                <w:b/>
              </w:rPr>
            </w:pPr>
            <w:r>
              <w:rPr>
                <w:b/>
                <w:bCs/>
              </w:rPr>
              <w:t>Subt</w:t>
            </w:r>
            <w:r w:rsidR="00D16C43" w:rsidRPr="00D76EFB">
              <w:rPr>
                <w:b/>
              </w:rPr>
              <w:t>otal d</w:t>
            </w:r>
            <w:r w:rsidR="00570338" w:rsidRPr="00D76EFB">
              <w:rPr>
                <w:b/>
              </w:rPr>
              <w:t>evice cost</w:t>
            </w:r>
          </w:p>
        </w:tc>
        <w:tc>
          <w:tcPr>
            <w:tcW w:w="550" w:type="pct"/>
            <w:tcBorders>
              <w:left w:val="nil"/>
              <w:right w:val="nil"/>
            </w:tcBorders>
          </w:tcPr>
          <w:p w14:paraId="4D7CF01F" w14:textId="77777777" w:rsidR="00570338" w:rsidRPr="00D76EFB" w:rsidRDefault="00570338" w:rsidP="00FD4D96">
            <w:pPr>
              <w:pStyle w:val="Tabletext0"/>
              <w:keepNext/>
              <w:spacing w:before="0" w:after="0"/>
              <w:jc w:val="center"/>
              <w:rPr>
                <w:b/>
              </w:rPr>
            </w:pPr>
          </w:p>
        </w:tc>
        <w:tc>
          <w:tcPr>
            <w:tcW w:w="550" w:type="pct"/>
            <w:tcBorders>
              <w:left w:val="nil"/>
              <w:right w:val="single" w:sz="4" w:space="0" w:color="auto"/>
            </w:tcBorders>
          </w:tcPr>
          <w:p w14:paraId="4DE85779" w14:textId="77777777" w:rsidR="00570338" w:rsidRPr="00D76EFB" w:rsidRDefault="00570338" w:rsidP="00FD4D96">
            <w:pPr>
              <w:pStyle w:val="Tabletext0"/>
              <w:keepNext/>
              <w:spacing w:before="0" w:after="0"/>
              <w:jc w:val="center"/>
              <w:rPr>
                <w:b/>
              </w:rPr>
            </w:pPr>
          </w:p>
        </w:tc>
        <w:tc>
          <w:tcPr>
            <w:tcW w:w="786" w:type="pct"/>
            <w:tcBorders>
              <w:left w:val="single" w:sz="4" w:space="0" w:color="auto"/>
            </w:tcBorders>
          </w:tcPr>
          <w:p w14:paraId="44985B40" w14:textId="3A865143" w:rsidR="00570338" w:rsidRPr="00D76EFB" w:rsidRDefault="00570338" w:rsidP="00FD4D96">
            <w:pPr>
              <w:pStyle w:val="Tabletext0"/>
              <w:keepNext/>
              <w:spacing w:before="0" w:after="0"/>
              <w:jc w:val="center"/>
              <w:rPr>
                <w:b/>
              </w:rPr>
            </w:pPr>
            <w:r w:rsidRPr="00D76EFB">
              <w:rPr>
                <w:b/>
              </w:rPr>
              <w:t>$10,137.51</w:t>
            </w:r>
          </w:p>
        </w:tc>
        <w:tc>
          <w:tcPr>
            <w:tcW w:w="618" w:type="pct"/>
          </w:tcPr>
          <w:p w14:paraId="23F172C1" w14:textId="77777777" w:rsidR="00570338" w:rsidRPr="00D76EFB" w:rsidRDefault="00570338" w:rsidP="00FD4D96">
            <w:pPr>
              <w:pStyle w:val="Tabletext0"/>
              <w:keepNext/>
              <w:spacing w:before="0" w:after="0"/>
              <w:jc w:val="center"/>
              <w:rPr>
                <w:b/>
              </w:rPr>
            </w:pPr>
            <w:r w:rsidRPr="00D76EFB">
              <w:rPr>
                <w:b/>
              </w:rPr>
              <w:t>$4,310.00</w:t>
            </w:r>
          </w:p>
        </w:tc>
        <w:tc>
          <w:tcPr>
            <w:tcW w:w="690" w:type="pct"/>
          </w:tcPr>
          <w:p w14:paraId="207F52A3" w14:textId="4A9396F3" w:rsidR="00570338" w:rsidRPr="00D76EFB" w:rsidRDefault="00570338" w:rsidP="00FD4D96">
            <w:pPr>
              <w:pStyle w:val="Tabletext0"/>
              <w:keepNext/>
              <w:spacing w:before="0" w:after="0"/>
              <w:jc w:val="center"/>
              <w:rPr>
                <w:b/>
              </w:rPr>
            </w:pPr>
            <w:r w:rsidRPr="00D76EFB">
              <w:rPr>
                <w:b/>
              </w:rPr>
              <w:t>$5,827.51</w:t>
            </w:r>
          </w:p>
        </w:tc>
      </w:tr>
      <w:tr w:rsidR="00547350" w14:paraId="5F6AE825" w14:textId="77777777" w:rsidTr="2AA1CA0C">
        <w:tc>
          <w:tcPr>
            <w:tcW w:w="1806" w:type="pct"/>
          </w:tcPr>
          <w:p w14:paraId="0C6AFEBB" w14:textId="6767E52A" w:rsidR="00570338" w:rsidRPr="002601A9" w:rsidRDefault="00570338" w:rsidP="00FD4D96">
            <w:pPr>
              <w:pStyle w:val="Tabletext0"/>
              <w:spacing w:before="0" w:after="0"/>
              <w:jc w:val="left"/>
            </w:pPr>
            <w:r>
              <w:t>Apollo ESG NXT system</w:t>
            </w:r>
          </w:p>
        </w:tc>
        <w:tc>
          <w:tcPr>
            <w:tcW w:w="550" w:type="pct"/>
          </w:tcPr>
          <w:p w14:paraId="7FBAFEA8" w14:textId="56D45D13" w:rsidR="00570338" w:rsidRPr="002601A9" w:rsidRDefault="00570338" w:rsidP="00FD4D96">
            <w:pPr>
              <w:pStyle w:val="Tabletext0"/>
              <w:spacing w:before="0" w:after="0"/>
              <w:jc w:val="center"/>
            </w:pPr>
            <w:r>
              <w:t>NA</w:t>
            </w:r>
          </w:p>
        </w:tc>
        <w:tc>
          <w:tcPr>
            <w:tcW w:w="550" w:type="pct"/>
          </w:tcPr>
          <w:p w14:paraId="43C8721C" w14:textId="4B69CD7B" w:rsidR="00570338" w:rsidRPr="002601A9" w:rsidRDefault="00570338" w:rsidP="00FD4D96">
            <w:pPr>
              <w:pStyle w:val="Tabletext0"/>
              <w:spacing w:before="0" w:after="0"/>
              <w:jc w:val="center"/>
            </w:pPr>
            <w:r>
              <w:t>NA</w:t>
            </w:r>
          </w:p>
        </w:tc>
        <w:tc>
          <w:tcPr>
            <w:tcW w:w="786" w:type="pct"/>
          </w:tcPr>
          <w:p w14:paraId="7BCE7868" w14:textId="380F2500" w:rsidR="00570338" w:rsidRPr="00CF1E32" w:rsidRDefault="00570338" w:rsidP="00FD4D96">
            <w:pPr>
              <w:pStyle w:val="Tabletext0"/>
              <w:spacing w:before="0" w:after="0"/>
              <w:jc w:val="center"/>
              <w:rPr>
                <w:highlight w:val="yellow"/>
              </w:rPr>
            </w:pPr>
            <w:r w:rsidRPr="00380FC7">
              <w:t>$</w:t>
            </w:r>
            <w:r w:rsidR="004D7B17" w:rsidRPr="00380FC7">
              <w:rPr>
                <w:b/>
                <w:bCs/>
              </w:rPr>
              <w:t>redacted</w:t>
            </w:r>
          </w:p>
        </w:tc>
        <w:tc>
          <w:tcPr>
            <w:tcW w:w="618" w:type="pct"/>
          </w:tcPr>
          <w:p w14:paraId="3AEE1EA0" w14:textId="489BE2D1" w:rsidR="00570338" w:rsidRPr="00CF1E32" w:rsidRDefault="00570338" w:rsidP="00FD4D96">
            <w:pPr>
              <w:pStyle w:val="Tabletext0"/>
              <w:spacing w:before="0" w:after="0"/>
              <w:jc w:val="center"/>
              <w:rPr>
                <w:highlight w:val="yellow"/>
              </w:rPr>
            </w:pPr>
            <w:r w:rsidRPr="00CE3C9C">
              <w:t>$0.00</w:t>
            </w:r>
          </w:p>
        </w:tc>
        <w:tc>
          <w:tcPr>
            <w:tcW w:w="690" w:type="pct"/>
          </w:tcPr>
          <w:p w14:paraId="5C19A8BB" w14:textId="1BFEF0B6" w:rsidR="00570338" w:rsidRPr="00CF1E32" w:rsidRDefault="00570338" w:rsidP="00FD4D96">
            <w:pPr>
              <w:pStyle w:val="Tabletext0"/>
              <w:spacing w:before="0" w:after="0"/>
              <w:jc w:val="center"/>
              <w:rPr>
                <w:highlight w:val="yellow"/>
              </w:rPr>
            </w:pPr>
            <w:r w:rsidRPr="00380FC7">
              <w:t>$</w:t>
            </w:r>
            <w:r w:rsidR="007E4668" w:rsidRPr="00380FC7">
              <w:rPr>
                <w:b/>
                <w:bCs/>
              </w:rPr>
              <w:t>redacted</w:t>
            </w:r>
          </w:p>
        </w:tc>
      </w:tr>
      <w:tr w:rsidR="00547350" w14:paraId="7529E30C" w14:textId="77777777" w:rsidTr="2AA1CA0C">
        <w:tc>
          <w:tcPr>
            <w:tcW w:w="1806" w:type="pct"/>
          </w:tcPr>
          <w:p w14:paraId="1E64F719" w14:textId="5C4FC470" w:rsidR="00570338" w:rsidRPr="002601A9" w:rsidRDefault="00570338" w:rsidP="00FD4D96">
            <w:pPr>
              <w:pStyle w:val="Tabletext0"/>
              <w:spacing w:before="0" w:after="0"/>
              <w:jc w:val="left"/>
            </w:pPr>
            <w:r>
              <w:t>Endotherapy overtube</w:t>
            </w:r>
          </w:p>
        </w:tc>
        <w:tc>
          <w:tcPr>
            <w:tcW w:w="550" w:type="pct"/>
          </w:tcPr>
          <w:p w14:paraId="2268405E" w14:textId="158BB61A" w:rsidR="00570338" w:rsidRPr="002601A9" w:rsidRDefault="00570338" w:rsidP="00FD4D96">
            <w:pPr>
              <w:pStyle w:val="Tabletext0"/>
              <w:spacing w:before="0" w:after="0"/>
              <w:jc w:val="center"/>
            </w:pPr>
            <w:r>
              <w:t>NA</w:t>
            </w:r>
          </w:p>
        </w:tc>
        <w:tc>
          <w:tcPr>
            <w:tcW w:w="550" w:type="pct"/>
          </w:tcPr>
          <w:p w14:paraId="147A23AA" w14:textId="65FFCBAC" w:rsidR="00570338" w:rsidRPr="002601A9" w:rsidRDefault="00570338" w:rsidP="00FD4D96">
            <w:pPr>
              <w:pStyle w:val="Tabletext0"/>
              <w:spacing w:before="0" w:after="0"/>
              <w:jc w:val="center"/>
            </w:pPr>
            <w:r>
              <w:t>NA</w:t>
            </w:r>
          </w:p>
        </w:tc>
        <w:tc>
          <w:tcPr>
            <w:tcW w:w="786" w:type="pct"/>
          </w:tcPr>
          <w:p w14:paraId="2CB6F3DC" w14:textId="380B3E8D" w:rsidR="00570338" w:rsidRPr="00CF1E32" w:rsidRDefault="00570338" w:rsidP="00FD4D96">
            <w:pPr>
              <w:pStyle w:val="Tabletext0"/>
              <w:spacing w:before="0" w:after="0"/>
              <w:jc w:val="center"/>
              <w:rPr>
                <w:highlight w:val="yellow"/>
              </w:rPr>
            </w:pPr>
            <w:r w:rsidRPr="00380FC7">
              <w:t>$</w:t>
            </w:r>
            <w:r w:rsidR="004D7B17" w:rsidRPr="00380FC7">
              <w:rPr>
                <w:b/>
                <w:bCs/>
              </w:rPr>
              <w:t>redacted</w:t>
            </w:r>
          </w:p>
        </w:tc>
        <w:tc>
          <w:tcPr>
            <w:tcW w:w="618" w:type="pct"/>
          </w:tcPr>
          <w:p w14:paraId="01B5F882" w14:textId="712702AE" w:rsidR="00570338" w:rsidRPr="00380FC7" w:rsidRDefault="00570338" w:rsidP="00FD4D96">
            <w:pPr>
              <w:pStyle w:val="Tabletext0"/>
              <w:spacing w:before="0" w:after="0"/>
              <w:jc w:val="center"/>
            </w:pPr>
            <w:r w:rsidRPr="00380FC7">
              <w:t>$0.00</w:t>
            </w:r>
          </w:p>
        </w:tc>
        <w:tc>
          <w:tcPr>
            <w:tcW w:w="690" w:type="pct"/>
          </w:tcPr>
          <w:p w14:paraId="3D0B4A30" w14:textId="268606CC" w:rsidR="00570338" w:rsidRPr="00380FC7" w:rsidRDefault="00570338" w:rsidP="00FD4D96">
            <w:pPr>
              <w:pStyle w:val="Tabletext0"/>
              <w:spacing w:before="0" w:after="0"/>
              <w:jc w:val="center"/>
            </w:pPr>
            <w:r w:rsidRPr="00380FC7">
              <w:t>$</w:t>
            </w:r>
            <w:r w:rsidR="007E4668" w:rsidRPr="00380FC7">
              <w:rPr>
                <w:b/>
                <w:bCs/>
              </w:rPr>
              <w:t>redacted</w:t>
            </w:r>
          </w:p>
        </w:tc>
      </w:tr>
      <w:tr w:rsidR="00547350" w14:paraId="28115CA9" w14:textId="77777777" w:rsidTr="2AA1CA0C">
        <w:tc>
          <w:tcPr>
            <w:tcW w:w="1806" w:type="pct"/>
            <w:vAlign w:val="center"/>
          </w:tcPr>
          <w:p w14:paraId="3574326F" w14:textId="1CC1320C" w:rsidR="00570338" w:rsidRPr="006F0437" w:rsidRDefault="00570338" w:rsidP="009E01B3">
            <w:pPr>
              <w:autoSpaceDE w:val="0"/>
              <w:autoSpaceDN w:val="0"/>
              <w:adjustRightInd w:val="0"/>
              <w:spacing w:before="0"/>
              <w:rPr>
                <w:rFonts w:ascii="Arial Narrow" w:hAnsi="Arial Narrow" w:cs="Times New Roman"/>
                <w:sz w:val="20"/>
                <w:szCs w:val="20"/>
                <w:lang w:val="en-GB"/>
              </w:rPr>
            </w:pPr>
            <w:r w:rsidRPr="006F0437">
              <w:rPr>
                <w:rFonts w:ascii="Arial Narrow" w:hAnsi="Arial Narrow" w:cs="Times New Roman"/>
                <w:sz w:val="20"/>
                <w:szCs w:val="20"/>
                <w:lang w:val="en-GB"/>
              </w:rPr>
              <w:t>Echelon Disposable powered</w:t>
            </w:r>
            <w:r>
              <w:rPr>
                <w:rFonts w:ascii="Arial Narrow" w:hAnsi="Arial Narrow" w:cs="Times New Roman"/>
                <w:sz w:val="20"/>
                <w:szCs w:val="20"/>
                <w:lang w:val="en-GB"/>
              </w:rPr>
              <w:t xml:space="preserve"> </w:t>
            </w:r>
            <w:r w:rsidRPr="006F0437">
              <w:rPr>
                <w:rFonts w:ascii="Arial Narrow" w:hAnsi="Arial Narrow" w:cs="Times New Roman"/>
                <w:sz w:val="20"/>
                <w:szCs w:val="20"/>
                <w:lang w:val="en-GB"/>
              </w:rPr>
              <w:t>stapling device</w:t>
            </w:r>
          </w:p>
        </w:tc>
        <w:tc>
          <w:tcPr>
            <w:tcW w:w="550" w:type="pct"/>
            <w:vAlign w:val="center"/>
          </w:tcPr>
          <w:p w14:paraId="45BFA292" w14:textId="13DB68BF" w:rsidR="00570338" w:rsidRDefault="00570338" w:rsidP="00FD4D96">
            <w:pPr>
              <w:pStyle w:val="Tabletext0"/>
              <w:spacing w:before="0" w:after="0"/>
              <w:jc w:val="center"/>
            </w:pPr>
            <w:r>
              <w:t>MN215</w:t>
            </w:r>
          </w:p>
        </w:tc>
        <w:tc>
          <w:tcPr>
            <w:tcW w:w="550" w:type="pct"/>
            <w:vAlign w:val="center"/>
          </w:tcPr>
          <w:p w14:paraId="63CC8823" w14:textId="1E4F3604" w:rsidR="00570338" w:rsidRDefault="00570338" w:rsidP="00FD4D96">
            <w:pPr>
              <w:pStyle w:val="Tabletext0"/>
              <w:spacing w:before="0" w:after="0"/>
              <w:jc w:val="center"/>
            </w:pPr>
            <w:r>
              <w:t>NA</w:t>
            </w:r>
          </w:p>
        </w:tc>
        <w:tc>
          <w:tcPr>
            <w:tcW w:w="786" w:type="pct"/>
            <w:vAlign w:val="center"/>
          </w:tcPr>
          <w:p w14:paraId="388FA365" w14:textId="511AFF41" w:rsidR="00570338" w:rsidRDefault="00570338" w:rsidP="00FD4D96">
            <w:pPr>
              <w:pStyle w:val="Tabletext0"/>
              <w:spacing w:before="0" w:after="0"/>
              <w:jc w:val="center"/>
            </w:pPr>
            <w:r>
              <w:t>$0.00</w:t>
            </w:r>
          </w:p>
        </w:tc>
        <w:tc>
          <w:tcPr>
            <w:tcW w:w="618" w:type="pct"/>
            <w:vAlign w:val="center"/>
          </w:tcPr>
          <w:p w14:paraId="797C3D1E" w14:textId="5A0DDB55" w:rsidR="00570338" w:rsidRPr="002601A9" w:rsidRDefault="00570338" w:rsidP="00FD4D96">
            <w:pPr>
              <w:pStyle w:val="Tabletext0"/>
              <w:spacing w:before="0" w:after="0"/>
              <w:jc w:val="center"/>
            </w:pPr>
            <w:r>
              <w:t>$445.00</w:t>
            </w:r>
          </w:p>
        </w:tc>
        <w:tc>
          <w:tcPr>
            <w:tcW w:w="690" w:type="pct"/>
            <w:vAlign w:val="center"/>
          </w:tcPr>
          <w:p w14:paraId="2E41A987" w14:textId="3E86E826" w:rsidR="00570338" w:rsidRDefault="00570338" w:rsidP="00FD4D96">
            <w:pPr>
              <w:pStyle w:val="Tabletext0"/>
              <w:spacing w:before="0" w:after="0"/>
              <w:jc w:val="center"/>
            </w:pPr>
            <w:r>
              <w:t>-$445.00</w:t>
            </w:r>
          </w:p>
        </w:tc>
      </w:tr>
      <w:tr w:rsidR="00547350" w14:paraId="73351A1D" w14:textId="77777777" w:rsidTr="2AA1CA0C">
        <w:tc>
          <w:tcPr>
            <w:tcW w:w="1806" w:type="pct"/>
            <w:vAlign w:val="center"/>
          </w:tcPr>
          <w:p w14:paraId="511A7AEF" w14:textId="4E0782AA" w:rsidR="00570338" w:rsidRPr="006F0437" w:rsidRDefault="00570338" w:rsidP="00FD4D96">
            <w:pPr>
              <w:pStyle w:val="Tabletext0"/>
              <w:spacing w:before="0" w:after="0"/>
              <w:jc w:val="left"/>
            </w:pPr>
            <w:r w:rsidRPr="006F0437">
              <w:rPr>
                <w:rFonts w:cs="Times New Roman"/>
                <w:lang w:val="en-GB"/>
              </w:rPr>
              <w:t>Echelon staple reload</w:t>
            </w:r>
          </w:p>
        </w:tc>
        <w:tc>
          <w:tcPr>
            <w:tcW w:w="550" w:type="pct"/>
            <w:vAlign w:val="center"/>
          </w:tcPr>
          <w:p w14:paraId="7FEB0666" w14:textId="52794A92" w:rsidR="00570338" w:rsidRDefault="00570338" w:rsidP="00FD4D96">
            <w:pPr>
              <w:pStyle w:val="Tabletext0"/>
              <w:spacing w:before="0" w:after="0"/>
              <w:jc w:val="center"/>
            </w:pPr>
            <w:r>
              <w:t>MN219</w:t>
            </w:r>
          </w:p>
        </w:tc>
        <w:tc>
          <w:tcPr>
            <w:tcW w:w="550" w:type="pct"/>
            <w:vAlign w:val="center"/>
          </w:tcPr>
          <w:p w14:paraId="7661869D" w14:textId="22179EB5" w:rsidR="00570338" w:rsidRDefault="00570338" w:rsidP="00FD4D96">
            <w:pPr>
              <w:pStyle w:val="Tabletext0"/>
              <w:spacing w:before="0" w:after="0"/>
              <w:jc w:val="center"/>
            </w:pPr>
            <w:r>
              <w:t>NA</w:t>
            </w:r>
          </w:p>
        </w:tc>
        <w:tc>
          <w:tcPr>
            <w:tcW w:w="786" w:type="pct"/>
            <w:vAlign w:val="center"/>
          </w:tcPr>
          <w:p w14:paraId="16763624" w14:textId="1E39B857" w:rsidR="00570338" w:rsidRDefault="00570338" w:rsidP="00FD4D96">
            <w:pPr>
              <w:pStyle w:val="Tabletext0"/>
              <w:spacing w:before="0" w:after="0"/>
              <w:jc w:val="center"/>
            </w:pPr>
            <w:r>
              <w:t>$0.00</w:t>
            </w:r>
          </w:p>
        </w:tc>
        <w:tc>
          <w:tcPr>
            <w:tcW w:w="618" w:type="pct"/>
            <w:vAlign w:val="center"/>
          </w:tcPr>
          <w:p w14:paraId="5007B55B" w14:textId="7923831A" w:rsidR="00570338" w:rsidRPr="002601A9" w:rsidRDefault="00570338" w:rsidP="00FD4D96">
            <w:pPr>
              <w:pStyle w:val="Tabletext0"/>
              <w:spacing w:before="0" w:after="0"/>
              <w:jc w:val="center"/>
            </w:pPr>
            <w:r>
              <w:t>$1,908.00</w:t>
            </w:r>
          </w:p>
        </w:tc>
        <w:tc>
          <w:tcPr>
            <w:tcW w:w="690" w:type="pct"/>
            <w:vAlign w:val="center"/>
          </w:tcPr>
          <w:p w14:paraId="52C53953" w14:textId="39CB71AD" w:rsidR="00570338" w:rsidRDefault="00570338" w:rsidP="00FD4D96">
            <w:pPr>
              <w:pStyle w:val="Tabletext0"/>
              <w:spacing w:before="0" w:after="0"/>
              <w:jc w:val="center"/>
            </w:pPr>
            <w:r>
              <w:t>-$1,908.00</w:t>
            </w:r>
          </w:p>
        </w:tc>
      </w:tr>
      <w:tr w:rsidR="00547350" w14:paraId="3F255F75" w14:textId="77777777" w:rsidTr="2AA1CA0C">
        <w:tc>
          <w:tcPr>
            <w:tcW w:w="1806" w:type="pct"/>
            <w:vAlign w:val="center"/>
          </w:tcPr>
          <w:p w14:paraId="4BB8C939" w14:textId="6F912DF0" w:rsidR="00570338" w:rsidRPr="006F0437" w:rsidRDefault="00570338" w:rsidP="009E01B3">
            <w:pPr>
              <w:autoSpaceDE w:val="0"/>
              <w:autoSpaceDN w:val="0"/>
              <w:adjustRightInd w:val="0"/>
              <w:spacing w:before="0"/>
              <w:rPr>
                <w:rFonts w:ascii="Arial Narrow" w:hAnsi="Arial Narrow" w:cs="Times New Roman"/>
                <w:sz w:val="20"/>
                <w:szCs w:val="20"/>
                <w:lang w:val="en-GB"/>
              </w:rPr>
            </w:pPr>
            <w:r w:rsidRPr="006F0437">
              <w:rPr>
                <w:rFonts w:ascii="Arial Narrow" w:hAnsi="Arial Narrow" w:cs="Times New Roman"/>
                <w:sz w:val="20"/>
                <w:szCs w:val="20"/>
                <w:lang w:val="en-GB"/>
              </w:rPr>
              <w:t>GORE® SEAMGUARD®</w:t>
            </w:r>
            <w:r>
              <w:rPr>
                <w:rFonts w:ascii="Arial Narrow" w:hAnsi="Arial Narrow" w:cs="Times New Roman"/>
                <w:sz w:val="20"/>
                <w:szCs w:val="20"/>
                <w:lang w:val="en-GB"/>
              </w:rPr>
              <w:t xml:space="preserve"> </w:t>
            </w:r>
            <w:r w:rsidRPr="006F0437">
              <w:rPr>
                <w:rFonts w:ascii="Arial Narrow" w:hAnsi="Arial Narrow" w:cs="Times New Roman"/>
                <w:sz w:val="20"/>
                <w:szCs w:val="20"/>
                <w:lang w:val="en-GB"/>
              </w:rPr>
              <w:t>Bioabsorbable Staple Line</w:t>
            </w:r>
            <w:r>
              <w:rPr>
                <w:rFonts w:ascii="Arial Narrow" w:hAnsi="Arial Narrow" w:cs="Times New Roman"/>
                <w:sz w:val="20"/>
                <w:szCs w:val="20"/>
                <w:lang w:val="en-GB"/>
              </w:rPr>
              <w:t xml:space="preserve"> </w:t>
            </w:r>
            <w:r w:rsidRPr="006F0437">
              <w:rPr>
                <w:rFonts w:ascii="Arial Narrow" w:hAnsi="Arial Narrow" w:cs="Times New Roman"/>
                <w:sz w:val="20"/>
                <w:szCs w:val="20"/>
                <w:lang w:val="en-GB"/>
              </w:rPr>
              <w:t>Reinforcement</w:t>
            </w:r>
          </w:p>
        </w:tc>
        <w:tc>
          <w:tcPr>
            <w:tcW w:w="550" w:type="pct"/>
            <w:vAlign w:val="center"/>
          </w:tcPr>
          <w:p w14:paraId="0B0C6FFE" w14:textId="5005589F" w:rsidR="00570338" w:rsidRDefault="00570338" w:rsidP="00FD4D96">
            <w:pPr>
              <w:pStyle w:val="Tabletext0"/>
              <w:spacing w:before="0" w:after="0"/>
              <w:jc w:val="center"/>
            </w:pPr>
            <w:r>
              <w:t>GT224</w:t>
            </w:r>
          </w:p>
        </w:tc>
        <w:tc>
          <w:tcPr>
            <w:tcW w:w="550" w:type="pct"/>
            <w:vAlign w:val="center"/>
          </w:tcPr>
          <w:p w14:paraId="77312668" w14:textId="2EDDD95A" w:rsidR="00570338" w:rsidRDefault="00570338" w:rsidP="00FD4D96">
            <w:pPr>
              <w:pStyle w:val="Tabletext0"/>
              <w:spacing w:before="0" w:after="0"/>
              <w:jc w:val="center"/>
            </w:pPr>
            <w:r>
              <w:t>NA</w:t>
            </w:r>
          </w:p>
        </w:tc>
        <w:tc>
          <w:tcPr>
            <w:tcW w:w="786" w:type="pct"/>
            <w:vAlign w:val="center"/>
          </w:tcPr>
          <w:p w14:paraId="339B5A65" w14:textId="135FB69C" w:rsidR="00570338" w:rsidRDefault="00570338" w:rsidP="00FD4D96">
            <w:pPr>
              <w:pStyle w:val="Tabletext0"/>
              <w:spacing w:before="0" w:after="0"/>
              <w:jc w:val="center"/>
            </w:pPr>
            <w:r>
              <w:t>$0.00</w:t>
            </w:r>
          </w:p>
        </w:tc>
        <w:tc>
          <w:tcPr>
            <w:tcW w:w="618" w:type="pct"/>
            <w:vAlign w:val="center"/>
          </w:tcPr>
          <w:p w14:paraId="69E79CD8" w14:textId="684BBAE5" w:rsidR="00570338" w:rsidRPr="002601A9" w:rsidRDefault="00570338" w:rsidP="00FD4D96">
            <w:pPr>
              <w:pStyle w:val="Tabletext0"/>
              <w:spacing w:before="0" w:after="0"/>
              <w:jc w:val="center"/>
            </w:pPr>
            <w:r>
              <w:t>$1,188.00</w:t>
            </w:r>
          </w:p>
        </w:tc>
        <w:tc>
          <w:tcPr>
            <w:tcW w:w="690" w:type="pct"/>
            <w:vAlign w:val="center"/>
          </w:tcPr>
          <w:p w14:paraId="75790799" w14:textId="713E8A31" w:rsidR="00570338" w:rsidRDefault="00570338" w:rsidP="00FD4D96">
            <w:pPr>
              <w:pStyle w:val="Tabletext0"/>
              <w:spacing w:before="0" w:after="0"/>
              <w:jc w:val="center"/>
            </w:pPr>
            <w:r>
              <w:t>-$1,188.00</w:t>
            </w:r>
          </w:p>
        </w:tc>
      </w:tr>
      <w:tr w:rsidR="00547350" w14:paraId="28A807BC" w14:textId="77777777" w:rsidTr="2AA1CA0C">
        <w:tc>
          <w:tcPr>
            <w:tcW w:w="1806" w:type="pct"/>
            <w:vAlign w:val="center"/>
          </w:tcPr>
          <w:p w14:paraId="2DCEBDDB" w14:textId="674D12DB" w:rsidR="00570338" w:rsidRPr="006F0437" w:rsidRDefault="00570338" w:rsidP="009E01B3">
            <w:pPr>
              <w:autoSpaceDE w:val="0"/>
              <w:autoSpaceDN w:val="0"/>
              <w:adjustRightInd w:val="0"/>
              <w:spacing w:before="0"/>
              <w:rPr>
                <w:rFonts w:ascii="Arial Narrow" w:hAnsi="Arial Narrow" w:cs="Times New Roman"/>
                <w:sz w:val="20"/>
                <w:szCs w:val="20"/>
                <w:lang w:val="en-GB"/>
              </w:rPr>
            </w:pPr>
            <w:r w:rsidRPr="006F0437">
              <w:rPr>
                <w:rFonts w:ascii="Arial Narrow" w:hAnsi="Arial Narrow" w:cs="Times New Roman"/>
                <w:sz w:val="20"/>
                <w:szCs w:val="20"/>
                <w:lang w:val="en-GB"/>
              </w:rPr>
              <w:t>TISSEEL DUPLOCATH 35cm</w:t>
            </w:r>
            <w:r>
              <w:rPr>
                <w:rFonts w:ascii="Arial Narrow" w:hAnsi="Arial Narrow" w:cs="Times New Roman"/>
                <w:sz w:val="20"/>
                <w:szCs w:val="20"/>
                <w:lang w:val="en-GB"/>
              </w:rPr>
              <w:t xml:space="preserve"> </w:t>
            </w:r>
            <w:r w:rsidRPr="006F0437">
              <w:rPr>
                <w:rFonts w:ascii="Arial Narrow" w:hAnsi="Arial Narrow" w:cs="Times New Roman"/>
                <w:sz w:val="20"/>
                <w:szCs w:val="20"/>
                <w:lang w:val="en-GB"/>
              </w:rPr>
              <w:t>MIC/MIS</w:t>
            </w:r>
          </w:p>
        </w:tc>
        <w:tc>
          <w:tcPr>
            <w:tcW w:w="550" w:type="pct"/>
            <w:vAlign w:val="center"/>
          </w:tcPr>
          <w:p w14:paraId="6F563D18" w14:textId="07DBC569" w:rsidR="00570338" w:rsidRDefault="00570338" w:rsidP="00FD4D96">
            <w:pPr>
              <w:pStyle w:val="Tabletext0"/>
              <w:spacing w:before="0" w:after="0"/>
              <w:jc w:val="center"/>
            </w:pPr>
            <w:r>
              <w:t>BX268</w:t>
            </w:r>
          </w:p>
        </w:tc>
        <w:tc>
          <w:tcPr>
            <w:tcW w:w="550" w:type="pct"/>
            <w:vAlign w:val="center"/>
          </w:tcPr>
          <w:p w14:paraId="5A72A6F2" w14:textId="0599A79D" w:rsidR="00570338" w:rsidRDefault="00570338" w:rsidP="00FD4D96">
            <w:pPr>
              <w:pStyle w:val="Tabletext0"/>
              <w:spacing w:before="0" w:after="0"/>
              <w:jc w:val="center"/>
            </w:pPr>
            <w:r>
              <w:t>NA</w:t>
            </w:r>
          </w:p>
        </w:tc>
        <w:tc>
          <w:tcPr>
            <w:tcW w:w="786" w:type="pct"/>
            <w:vAlign w:val="center"/>
          </w:tcPr>
          <w:p w14:paraId="7B7B7B09" w14:textId="4D88AFCA" w:rsidR="00570338" w:rsidRDefault="00570338" w:rsidP="00FD4D96">
            <w:pPr>
              <w:pStyle w:val="Tabletext0"/>
              <w:spacing w:before="0" w:after="0"/>
              <w:jc w:val="center"/>
            </w:pPr>
            <w:r>
              <w:t>$0.00</w:t>
            </w:r>
          </w:p>
        </w:tc>
        <w:tc>
          <w:tcPr>
            <w:tcW w:w="618" w:type="pct"/>
            <w:vAlign w:val="center"/>
          </w:tcPr>
          <w:p w14:paraId="4B2C0267" w14:textId="61588461" w:rsidR="00570338" w:rsidRPr="002601A9" w:rsidRDefault="00570338" w:rsidP="00FD4D96">
            <w:pPr>
              <w:pStyle w:val="Tabletext0"/>
              <w:spacing w:before="0" w:after="0"/>
              <w:jc w:val="center"/>
            </w:pPr>
            <w:r>
              <w:t>$588.00</w:t>
            </w:r>
          </w:p>
        </w:tc>
        <w:tc>
          <w:tcPr>
            <w:tcW w:w="690" w:type="pct"/>
            <w:vAlign w:val="center"/>
          </w:tcPr>
          <w:p w14:paraId="7265061A" w14:textId="41440644" w:rsidR="00570338" w:rsidRDefault="00570338" w:rsidP="00FD4D96">
            <w:pPr>
              <w:pStyle w:val="Tabletext0"/>
              <w:spacing w:before="0" w:after="0"/>
              <w:jc w:val="center"/>
            </w:pPr>
            <w:r>
              <w:t>-$588.00</w:t>
            </w:r>
          </w:p>
        </w:tc>
      </w:tr>
      <w:tr w:rsidR="00547350" w14:paraId="4DEBD0CD" w14:textId="77777777" w:rsidTr="2AA1CA0C">
        <w:tc>
          <w:tcPr>
            <w:tcW w:w="1806" w:type="pct"/>
            <w:vAlign w:val="center"/>
          </w:tcPr>
          <w:p w14:paraId="28D6A34F" w14:textId="57C8F470" w:rsidR="00570338" w:rsidRPr="006F0437" w:rsidRDefault="00570338" w:rsidP="009E01B3">
            <w:pPr>
              <w:autoSpaceDE w:val="0"/>
              <w:autoSpaceDN w:val="0"/>
              <w:adjustRightInd w:val="0"/>
              <w:spacing w:before="0"/>
              <w:rPr>
                <w:rFonts w:ascii="Arial Narrow" w:hAnsi="Arial Narrow" w:cs="Times New Roman"/>
                <w:sz w:val="20"/>
                <w:szCs w:val="20"/>
                <w:lang w:val="en-GB"/>
              </w:rPr>
            </w:pPr>
            <w:r w:rsidRPr="006F0437">
              <w:rPr>
                <w:rFonts w:ascii="Arial Narrow" w:hAnsi="Arial Narrow" w:cs="Times New Roman"/>
                <w:sz w:val="20"/>
                <w:szCs w:val="20"/>
                <w:lang w:val="en-GB"/>
              </w:rPr>
              <w:t>TISSEEL Two Component Fibrin</w:t>
            </w:r>
            <w:r>
              <w:rPr>
                <w:rFonts w:ascii="Arial Narrow" w:hAnsi="Arial Narrow" w:cs="Times New Roman"/>
                <w:sz w:val="20"/>
                <w:szCs w:val="20"/>
                <w:lang w:val="en-GB"/>
              </w:rPr>
              <w:t xml:space="preserve"> </w:t>
            </w:r>
            <w:r w:rsidRPr="006F0437">
              <w:rPr>
                <w:rFonts w:ascii="Arial Narrow" w:hAnsi="Arial Narrow" w:cs="Times New Roman"/>
                <w:sz w:val="20"/>
                <w:szCs w:val="20"/>
                <w:lang w:val="en-GB"/>
              </w:rPr>
              <w:t>Sealant Syringe</w:t>
            </w:r>
          </w:p>
        </w:tc>
        <w:tc>
          <w:tcPr>
            <w:tcW w:w="550" w:type="pct"/>
            <w:vAlign w:val="center"/>
          </w:tcPr>
          <w:p w14:paraId="4D43DEB2" w14:textId="65FA4690" w:rsidR="00570338" w:rsidRDefault="00570338" w:rsidP="00FD4D96">
            <w:pPr>
              <w:pStyle w:val="Tabletext0"/>
              <w:spacing w:before="0" w:after="0"/>
              <w:jc w:val="center"/>
            </w:pPr>
            <w:r>
              <w:t>BX215</w:t>
            </w:r>
          </w:p>
        </w:tc>
        <w:tc>
          <w:tcPr>
            <w:tcW w:w="550" w:type="pct"/>
            <w:vAlign w:val="center"/>
          </w:tcPr>
          <w:p w14:paraId="3FC33A11" w14:textId="300C17C5" w:rsidR="00570338" w:rsidRDefault="00570338" w:rsidP="00FD4D96">
            <w:pPr>
              <w:pStyle w:val="Tabletext0"/>
              <w:spacing w:before="0" w:after="0"/>
              <w:jc w:val="center"/>
            </w:pPr>
            <w:r>
              <w:t>NA</w:t>
            </w:r>
          </w:p>
        </w:tc>
        <w:tc>
          <w:tcPr>
            <w:tcW w:w="786" w:type="pct"/>
            <w:vAlign w:val="center"/>
          </w:tcPr>
          <w:p w14:paraId="3F976B21" w14:textId="371BAE86" w:rsidR="00570338" w:rsidRDefault="00570338" w:rsidP="00FD4D96">
            <w:pPr>
              <w:pStyle w:val="Tabletext0"/>
              <w:spacing w:before="0" w:after="0"/>
              <w:jc w:val="center"/>
            </w:pPr>
            <w:r>
              <w:t>$0.00</w:t>
            </w:r>
          </w:p>
        </w:tc>
        <w:tc>
          <w:tcPr>
            <w:tcW w:w="618" w:type="pct"/>
            <w:vAlign w:val="center"/>
          </w:tcPr>
          <w:p w14:paraId="2EF5995F" w14:textId="02AE7EA5" w:rsidR="00570338" w:rsidRPr="002601A9" w:rsidRDefault="00570338" w:rsidP="00FD4D96">
            <w:pPr>
              <w:pStyle w:val="Tabletext0"/>
              <w:spacing w:before="0" w:after="0"/>
              <w:jc w:val="center"/>
            </w:pPr>
            <w:r>
              <w:t>$53.00</w:t>
            </w:r>
          </w:p>
        </w:tc>
        <w:tc>
          <w:tcPr>
            <w:tcW w:w="690" w:type="pct"/>
            <w:vAlign w:val="center"/>
          </w:tcPr>
          <w:p w14:paraId="1F0996D3" w14:textId="1132B72F" w:rsidR="00570338" w:rsidRDefault="00570338" w:rsidP="00FD4D96">
            <w:pPr>
              <w:pStyle w:val="Tabletext0"/>
              <w:spacing w:before="0" w:after="0"/>
              <w:jc w:val="center"/>
            </w:pPr>
            <w:r>
              <w:t>-$53.00</w:t>
            </w:r>
          </w:p>
        </w:tc>
      </w:tr>
      <w:tr w:rsidR="00547350" w14:paraId="7F8B070A" w14:textId="77777777" w:rsidTr="2AA1CA0C">
        <w:tc>
          <w:tcPr>
            <w:tcW w:w="1806" w:type="pct"/>
          </w:tcPr>
          <w:p w14:paraId="008F836D" w14:textId="1A319D39" w:rsidR="00570338" w:rsidRPr="006F0437" w:rsidRDefault="00570338" w:rsidP="00FD4D96">
            <w:pPr>
              <w:pStyle w:val="Tabletext0"/>
              <w:spacing w:before="0" w:after="0"/>
              <w:jc w:val="left"/>
            </w:pPr>
            <w:r w:rsidRPr="006F0437">
              <w:rPr>
                <w:rFonts w:cs="Times New Roman"/>
                <w:lang w:val="en-GB"/>
              </w:rPr>
              <w:t>Dermabond Prineo</w:t>
            </w:r>
          </w:p>
        </w:tc>
        <w:tc>
          <w:tcPr>
            <w:tcW w:w="550" w:type="pct"/>
          </w:tcPr>
          <w:p w14:paraId="1CB1955C" w14:textId="2CCE6143" w:rsidR="00570338" w:rsidRDefault="00570338" w:rsidP="00FD4D96">
            <w:pPr>
              <w:pStyle w:val="Tabletext0"/>
              <w:spacing w:before="0" w:after="0"/>
              <w:jc w:val="center"/>
            </w:pPr>
            <w:r>
              <w:t>MN230</w:t>
            </w:r>
          </w:p>
        </w:tc>
        <w:tc>
          <w:tcPr>
            <w:tcW w:w="550" w:type="pct"/>
          </w:tcPr>
          <w:p w14:paraId="63BBBD11" w14:textId="785387C1" w:rsidR="00570338" w:rsidRDefault="00570338" w:rsidP="00FD4D96">
            <w:pPr>
              <w:pStyle w:val="Tabletext0"/>
              <w:spacing w:before="0" w:after="0"/>
              <w:jc w:val="center"/>
            </w:pPr>
            <w:r>
              <w:t>NA</w:t>
            </w:r>
          </w:p>
        </w:tc>
        <w:tc>
          <w:tcPr>
            <w:tcW w:w="786" w:type="pct"/>
          </w:tcPr>
          <w:p w14:paraId="345127EE" w14:textId="6BB6B19D" w:rsidR="00570338" w:rsidRDefault="00570338" w:rsidP="00FD4D96">
            <w:pPr>
              <w:pStyle w:val="Tabletext0"/>
              <w:spacing w:before="0" w:after="0"/>
              <w:jc w:val="center"/>
            </w:pPr>
            <w:r>
              <w:t>$0.00</w:t>
            </w:r>
          </w:p>
        </w:tc>
        <w:tc>
          <w:tcPr>
            <w:tcW w:w="618" w:type="pct"/>
          </w:tcPr>
          <w:p w14:paraId="2875A32A" w14:textId="272C6B49" w:rsidR="00570338" w:rsidRPr="002601A9" w:rsidRDefault="00570338" w:rsidP="00FD4D96">
            <w:pPr>
              <w:pStyle w:val="Tabletext0"/>
              <w:spacing w:before="0" w:after="0"/>
              <w:jc w:val="center"/>
            </w:pPr>
            <w:r>
              <w:t>$128.00</w:t>
            </w:r>
          </w:p>
        </w:tc>
        <w:tc>
          <w:tcPr>
            <w:tcW w:w="690" w:type="pct"/>
          </w:tcPr>
          <w:p w14:paraId="44014398" w14:textId="1E99C110" w:rsidR="00570338" w:rsidRDefault="00570338" w:rsidP="00FD4D96">
            <w:pPr>
              <w:pStyle w:val="Tabletext0"/>
              <w:spacing w:before="0" w:after="0"/>
              <w:jc w:val="center"/>
            </w:pPr>
            <w:r>
              <w:t>-$128.00</w:t>
            </w:r>
          </w:p>
        </w:tc>
      </w:tr>
      <w:tr w:rsidR="00141D13" w14:paraId="0F41251A" w14:textId="27892DD9" w:rsidTr="2AA1CA0C">
        <w:tc>
          <w:tcPr>
            <w:tcW w:w="1806" w:type="pct"/>
            <w:tcBorders>
              <w:right w:val="nil"/>
            </w:tcBorders>
          </w:tcPr>
          <w:p w14:paraId="31367965" w14:textId="10436F01" w:rsidR="00570338" w:rsidRPr="00D76EFB" w:rsidRDefault="00570338" w:rsidP="00FD4D96">
            <w:pPr>
              <w:pStyle w:val="Tabletext0"/>
              <w:spacing w:before="0" w:after="0"/>
              <w:rPr>
                <w:b/>
              </w:rPr>
            </w:pPr>
            <w:r w:rsidRPr="00D76EFB">
              <w:rPr>
                <w:b/>
              </w:rPr>
              <w:t>Total cost</w:t>
            </w:r>
            <w:r w:rsidR="004E30A2">
              <w:rPr>
                <w:b/>
              </w:rPr>
              <w:t xml:space="preserve"> (base case)</w:t>
            </w:r>
          </w:p>
        </w:tc>
        <w:tc>
          <w:tcPr>
            <w:tcW w:w="550" w:type="pct"/>
            <w:tcBorders>
              <w:left w:val="nil"/>
              <w:right w:val="nil"/>
            </w:tcBorders>
          </w:tcPr>
          <w:p w14:paraId="5C775B9B" w14:textId="77777777" w:rsidR="00570338" w:rsidRPr="00D76EFB" w:rsidRDefault="00570338" w:rsidP="00FD4D96">
            <w:pPr>
              <w:pStyle w:val="Tabletext0"/>
              <w:spacing w:before="0" w:after="0"/>
              <w:jc w:val="center"/>
              <w:rPr>
                <w:b/>
              </w:rPr>
            </w:pPr>
          </w:p>
        </w:tc>
        <w:tc>
          <w:tcPr>
            <w:tcW w:w="550" w:type="pct"/>
            <w:tcBorders>
              <w:left w:val="nil"/>
              <w:right w:val="single" w:sz="4" w:space="0" w:color="auto"/>
            </w:tcBorders>
          </w:tcPr>
          <w:p w14:paraId="6D2EC23F" w14:textId="77777777" w:rsidR="00570338" w:rsidRPr="00D76EFB" w:rsidRDefault="00570338" w:rsidP="00FD4D96">
            <w:pPr>
              <w:pStyle w:val="Tabletext0"/>
              <w:spacing w:before="0" w:after="0"/>
              <w:jc w:val="center"/>
              <w:rPr>
                <w:b/>
              </w:rPr>
            </w:pPr>
          </w:p>
        </w:tc>
        <w:tc>
          <w:tcPr>
            <w:tcW w:w="786" w:type="pct"/>
            <w:tcBorders>
              <w:left w:val="single" w:sz="4" w:space="0" w:color="auto"/>
            </w:tcBorders>
          </w:tcPr>
          <w:p w14:paraId="11DBEFF6" w14:textId="01171289" w:rsidR="00570338" w:rsidRPr="00D76EFB" w:rsidRDefault="00570338" w:rsidP="00FD4D96">
            <w:pPr>
              <w:pStyle w:val="Tabletext0"/>
              <w:spacing w:before="0" w:after="0"/>
              <w:jc w:val="center"/>
              <w:rPr>
                <w:b/>
              </w:rPr>
            </w:pPr>
            <w:r w:rsidRPr="00D76EFB">
              <w:rPr>
                <w:b/>
              </w:rPr>
              <w:t>$14,932.39</w:t>
            </w:r>
          </w:p>
        </w:tc>
        <w:tc>
          <w:tcPr>
            <w:tcW w:w="618" w:type="pct"/>
          </w:tcPr>
          <w:p w14:paraId="3D916E4C" w14:textId="77777777" w:rsidR="00570338" w:rsidRPr="00D76EFB" w:rsidRDefault="00570338" w:rsidP="00FD4D96">
            <w:pPr>
              <w:pStyle w:val="Tabletext0"/>
              <w:spacing w:before="0" w:after="0"/>
              <w:jc w:val="center"/>
              <w:rPr>
                <w:b/>
              </w:rPr>
            </w:pPr>
            <w:r w:rsidRPr="00D76EFB">
              <w:rPr>
                <w:b/>
              </w:rPr>
              <w:t>$20,590.54</w:t>
            </w:r>
          </w:p>
        </w:tc>
        <w:tc>
          <w:tcPr>
            <w:tcW w:w="690" w:type="pct"/>
          </w:tcPr>
          <w:p w14:paraId="2F21722A" w14:textId="625FCC76" w:rsidR="00570338" w:rsidRPr="00D76EFB" w:rsidRDefault="00570338" w:rsidP="00FD4D96">
            <w:pPr>
              <w:pStyle w:val="Tabletext0"/>
              <w:spacing w:before="0" w:after="0"/>
              <w:jc w:val="center"/>
              <w:rPr>
                <w:b/>
              </w:rPr>
            </w:pPr>
            <w:r w:rsidRPr="00D76EFB">
              <w:rPr>
                <w:b/>
              </w:rPr>
              <w:t>-$5,658.15</w:t>
            </w:r>
          </w:p>
        </w:tc>
      </w:tr>
    </w:tbl>
    <w:p w14:paraId="74D17DD0" w14:textId="05FE5FD5" w:rsidR="00910848" w:rsidRDefault="00867D62" w:rsidP="00FD4D96">
      <w:pPr>
        <w:pStyle w:val="TableFigureFooter"/>
      </w:pPr>
      <w:r w:rsidRPr="00D76EFB">
        <w:t>Abbreviations:</w:t>
      </w:r>
      <w:r w:rsidRPr="007E4DE7">
        <w:t xml:space="preserve"> </w:t>
      </w:r>
      <w:r w:rsidRPr="00D76EFB">
        <w:t>AR-DRG</w:t>
      </w:r>
      <w:r w:rsidR="00BC239D">
        <w:t>:</w:t>
      </w:r>
      <w:r>
        <w:t xml:space="preserve"> </w:t>
      </w:r>
      <w:r w:rsidRPr="0096705A">
        <w:t>Australian Refined-Diagnostic Related Group</w:t>
      </w:r>
      <w:r>
        <w:t xml:space="preserve">; </w:t>
      </w:r>
      <w:r w:rsidRPr="00D76EFB">
        <w:t>ESG</w:t>
      </w:r>
      <w:r w:rsidR="00BC239D">
        <w:t>:</w:t>
      </w:r>
      <w:r>
        <w:t xml:space="preserve"> </w:t>
      </w:r>
      <w:r w:rsidR="00BC239D">
        <w:t>e</w:t>
      </w:r>
      <w:r>
        <w:t xml:space="preserve">ndoscopic </w:t>
      </w:r>
      <w:r w:rsidR="00BC239D">
        <w:t>s</w:t>
      </w:r>
      <w:r>
        <w:t xml:space="preserve">leeve </w:t>
      </w:r>
      <w:r w:rsidR="00BC239D">
        <w:t>g</w:t>
      </w:r>
      <w:r>
        <w:t xml:space="preserve">astroplasty; </w:t>
      </w:r>
      <w:r w:rsidRPr="00D76EFB">
        <w:t>LSG</w:t>
      </w:r>
      <w:r w:rsidR="00BC239D">
        <w:t>:</w:t>
      </w:r>
      <w:r>
        <w:t xml:space="preserve"> </w:t>
      </w:r>
      <w:r w:rsidR="00BC239D">
        <w:t>l</w:t>
      </w:r>
      <w:r>
        <w:t xml:space="preserve">aparoscopic </w:t>
      </w:r>
      <w:r w:rsidR="00BC239D">
        <w:t>s</w:t>
      </w:r>
      <w:r>
        <w:t xml:space="preserve">leeve </w:t>
      </w:r>
      <w:r w:rsidR="00BC239D">
        <w:t>g</w:t>
      </w:r>
      <w:r>
        <w:t>astrectomy</w:t>
      </w:r>
      <w:r w:rsidR="00DA14F9">
        <w:t xml:space="preserve">; MBS: Medical Benefits Schedule; </w:t>
      </w:r>
      <w:r w:rsidR="00F17E2F">
        <w:t xml:space="preserve">NA: not applicable; PL: </w:t>
      </w:r>
      <w:r w:rsidR="00C37C9A">
        <w:t>Prescribed</w:t>
      </w:r>
      <w:r w:rsidR="00F17E2F">
        <w:t xml:space="preserve"> List</w:t>
      </w:r>
    </w:p>
    <w:p w14:paraId="051EAA6E" w14:textId="45B01A42" w:rsidR="00D22493" w:rsidRPr="00910848" w:rsidRDefault="00D22493" w:rsidP="00FD4D96">
      <w:pPr>
        <w:pStyle w:val="TableFigureFooter"/>
      </w:pPr>
      <w:r>
        <w:t xml:space="preserve">Notes: </w:t>
      </w:r>
      <w:r w:rsidR="00B3344F">
        <w:t xml:space="preserve">* </w:t>
      </w:r>
      <w:r w:rsidR="00A76104">
        <w:t xml:space="preserve">AR-DRG costs </w:t>
      </w:r>
      <w:r w:rsidR="00387031">
        <w:t>were</w:t>
      </w:r>
      <w:r w:rsidR="007B64C1">
        <w:t xml:space="preserve"> </w:t>
      </w:r>
      <w:r w:rsidR="00387031">
        <w:t>weighted.</w:t>
      </w:r>
      <w:r w:rsidR="007B64C1">
        <w:t xml:space="preserve"> </w:t>
      </w:r>
    </w:p>
    <w:p w14:paraId="0D0D73A6" w14:textId="5811CE70" w:rsidR="009E01B3" w:rsidRDefault="000F46CB" w:rsidP="00361335">
      <w:pPr>
        <w:pStyle w:val="TableFigureFooter"/>
      </w:pPr>
      <w:r w:rsidRPr="00D76EFB">
        <w:t>Source:</w:t>
      </w:r>
      <w:r>
        <w:t xml:space="preserve"> Table </w:t>
      </w:r>
      <w:r w:rsidR="00DA2192">
        <w:t>3-46</w:t>
      </w:r>
      <w:r w:rsidR="00A21F5C">
        <w:t xml:space="preserve"> of ADAR</w:t>
      </w:r>
      <w:r w:rsidR="0029109B">
        <w:t>;</w:t>
      </w:r>
      <w:r w:rsidR="000D35D9">
        <w:t xml:space="preserve"> Table 3-17 to </w:t>
      </w:r>
      <w:r w:rsidR="0029109B">
        <w:t>3-10 of ADAR; Table 3-</w:t>
      </w:r>
      <w:r w:rsidR="00C81F09">
        <w:t xml:space="preserve">43 to </w:t>
      </w:r>
      <w:r w:rsidR="00D22493">
        <w:t>3-45 of ADAR.</w:t>
      </w:r>
    </w:p>
    <w:p w14:paraId="3AF6CB5F" w14:textId="755283B5" w:rsidR="00317A08" w:rsidRDefault="00317A08" w:rsidP="00CD0D7F">
      <w:pPr>
        <w:pStyle w:val="Caption"/>
      </w:pPr>
      <w:bookmarkStart w:id="105" w:name="_Ref197094893"/>
      <w:r>
        <w:t xml:space="preserve">Table </w:t>
      </w:r>
      <w:r w:rsidR="00707F6D">
        <w:fldChar w:fldCharType="begin"/>
      </w:r>
      <w:r w:rsidR="00707F6D">
        <w:instrText xml:space="preserve"> SEQ Table \* ARABIC </w:instrText>
      </w:r>
      <w:r w:rsidR="00707F6D">
        <w:fldChar w:fldCharType="separate"/>
      </w:r>
      <w:r w:rsidR="008F37D1">
        <w:rPr>
          <w:noProof/>
        </w:rPr>
        <w:t>31</w:t>
      </w:r>
      <w:r w:rsidR="00707F6D">
        <w:rPr>
          <w:noProof/>
        </w:rPr>
        <w:fldChar w:fldCharType="end"/>
      </w:r>
      <w:bookmarkEnd w:id="105"/>
      <w:r>
        <w:t xml:space="preserve">: </w:t>
      </w:r>
      <w:r w:rsidRPr="002210FE">
        <w:t>Key model drivers</w:t>
      </w:r>
      <w:r>
        <w:t xml:space="preserve"> (PICO set 2)</w:t>
      </w:r>
    </w:p>
    <w:tbl>
      <w:tblPr>
        <w:tblStyle w:val="TableGrid"/>
        <w:tblW w:w="0" w:type="auto"/>
        <w:tblLook w:val="04A0" w:firstRow="1" w:lastRow="0" w:firstColumn="1" w:lastColumn="0" w:noHBand="0" w:noVBand="1"/>
      </w:tblPr>
      <w:tblGrid>
        <w:gridCol w:w="1283"/>
        <w:gridCol w:w="1842"/>
        <w:gridCol w:w="5891"/>
      </w:tblGrid>
      <w:tr w:rsidR="009B06C9" w:rsidRPr="00A36853" w14:paraId="698F0969" w14:textId="77777777" w:rsidTr="00FD4D96">
        <w:trPr>
          <w:cantSplit/>
          <w:tblHeader/>
        </w:trPr>
        <w:tc>
          <w:tcPr>
            <w:tcW w:w="1271" w:type="dxa"/>
          </w:tcPr>
          <w:p w14:paraId="29138291" w14:textId="77777777" w:rsidR="009B06C9" w:rsidRPr="00A36853" w:rsidRDefault="009B06C9" w:rsidP="00C8307F">
            <w:pPr>
              <w:pStyle w:val="Tabletext0"/>
              <w:rPr>
                <w:rFonts w:ascii="Franklin Gothic Book" w:hAnsi="Franklin Gothic Book"/>
                <w:b/>
              </w:rPr>
            </w:pPr>
            <w:r w:rsidRPr="00A36853">
              <w:rPr>
                <w:b/>
              </w:rPr>
              <w:t>Description</w:t>
            </w:r>
          </w:p>
        </w:tc>
        <w:tc>
          <w:tcPr>
            <w:tcW w:w="1843" w:type="dxa"/>
          </w:tcPr>
          <w:p w14:paraId="6C84C49F" w14:textId="77777777" w:rsidR="009B06C9" w:rsidRPr="00A36853" w:rsidRDefault="009B06C9" w:rsidP="00C8307F">
            <w:pPr>
              <w:pStyle w:val="Tabletext0"/>
              <w:rPr>
                <w:rFonts w:ascii="Franklin Gothic Book" w:hAnsi="Franklin Gothic Book"/>
                <w:b/>
              </w:rPr>
            </w:pPr>
            <w:r w:rsidRPr="00A36853">
              <w:rPr>
                <w:b/>
              </w:rPr>
              <w:t>Method/value</w:t>
            </w:r>
          </w:p>
        </w:tc>
        <w:tc>
          <w:tcPr>
            <w:tcW w:w="5902" w:type="dxa"/>
          </w:tcPr>
          <w:p w14:paraId="3C7800B2" w14:textId="77777777" w:rsidR="009B06C9" w:rsidRPr="00A36853" w:rsidRDefault="009B06C9" w:rsidP="00C8307F">
            <w:pPr>
              <w:pStyle w:val="Tabletext0"/>
              <w:rPr>
                <w:b/>
              </w:rPr>
            </w:pPr>
            <w:r w:rsidRPr="00A36853">
              <w:rPr>
                <w:b/>
              </w:rPr>
              <w:t>Impact</w:t>
            </w:r>
          </w:p>
          <w:p w14:paraId="62BF8CF2" w14:textId="068D1390" w:rsidR="009B06C9" w:rsidRPr="00A36853" w:rsidRDefault="009B06C9" w:rsidP="00C8307F">
            <w:pPr>
              <w:pStyle w:val="Tabletext0"/>
              <w:rPr>
                <w:rFonts w:ascii="Franklin Gothic Book" w:hAnsi="Franklin Gothic Book"/>
                <w:b/>
              </w:rPr>
            </w:pPr>
            <w:r w:rsidRPr="00A36853">
              <w:rPr>
                <w:b/>
              </w:rPr>
              <w:t xml:space="preserve">Base case: </w:t>
            </w:r>
            <w:r w:rsidRPr="00A36853">
              <w:rPr>
                <w:rFonts w:cs="Arial"/>
                <w:b/>
              </w:rPr>
              <w:t xml:space="preserve">cost saving of </w:t>
            </w:r>
            <w:r w:rsidR="00711028">
              <w:rPr>
                <w:rFonts w:cs="Arial"/>
                <w:b/>
                <w:bCs/>
              </w:rPr>
              <w:t>-$5.658.15</w:t>
            </w:r>
          </w:p>
        </w:tc>
      </w:tr>
      <w:tr w:rsidR="00840BAD" w:rsidRPr="00A36D20" w14:paraId="56D16CB8" w14:textId="77777777" w:rsidTr="00FD4D96">
        <w:trPr>
          <w:cantSplit/>
          <w:trHeight w:val="270"/>
        </w:trPr>
        <w:tc>
          <w:tcPr>
            <w:tcW w:w="1271" w:type="dxa"/>
            <w:vMerge w:val="restart"/>
          </w:tcPr>
          <w:p w14:paraId="1BE8027C" w14:textId="14E41950" w:rsidR="00840BAD" w:rsidRDefault="00840BAD" w:rsidP="00C8307F">
            <w:pPr>
              <w:pStyle w:val="Tabletext0"/>
            </w:pPr>
            <w:r>
              <w:t>Hospitalisation costs</w:t>
            </w:r>
          </w:p>
        </w:tc>
        <w:tc>
          <w:tcPr>
            <w:tcW w:w="1843" w:type="dxa"/>
            <w:vMerge w:val="restart"/>
          </w:tcPr>
          <w:p w14:paraId="2EB413E8" w14:textId="26C8A882" w:rsidR="00840BAD" w:rsidRDefault="00840BAD" w:rsidP="00FD4D96">
            <w:pPr>
              <w:pStyle w:val="Tabletext0"/>
              <w:jc w:val="left"/>
            </w:pPr>
            <w:r>
              <w:t>Differences in hospital costs (-$11,486 in the base case) explain the cost savings observed. However, there is a high degree of uncertainty in the unit costs applied, which are weighted average private hospital AR-DRG costs for LSG (K11A/B) and ESG (K40A/B, G46A/B).</w:t>
            </w:r>
          </w:p>
        </w:tc>
        <w:tc>
          <w:tcPr>
            <w:tcW w:w="5902" w:type="dxa"/>
          </w:tcPr>
          <w:p w14:paraId="36115654" w14:textId="21950949" w:rsidR="00840BAD" w:rsidRDefault="00840BAD">
            <w:pPr>
              <w:pStyle w:val="Tabletext0"/>
              <w:numPr>
                <w:ilvl w:val="0"/>
                <w:numId w:val="17"/>
              </w:numPr>
              <w:ind w:left="158" w:hanging="218"/>
            </w:pPr>
            <w:r>
              <w:t>Major complexity costs of laparoscopic [LSG] intervention (K11A) results in incremental cost of ESG of -$6,026.27 (-6.51%)</w:t>
            </w:r>
          </w:p>
          <w:p w14:paraId="4D6C8259" w14:textId="3C64FFD0" w:rsidR="00840BAD" w:rsidRDefault="00840BAD" w:rsidP="00C05DB4">
            <w:pPr>
              <w:pStyle w:val="Tabletext0"/>
              <w:numPr>
                <w:ilvl w:val="0"/>
                <w:numId w:val="17"/>
              </w:numPr>
              <w:ind w:left="158" w:hanging="218"/>
            </w:pPr>
            <w:r>
              <w:t>Minor complexity costs of laparoscopic [LSG] intervention (K11B) results in incremental cost of ESG of -$5,117.55 (9.6%)</w:t>
            </w:r>
          </w:p>
        </w:tc>
      </w:tr>
      <w:tr w:rsidR="00840BAD" w:rsidRPr="00A36D20" w14:paraId="04881B19" w14:textId="77777777" w:rsidTr="00850967">
        <w:trPr>
          <w:cantSplit/>
          <w:trHeight w:val="270"/>
        </w:trPr>
        <w:tc>
          <w:tcPr>
            <w:tcW w:w="1271" w:type="dxa"/>
            <w:vMerge/>
          </w:tcPr>
          <w:p w14:paraId="108FC533" w14:textId="77777777" w:rsidR="00840BAD" w:rsidRDefault="00840BAD" w:rsidP="00C8307F">
            <w:pPr>
              <w:pStyle w:val="Tabletext0"/>
            </w:pPr>
          </w:p>
        </w:tc>
        <w:tc>
          <w:tcPr>
            <w:tcW w:w="1843" w:type="dxa"/>
            <w:vMerge/>
          </w:tcPr>
          <w:p w14:paraId="768CE3E8" w14:textId="77777777" w:rsidR="00840BAD" w:rsidRDefault="00840BAD" w:rsidP="00C8307F">
            <w:pPr>
              <w:pStyle w:val="Tabletext0"/>
            </w:pPr>
          </w:p>
        </w:tc>
        <w:tc>
          <w:tcPr>
            <w:tcW w:w="5902" w:type="dxa"/>
          </w:tcPr>
          <w:p w14:paraId="0F15BA39" w14:textId="65DEB840" w:rsidR="00840BAD" w:rsidRDefault="00840BAD" w:rsidP="00C05DB4">
            <w:pPr>
              <w:pStyle w:val="Tabletext0"/>
              <w:numPr>
                <w:ilvl w:val="0"/>
                <w:numId w:val="17"/>
              </w:numPr>
              <w:ind w:left="158" w:hanging="218"/>
            </w:pPr>
            <w:r>
              <w:t>Costs of endoscopic [ESG] intervention (K40) results in incremental cost of ESG of -$5,822.32 (-2.9%)</w:t>
            </w:r>
          </w:p>
          <w:p w14:paraId="161025D5" w14:textId="6CCEF9A8" w:rsidR="00840BAD" w:rsidRDefault="00840BAD" w:rsidP="00C05DB4">
            <w:pPr>
              <w:pStyle w:val="Tabletext0"/>
              <w:numPr>
                <w:ilvl w:val="0"/>
                <w:numId w:val="17"/>
              </w:numPr>
              <w:ind w:left="158" w:hanging="218"/>
            </w:pPr>
            <w:r>
              <w:t>Costs of endoscopic [ESG] intervention (G46) results in incremental cost of ESG of -$5,624.91 (0.6%)</w:t>
            </w:r>
          </w:p>
        </w:tc>
      </w:tr>
      <w:tr w:rsidR="00840BAD" w:rsidRPr="00A36D20" w14:paraId="64EB6EB5" w14:textId="77777777" w:rsidTr="00850967">
        <w:trPr>
          <w:cantSplit/>
          <w:trHeight w:val="270"/>
        </w:trPr>
        <w:tc>
          <w:tcPr>
            <w:tcW w:w="1271" w:type="dxa"/>
            <w:vMerge/>
          </w:tcPr>
          <w:p w14:paraId="748442D4" w14:textId="77777777" w:rsidR="00840BAD" w:rsidRDefault="00840BAD" w:rsidP="00C8307F">
            <w:pPr>
              <w:pStyle w:val="Tabletext0"/>
            </w:pPr>
          </w:p>
        </w:tc>
        <w:tc>
          <w:tcPr>
            <w:tcW w:w="1843" w:type="dxa"/>
            <w:vMerge/>
          </w:tcPr>
          <w:p w14:paraId="1104BA6D" w14:textId="77777777" w:rsidR="00840BAD" w:rsidRDefault="00840BAD" w:rsidP="00C8307F">
            <w:pPr>
              <w:pStyle w:val="Tabletext0"/>
            </w:pPr>
          </w:p>
        </w:tc>
        <w:tc>
          <w:tcPr>
            <w:tcW w:w="5902" w:type="dxa"/>
          </w:tcPr>
          <w:p w14:paraId="757B85E6" w14:textId="56F59B6C" w:rsidR="00840BAD" w:rsidRDefault="00840BAD" w:rsidP="00C05DB4">
            <w:pPr>
              <w:pStyle w:val="Tabletext0"/>
              <w:numPr>
                <w:ilvl w:val="0"/>
                <w:numId w:val="17"/>
              </w:numPr>
              <w:ind w:left="158" w:hanging="218"/>
            </w:pPr>
            <w:r>
              <w:t>Major complexity costs of endoscopic [ESG] intervention (K40A, G46A) results in incremental cost of ESG of $3,201.49 (156.6%)</w:t>
            </w:r>
          </w:p>
          <w:p w14:paraId="7D70A15D" w14:textId="4347F2B8" w:rsidR="00840BAD" w:rsidRDefault="00840BAD" w:rsidP="00C05DB4">
            <w:pPr>
              <w:pStyle w:val="Tabletext0"/>
              <w:numPr>
                <w:ilvl w:val="0"/>
                <w:numId w:val="17"/>
              </w:numPr>
              <w:ind w:left="158" w:hanging="218"/>
            </w:pPr>
            <w:r>
              <w:t>Minor complexity costs of endoscopic [ESG] intervention (K40B, G46B) results in incremental cost of ESG of -$5,920.35 (-4.6%)</w:t>
            </w:r>
          </w:p>
        </w:tc>
      </w:tr>
      <w:tr w:rsidR="00840BAD" w:rsidRPr="00A36D20" w14:paraId="2BF56DBD" w14:textId="77777777" w:rsidTr="00850967">
        <w:trPr>
          <w:cantSplit/>
          <w:trHeight w:val="270"/>
        </w:trPr>
        <w:tc>
          <w:tcPr>
            <w:tcW w:w="1271" w:type="dxa"/>
            <w:vMerge/>
          </w:tcPr>
          <w:p w14:paraId="3703149C" w14:textId="77777777" w:rsidR="00840BAD" w:rsidRDefault="00840BAD" w:rsidP="00C8307F">
            <w:pPr>
              <w:pStyle w:val="Tabletext0"/>
            </w:pPr>
          </w:p>
        </w:tc>
        <w:tc>
          <w:tcPr>
            <w:tcW w:w="1843" w:type="dxa"/>
            <w:vMerge/>
          </w:tcPr>
          <w:p w14:paraId="0C3A6C02" w14:textId="77777777" w:rsidR="00840BAD" w:rsidRDefault="00840BAD" w:rsidP="00C8307F">
            <w:pPr>
              <w:pStyle w:val="Tabletext0"/>
            </w:pPr>
          </w:p>
        </w:tc>
        <w:tc>
          <w:tcPr>
            <w:tcW w:w="5902" w:type="dxa"/>
          </w:tcPr>
          <w:p w14:paraId="44815AC3" w14:textId="1AAEDBCF" w:rsidR="00840BAD" w:rsidRDefault="00840BAD" w:rsidP="00C05DB4">
            <w:pPr>
              <w:pStyle w:val="Tabletext0"/>
              <w:numPr>
                <w:ilvl w:val="0"/>
                <w:numId w:val="17"/>
              </w:numPr>
              <w:ind w:left="158" w:hanging="218"/>
            </w:pPr>
            <w:r>
              <w:t>Major complexity costs for both [ESG &amp; LSG] interventions (K11A, K40A, G46A) results in incremental cost of ESG of $965.07 (82.9%)</w:t>
            </w:r>
          </w:p>
          <w:p w14:paraId="384E3935" w14:textId="039FFCF6" w:rsidR="00840BAD" w:rsidRDefault="00840BAD" w:rsidP="00C05DB4">
            <w:pPr>
              <w:pStyle w:val="Tabletext0"/>
              <w:numPr>
                <w:ilvl w:val="0"/>
                <w:numId w:val="17"/>
              </w:numPr>
              <w:ind w:left="158" w:hanging="218"/>
            </w:pPr>
            <w:r>
              <w:t>Minor complexity costs of endoscopic [ESG &amp; LSG] interventions (K11B, K40B, G46B) results in incremental cost of ESG of -$5,379.74 (4.9%)</w:t>
            </w:r>
          </w:p>
        </w:tc>
      </w:tr>
      <w:tr w:rsidR="009B06C9" w:rsidRPr="00A36D20" w14:paraId="4E8DE398" w14:textId="77777777" w:rsidTr="00850967">
        <w:trPr>
          <w:cantSplit/>
        </w:trPr>
        <w:tc>
          <w:tcPr>
            <w:tcW w:w="1271" w:type="dxa"/>
          </w:tcPr>
          <w:p w14:paraId="402221D3" w14:textId="73D99B33" w:rsidR="009B06C9" w:rsidRPr="00A36D20" w:rsidRDefault="009B06C9" w:rsidP="00850967">
            <w:pPr>
              <w:pStyle w:val="Tabletext0"/>
              <w:jc w:val="left"/>
            </w:pPr>
            <w:r>
              <w:t>Costs related to AE</w:t>
            </w:r>
            <w:r w:rsidR="008D7858">
              <w:t>s</w:t>
            </w:r>
          </w:p>
        </w:tc>
        <w:tc>
          <w:tcPr>
            <w:tcW w:w="1843" w:type="dxa"/>
          </w:tcPr>
          <w:p w14:paraId="78786E4C" w14:textId="31A00399" w:rsidR="009B06C9" w:rsidRPr="00A36D20" w:rsidRDefault="009B06C9" w:rsidP="00C8307F">
            <w:pPr>
              <w:pStyle w:val="Tabletext0"/>
            </w:pPr>
            <w:r>
              <w:t xml:space="preserve">Using PICO 1 data </w:t>
            </w:r>
            <w:r w:rsidR="00A42EA1">
              <w:t xml:space="preserve">and costs </w:t>
            </w:r>
            <w:r w:rsidR="00ED5084">
              <w:t xml:space="preserve">to </w:t>
            </w:r>
            <w:r w:rsidR="00713E2C">
              <w:t>narratively estimate</w:t>
            </w:r>
            <w:r w:rsidR="00E045AA">
              <w:t xml:space="preserve"> the impact of AE</w:t>
            </w:r>
            <w:r w:rsidR="008D7858">
              <w:t>s</w:t>
            </w:r>
            <w:r w:rsidR="00E045AA">
              <w:t xml:space="preserve"> </w:t>
            </w:r>
            <w:r>
              <w:t xml:space="preserve">instead of PICO 2 AE </w:t>
            </w:r>
            <w:r w:rsidR="00302FBD">
              <w:t xml:space="preserve">comparative </w:t>
            </w:r>
            <w:r>
              <w:t xml:space="preserve">data </w:t>
            </w:r>
            <w:r w:rsidR="00441236">
              <w:t xml:space="preserve">detailed in Section </w:t>
            </w:r>
            <w:r w:rsidR="006304BB">
              <w:t>8</w:t>
            </w:r>
            <w:r>
              <w:t xml:space="preserve">. </w:t>
            </w:r>
          </w:p>
        </w:tc>
        <w:tc>
          <w:tcPr>
            <w:tcW w:w="5902" w:type="dxa"/>
          </w:tcPr>
          <w:p w14:paraId="4639E468" w14:textId="6F7762F7" w:rsidR="00216C6B" w:rsidRDefault="006B0F32" w:rsidP="00C8307F">
            <w:pPr>
              <w:pStyle w:val="Tabletext0"/>
            </w:pPr>
            <w:r>
              <w:t>AE</w:t>
            </w:r>
            <w:r w:rsidR="005A3CEC">
              <w:t>s</w:t>
            </w:r>
            <w:r w:rsidR="009F6ECB">
              <w:t xml:space="preserve"> from PICO 1 were</w:t>
            </w:r>
            <w:r w:rsidR="00836E86">
              <w:t xml:space="preserve"> </w:t>
            </w:r>
            <w:r w:rsidR="009D26B9">
              <w:t>selectively reported and</w:t>
            </w:r>
            <w:r w:rsidR="008761B4">
              <w:t xml:space="preserve"> not</w:t>
            </w:r>
            <w:r w:rsidR="00B321F4">
              <w:t xml:space="preserve"> all the serious AE</w:t>
            </w:r>
            <w:r w:rsidR="00E47642">
              <w:t>s</w:t>
            </w:r>
            <w:r w:rsidR="00B321F4">
              <w:t xml:space="preserve"> reported in the trials </w:t>
            </w:r>
            <w:r w:rsidR="0017422F">
              <w:t>we</w:t>
            </w:r>
            <w:r w:rsidR="00F67B99">
              <w:t>re</w:t>
            </w:r>
            <w:r w:rsidR="00B321F4">
              <w:t xml:space="preserve"> </w:t>
            </w:r>
            <w:r w:rsidR="0037657D">
              <w:t xml:space="preserve">allocated </w:t>
            </w:r>
            <w:r w:rsidR="00E61468">
              <w:t>disutility</w:t>
            </w:r>
            <w:r w:rsidR="008D36DF">
              <w:t xml:space="preserve"> </w:t>
            </w:r>
            <w:r w:rsidR="00E61468">
              <w:t xml:space="preserve">values </w:t>
            </w:r>
            <w:r w:rsidR="008761B4">
              <w:t>in the</w:t>
            </w:r>
            <w:r w:rsidR="00E61468">
              <w:t xml:space="preserve"> </w:t>
            </w:r>
            <w:r w:rsidR="008D36DF">
              <w:t>cost-utility analysis</w:t>
            </w:r>
            <w:r w:rsidR="005A3CEC">
              <w:t>,</w:t>
            </w:r>
            <w:r w:rsidR="0017422F">
              <w:t xml:space="preserve"> b</w:t>
            </w:r>
            <w:r w:rsidR="003445AD">
              <w:t>iasing the results in favour of ESG.</w:t>
            </w:r>
          </w:p>
          <w:p w14:paraId="6172448B" w14:textId="5ACF3B09" w:rsidR="009B06C9" w:rsidRDefault="009B06C9" w:rsidP="00C8307F">
            <w:pPr>
              <w:pStyle w:val="Tabletext0"/>
            </w:pPr>
            <w:r>
              <w:t>The</w:t>
            </w:r>
            <w:r w:rsidR="00235CB2">
              <w:t xml:space="preserve"> comparative data show</w:t>
            </w:r>
            <w:r w:rsidR="00242177">
              <w:t>s</w:t>
            </w:r>
            <w:r w:rsidR="00235CB2">
              <w:t xml:space="preserve"> that</w:t>
            </w:r>
            <w:r>
              <w:t xml:space="preserve"> </w:t>
            </w:r>
            <w:r w:rsidR="0017422F">
              <w:t>AEs</w:t>
            </w:r>
            <w:r>
              <w:t xml:space="preserve"> for ESG are more frequent and severe </w:t>
            </w:r>
            <w:r w:rsidR="00235CB2">
              <w:t xml:space="preserve">than </w:t>
            </w:r>
            <w:r w:rsidR="001C74F1">
              <w:t xml:space="preserve">for </w:t>
            </w:r>
            <w:r w:rsidR="009445ED">
              <w:t xml:space="preserve">LSG </w:t>
            </w:r>
            <w:r>
              <w:t xml:space="preserve">and </w:t>
            </w:r>
            <w:r w:rsidR="009445ED">
              <w:t xml:space="preserve">are </w:t>
            </w:r>
            <w:r>
              <w:t xml:space="preserve">therefore associated with higher treatment costs. </w:t>
            </w:r>
          </w:p>
          <w:p w14:paraId="1FC11D4D" w14:textId="63C37E87" w:rsidR="001E1A57" w:rsidRPr="00A36D20" w:rsidRDefault="001E1A57" w:rsidP="00C8307F">
            <w:pPr>
              <w:pStyle w:val="Tabletext0"/>
            </w:pPr>
            <w:r>
              <w:t>A sensitivity analysis includ</w:t>
            </w:r>
            <w:r w:rsidR="00A23E05">
              <w:t>ing</w:t>
            </w:r>
            <w:r>
              <w:t xml:space="preserve"> AE costs</w:t>
            </w:r>
            <w:r w:rsidR="00161233">
              <w:t xml:space="preserve">, as well as costs for reoperation and readmission costs </w:t>
            </w:r>
            <w:r w:rsidR="00A23E05">
              <w:t>(undertaken during the commentary) r</w:t>
            </w:r>
            <w:r w:rsidR="00844C57">
              <w:t>esulted in an incremental cost of -$5,024.28</w:t>
            </w:r>
            <w:r w:rsidR="00E7604F">
              <w:t xml:space="preserve"> (11% </w:t>
            </w:r>
            <w:r w:rsidR="008114E7">
              <w:t>change from base case)</w:t>
            </w:r>
          </w:p>
        </w:tc>
      </w:tr>
      <w:tr w:rsidR="009B06C9" w:rsidRPr="00A36D20" w14:paraId="6DEFAB63" w14:textId="77777777" w:rsidTr="00850967">
        <w:trPr>
          <w:cantSplit/>
        </w:trPr>
        <w:tc>
          <w:tcPr>
            <w:tcW w:w="1271" w:type="dxa"/>
          </w:tcPr>
          <w:p w14:paraId="34612924" w14:textId="77777777" w:rsidR="009B06C9" w:rsidRDefault="009B06C9" w:rsidP="00C8307F">
            <w:pPr>
              <w:pStyle w:val="Tabletext0"/>
            </w:pPr>
            <w:r>
              <w:t>Time horizon</w:t>
            </w:r>
          </w:p>
        </w:tc>
        <w:tc>
          <w:tcPr>
            <w:tcW w:w="1843" w:type="dxa"/>
          </w:tcPr>
          <w:p w14:paraId="19BAD2BA" w14:textId="0EF83AD6" w:rsidR="009B06C9" w:rsidRPr="00A36D20" w:rsidRDefault="009B06C9" w:rsidP="00E541D6">
            <w:pPr>
              <w:pStyle w:val="Tabletext0"/>
            </w:pPr>
            <w:r>
              <w:t>Using 30-day post</w:t>
            </w:r>
            <w:r w:rsidR="001C74F1">
              <w:t>-</w:t>
            </w:r>
            <w:r>
              <w:t>procedure time horizon.</w:t>
            </w:r>
          </w:p>
        </w:tc>
        <w:tc>
          <w:tcPr>
            <w:tcW w:w="5902" w:type="dxa"/>
          </w:tcPr>
          <w:p w14:paraId="4CE6CC13" w14:textId="6E488171" w:rsidR="009B06C9" w:rsidRDefault="009B06C9" w:rsidP="00C8307F">
            <w:pPr>
              <w:pStyle w:val="Tabletext0"/>
            </w:pPr>
            <w:r>
              <w:t>The 30-day</w:t>
            </w:r>
            <w:r w:rsidR="001C74F1">
              <w:t>,</w:t>
            </w:r>
            <w:r>
              <w:t xml:space="preserve"> short time horizon biases the results in favour of ESG</w:t>
            </w:r>
            <w:r w:rsidR="001C74F1">
              <w:t>,</w:t>
            </w:r>
            <w:r>
              <w:t xml:space="preserve"> as treatment failure costs are not captured.</w:t>
            </w:r>
          </w:p>
          <w:p w14:paraId="4D2FD58F" w14:textId="3E67D3E3" w:rsidR="009B06C9" w:rsidRDefault="009B06C9" w:rsidP="00C8307F">
            <w:pPr>
              <w:pStyle w:val="Tabletext0"/>
            </w:pPr>
            <w:r>
              <w:t>Treatment failure includes:</w:t>
            </w:r>
          </w:p>
          <w:p w14:paraId="3F20B4ED" w14:textId="3540885B" w:rsidR="009B06C9" w:rsidRDefault="004B2033" w:rsidP="00C05DB4">
            <w:pPr>
              <w:pStyle w:val="Tabletext0"/>
              <w:numPr>
                <w:ilvl w:val="0"/>
                <w:numId w:val="16"/>
              </w:numPr>
            </w:pPr>
            <w:r>
              <w:t>w</w:t>
            </w:r>
            <w:r w:rsidR="009B06C9">
              <w:t xml:space="preserve">eight regain </w:t>
            </w:r>
            <w:r>
              <w:t>&gt;</w:t>
            </w:r>
            <w:r w:rsidR="009B06C9">
              <w:t xml:space="preserve">5% </w:t>
            </w:r>
          </w:p>
          <w:p w14:paraId="64C9CA1A" w14:textId="4B01C2FD" w:rsidR="009B06C9" w:rsidRDefault="004B2033" w:rsidP="00C05DB4">
            <w:pPr>
              <w:pStyle w:val="Tabletext0"/>
              <w:numPr>
                <w:ilvl w:val="0"/>
                <w:numId w:val="16"/>
              </w:numPr>
            </w:pPr>
            <w:r>
              <w:t>c</w:t>
            </w:r>
            <w:r w:rsidR="009B06C9">
              <w:t>onversion to other form</w:t>
            </w:r>
            <w:r>
              <w:t>s</w:t>
            </w:r>
            <w:r w:rsidR="009B06C9">
              <w:t xml:space="preserve"> of bariatric surgery</w:t>
            </w:r>
          </w:p>
          <w:p w14:paraId="2C5B37C4" w14:textId="212D4B08" w:rsidR="009B06C9" w:rsidRDefault="004B2033" w:rsidP="00C05DB4">
            <w:pPr>
              <w:pStyle w:val="Tabletext0"/>
              <w:numPr>
                <w:ilvl w:val="0"/>
                <w:numId w:val="16"/>
              </w:numPr>
            </w:pPr>
            <w:r>
              <w:t>r</w:t>
            </w:r>
            <w:r w:rsidR="009B06C9">
              <w:t>evision surgery (ESG only)</w:t>
            </w:r>
          </w:p>
          <w:p w14:paraId="42771865" w14:textId="61A441A1" w:rsidR="009B06C9" w:rsidRPr="00A36D20" w:rsidRDefault="004B2033" w:rsidP="00C05DB4">
            <w:pPr>
              <w:pStyle w:val="Tabletext0"/>
              <w:numPr>
                <w:ilvl w:val="0"/>
                <w:numId w:val="16"/>
              </w:numPr>
            </w:pPr>
            <w:r>
              <w:t>r</w:t>
            </w:r>
            <w:r w:rsidR="009B06C9">
              <w:t>etightening surgery (ESG only)</w:t>
            </w:r>
          </w:p>
        </w:tc>
      </w:tr>
    </w:tbl>
    <w:p w14:paraId="4B3A9B71" w14:textId="039DFAF0" w:rsidR="00867D62" w:rsidRDefault="009B06C9" w:rsidP="00850967">
      <w:pPr>
        <w:pStyle w:val="TableFigureFooter"/>
      </w:pPr>
      <w:r w:rsidRPr="00D76EFB">
        <w:t>Abbreviations:</w:t>
      </w:r>
      <w:r w:rsidRPr="007E4DE7">
        <w:t xml:space="preserve"> </w:t>
      </w:r>
      <w:r w:rsidR="006B0F32" w:rsidRPr="00D76EFB">
        <w:t>AE</w:t>
      </w:r>
      <w:r w:rsidR="00BC239D">
        <w:t>:</w:t>
      </w:r>
      <w:r w:rsidR="006B0F32">
        <w:t xml:space="preserve"> adverse event; </w:t>
      </w:r>
      <w:r w:rsidRPr="00D76EFB">
        <w:t>ESG</w:t>
      </w:r>
      <w:r w:rsidR="00BC239D">
        <w:t>:</w:t>
      </w:r>
      <w:r>
        <w:t xml:space="preserve"> </w:t>
      </w:r>
      <w:r w:rsidR="00BC239D">
        <w:t>e</w:t>
      </w:r>
      <w:r>
        <w:t xml:space="preserve">ndoscopic </w:t>
      </w:r>
      <w:r w:rsidR="00BC239D">
        <w:t>s</w:t>
      </w:r>
      <w:r>
        <w:t xml:space="preserve">leeve </w:t>
      </w:r>
      <w:r w:rsidR="00BC239D">
        <w:t>g</w:t>
      </w:r>
      <w:r>
        <w:t xml:space="preserve">astroplasty; </w:t>
      </w:r>
      <w:r w:rsidRPr="00D76EFB">
        <w:t>LSG</w:t>
      </w:r>
      <w:r w:rsidR="00BC239D">
        <w:t>:</w:t>
      </w:r>
      <w:r>
        <w:t xml:space="preserve"> </w:t>
      </w:r>
      <w:r w:rsidR="00BC239D">
        <w:t>l</w:t>
      </w:r>
      <w:r>
        <w:t xml:space="preserve">aparoscopic </w:t>
      </w:r>
      <w:r w:rsidR="00BC239D">
        <w:t>s</w:t>
      </w:r>
      <w:r>
        <w:t xml:space="preserve">leeve </w:t>
      </w:r>
      <w:r w:rsidR="00BC239D">
        <w:t>g</w:t>
      </w:r>
      <w:r>
        <w:t xml:space="preserve">astrectomy. </w:t>
      </w:r>
    </w:p>
    <w:p w14:paraId="09033C41" w14:textId="75088CF2" w:rsidR="00387453" w:rsidRPr="00E121E4" w:rsidRDefault="003A48A3" w:rsidP="00850967">
      <w:pPr>
        <w:pStyle w:val="TableFigureFooter"/>
      </w:pPr>
      <w:bookmarkStart w:id="106" w:name="_Ref191558927"/>
      <w:r w:rsidRPr="00D76EFB">
        <w:t>Source</w:t>
      </w:r>
      <w:r w:rsidRPr="007D18A3">
        <w:t>: compiled by the assessment group</w:t>
      </w:r>
      <w:bookmarkStart w:id="107" w:name="_Ref183534778"/>
      <w:r w:rsidR="002A6F2F">
        <w:t xml:space="preserve">; treatment failure definition </w:t>
      </w:r>
      <w:r w:rsidR="00DF271F">
        <w:t>supported</w:t>
      </w:r>
      <w:r w:rsidR="007015E3">
        <w:t xml:space="preserve"> </w:t>
      </w:r>
      <w:r w:rsidR="002A6F2F">
        <w:t>by assessment group’s clinical expert.</w:t>
      </w:r>
      <w:bookmarkEnd w:id="107"/>
    </w:p>
    <w:p w14:paraId="5DADDCAD" w14:textId="5192ED96" w:rsidR="00317A08" w:rsidRDefault="00317A08" w:rsidP="00CD0D7F">
      <w:pPr>
        <w:pStyle w:val="Caption"/>
      </w:pPr>
      <w:bookmarkStart w:id="108" w:name="_Ref191573904"/>
      <w:bookmarkEnd w:id="106"/>
      <w:r>
        <w:t xml:space="preserve">Table </w:t>
      </w:r>
      <w:r w:rsidR="00707F6D">
        <w:fldChar w:fldCharType="begin"/>
      </w:r>
      <w:r w:rsidR="00707F6D">
        <w:instrText xml:space="preserve"> SEQ Table \* ARABIC </w:instrText>
      </w:r>
      <w:r w:rsidR="00707F6D">
        <w:fldChar w:fldCharType="separate"/>
      </w:r>
      <w:r w:rsidR="008F37D1">
        <w:rPr>
          <w:noProof/>
        </w:rPr>
        <w:t>32</w:t>
      </w:r>
      <w:r w:rsidR="00707F6D">
        <w:rPr>
          <w:noProof/>
        </w:rPr>
        <w:fldChar w:fldCharType="end"/>
      </w:r>
      <w:bookmarkEnd w:id="108"/>
      <w:r w:rsidR="00163747">
        <w:t>:</w:t>
      </w:r>
      <w:r w:rsidR="00163747" w:rsidRPr="00163747">
        <w:t xml:space="preserve"> </w:t>
      </w:r>
      <w:r w:rsidR="00163747">
        <w:t xml:space="preserve">PICO set 2: Results </w:t>
      </w:r>
      <w:r w:rsidR="00C20643">
        <w:t xml:space="preserve">of sensitivity analyses </w:t>
      </w:r>
    </w:p>
    <w:tbl>
      <w:tblPr>
        <w:tblStyle w:val="TableGrid"/>
        <w:tblW w:w="5000" w:type="pct"/>
        <w:tblLayout w:type="fixed"/>
        <w:tblLook w:val="04A0" w:firstRow="1" w:lastRow="0" w:firstColumn="1" w:lastColumn="0" w:noHBand="0" w:noVBand="1"/>
      </w:tblPr>
      <w:tblGrid>
        <w:gridCol w:w="3381"/>
        <w:gridCol w:w="1879"/>
        <w:gridCol w:w="1879"/>
        <w:gridCol w:w="1877"/>
      </w:tblGrid>
      <w:tr w:rsidR="00077F9E" w:rsidRPr="00077F9E" w14:paraId="094B130A" w14:textId="2B0813EB" w:rsidTr="00850967">
        <w:trPr>
          <w:trHeight w:val="283"/>
          <w:tblHeader/>
        </w:trPr>
        <w:tc>
          <w:tcPr>
            <w:tcW w:w="1875" w:type="pct"/>
            <w:noWrap/>
            <w:vAlign w:val="center"/>
            <w:hideMark/>
          </w:tcPr>
          <w:p w14:paraId="2808C79E" w14:textId="6D6534D5" w:rsidR="00077F9E" w:rsidRPr="00CD0D7F" w:rsidRDefault="00077F9E" w:rsidP="00CD0D7F">
            <w:pPr>
              <w:spacing w:before="0"/>
              <w:jc w:val="center"/>
              <w:rPr>
                <w:rFonts w:ascii="Arial Narrow" w:hAnsi="Arial Narrow"/>
                <w:sz w:val="20"/>
                <w:szCs w:val="20"/>
              </w:rPr>
            </w:pPr>
          </w:p>
        </w:tc>
        <w:tc>
          <w:tcPr>
            <w:tcW w:w="1042" w:type="pct"/>
            <w:noWrap/>
            <w:vAlign w:val="center"/>
            <w:hideMark/>
          </w:tcPr>
          <w:p w14:paraId="73DEBFA7" w14:textId="77777777" w:rsidR="00077F9E" w:rsidRPr="00CD0D7F" w:rsidRDefault="00077F9E" w:rsidP="00CD0D7F">
            <w:pPr>
              <w:spacing w:before="0"/>
              <w:jc w:val="center"/>
              <w:rPr>
                <w:rFonts w:ascii="Arial Narrow" w:hAnsi="Arial Narrow"/>
                <w:b/>
                <w:sz w:val="20"/>
                <w:szCs w:val="20"/>
              </w:rPr>
            </w:pPr>
            <w:r w:rsidRPr="00CD0D7F">
              <w:rPr>
                <w:rFonts w:ascii="Arial Narrow" w:hAnsi="Arial Narrow"/>
                <w:b/>
                <w:sz w:val="20"/>
                <w:szCs w:val="20"/>
              </w:rPr>
              <w:t>ESG</w:t>
            </w:r>
          </w:p>
        </w:tc>
        <w:tc>
          <w:tcPr>
            <w:tcW w:w="1042" w:type="pct"/>
            <w:noWrap/>
            <w:vAlign w:val="center"/>
            <w:hideMark/>
          </w:tcPr>
          <w:p w14:paraId="436B5FE8" w14:textId="77777777" w:rsidR="00077F9E" w:rsidRPr="00CD0D7F" w:rsidRDefault="00077F9E" w:rsidP="00CD0D7F">
            <w:pPr>
              <w:spacing w:before="0"/>
              <w:jc w:val="center"/>
              <w:rPr>
                <w:rFonts w:ascii="Arial Narrow" w:hAnsi="Arial Narrow"/>
                <w:b/>
                <w:sz w:val="20"/>
                <w:szCs w:val="20"/>
              </w:rPr>
            </w:pPr>
            <w:r w:rsidRPr="00CD0D7F">
              <w:rPr>
                <w:rFonts w:ascii="Arial Narrow" w:hAnsi="Arial Narrow"/>
                <w:b/>
                <w:sz w:val="20"/>
                <w:szCs w:val="20"/>
              </w:rPr>
              <w:t>LSG</w:t>
            </w:r>
          </w:p>
        </w:tc>
        <w:tc>
          <w:tcPr>
            <w:tcW w:w="1041" w:type="pct"/>
            <w:vAlign w:val="center"/>
          </w:tcPr>
          <w:p w14:paraId="419612F3" w14:textId="590CEB43" w:rsidR="001E059C" w:rsidRPr="001E059C" w:rsidRDefault="00331ACF" w:rsidP="001E059C">
            <w:pPr>
              <w:spacing w:before="0"/>
              <w:jc w:val="center"/>
              <w:rPr>
                <w:rFonts w:ascii="Arial Narrow" w:hAnsi="Arial Narrow"/>
                <w:b/>
                <w:bCs/>
                <w:sz w:val="20"/>
                <w:szCs w:val="20"/>
              </w:rPr>
            </w:pPr>
            <w:r>
              <w:rPr>
                <w:rFonts w:ascii="Arial Narrow" w:hAnsi="Arial Narrow"/>
                <w:b/>
                <w:bCs/>
                <w:sz w:val="20"/>
                <w:szCs w:val="20"/>
              </w:rPr>
              <w:t>Difference</w:t>
            </w:r>
          </w:p>
        </w:tc>
      </w:tr>
      <w:tr w:rsidR="00331ACF" w:rsidRPr="00143D07" w14:paraId="65B6813B" w14:textId="77777777" w:rsidTr="00850967">
        <w:trPr>
          <w:trHeight w:val="283"/>
        </w:trPr>
        <w:tc>
          <w:tcPr>
            <w:tcW w:w="1875" w:type="pct"/>
            <w:tcBorders>
              <w:bottom w:val="single" w:sz="4" w:space="0" w:color="auto"/>
            </w:tcBorders>
            <w:noWrap/>
            <w:vAlign w:val="center"/>
          </w:tcPr>
          <w:p w14:paraId="1C895C57" w14:textId="18F56B48" w:rsidR="00331ACF" w:rsidRPr="00CD0D7F" w:rsidRDefault="00331ACF" w:rsidP="00A74D96">
            <w:pPr>
              <w:spacing w:before="0"/>
              <w:rPr>
                <w:rFonts w:ascii="Arial Narrow" w:hAnsi="Arial Narrow"/>
                <w:b/>
                <w:sz w:val="20"/>
                <w:szCs w:val="20"/>
              </w:rPr>
            </w:pPr>
            <w:r w:rsidRPr="00CD0D7F">
              <w:rPr>
                <w:rFonts w:ascii="Arial Narrow" w:hAnsi="Arial Narrow"/>
                <w:b/>
                <w:sz w:val="20"/>
                <w:szCs w:val="20"/>
              </w:rPr>
              <w:t>Base case</w:t>
            </w:r>
          </w:p>
        </w:tc>
        <w:tc>
          <w:tcPr>
            <w:tcW w:w="1042" w:type="pct"/>
            <w:tcBorders>
              <w:bottom w:val="single" w:sz="4" w:space="0" w:color="auto"/>
            </w:tcBorders>
            <w:noWrap/>
            <w:vAlign w:val="center"/>
          </w:tcPr>
          <w:p w14:paraId="5CA82F13" w14:textId="01395344" w:rsidR="00331ACF" w:rsidRPr="00CD0D7F" w:rsidRDefault="00EE4196" w:rsidP="00143D07">
            <w:pPr>
              <w:spacing w:before="0"/>
              <w:jc w:val="center"/>
              <w:rPr>
                <w:rFonts w:ascii="Arial Narrow" w:hAnsi="Arial Narrow"/>
                <w:b/>
                <w:sz w:val="20"/>
                <w:szCs w:val="20"/>
              </w:rPr>
            </w:pPr>
            <w:r>
              <w:rPr>
                <w:rFonts w:ascii="Arial Narrow" w:hAnsi="Arial Narrow"/>
                <w:b/>
                <w:bCs/>
                <w:sz w:val="20"/>
                <w:szCs w:val="20"/>
              </w:rPr>
              <w:t>$14,932.39</w:t>
            </w:r>
          </w:p>
        </w:tc>
        <w:tc>
          <w:tcPr>
            <w:tcW w:w="1042" w:type="pct"/>
            <w:tcBorders>
              <w:bottom w:val="single" w:sz="4" w:space="0" w:color="auto"/>
            </w:tcBorders>
            <w:noWrap/>
            <w:vAlign w:val="center"/>
          </w:tcPr>
          <w:p w14:paraId="3B22D1F5" w14:textId="0CF39BFD" w:rsidR="00331ACF" w:rsidRPr="00CD0D7F" w:rsidRDefault="00EE4196" w:rsidP="00143D07">
            <w:pPr>
              <w:spacing w:before="0"/>
              <w:jc w:val="center"/>
              <w:rPr>
                <w:rFonts w:ascii="Arial Narrow" w:hAnsi="Arial Narrow"/>
                <w:b/>
                <w:sz w:val="20"/>
                <w:szCs w:val="20"/>
              </w:rPr>
            </w:pPr>
            <w:r>
              <w:rPr>
                <w:rFonts w:ascii="Arial Narrow" w:hAnsi="Arial Narrow"/>
                <w:b/>
                <w:bCs/>
                <w:sz w:val="20"/>
                <w:szCs w:val="20"/>
              </w:rPr>
              <w:t>$20,590.54</w:t>
            </w:r>
          </w:p>
        </w:tc>
        <w:tc>
          <w:tcPr>
            <w:tcW w:w="1041" w:type="pct"/>
            <w:tcBorders>
              <w:bottom w:val="single" w:sz="4" w:space="0" w:color="auto"/>
            </w:tcBorders>
            <w:vAlign w:val="center"/>
          </w:tcPr>
          <w:p w14:paraId="41DD669E" w14:textId="74D08FDF" w:rsidR="00331ACF" w:rsidRPr="00CD0D7F" w:rsidRDefault="00A56FB9" w:rsidP="00CD0D7F">
            <w:pPr>
              <w:spacing w:before="0"/>
              <w:jc w:val="center"/>
              <w:rPr>
                <w:rFonts w:ascii="Arial Narrow" w:hAnsi="Arial Narrow"/>
                <w:b/>
                <w:sz w:val="20"/>
                <w:szCs w:val="20"/>
              </w:rPr>
            </w:pPr>
            <w:r>
              <w:rPr>
                <w:rFonts w:ascii="Arial Narrow" w:hAnsi="Arial Narrow"/>
                <w:b/>
                <w:bCs/>
                <w:sz w:val="20"/>
                <w:szCs w:val="20"/>
              </w:rPr>
              <w:t>–$</w:t>
            </w:r>
            <w:r w:rsidR="004F7945">
              <w:rPr>
                <w:rFonts w:ascii="Arial Narrow" w:hAnsi="Arial Narrow"/>
                <w:b/>
                <w:bCs/>
                <w:sz w:val="20"/>
                <w:szCs w:val="20"/>
              </w:rPr>
              <w:t>5,658.15</w:t>
            </w:r>
          </w:p>
        </w:tc>
      </w:tr>
      <w:tr w:rsidR="00F64AB3" w:rsidRPr="008A628B" w14:paraId="5DBCE878" w14:textId="77777777" w:rsidTr="00850967">
        <w:trPr>
          <w:trHeight w:val="283"/>
        </w:trPr>
        <w:tc>
          <w:tcPr>
            <w:tcW w:w="5000" w:type="pct"/>
            <w:gridSpan w:val="4"/>
            <w:noWrap/>
            <w:vAlign w:val="center"/>
          </w:tcPr>
          <w:p w14:paraId="0CFCEA80" w14:textId="5DF504BA" w:rsidR="00F64AB3" w:rsidRPr="00CD0D7F" w:rsidRDefault="008A628B" w:rsidP="008A628B">
            <w:pPr>
              <w:spacing w:before="0"/>
              <w:rPr>
                <w:rFonts w:ascii="Arial Narrow" w:hAnsi="Arial Narrow"/>
                <w:b/>
                <w:sz w:val="20"/>
                <w:szCs w:val="20"/>
              </w:rPr>
            </w:pPr>
            <w:r w:rsidRPr="00CD0D7F">
              <w:rPr>
                <w:rFonts w:ascii="Arial Narrow" w:hAnsi="Arial Narrow"/>
                <w:b/>
                <w:bCs/>
                <w:sz w:val="20"/>
                <w:szCs w:val="20"/>
              </w:rPr>
              <w:t>Additional SA presented in the pre-ESC</w:t>
            </w:r>
            <w:r w:rsidR="00030B7E">
              <w:rPr>
                <w:rFonts w:ascii="Arial Narrow" w:hAnsi="Arial Narrow"/>
                <w:b/>
                <w:bCs/>
                <w:sz w:val="20"/>
                <w:szCs w:val="20"/>
              </w:rPr>
              <w:t xml:space="preserve"> and pre-MSAC</w:t>
            </w:r>
            <w:r w:rsidRPr="00CD0D7F">
              <w:rPr>
                <w:rFonts w:ascii="Arial Narrow" w:hAnsi="Arial Narrow"/>
                <w:b/>
                <w:bCs/>
                <w:sz w:val="20"/>
                <w:szCs w:val="20"/>
              </w:rPr>
              <w:t xml:space="preserve"> response</w:t>
            </w:r>
          </w:p>
        </w:tc>
      </w:tr>
      <w:tr w:rsidR="005678E9" w:rsidRPr="008A628B" w14:paraId="0E10B570" w14:textId="77777777" w:rsidTr="006104E8">
        <w:trPr>
          <w:trHeight w:val="283"/>
        </w:trPr>
        <w:tc>
          <w:tcPr>
            <w:tcW w:w="5000" w:type="pct"/>
            <w:gridSpan w:val="4"/>
            <w:noWrap/>
            <w:vAlign w:val="center"/>
          </w:tcPr>
          <w:p w14:paraId="0B566FEE" w14:textId="002C4318" w:rsidR="005678E9" w:rsidRPr="00CD0D7F" w:rsidRDefault="005678E9" w:rsidP="006104E8">
            <w:pPr>
              <w:spacing w:before="0"/>
              <w:rPr>
                <w:rFonts w:ascii="Arial Narrow" w:hAnsi="Arial Narrow"/>
                <w:sz w:val="20"/>
                <w:szCs w:val="20"/>
              </w:rPr>
            </w:pPr>
            <w:r w:rsidRPr="00CD0D7F">
              <w:rPr>
                <w:rFonts w:ascii="Arial Narrow" w:hAnsi="Arial Narrow"/>
                <w:sz w:val="20"/>
                <w:szCs w:val="20"/>
              </w:rPr>
              <w:t xml:space="preserve">Adding </w:t>
            </w:r>
            <w:r>
              <w:rPr>
                <w:rFonts w:ascii="Arial Narrow" w:hAnsi="Arial Narrow"/>
                <w:sz w:val="20"/>
                <w:szCs w:val="20"/>
              </w:rPr>
              <w:t xml:space="preserve">additional </w:t>
            </w:r>
            <w:r w:rsidRPr="00CD0D7F">
              <w:rPr>
                <w:rFonts w:ascii="Arial Narrow" w:hAnsi="Arial Narrow"/>
                <w:sz w:val="20"/>
                <w:szCs w:val="20"/>
              </w:rPr>
              <w:t xml:space="preserve">AE costs </w:t>
            </w:r>
            <w:r>
              <w:rPr>
                <w:rFonts w:ascii="Arial Narrow" w:hAnsi="Arial Narrow"/>
                <w:sz w:val="20"/>
                <w:szCs w:val="20"/>
              </w:rPr>
              <w:t>of reoperation and readmission</w:t>
            </w:r>
            <w:r w:rsidRPr="00CD0D7F">
              <w:rPr>
                <w:rFonts w:ascii="Arial Narrow" w:hAnsi="Arial Narrow"/>
                <w:sz w:val="20"/>
                <w:szCs w:val="20"/>
              </w:rPr>
              <w:t xml:space="preserve"> </w:t>
            </w:r>
          </w:p>
        </w:tc>
      </w:tr>
      <w:tr w:rsidR="00077F9E" w:rsidRPr="00331ACF" w14:paraId="635796DF" w14:textId="5386B634" w:rsidTr="00850967">
        <w:trPr>
          <w:trHeight w:val="283"/>
        </w:trPr>
        <w:tc>
          <w:tcPr>
            <w:tcW w:w="1875" w:type="pct"/>
            <w:noWrap/>
            <w:vAlign w:val="center"/>
            <w:hideMark/>
          </w:tcPr>
          <w:p w14:paraId="33A6760F" w14:textId="623F1DE2" w:rsidR="00077F9E" w:rsidRPr="00CD0D7F" w:rsidRDefault="00A74D96" w:rsidP="00CD0D7F">
            <w:pPr>
              <w:spacing w:before="0"/>
              <w:rPr>
                <w:rFonts w:ascii="Arial Narrow" w:hAnsi="Arial Narrow"/>
                <w:sz w:val="20"/>
                <w:szCs w:val="20"/>
              </w:rPr>
            </w:pPr>
            <w:r w:rsidRPr="00CD0D7F">
              <w:rPr>
                <w:rFonts w:ascii="Arial Narrow" w:hAnsi="Arial Narrow"/>
                <w:sz w:val="20"/>
                <w:szCs w:val="20"/>
              </w:rPr>
              <w:t>AE costs</w:t>
            </w:r>
            <w:r w:rsidR="00CA4A7A" w:rsidRPr="00CD0D7F">
              <w:rPr>
                <w:rFonts w:ascii="Arial Narrow" w:hAnsi="Arial Narrow"/>
                <w:sz w:val="20"/>
                <w:szCs w:val="20"/>
              </w:rPr>
              <w:t xml:space="preserve"> </w:t>
            </w:r>
          </w:p>
        </w:tc>
        <w:tc>
          <w:tcPr>
            <w:tcW w:w="1042" w:type="pct"/>
            <w:noWrap/>
            <w:vAlign w:val="center"/>
            <w:hideMark/>
          </w:tcPr>
          <w:p w14:paraId="140BE4DC" w14:textId="1756C8A2" w:rsidR="00077F9E" w:rsidRPr="00CD0D7F" w:rsidRDefault="00077F9E" w:rsidP="00CD0D7F">
            <w:pPr>
              <w:spacing w:before="0"/>
              <w:jc w:val="center"/>
              <w:rPr>
                <w:rFonts w:ascii="Arial Narrow" w:hAnsi="Arial Narrow"/>
                <w:sz w:val="20"/>
                <w:szCs w:val="20"/>
                <w:vertAlign w:val="superscript"/>
              </w:rPr>
            </w:pPr>
            <w:r w:rsidRPr="00CD0D7F">
              <w:rPr>
                <w:rFonts w:ascii="Arial Narrow" w:hAnsi="Arial Narrow"/>
                <w:sz w:val="20"/>
                <w:szCs w:val="20"/>
              </w:rPr>
              <w:t>$1,259.</w:t>
            </w:r>
            <w:r w:rsidR="00A74D96" w:rsidRPr="00CD0D7F">
              <w:rPr>
                <w:rFonts w:ascii="Arial Narrow" w:hAnsi="Arial Narrow"/>
                <w:sz w:val="20"/>
                <w:szCs w:val="20"/>
              </w:rPr>
              <w:t>73</w:t>
            </w:r>
            <w:r w:rsidR="00D14255" w:rsidRPr="00CD0D7F">
              <w:rPr>
                <w:rFonts w:ascii="Arial Narrow" w:hAnsi="Arial Narrow"/>
                <w:sz w:val="20"/>
                <w:szCs w:val="20"/>
                <w:vertAlign w:val="superscript"/>
              </w:rPr>
              <w:t>a</w:t>
            </w:r>
          </w:p>
        </w:tc>
        <w:tc>
          <w:tcPr>
            <w:tcW w:w="1042" w:type="pct"/>
            <w:noWrap/>
            <w:vAlign w:val="center"/>
            <w:hideMark/>
          </w:tcPr>
          <w:p w14:paraId="2757835F" w14:textId="3D16A48B" w:rsidR="00077F9E" w:rsidRPr="00CD0D7F" w:rsidRDefault="00077F9E" w:rsidP="00CD0D7F">
            <w:pPr>
              <w:spacing w:before="0"/>
              <w:jc w:val="center"/>
              <w:rPr>
                <w:rFonts w:ascii="Arial Narrow" w:hAnsi="Arial Narrow"/>
                <w:sz w:val="20"/>
                <w:szCs w:val="20"/>
                <w:vertAlign w:val="superscript"/>
              </w:rPr>
            </w:pPr>
            <w:r w:rsidRPr="00CD0D7F">
              <w:rPr>
                <w:rFonts w:ascii="Arial Narrow" w:hAnsi="Arial Narrow"/>
                <w:sz w:val="20"/>
                <w:szCs w:val="20"/>
              </w:rPr>
              <w:t>$489.</w:t>
            </w:r>
            <w:r w:rsidR="00A74D96" w:rsidRPr="00CD0D7F">
              <w:rPr>
                <w:rFonts w:ascii="Arial Narrow" w:hAnsi="Arial Narrow"/>
                <w:sz w:val="20"/>
                <w:szCs w:val="20"/>
              </w:rPr>
              <w:t>83</w:t>
            </w:r>
            <w:r w:rsidR="009B0E11">
              <w:rPr>
                <w:rFonts w:ascii="Arial Narrow" w:hAnsi="Arial Narrow"/>
                <w:sz w:val="20"/>
                <w:szCs w:val="20"/>
                <w:vertAlign w:val="superscript"/>
              </w:rPr>
              <w:t>a</w:t>
            </w:r>
          </w:p>
        </w:tc>
        <w:tc>
          <w:tcPr>
            <w:tcW w:w="1041" w:type="pct"/>
            <w:vAlign w:val="center"/>
          </w:tcPr>
          <w:p w14:paraId="40A636CC" w14:textId="7BC76C46" w:rsidR="001E059C" w:rsidRPr="00CD0D7F" w:rsidRDefault="00A74D96" w:rsidP="00CD0D7F">
            <w:pPr>
              <w:spacing w:before="0"/>
              <w:jc w:val="center"/>
              <w:rPr>
                <w:rFonts w:ascii="Arial Narrow" w:hAnsi="Arial Narrow"/>
                <w:sz w:val="20"/>
                <w:szCs w:val="20"/>
              </w:rPr>
            </w:pPr>
            <w:r w:rsidRPr="008A628B">
              <w:rPr>
                <w:rFonts w:ascii="Arial Narrow" w:hAnsi="Arial Narrow"/>
                <w:sz w:val="20"/>
                <w:szCs w:val="20"/>
              </w:rPr>
              <w:t>$769.91</w:t>
            </w:r>
          </w:p>
        </w:tc>
      </w:tr>
      <w:tr w:rsidR="00077F9E" w:rsidRPr="00331ACF" w14:paraId="3087F9DC" w14:textId="493E4E0F" w:rsidTr="00850967">
        <w:trPr>
          <w:trHeight w:val="283"/>
        </w:trPr>
        <w:tc>
          <w:tcPr>
            <w:tcW w:w="1875" w:type="pct"/>
            <w:noWrap/>
            <w:vAlign w:val="center"/>
            <w:hideMark/>
          </w:tcPr>
          <w:p w14:paraId="0E2B2166" w14:textId="57696FCF" w:rsidR="00077F9E" w:rsidRPr="00CD0D7F" w:rsidRDefault="00A74D96" w:rsidP="00CD0D7F">
            <w:pPr>
              <w:spacing w:before="0"/>
              <w:rPr>
                <w:rFonts w:ascii="Arial Narrow" w:hAnsi="Arial Narrow"/>
                <w:sz w:val="20"/>
                <w:szCs w:val="20"/>
              </w:rPr>
            </w:pPr>
            <w:r w:rsidRPr="00CD0D7F">
              <w:rPr>
                <w:rFonts w:ascii="Arial Narrow" w:hAnsi="Arial Narrow"/>
                <w:sz w:val="20"/>
                <w:szCs w:val="20"/>
              </w:rPr>
              <w:t>Total cost</w:t>
            </w:r>
            <w:r w:rsidR="00CA4A7A" w:rsidRPr="00CD0D7F">
              <w:rPr>
                <w:rFonts w:ascii="Arial Narrow" w:hAnsi="Arial Narrow"/>
                <w:sz w:val="20"/>
                <w:szCs w:val="20"/>
              </w:rPr>
              <w:t xml:space="preserve"> </w:t>
            </w:r>
            <w:r w:rsidR="00482F6B">
              <w:rPr>
                <w:rFonts w:ascii="Arial Narrow" w:hAnsi="Arial Narrow"/>
                <w:sz w:val="20"/>
                <w:szCs w:val="20"/>
              </w:rPr>
              <w:t>at 12 months</w:t>
            </w:r>
          </w:p>
        </w:tc>
        <w:tc>
          <w:tcPr>
            <w:tcW w:w="1042" w:type="pct"/>
            <w:noWrap/>
            <w:vAlign w:val="center"/>
            <w:hideMark/>
          </w:tcPr>
          <w:p w14:paraId="27ACFEB1" w14:textId="77777777" w:rsidR="00077F9E" w:rsidRPr="00CD0D7F" w:rsidRDefault="00077F9E" w:rsidP="00CD0D7F">
            <w:pPr>
              <w:spacing w:before="0"/>
              <w:jc w:val="center"/>
              <w:rPr>
                <w:rFonts w:ascii="Arial Narrow" w:hAnsi="Arial Narrow"/>
                <w:sz w:val="20"/>
                <w:szCs w:val="20"/>
              </w:rPr>
            </w:pPr>
            <w:r w:rsidRPr="00CD0D7F">
              <w:rPr>
                <w:rFonts w:ascii="Arial Narrow" w:hAnsi="Arial Narrow"/>
                <w:sz w:val="20"/>
                <w:szCs w:val="20"/>
              </w:rPr>
              <w:t>$16,192.12</w:t>
            </w:r>
          </w:p>
        </w:tc>
        <w:tc>
          <w:tcPr>
            <w:tcW w:w="1042" w:type="pct"/>
            <w:noWrap/>
            <w:vAlign w:val="center"/>
            <w:hideMark/>
          </w:tcPr>
          <w:p w14:paraId="32B3A32E" w14:textId="77777777" w:rsidR="00077F9E" w:rsidRPr="00CD0D7F" w:rsidRDefault="00077F9E" w:rsidP="00CD0D7F">
            <w:pPr>
              <w:spacing w:before="0"/>
              <w:jc w:val="center"/>
              <w:rPr>
                <w:rFonts w:ascii="Arial Narrow" w:hAnsi="Arial Narrow"/>
                <w:sz w:val="20"/>
                <w:szCs w:val="20"/>
              </w:rPr>
            </w:pPr>
            <w:r w:rsidRPr="00CD0D7F">
              <w:rPr>
                <w:rFonts w:ascii="Arial Narrow" w:hAnsi="Arial Narrow"/>
                <w:sz w:val="20"/>
                <w:szCs w:val="20"/>
              </w:rPr>
              <w:t>$21,080.36</w:t>
            </w:r>
          </w:p>
        </w:tc>
        <w:tc>
          <w:tcPr>
            <w:tcW w:w="1041" w:type="pct"/>
            <w:vAlign w:val="center"/>
          </w:tcPr>
          <w:p w14:paraId="24043E90" w14:textId="0185B74F" w:rsidR="001E059C" w:rsidRPr="008A628B" w:rsidRDefault="00CA4A7A" w:rsidP="00CD0D7F">
            <w:pPr>
              <w:spacing w:before="0"/>
              <w:jc w:val="center"/>
              <w:rPr>
                <w:rFonts w:ascii="Arial Narrow" w:hAnsi="Arial Narrow"/>
                <w:sz w:val="20"/>
                <w:szCs w:val="20"/>
              </w:rPr>
            </w:pPr>
            <w:r w:rsidRPr="00CD0D7F">
              <w:rPr>
                <w:rFonts w:ascii="Arial Narrow" w:hAnsi="Arial Narrow"/>
                <w:sz w:val="20"/>
                <w:szCs w:val="20"/>
              </w:rPr>
              <w:t>–</w:t>
            </w:r>
            <w:r w:rsidR="00A74D96" w:rsidRPr="008A628B">
              <w:rPr>
                <w:rFonts w:ascii="Arial Narrow" w:hAnsi="Arial Narrow"/>
                <w:sz w:val="20"/>
                <w:szCs w:val="20"/>
              </w:rPr>
              <w:t>$4,888.24</w:t>
            </w:r>
          </w:p>
        </w:tc>
      </w:tr>
    </w:tbl>
    <w:p w14:paraId="2CBA1919" w14:textId="6F2B653B" w:rsidR="008348CA" w:rsidRPr="003B7931" w:rsidRDefault="008348CA" w:rsidP="00850967">
      <w:pPr>
        <w:pStyle w:val="TableFigureFooter"/>
        <w:rPr>
          <w:sz w:val="20"/>
          <w:szCs w:val="20"/>
        </w:rPr>
      </w:pPr>
      <w:r w:rsidRPr="00D76EFB">
        <w:t>Source</w:t>
      </w:r>
      <w:r w:rsidRPr="007D18A3">
        <w:t>:</w:t>
      </w:r>
      <w:r>
        <w:t xml:space="preserve"> Excel workbook titled ‘1555.1 – Applicants Pre-ESC response model’ (tab ‘</w:t>
      </w:r>
      <w:r w:rsidR="006C44FF">
        <w:t>Settings &amp; Results</w:t>
      </w:r>
      <w:r>
        <w:t>’) the applicant supplied at the request of ESC</w:t>
      </w:r>
      <w:r w:rsidR="0083551D">
        <w:t>; Table 5 of applicant’s pre-MSAC response</w:t>
      </w:r>
      <w:r>
        <w:t>.</w:t>
      </w:r>
    </w:p>
    <w:p w14:paraId="328A27F6" w14:textId="77777777" w:rsidR="00FD5D95" w:rsidRDefault="00FD5D95" w:rsidP="00850967">
      <w:pPr>
        <w:pStyle w:val="TableFigureFooter"/>
      </w:pPr>
      <w:r w:rsidRPr="00D76EFB">
        <w:t>Abbreviations:</w:t>
      </w:r>
      <w:r w:rsidRPr="007E4DE7">
        <w:t xml:space="preserve"> </w:t>
      </w:r>
      <w:r w:rsidRPr="00D76EFB">
        <w:t>AE</w:t>
      </w:r>
      <w:r>
        <w:t xml:space="preserve">: adverse event; </w:t>
      </w:r>
      <w:r w:rsidRPr="00D76EFB">
        <w:t>ESG</w:t>
      </w:r>
      <w:r>
        <w:t xml:space="preserve">: endoscopic sleeve gastroplasty; </w:t>
      </w:r>
      <w:r w:rsidRPr="00D76EFB">
        <w:t>LSG</w:t>
      </w:r>
      <w:r>
        <w:t xml:space="preserve">: laparoscopic sleeve gastrectomy. </w:t>
      </w:r>
    </w:p>
    <w:p w14:paraId="2C4C288E" w14:textId="1D38F77E" w:rsidR="00D14255" w:rsidRPr="00CD0D7F" w:rsidRDefault="00D14255" w:rsidP="00850967">
      <w:pPr>
        <w:pStyle w:val="TableFigureFooter"/>
        <w:rPr>
          <w:i/>
        </w:rPr>
      </w:pPr>
      <w:bookmarkStart w:id="109" w:name="_Ref191559190"/>
      <w:r w:rsidRPr="00CD0D7F">
        <w:rPr>
          <w:i/>
          <w:vertAlign w:val="superscript"/>
        </w:rPr>
        <w:t xml:space="preserve">a </w:t>
      </w:r>
      <w:r w:rsidR="0025737F" w:rsidRPr="00CD0D7F">
        <w:rPr>
          <w:i/>
        </w:rPr>
        <w:t xml:space="preserve">Weighted average </w:t>
      </w:r>
      <w:r w:rsidR="00F220E2">
        <w:rPr>
          <w:i/>
        </w:rPr>
        <w:t xml:space="preserve">cost </w:t>
      </w:r>
      <w:r w:rsidR="0025737F" w:rsidRPr="00CD0D7F">
        <w:rPr>
          <w:i/>
        </w:rPr>
        <w:t xml:space="preserve">of </w:t>
      </w:r>
      <w:r w:rsidR="00843AE0" w:rsidRPr="00CD0D7F">
        <w:rPr>
          <w:i/>
        </w:rPr>
        <w:t>AEs</w:t>
      </w:r>
      <w:r w:rsidR="00B61087" w:rsidRPr="00CD0D7F">
        <w:rPr>
          <w:i/>
        </w:rPr>
        <w:t>. The pre-ESC response added costs associated with</w:t>
      </w:r>
      <w:r w:rsidR="00843AE0" w:rsidRPr="00CD0D7F">
        <w:rPr>
          <w:i/>
        </w:rPr>
        <w:t xml:space="preserve"> </w:t>
      </w:r>
      <w:r w:rsidR="00FB029A" w:rsidRPr="00CD0D7F">
        <w:rPr>
          <w:i/>
        </w:rPr>
        <w:t xml:space="preserve">reoperation </w:t>
      </w:r>
      <w:r w:rsidR="008B60A4" w:rsidRPr="00CD0D7F">
        <w:rPr>
          <w:i/>
        </w:rPr>
        <w:t xml:space="preserve">using same </w:t>
      </w:r>
      <w:r w:rsidR="00D66AB8" w:rsidRPr="00CD0D7F">
        <w:rPr>
          <w:i/>
        </w:rPr>
        <w:t xml:space="preserve">or different </w:t>
      </w:r>
      <w:r w:rsidR="00A81D12" w:rsidRPr="00CD0D7F">
        <w:rPr>
          <w:i/>
        </w:rPr>
        <w:t>procedure</w:t>
      </w:r>
      <w:r w:rsidR="003238C1" w:rsidRPr="00CD0D7F">
        <w:rPr>
          <w:i/>
        </w:rPr>
        <w:t xml:space="preserve"> and readmission </w:t>
      </w:r>
      <w:r w:rsidR="00B61087" w:rsidRPr="00CD0D7F">
        <w:rPr>
          <w:i/>
        </w:rPr>
        <w:t xml:space="preserve">to the cost of AEs included in the economic model </w:t>
      </w:r>
      <w:r w:rsidR="006E4D9F" w:rsidRPr="00CD0D7F">
        <w:rPr>
          <w:i/>
        </w:rPr>
        <w:t>(c.f.</w:t>
      </w:r>
      <w:r w:rsidR="00AC681B" w:rsidRPr="00CD0D7F">
        <w:rPr>
          <w:i/>
        </w:rPr>
        <w:t xml:space="preserve"> </w:t>
      </w:r>
      <w:r w:rsidR="00FC30BF">
        <w:rPr>
          <w:i/>
          <w:iCs/>
        </w:rPr>
        <w:t xml:space="preserve">Table 33 </w:t>
      </w:r>
      <w:r w:rsidR="000A418E" w:rsidRPr="00CD0D7F">
        <w:rPr>
          <w:i/>
          <w:iCs/>
        </w:rPr>
        <w:t>for details of estimation</w:t>
      </w:r>
      <w:r w:rsidR="00AC681B" w:rsidRPr="00CD0D7F">
        <w:rPr>
          <w:i/>
          <w:iCs/>
        </w:rPr>
        <w:t>)</w:t>
      </w:r>
      <w:r w:rsidR="002F4540" w:rsidRPr="00CD0D7F">
        <w:rPr>
          <w:i/>
          <w:iCs/>
        </w:rPr>
        <w:t>.</w:t>
      </w:r>
    </w:p>
    <w:p w14:paraId="56279784" w14:textId="01434ECD" w:rsidR="00316A1D" w:rsidRDefault="00163747" w:rsidP="00316A1D">
      <w:pPr>
        <w:pStyle w:val="Caption"/>
      </w:pPr>
      <w:bookmarkStart w:id="110" w:name="_Ref191573949"/>
      <w:bookmarkEnd w:id="109"/>
      <w:r>
        <w:t xml:space="preserve">Table </w:t>
      </w:r>
      <w:r w:rsidR="00707F6D">
        <w:fldChar w:fldCharType="begin"/>
      </w:r>
      <w:r w:rsidR="00707F6D">
        <w:instrText xml:space="preserve"> SEQ Table \* ARABIC </w:instrText>
      </w:r>
      <w:r w:rsidR="00707F6D">
        <w:fldChar w:fldCharType="separate"/>
      </w:r>
      <w:r w:rsidR="008F37D1">
        <w:rPr>
          <w:noProof/>
        </w:rPr>
        <w:t>33</w:t>
      </w:r>
      <w:r w:rsidR="00707F6D">
        <w:rPr>
          <w:noProof/>
        </w:rPr>
        <w:fldChar w:fldCharType="end"/>
      </w:r>
      <w:bookmarkEnd w:id="110"/>
      <w:r>
        <w:t>:</w:t>
      </w:r>
      <w:r w:rsidRPr="00163747">
        <w:t xml:space="preserve"> </w:t>
      </w:r>
      <w:r>
        <w:t xml:space="preserve">Estimation of AE costs for CMA in </w:t>
      </w:r>
      <w:r w:rsidR="00316A1D">
        <w:t>pre-ESC response</w:t>
      </w:r>
    </w:p>
    <w:tbl>
      <w:tblPr>
        <w:tblStyle w:val="TableGrid"/>
        <w:tblW w:w="5000" w:type="pct"/>
        <w:tblLayout w:type="fixed"/>
        <w:tblLook w:val="04A0" w:firstRow="1" w:lastRow="0" w:firstColumn="1" w:lastColumn="0" w:noHBand="0" w:noVBand="1"/>
      </w:tblPr>
      <w:tblGrid>
        <w:gridCol w:w="1979"/>
        <w:gridCol w:w="1277"/>
        <w:gridCol w:w="1984"/>
        <w:gridCol w:w="1134"/>
        <w:gridCol w:w="2642"/>
      </w:tblGrid>
      <w:tr w:rsidR="004E643E" w:rsidRPr="004E643E" w14:paraId="545D1303" w14:textId="77777777" w:rsidTr="00850967">
        <w:trPr>
          <w:trHeight w:val="283"/>
          <w:tblHeader/>
        </w:trPr>
        <w:tc>
          <w:tcPr>
            <w:tcW w:w="1097" w:type="pct"/>
            <w:tcBorders>
              <w:bottom w:val="single" w:sz="4" w:space="0" w:color="auto"/>
            </w:tcBorders>
            <w:noWrap/>
            <w:vAlign w:val="center"/>
            <w:hideMark/>
          </w:tcPr>
          <w:p w14:paraId="5B999336" w14:textId="57E99372" w:rsidR="004E643E" w:rsidRPr="004E643E" w:rsidRDefault="004E643E" w:rsidP="0057037E">
            <w:pPr>
              <w:pStyle w:val="Tablenotes0"/>
              <w:spacing w:before="0" w:after="0"/>
              <w:jc w:val="left"/>
              <w:rPr>
                <w:b/>
                <w:bCs/>
                <w:sz w:val="20"/>
                <w:szCs w:val="20"/>
              </w:rPr>
            </w:pPr>
          </w:p>
        </w:tc>
        <w:tc>
          <w:tcPr>
            <w:tcW w:w="708" w:type="pct"/>
            <w:tcBorders>
              <w:bottom w:val="single" w:sz="4" w:space="0" w:color="auto"/>
            </w:tcBorders>
            <w:noWrap/>
            <w:vAlign w:val="center"/>
            <w:hideMark/>
          </w:tcPr>
          <w:p w14:paraId="2DB15383" w14:textId="77777777" w:rsidR="004E643E" w:rsidRPr="004E643E" w:rsidRDefault="004E643E" w:rsidP="0057037E">
            <w:pPr>
              <w:pStyle w:val="Tablenotes0"/>
              <w:spacing w:before="0" w:after="0"/>
              <w:jc w:val="center"/>
              <w:rPr>
                <w:b/>
                <w:bCs/>
                <w:sz w:val="20"/>
                <w:szCs w:val="20"/>
              </w:rPr>
            </w:pPr>
            <w:r w:rsidRPr="004E643E">
              <w:rPr>
                <w:b/>
                <w:bCs/>
                <w:sz w:val="20"/>
                <w:szCs w:val="20"/>
              </w:rPr>
              <w:t>Cost per event</w:t>
            </w:r>
          </w:p>
        </w:tc>
        <w:tc>
          <w:tcPr>
            <w:tcW w:w="1100" w:type="pct"/>
            <w:tcBorders>
              <w:bottom w:val="single" w:sz="4" w:space="0" w:color="auto"/>
            </w:tcBorders>
            <w:noWrap/>
            <w:vAlign w:val="center"/>
            <w:hideMark/>
          </w:tcPr>
          <w:p w14:paraId="06DD9AB7" w14:textId="77777777" w:rsidR="004E643E" w:rsidRPr="004E643E" w:rsidRDefault="004E643E" w:rsidP="0057037E">
            <w:pPr>
              <w:pStyle w:val="Tablenotes0"/>
              <w:spacing w:before="0" w:after="0"/>
              <w:jc w:val="left"/>
              <w:rPr>
                <w:b/>
                <w:bCs/>
                <w:sz w:val="20"/>
                <w:szCs w:val="20"/>
              </w:rPr>
            </w:pPr>
            <w:r w:rsidRPr="004E643E">
              <w:rPr>
                <w:b/>
                <w:bCs/>
                <w:sz w:val="20"/>
                <w:szCs w:val="20"/>
              </w:rPr>
              <w:t>Source</w:t>
            </w:r>
          </w:p>
        </w:tc>
        <w:tc>
          <w:tcPr>
            <w:tcW w:w="629" w:type="pct"/>
            <w:tcBorders>
              <w:bottom w:val="single" w:sz="4" w:space="0" w:color="auto"/>
            </w:tcBorders>
            <w:noWrap/>
            <w:vAlign w:val="center"/>
            <w:hideMark/>
          </w:tcPr>
          <w:p w14:paraId="7E8514F3" w14:textId="357C7560" w:rsidR="004E643E" w:rsidRPr="004E643E" w:rsidRDefault="004E643E" w:rsidP="0057037E">
            <w:pPr>
              <w:pStyle w:val="Tablenotes0"/>
              <w:spacing w:before="0" w:after="0"/>
              <w:jc w:val="center"/>
              <w:rPr>
                <w:b/>
                <w:bCs/>
                <w:sz w:val="20"/>
                <w:szCs w:val="20"/>
              </w:rPr>
            </w:pPr>
            <w:r w:rsidRPr="004E643E">
              <w:rPr>
                <w:b/>
                <w:bCs/>
                <w:sz w:val="20"/>
                <w:szCs w:val="20"/>
              </w:rPr>
              <w:t>Incidence</w:t>
            </w:r>
          </w:p>
        </w:tc>
        <w:tc>
          <w:tcPr>
            <w:tcW w:w="1465" w:type="pct"/>
            <w:tcBorders>
              <w:bottom w:val="single" w:sz="4" w:space="0" w:color="auto"/>
            </w:tcBorders>
            <w:noWrap/>
            <w:vAlign w:val="center"/>
            <w:hideMark/>
          </w:tcPr>
          <w:p w14:paraId="5281B080" w14:textId="77777777" w:rsidR="004E643E" w:rsidRPr="004E643E" w:rsidRDefault="004E643E" w:rsidP="0057037E">
            <w:pPr>
              <w:pStyle w:val="Tablenotes0"/>
              <w:spacing w:before="0" w:after="0"/>
              <w:jc w:val="left"/>
              <w:rPr>
                <w:b/>
                <w:bCs/>
                <w:sz w:val="20"/>
                <w:szCs w:val="20"/>
              </w:rPr>
            </w:pPr>
            <w:r w:rsidRPr="004E643E">
              <w:rPr>
                <w:b/>
                <w:bCs/>
                <w:sz w:val="20"/>
                <w:szCs w:val="20"/>
              </w:rPr>
              <w:t>Source</w:t>
            </w:r>
          </w:p>
        </w:tc>
      </w:tr>
      <w:tr w:rsidR="00406A74" w:rsidRPr="004E643E" w14:paraId="162AF623" w14:textId="77777777" w:rsidTr="00850967">
        <w:trPr>
          <w:trHeight w:val="283"/>
        </w:trPr>
        <w:tc>
          <w:tcPr>
            <w:tcW w:w="1097" w:type="pct"/>
            <w:tcBorders>
              <w:right w:val="nil"/>
            </w:tcBorders>
            <w:noWrap/>
            <w:vAlign w:val="center"/>
          </w:tcPr>
          <w:p w14:paraId="4647B716" w14:textId="4BFB87A6" w:rsidR="00406A74" w:rsidRPr="004E643E" w:rsidRDefault="00406A74" w:rsidP="0057037E">
            <w:pPr>
              <w:pStyle w:val="Tablenotes0"/>
              <w:spacing w:before="0" w:after="0"/>
              <w:jc w:val="left"/>
              <w:rPr>
                <w:sz w:val="20"/>
                <w:szCs w:val="20"/>
              </w:rPr>
            </w:pPr>
            <w:r w:rsidRPr="004E643E">
              <w:rPr>
                <w:b/>
                <w:bCs/>
                <w:sz w:val="20"/>
                <w:szCs w:val="20"/>
              </w:rPr>
              <w:t xml:space="preserve">ESG </w:t>
            </w:r>
          </w:p>
        </w:tc>
        <w:tc>
          <w:tcPr>
            <w:tcW w:w="708" w:type="pct"/>
            <w:tcBorders>
              <w:left w:val="nil"/>
              <w:right w:val="nil"/>
            </w:tcBorders>
            <w:noWrap/>
            <w:vAlign w:val="center"/>
          </w:tcPr>
          <w:p w14:paraId="4847ACD2" w14:textId="77777777" w:rsidR="00406A74" w:rsidRPr="004E643E" w:rsidRDefault="00406A74" w:rsidP="0057037E">
            <w:pPr>
              <w:pStyle w:val="Tablenotes0"/>
              <w:spacing w:before="0" w:after="0"/>
              <w:jc w:val="center"/>
              <w:rPr>
                <w:sz w:val="20"/>
                <w:szCs w:val="20"/>
              </w:rPr>
            </w:pPr>
          </w:p>
        </w:tc>
        <w:tc>
          <w:tcPr>
            <w:tcW w:w="1100" w:type="pct"/>
            <w:tcBorders>
              <w:left w:val="nil"/>
              <w:right w:val="nil"/>
            </w:tcBorders>
            <w:vAlign w:val="center"/>
          </w:tcPr>
          <w:p w14:paraId="00BDC85D" w14:textId="77777777" w:rsidR="00406A74" w:rsidRPr="004E643E" w:rsidRDefault="00406A74" w:rsidP="0057037E">
            <w:pPr>
              <w:pStyle w:val="Tablenotes0"/>
              <w:spacing w:before="0" w:after="0"/>
              <w:jc w:val="left"/>
              <w:rPr>
                <w:sz w:val="20"/>
                <w:szCs w:val="20"/>
              </w:rPr>
            </w:pPr>
          </w:p>
        </w:tc>
        <w:tc>
          <w:tcPr>
            <w:tcW w:w="629" w:type="pct"/>
            <w:tcBorders>
              <w:left w:val="nil"/>
              <w:right w:val="nil"/>
            </w:tcBorders>
            <w:noWrap/>
            <w:vAlign w:val="center"/>
          </w:tcPr>
          <w:p w14:paraId="0BBC439F" w14:textId="77777777" w:rsidR="00406A74" w:rsidRPr="004E643E" w:rsidRDefault="00406A74" w:rsidP="0057037E">
            <w:pPr>
              <w:pStyle w:val="Tablenotes0"/>
              <w:spacing w:before="0" w:after="0"/>
              <w:jc w:val="center"/>
              <w:rPr>
                <w:sz w:val="20"/>
                <w:szCs w:val="20"/>
              </w:rPr>
            </w:pPr>
          </w:p>
        </w:tc>
        <w:tc>
          <w:tcPr>
            <w:tcW w:w="1465" w:type="pct"/>
            <w:tcBorders>
              <w:left w:val="nil"/>
            </w:tcBorders>
            <w:noWrap/>
            <w:vAlign w:val="center"/>
          </w:tcPr>
          <w:p w14:paraId="507AE834" w14:textId="77777777" w:rsidR="00406A74" w:rsidRPr="004E643E" w:rsidRDefault="00406A74" w:rsidP="0057037E">
            <w:pPr>
              <w:pStyle w:val="Tablenotes0"/>
              <w:spacing w:before="0" w:after="0"/>
              <w:jc w:val="left"/>
              <w:rPr>
                <w:sz w:val="20"/>
                <w:szCs w:val="20"/>
                <w:u w:val="single"/>
              </w:rPr>
            </w:pPr>
          </w:p>
        </w:tc>
      </w:tr>
      <w:tr w:rsidR="004E643E" w:rsidRPr="004E643E" w14:paraId="74BF0FAC" w14:textId="77777777" w:rsidTr="00850967">
        <w:trPr>
          <w:trHeight w:val="283"/>
        </w:trPr>
        <w:tc>
          <w:tcPr>
            <w:tcW w:w="1097" w:type="pct"/>
            <w:noWrap/>
            <w:vAlign w:val="center"/>
            <w:hideMark/>
          </w:tcPr>
          <w:p w14:paraId="11AF453E" w14:textId="77777777" w:rsidR="004E643E" w:rsidRPr="004E643E" w:rsidRDefault="004E643E" w:rsidP="0057037E">
            <w:pPr>
              <w:pStyle w:val="Tablenotes0"/>
              <w:spacing w:before="0" w:after="0"/>
              <w:jc w:val="left"/>
              <w:rPr>
                <w:sz w:val="20"/>
                <w:szCs w:val="20"/>
              </w:rPr>
            </w:pPr>
            <w:r w:rsidRPr="004E643E">
              <w:rPr>
                <w:sz w:val="20"/>
                <w:szCs w:val="20"/>
              </w:rPr>
              <w:t>Upper Gastrointestinal Bleed</w:t>
            </w:r>
          </w:p>
        </w:tc>
        <w:tc>
          <w:tcPr>
            <w:tcW w:w="708" w:type="pct"/>
            <w:noWrap/>
            <w:vAlign w:val="center"/>
            <w:hideMark/>
          </w:tcPr>
          <w:p w14:paraId="0C000543" w14:textId="77777777" w:rsidR="004E643E" w:rsidRPr="004E643E" w:rsidRDefault="004E643E" w:rsidP="0057037E">
            <w:pPr>
              <w:pStyle w:val="Tablenotes0"/>
              <w:spacing w:before="0" w:after="0"/>
              <w:jc w:val="center"/>
              <w:rPr>
                <w:sz w:val="20"/>
                <w:szCs w:val="20"/>
              </w:rPr>
            </w:pPr>
            <w:r w:rsidRPr="004E643E">
              <w:rPr>
                <w:sz w:val="20"/>
                <w:szCs w:val="20"/>
              </w:rPr>
              <w:t>$4,209.13</w:t>
            </w:r>
          </w:p>
        </w:tc>
        <w:tc>
          <w:tcPr>
            <w:tcW w:w="1100" w:type="pct"/>
            <w:vAlign w:val="center"/>
            <w:hideMark/>
          </w:tcPr>
          <w:p w14:paraId="77D6957B" w14:textId="77777777" w:rsidR="004E643E" w:rsidRPr="004E643E" w:rsidRDefault="004E643E" w:rsidP="0057037E">
            <w:pPr>
              <w:pStyle w:val="Tablenotes0"/>
              <w:spacing w:before="0" w:after="0"/>
              <w:jc w:val="left"/>
              <w:rPr>
                <w:sz w:val="20"/>
                <w:szCs w:val="20"/>
              </w:rPr>
            </w:pPr>
            <w:r w:rsidRPr="004E643E">
              <w:rPr>
                <w:sz w:val="20"/>
                <w:szCs w:val="20"/>
              </w:rPr>
              <w:t>IHACPA 2023 G61 weighted</w:t>
            </w:r>
          </w:p>
        </w:tc>
        <w:tc>
          <w:tcPr>
            <w:tcW w:w="629" w:type="pct"/>
            <w:noWrap/>
            <w:vAlign w:val="center"/>
            <w:hideMark/>
          </w:tcPr>
          <w:p w14:paraId="7E318E16" w14:textId="77777777" w:rsidR="004E643E" w:rsidRPr="004E643E" w:rsidRDefault="004E643E" w:rsidP="0057037E">
            <w:pPr>
              <w:pStyle w:val="Tablenotes0"/>
              <w:spacing w:before="0" w:after="0"/>
              <w:jc w:val="center"/>
              <w:rPr>
                <w:sz w:val="20"/>
                <w:szCs w:val="20"/>
              </w:rPr>
            </w:pPr>
            <w:r w:rsidRPr="004E643E">
              <w:rPr>
                <w:sz w:val="20"/>
                <w:szCs w:val="20"/>
              </w:rPr>
              <w:t>0.56%</w:t>
            </w:r>
          </w:p>
        </w:tc>
        <w:tc>
          <w:tcPr>
            <w:tcW w:w="1465" w:type="pct"/>
            <w:noWrap/>
            <w:vAlign w:val="center"/>
            <w:hideMark/>
          </w:tcPr>
          <w:p w14:paraId="4E24CC51" w14:textId="5DD257F2" w:rsidR="004E643E" w:rsidRPr="004E643E" w:rsidRDefault="00836E02" w:rsidP="0057037E">
            <w:pPr>
              <w:pStyle w:val="Tablenotes0"/>
              <w:spacing w:before="0" w:after="0"/>
              <w:jc w:val="left"/>
              <w:rPr>
                <w:sz w:val="20"/>
                <w:szCs w:val="20"/>
                <w:u w:val="single"/>
              </w:rPr>
            </w:pPr>
            <w:r w:rsidRPr="00AE36DD">
              <w:t>Efficacy and Safety of Endoscopic Sleeve Gastroplasty: A Systematic Review and Meta-Analysis - PubMed (nih.gov)</w:t>
            </w:r>
          </w:p>
        </w:tc>
      </w:tr>
      <w:tr w:rsidR="004E643E" w:rsidRPr="004E643E" w14:paraId="2A395ADB" w14:textId="77777777" w:rsidTr="00850967">
        <w:trPr>
          <w:trHeight w:val="283"/>
        </w:trPr>
        <w:tc>
          <w:tcPr>
            <w:tcW w:w="1097" w:type="pct"/>
            <w:noWrap/>
            <w:vAlign w:val="center"/>
            <w:hideMark/>
          </w:tcPr>
          <w:p w14:paraId="60C927ED" w14:textId="77777777" w:rsidR="004E643E" w:rsidRPr="004E643E" w:rsidRDefault="004E643E" w:rsidP="0057037E">
            <w:pPr>
              <w:pStyle w:val="Tablenotes0"/>
              <w:spacing w:before="0" w:after="0"/>
              <w:jc w:val="left"/>
              <w:rPr>
                <w:sz w:val="20"/>
                <w:szCs w:val="20"/>
              </w:rPr>
            </w:pPr>
            <w:r w:rsidRPr="004E643E">
              <w:rPr>
                <w:sz w:val="20"/>
                <w:szCs w:val="20"/>
              </w:rPr>
              <w:t>Nausea/Vomiting/Pain</w:t>
            </w:r>
          </w:p>
        </w:tc>
        <w:tc>
          <w:tcPr>
            <w:tcW w:w="708" w:type="pct"/>
            <w:noWrap/>
            <w:vAlign w:val="center"/>
            <w:hideMark/>
          </w:tcPr>
          <w:p w14:paraId="200DA569" w14:textId="77777777" w:rsidR="004E643E" w:rsidRPr="004E643E" w:rsidRDefault="004E643E" w:rsidP="0057037E">
            <w:pPr>
              <w:pStyle w:val="Tablenotes0"/>
              <w:spacing w:before="0" w:after="0"/>
              <w:jc w:val="center"/>
              <w:rPr>
                <w:sz w:val="20"/>
                <w:szCs w:val="20"/>
              </w:rPr>
            </w:pPr>
            <w:r w:rsidRPr="004E643E">
              <w:rPr>
                <w:sz w:val="20"/>
                <w:szCs w:val="20"/>
              </w:rPr>
              <w:t>$4,481.89</w:t>
            </w:r>
          </w:p>
        </w:tc>
        <w:tc>
          <w:tcPr>
            <w:tcW w:w="1100" w:type="pct"/>
            <w:vAlign w:val="center"/>
            <w:hideMark/>
          </w:tcPr>
          <w:p w14:paraId="468F7FB7" w14:textId="0182821B" w:rsidR="004E643E" w:rsidRPr="004E643E" w:rsidRDefault="004E643E" w:rsidP="0057037E">
            <w:pPr>
              <w:pStyle w:val="Tablenotes0"/>
              <w:spacing w:before="0" w:after="0"/>
              <w:jc w:val="left"/>
              <w:rPr>
                <w:sz w:val="20"/>
                <w:szCs w:val="20"/>
              </w:rPr>
            </w:pPr>
            <w:r w:rsidRPr="004E643E">
              <w:rPr>
                <w:sz w:val="20"/>
                <w:szCs w:val="20"/>
              </w:rPr>
              <w:t>IHACPA 2023 G70,</w:t>
            </w:r>
            <w:r w:rsidR="00751851">
              <w:rPr>
                <w:sz w:val="20"/>
                <w:szCs w:val="20"/>
              </w:rPr>
              <w:t xml:space="preserve"> </w:t>
            </w:r>
            <w:r w:rsidRPr="004E643E">
              <w:rPr>
                <w:sz w:val="20"/>
                <w:szCs w:val="20"/>
              </w:rPr>
              <w:t>Z61 weighted</w:t>
            </w:r>
          </w:p>
        </w:tc>
        <w:tc>
          <w:tcPr>
            <w:tcW w:w="629" w:type="pct"/>
            <w:noWrap/>
            <w:vAlign w:val="center"/>
            <w:hideMark/>
          </w:tcPr>
          <w:p w14:paraId="0A236FC4" w14:textId="77777777" w:rsidR="004E643E" w:rsidRPr="004E643E" w:rsidRDefault="004E643E" w:rsidP="0057037E">
            <w:pPr>
              <w:pStyle w:val="Tablenotes0"/>
              <w:spacing w:before="0" w:after="0"/>
              <w:jc w:val="center"/>
              <w:rPr>
                <w:sz w:val="20"/>
                <w:szCs w:val="20"/>
              </w:rPr>
            </w:pPr>
            <w:r w:rsidRPr="004E643E">
              <w:rPr>
                <w:sz w:val="20"/>
                <w:szCs w:val="20"/>
              </w:rPr>
              <w:t>1.08%</w:t>
            </w:r>
          </w:p>
        </w:tc>
        <w:tc>
          <w:tcPr>
            <w:tcW w:w="1465" w:type="pct"/>
            <w:noWrap/>
            <w:vAlign w:val="center"/>
            <w:hideMark/>
          </w:tcPr>
          <w:p w14:paraId="0C837558" w14:textId="6984BAB3" w:rsidR="004E643E" w:rsidRPr="004E643E" w:rsidRDefault="00836E02" w:rsidP="0057037E">
            <w:pPr>
              <w:pStyle w:val="Tablenotes0"/>
              <w:spacing w:before="0" w:after="0"/>
              <w:jc w:val="left"/>
              <w:rPr>
                <w:sz w:val="20"/>
                <w:szCs w:val="20"/>
                <w:u w:val="single"/>
              </w:rPr>
            </w:pPr>
            <w:r w:rsidRPr="00AE36DD">
              <w:t>Efficacy and Safety of Endoscopic Sleeve Gastroplasty: A Systematic Review and Meta-Analysis - PubMed (nih.gov)</w:t>
            </w:r>
          </w:p>
        </w:tc>
      </w:tr>
      <w:tr w:rsidR="004E643E" w:rsidRPr="004E643E" w14:paraId="6D30B3CF" w14:textId="77777777" w:rsidTr="00850967">
        <w:trPr>
          <w:trHeight w:val="283"/>
        </w:trPr>
        <w:tc>
          <w:tcPr>
            <w:tcW w:w="1097" w:type="pct"/>
            <w:noWrap/>
            <w:vAlign w:val="center"/>
            <w:hideMark/>
          </w:tcPr>
          <w:p w14:paraId="755F4BA3" w14:textId="77777777" w:rsidR="004E643E" w:rsidRPr="004E643E" w:rsidRDefault="004E643E" w:rsidP="0057037E">
            <w:pPr>
              <w:pStyle w:val="Tablenotes0"/>
              <w:spacing w:before="0" w:after="0"/>
              <w:jc w:val="left"/>
              <w:rPr>
                <w:sz w:val="20"/>
                <w:szCs w:val="20"/>
              </w:rPr>
            </w:pPr>
            <w:r w:rsidRPr="004E643E">
              <w:rPr>
                <w:sz w:val="20"/>
                <w:szCs w:val="20"/>
              </w:rPr>
              <w:t>Perigastric leak</w:t>
            </w:r>
          </w:p>
        </w:tc>
        <w:tc>
          <w:tcPr>
            <w:tcW w:w="708" w:type="pct"/>
            <w:noWrap/>
            <w:vAlign w:val="center"/>
            <w:hideMark/>
          </w:tcPr>
          <w:p w14:paraId="63E5A260" w14:textId="77777777" w:rsidR="004E643E" w:rsidRPr="004E643E" w:rsidRDefault="004E643E" w:rsidP="0057037E">
            <w:pPr>
              <w:pStyle w:val="Tablenotes0"/>
              <w:spacing w:before="0" w:after="0"/>
              <w:jc w:val="center"/>
              <w:rPr>
                <w:sz w:val="20"/>
                <w:szCs w:val="20"/>
              </w:rPr>
            </w:pPr>
            <w:r w:rsidRPr="004E643E">
              <w:rPr>
                <w:sz w:val="20"/>
                <w:szCs w:val="20"/>
              </w:rPr>
              <w:t>$20,966.74</w:t>
            </w:r>
          </w:p>
        </w:tc>
        <w:tc>
          <w:tcPr>
            <w:tcW w:w="1100" w:type="pct"/>
            <w:vAlign w:val="center"/>
            <w:hideMark/>
          </w:tcPr>
          <w:p w14:paraId="7B9327F2" w14:textId="77777777" w:rsidR="004E643E" w:rsidRPr="004E643E" w:rsidRDefault="004E643E" w:rsidP="0057037E">
            <w:pPr>
              <w:pStyle w:val="Tablenotes0"/>
              <w:spacing w:before="0" w:after="0"/>
              <w:jc w:val="left"/>
              <w:rPr>
                <w:sz w:val="20"/>
                <w:szCs w:val="20"/>
              </w:rPr>
            </w:pPr>
            <w:r w:rsidRPr="004E643E">
              <w:rPr>
                <w:sz w:val="20"/>
                <w:szCs w:val="20"/>
              </w:rPr>
              <w:t>IHACPA 2023 G12 weighted</w:t>
            </w:r>
          </w:p>
        </w:tc>
        <w:tc>
          <w:tcPr>
            <w:tcW w:w="629" w:type="pct"/>
            <w:noWrap/>
            <w:vAlign w:val="center"/>
            <w:hideMark/>
          </w:tcPr>
          <w:p w14:paraId="57705E68" w14:textId="77777777" w:rsidR="004E643E" w:rsidRPr="004E643E" w:rsidRDefault="004E643E" w:rsidP="0057037E">
            <w:pPr>
              <w:pStyle w:val="Tablenotes0"/>
              <w:spacing w:before="0" w:after="0"/>
              <w:jc w:val="center"/>
              <w:rPr>
                <w:sz w:val="20"/>
                <w:szCs w:val="20"/>
              </w:rPr>
            </w:pPr>
            <w:r w:rsidRPr="004E643E">
              <w:rPr>
                <w:sz w:val="20"/>
                <w:szCs w:val="20"/>
              </w:rPr>
              <w:t>0.48%</w:t>
            </w:r>
          </w:p>
        </w:tc>
        <w:tc>
          <w:tcPr>
            <w:tcW w:w="1465" w:type="pct"/>
            <w:noWrap/>
            <w:vAlign w:val="center"/>
            <w:hideMark/>
          </w:tcPr>
          <w:p w14:paraId="0CE2A06A" w14:textId="23FB526D" w:rsidR="004E643E" w:rsidRPr="004E643E" w:rsidRDefault="00836E02" w:rsidP="0057037E">
            <w:pPr>
              <w:pStyle w:val="Tablenotes0"/>
              <w:spacing w:before="0" w:after="0"/>
              <w:jc w:val="left"/>
              <w:rPr>
                <w:sz w:val="20"/>
                <w:szCs w:val="20"/>
                <w:u w:val="single"/>
              </w:rPr>
            </w:pPr>
            <w:r w:rsidRPr="00AE36DD">
              <w:t>Efficacy and Safety of Endoscopic Sleeve Gastroplasty: A Systematic Review and Meta-Analysis - PubMed (nih.gov)</w:t>
            </w:r>
          </w:p>
        </w:tc>
      </w:tr>
      <w:tr w:rsidR="004E643E" w:rsidRPr="004E643E" w14:paraId="42B9EA04" w14:textId="77777777" w:rsidTr="00850967">
        <w:trPr>
          <w:trHeight w:val="283"/>
        </w:trPr>
        <w:tc>
          <w:tcPr>
            <w:tcW w:w="1097" w:type="pct"/>
            <w:noWrap/>
            <w:vAlign w:val="center"/>
            <w:hideMark/>
          </w:tcPr>
          <w:p w14:paraId="006EF9F9" w14:textId="77777777" w:rsidR="004E643E" w:rsidRPr="004E643E" w:rsidRDefault="004E643E" w:rsidP="0057037E">
            <w:pPr>
              <w:pStyle w:val="Tablenotes0"/>
              <w:spacing w:before="0" w:after="0"/>
              <w:jc w:val="left"/>
              <w:rPr>
                <w:sz w:val="20"/>
                <w:szCs w:val="20"/>
              </w:rPr>
            </w:pPr>
            <w:r w:rsidRPr="004E643E">
              <w:rPr>
                <w:sz w:val="20"/>
                <w:szCs w:val="20"/>
              </w:rPr>
              <w:t>Reoperation - Same procedure (ESG)</w:t>
            </w:r>
          </w:p>
        </w:tc>
        <w:tc>
          <w:tcPr>
            <w:tcW w:w="708" w:type="pct"/>
            <w:noWrap/>
            <w:vAlign w:val="center"/>
            <w:hideMark/>
          </w:tcPr>
          <w:p w14:paraId="3C787CFB" w14:textId="77777777" w:rsidR="004E643E" w:rsidRPr="004E643E" w:rsidRDefault="004E643E" w:rsidP="0057037E">
            <w:pPr>
              <w:pStyle w:val="Tablenotes0"/>
              <w:spacing w:before="0" w:after="0"/>
              <w:jc w:val="center"/>
              <w:rPr>
                <w:sz w:val="20"/>
                <w:szCs w:val="20"/>
              </w:rPr>
            </w:pPr>
            <w:r w:rsidRPr="004E643E">
              <w:rPr>
                <w:sz w:val="20"/>
                <w:szCs w:val="20"/>
              </w:rPr>
              <w:t>$14,932.39</w:t>
            </w:r>
          </w:p>
        </w:tc>
        <w:tc>
          <w:tcPr>
            <w:tcW w:w="1100" w:type="pct"/>
            <w:vAlign w:val="center"/>
            <w:hideMark/>
          </w:tcPr>
          <w:p w14:paraId="755F7383" w14:textId="77777777" w:rsidR="004E643E" w:rsidRPr="00CD0D7F" w:rsidRDefault="004E643E" w:rsidP="0057037E">
            <w:pPr>
              <w:pStyle w:val="Tablenotes0"/>
              <w:spacing w:before="0" w:after="0"/>
              <w:jc w:val="left"/>
              <w:rPr>
                <w:sz w:val="20"/>
                <w:szCs w:val="20"/>
              </w:rPr>
            </w:pPr>
            <w:r w:rsidRPr="00CD0D7F">
              <w:rPr>
                <w:sz w:val="20"/>
                <w:szCs w:val="20"/>
              </w:rPr>
              <w:t>ESG Procedure Cost</w:t>
            </w:r>
          </w:p>
        </w:tc>
        <w:tc>
          <w:tcPr>
            <w:tcW w:w="629" w:type="pct"/>
            <w:noWrap/>
            <w:vAlign w:val="center"/>
            <w:hideMark/>
          </w:tcPr>
          <w:p w14:paraId="69DF5515" w14:textId="77777777" w:rsidR="004E643E" w:rsidRPr="004E643E" w:rsidRDefault="004E643E" w:rsidP="0057037E">
            <w:pPr>
              <w:pStyle w:val="Tablenotes0"/>
              <w:spacing w:before="0" w:after="0"/>
              <w:jc w:val="center"/>
              <w:rPr>
                <w:sz w:val="20"/>
                <w:szCs w:val="20"/>
              </w:rPr>
            </w:pPr>
            <w:r w:rsidRPr="004E643E">
              <w:rPr>
                <w:sz w:val="20"/>
                <w:szCs w:val="20"/>
              </w:rPr>
              <w:t>0.90%</w:t>
            </w:r>
          </w:p>
        </w:tc>
        <w:tc>
          <w:tcPr>
            <w:tcW w:w="1465" w:type="pct"/>
            <w:noWrap/>
            <w:vAlign w:val="center"/>
            <w:hideMark/>
          </w:tcPr>
          <w:p w14:paraId="37D0076E" w14:textId="77777777" w:rsidR="004E643E" w:rsidRPr="004E643E" w:rsidRDefault="004E643E" w:rsidP="0057037E">
            <w:pPr>
              <w:pStyle w:val="Tablenotes0"/>
              <w:spacing w:before="0" w:after="0"/>
              <w:jc w:val="left"/>
              <w:rPr>
                <w:sz w:val="20"/>
                <w:szCs w:val="20"/>
              </w:rPr>
            </w:pPr>
            <w:r w:rsidRPr="004E643E">
              <w:rPr>
                <w:sz w:val="20"/>
                <w:szCs w:val="20"/>
              </w:rPr>
              <w:t>Alqahtani, Elahmedi et al. (2022)</w:t>
            </w:r>
          </w:p>
        </w:tc>
      </w:tr>
      <w:tr w:rsidR="004E643E" w:rsidRPr="004E643E" w14:paraId="0019DF44" w14:textId="77777777" w:rsidTr="00850967">
        <w:trPr>
          <w:trHeight w:val="283"/>
        </w:trPr>
        <w:tc>
          <w:tcPr>
            <w:tcW w:w="1097" w:type="pct"/>
            <w:noWrap/>
            <w:vAlign w:val="center"/>
            <w:hideMark/>
          </w:tcPr>
          <w:p w14:paraId="71537A3C" w14:textId="77777777" w:rsidR="004E643E" w:rsidRPr="004E643E" w:rsidRDefault="004E643E" w:rsidP="0057037E">
            <w:pPr>
              <w:pStyle w:val="Tablenotes0"/>
              <w:spacing w:before="0" w:after="0"/>
              <w:jc w:val="left"/>
              <w:rPr>
                <w:sz w:val="20"/>
                <w:szCs w:val="20"/>
              </w:rPr>
            </w:pPr>
            <w:r w:rsidRPr="004E643E">
              <w:rPr>
                <w:sz w:val="20"/>
                <w:szCs w:val="20"/>
              </w:rPr>
              <w:t>Reoperation - Different procedure (LSG)</w:t>
            </w:r>
          </w:p>
        </w:tc>
        <w:tc>
          <w:tcPr>
            <w:tcW w:w="708" w:type="pct"/>
            <w:noWrap/>
            <w:vAlign w:val="center"/>
            <w:hideMark/>
          </w:tcPr>
          <w:p w14:paraId="2A854762" w14:textId="77777777" w:rsidR="004E643E" w:rsidRPr="004E643E" w:rsidRDefault="004E643E" w:rsidP="0057037E">
            <w:pPr>
              <w:pStyle w:val="Tablenotes0"/>
              <w:spacing w:before="0" w:after="0"/>
              <w:jc w:val="center"/>
              <w:rPr>
                <w:sz w:val="20"/>
                <w:szCs w:val="20"/>
              </w:rPr>
            </w:pPr>
            <w:r w:rsidRPr="004E643E">
              <w:rPr>
                <w:sz w:val="20"/>
                <w:szCs w:val="20"/>
              </w:rPr>
              <w:t>$20,590.54</w:t>
            </w:r>
          </w:p>
        </w:tc>
        <w:tc>
          <w:tcPr>
            <w:tcW w:w="1100" w:type="pct"/>
            <w:vAlign w:val="center"/>
            <w:hideMark/>
          </w:tcPr>
          <w:p w14:paraId="5610508B" w14:textId="77777777" w:rsidR="004E643E" w:rsidRPr="00CD0D7F" w:rsidRDefault="004E643E" w:rsidP="0057037E">
            <w:pPr>
              <w:pStyle w:val="Tablenotes0"/>
              <w:spacing w:before="0" w:after="0"/>
              <w:jc w:val="left"/>
              <w:rPr>
                <w:sz w:val="20"/>
                <w:szCs w:val="20"/>
              </w:rPr>
            </w:pPr>
            <w:r w:rsidRPr="00CD0D7F">
              <w:rPr>
                <w:sz w:val="20"/>
                <w:szCs w:val="20"/>
              </w:rPr>
              <w:t>LSG Procedure Cost</w:t>
            </w:r>
          </w:p>
        </w:tc>
        <w:tc>
          <w:tcPr>
            <w:tcW w:w="629" w:type="pct"/>
            <w:noWrap/>
            <w:vAlign w:val="center"/>
            <w:hideMark/>
          </w:tcPr>
          <w:p w14:paraId="4AEECB72" w14:textId="77777777" w:rsidR="004E643E" w:rsidRPr="004E643E" w:rsidRDefault="004E643E" w:rsidP="0057037E">
            <w:pPr>
              <w:pStyle w:val="Tablenotes0"/>
              <w:spacing w:before="0" w:after="0"/>
              <w:jc w:val="center"/>
              <w:rPr>
                <w:sz w:val="20"/>
                <w:szCs w:val="20"/>
              </w:rPr>
            </w:pPr>
            <w:r w:rsidRPr="004E643E">
              <w:rPr>
                <w:sz w:val="20"/>
                <w:szCs w:val="20"/>
              </w:rPr>
              <w:t>2.70%</w:t>
            </w:r>
          </w:p>
        </w:tc>
        <w:tc>
          <w:tcPr>
            <w:tcW w:w="1465" w:type="pct"/>
            <w:noWrap/>
            <w:vAlign w:val="center"/>
            <w:hideMark/>
          </w:tcPr>
          <w:p w14:paraId="45FFC448" w14:textId="77777777" w:rsidR="004E643E" w:rsidRPr="004E643E" w:rsidRDefault="004E643E" w:rsidP="0057037E">
            <w:pPr>
              <w:pStyle w:val="Tablenotes0"/>
              <w:spacing w:before="0" w:after="0"/>
              <w:jc w:val="left"/>
              <w:rPr>
                <w:sz w:val="20"/>
                <w:szCs w:val="20"/>
              </w:rPr>
            </w:pPr>
            <w:r w:rsidRPr="004E643E">
              <w:rPr>
                <w:sz w:val="20"/>
                <w:szCs w:val="20"/>
              </w:rPr>
              <w:t>Alqahtani, Elahmedi et al. (2022)</w:t>
            </w:r>
          </w:p>
        </w:tc>
      </w:tr>
      <w:tr w:rsidR="004E643E" w:rsidRPr="004E643E" w14:paraId="1B09C471" w14:textId="77777777" w:rsidTr="00850967">
        <w:trPr>
          <w:trHeight w:val="283"/>
        </w:trPr>
        <w:tc>
          <w:tcPr>
            <w:tcW w:w="1097" w:type="pct"/>
            <w:noWrap/>
            <w:vAlign w:val="center"/>
            <w:hideMark/>
          </w:tcPr>
          <w:p w14:paraId="7B96F6C3" w14:textId="77777777" w:rsidR="004E643E" w:rsidRPr="004E643E" w:rsidRDefault="004E643E" w:rsidP="0057037E">
            <w:pPr>
              <w:pStyle w:val="Tablenotes0"/>
              <w:spacing w:before="0" w:after="0"/>
              <w:jc w:val="left"/>
              <w:rPr>
                <w:sz w:val="20"/>
                <w:szCs w:val="20"/>
              </w:rPr>
            </w:pPr>
            <w:r w:rsidRPr="004E643E">
              <w:rPr>
                <w:sz w:val="20"/>
                <w:szCs w:val="20"/>
              </w:rPr>
              <w:t>Readmission</w:t>
            </w:r>
          </w:p>
        </w:tc>
        <w:tc>
          <w:tcPr>
            <w:tcW w:w="708" w:type="pct"/>
            <w:tcBorders>
              <w:bottom w:val="single" w:sz="4" w:space="0" w:color="auto"/>
            </w:tcBorders>
            <w:noWrap/>
            <w:vAlign w:val="center"/>
            <w:hideMark/>
          </w:tcPr>
          <w:p w14:paraId="6985867B" w14:textId="77777777" w:rsidR="004E643E" w:rsidRPr="004E643E" w:rsidRDefault="004E643E" w:rsidP="0057037E">
            <w:pPr>
              <w:pStyle w:val="Tablenotes0"/>
              <w:spacing w:before="0" w:after="0"/>
              <w:jc w:val="center"/>
              <w:rPr>
                <w:sz w:val="20"/>
                <w:szCs w:val="20"/>
              </w:rPr>
            </w:pPr>
            <w:r w:rsidRPr="004E643E">
              <w:rPr>
                <w:sz w:val="20"/>
                <w:szCs w:val="20"/>
              </w:rPr>
              <w:t>$10,441.62</w:t>
            </w:r>
          </w:p>
        </w:tc>
        <w:tc>
          <w:tcPr>
            <w:tcW w:w="1100" w:type="pct"/>
            <w:tcBorders>
              <w:bottom w:val="single" w:sz="4" w:space="0" w:color="auto"/>
            </w:tcBorders>
            <w:vAlign w:val="center"/>
            <w:hideMark/>
          </w:tcPr>
          <w:p w14:paraId="42851D09" w14:textId="77777777" w:rsidR="004E643E" w:rsidRPr="004E643E" w:rsidRDefault="004E643E" w:rsidP="0057037E">
            <w:pPr>
              <w:pStyle w:val="Tablenotes0"/>
              <w:spacing w:before="0" w:after="0"/>
              <w:jc w:val="left"/>
              <w:rPr>
                <w:sz w:val="20"/>
                <w:szCs w:val="20"/>
              </w:rPr>
            </w:pPr>
            <w:r w:rsidRPr="004E643E">
              <w:rPr>
                <w:sz w:val="20"/>
                <w:szCs w:val="20"/>
              </w:rPr>
              <w:t>IHACPA 2023 K12Z</w:t>
            </w:r>
          </w:p>
        </w:tc>
        <w:tc>
          <w:tcPr>
            <w:tcW w:w="629" w:type="pct"/>
            <w:tcBorders>
              <w:bottom w:val="single" w:sz="4" w:space="0" w:color="auto"/>
            </w:tcBorders>
            <w:noWrap/>
            <w:vAlign w:val="center"/>
            <w:hideMark/>
          </w:tcPr>
          <w:p w14:paraId="07B7C1E2" w14:textId="77777777" w:rsidR="004E643E" w:rsidRPr="004E643E" w:rsidRDefault="004E643E" w:rsidP="0057037E">
            <w:pPr>
              <w:pStyle w:val="Tablenotes0"/>
              <w:spacing w:before="0" w:after="0"/>
              <w:jc w:val="center"/>
              <w:rPr>
                <w:sz w:val="20"/>
                <w:szCs w:val="20"/>
              </w:rPr>
            </w:pPr>
            <w:r w:rsidRPr="004E643E">
              <w:rPr>
                <w:sz w:val="20"/>
                <w:szCs w:val="20"/>
              </w:rPr>
              <w:t>3.80%</w:t>
            </w:r>
          </w:p>
        </w:tc>
        <w:tc>
          <w:tcPr>
            <w:tcW w:w="1465" w:type="pct"/>
            <w:tcBorders>
              <w:bottom w:val="single" w:sz="4" w:space="0" w:color="auto"/>
            </w:tcBorders>
            <w:noWrap/>
            <w:vAlign w:val="center"/>
            <w:hideMark/>
          </w:tcPr>
          <w:p w14:paraId="2F95A5E3" w14:textId="77777777" w:rsidR="004E643E" w:rsidRPr="004E643E" w:rsidRDefault="004E643E" w:rsidP="0057037E">
            <w:pPr>
              <w:pStyle w:val="Tablenotes0"/>
              <w:spacing w:before="0" w:after="0"/>
              <w:jc w:val="left"/>
              <w:rPr>
                <w:sz w:val="20"/>
                <w:szCs w:val="20"/>
              </w:rPr>
            </w:pPr>
            <w:r w:rsidRPr="004E643E">
              <w:rPr>
                <w:sz w:val="20"/>
                <w:szCs w:val="20"/>
              </w:rPr>
              <w:t>Gudur, Geng et al., 2023b</w:t>
            </w:r>
          </w:p>
        </w:tc>
      </w:tr>
      <w:tr w:rsidR="004E643E" w:rsidRPr="004E643E" w14:paraId="6CFCD077" w14:textId="77777777" w:rsidTr="00850967">
        <w:trPr>
          <w:trHeight w:val="283"/>
        </w:trPr>
        <w:tc>
          <w:tcPr>
            <w:tcW w:w="1097" w:type="pct"/>
            <w:tcBorders>
              <w:bottom w:val="single" w:sz="4" w:space="0" w:color="auto"/>
            </w:tcBorders>
            <w:noWrap/>
            <w:vAlign w:val="center"/>
            <w:hideMark/>
          </w:tcPr>
          <w:p w14:paraId="60C1E7C2" w14:textId="77777777" w:rsidR="004E643E" w:rsidRPr="004E643E" w:rsidRDefault="004E643E" w:rsidP="0057037E">
            <w:pPr>
              <w:pStyle w:val="Tablenotes0"/>
              <w:spacing w:before="0" w:after="0"/>
              <w:jc w:val="left"/>
              <w:rPr>
                <w:b/>
                <w:bCs/>
                <w:sz w:val="20"/>
                <w:szCs w:val="20"/>
              </w:rPr>
            </w:pPr>
            <w:r w:rsidRPr="004E643E">
              <w:rPr>
                <w:b/>
                <w:bCs/>
                <w:sz w:val="20"/>
                <w:szCs w:val="20"/>
              </w:rPr>
              <w:t>Weighted Total Cost</w:t>
            </w:r>
          </w:p>
        </w:tc>
        <w:tc>
          <w:tcPr>
            <w:tcW w:w="708" w:type="pct"/>
            <w:tcBorders>
              <w:bottom w:val="single" w:sz="4" w:space="0" w:color="auto"/>
              <w:right w:val="nil"/>
            </w:tcBorders>
            <w:noWrap/>
            <w:vAlign w:val="center"/>
            <w:hideMark/>
          </w:tcPr>
          <w:p w14:paraId="09E4ECF9" w14:textId="77777777" w:rsidR="004E643E" w:rsidRPr="004E643E" w:rsidRDefault="004E643E" w:rsidP="0057037E">
            <w:pPr>
              <w:pStyle w:val="Tablenotes0"/>
              <w:spacing w:before="0" w:after="0"/>
              <w:jc w:val="center"/>
              <w:rPr>
                <w:b/>
                <w:bCs/>
                <w:sz w:val="20"/>
                <w:szCs w:val="20"/>
              </w:rPr>
            </w:pPr>
            <w:r w:rsidRPr="004E643E">
              <w:rPr>
                <w:b/>
                <w:bCs/>
                <w:sz w:val="20"/>
                <w:szCs w:val="20"/>
              </w:rPr>
              <w:t>$1,259.73</w:t>
            </w:r>
          </w:p>
        </w:tc>
        <w:tc>
          <w:tcPr>
            <w:tcW w:w="1100" w:type="pct"/>
            <w:tcBorders>
              <w:left w:val="nil"/>
              <w:bottom w:val="single" w:sz="4" w:space="0" w:color="auto"/>
              <w:right w:val="nil"/>
            </w:tcBorders>
            <w:noWrap/>
            <w:vAlign w:val="center"/>
            <w:hideMark/>
          </w:tcPr>
          <w:p w14:paraId="2E63CAB9" w14:textId="77777777" w:rsidR="004E643E" w:rsidRPr="004E643E" w:rsidRDefault="004E643E" w:rsidP="0057037E">
            <w:pPr>
              <w:pStyle w:val="Tablenotes0"/>
              <w:spacing w:before="0" w:after="0"/>
              <w:jc w:val="left"/>
              <w:rPr>
                <w:b/>
                <w:bCs/>
                <w:sz w:val="20"/>
                <w:szCs w:val="20"/>
              </w:rPr>
            </w:pPr>
          </w:p>
        </w:tc>
        <w:tc>
          <w:tcPr>
            <w:tcW w:w="629" w:type="pct"/>
            <w:tcBorders>
              <w:left w:val="nil"/>
              <w:bottom w:val="single" w:sz="4" w:space="0" w:color="auto"/>
              <w:right w:val="nil"/>
            </w:tcBorders>
            <w:noWrap/>
            <w:vAlign w:val="center"/>
            <w:hideMark/>
          </w:tcPr>
          <w:p w14:paraId="4564F2E0" w14:textId="77777777" w:rsidR="004E643E" w:rsidRPr="004E643E" w:rsidRDefault="004E643E" w:rsidP="0057037E">
            <w:pPr>
              <w:pStyle w:val="Tablenotes0"/>
              <w:spacing w:before="0" w:after="0"/>
              <w:jc w:val="center"/>
              <w:rPr>
                <w:sz w:val="20"/>
                <w:szCs w:val="20"/>
              </w:rPr>
            </w:pPr>
          </w:p>
        </w:tc>
        <w:tc>
          <w:tcPr>
            <w:tcW w:w="1465" w:type="pct"/>
            <w:tcBorders>
              <w:left w:val="nil"/>
              <w:bottom w:val="single" w:sz="4" w:space="0" w:color="auto"/>
            </w:tcBorders>
            <w:noWrap/>
            <w:vAlign w:val="center"/>
            <w:hideMark/>
          </w:tcPr>
          <w:p w14:paraId="4CC642C8" w14:textId="77777777" w:rsidR="004E643E" w:rsidRPr="004E643E" w:rsidRDefault="004E643E" w:rsidP="0057037E">
            <w:pPr>
              <w:pStyle w:val="Tablenotes0"/>
              <w:spacing w:before="0" w:after="0"/>
              <w:jc w:val="left"/>
              <w:rPr>
                <w:sz w:val="20"/>
                <w:szCs w:val="20"/>
              </w:rPr>
            </w:pPr>
          </w:p>
        </w:tc>
      </w:tr>
      <w:tr w:rsidR="004E643E" w:rsidRPr="004E643E" w14:paraId="241CA2D1" w14:textId="77777777" w:rsidTr="00850967">
        <w:trPr>
          <w:trHeight w:val="283"/>
        </w:trPr>
        <w:tc>
          <w:tcPr>
            <w:tcW w:w="1097" w:type="pct"/>
            <w:tcBorders>
              <w:right w:val="nil"/>
            </w:tcBorders>
            <w:noWrap/>
            <w:vAlign w:val="center"/>
            <w:hideMark/>
          </w:tcPr>
          <w:p w14:paraId="3D85D510" w14:textId="77777777" w:rsidR="004E643E" w:rsidRPr="004E643E" w:rsidRDefault="004E643E" w:rsidP="0057037E">
            <w:pPr>
              <w:pStyle w:val="Tablenotes0"/>
              <w:spacing w:before="0" w:after="0"/>
              <w:jc w:val="left"/>
              <w:rPr>
                <w:b/>
                <w:bCs/>
                <w:sz w:val="20"/>
                <w:szCs w:val="20"/>
              </w:rPr>
            </w:pPr>
            <w:r w:rsidRPr="004E643E">
              <w:rPr>
                <w:b/>
                <w:bCs/>
                <w:sz w:val="20"/>
                <w:szCs w:val="20"/>
              </w:rPr>
              <w:t>LSG</w:t>
            </w:r>
          </w:p>
        </w:tc>
        <w:tc>
          <w:tcPr>
            <w:tcW w:w="708" w:type="pct"/>
            <w:tcBorders>
              <w:left w:val="nil"/>
              <w:right w:val="nil"/>
            </w:tcBorders>
            <w:noWrap/>
            <w:vAlign w:val="center"/>
          </w:tcPr>
          <w:p w14:paraId="524B8A79" w14:textId="24C60B63" w:rsidR="004E643E" w:rsidRPr="004E643E" w:rsidRDefault="004E643E" w:rsidP="0057037E">
            <w:pPr>
              <w:pStyle w:val="Tablenotes0"/>
              <w:spacing w:before="0" w:after="0"/>
              <w:jc w:val="center"/>
              <w:rPr>
                <w:b/>
                <w:bCs/>
                <w:sz w:val="20"/>
                <w:szCs w:val="20"/>
              </w:rPr>
            </w:pPr>
          </w:p>
        </w:tc>
        <w:tc>
          <w:tcPr>
            <w:tcW w:w="1100" w:type="pct"/>
            <w:tcBorders>
              <w:left w:val="nil"/>
              <w:right w:val="nil"/>
            </w:tcBorders>
            <w:noWrap/>
            <w:vAlign w:val="center"/>
          </w:tcPr>
          <w:p w14:paraId="370C1E9F" w14:textId="477669CF" w:rsidR="004E643E" w:rsidRPr="004E643E" w:rsidRDefault="004E643E" w:rsidP="0057037E">
            <w:pPr>
              <w:pStyle w:val="Tablenotes0"/>
              <w:spacing w:before="0" w:after="0"/>
              <w:jc w:val="left"/>
              <w:rPr>
                <w:b/>
                <w:bCs/>
                <w:sz w:val="20"/>
                <w:szCs w:val="20"/>
              </w:rPr>
            </w:pPr>
          </w:p>
        </w:tc>
        <w:tc>
          <w:tcPr>
            <w:tcW w:w="629" w:type="pct"/>
            <w:tcBorders>
              <w:left w:val="nil"/>
              <w:right w:val="nil"/>
            </w:tcBorders>
            <w:noWrap/>
            <w:vAlign w:val="center"/>
          </w:tcPr>
          <w:p w14:paraId="66FF8B5B" w14:textId="0231B196" w:rsidR="004E643E" w:rsidRPr="004E643E" w:rsidRDefault="004E643E" w:rsidP="0057037E">
            <w:pPr>
              <w:pStyle w:val="Tablenotes0"/>
              <w:spacing w:before="0" w:after="0"/>
              <w:jc w:val="center"/>
              <w:rPr>
                <w:b/>
                <w:bCs/>
                <w:sz w:val="20"/>
                <w:szCs w:val="20"/>
              </w:rPr>
            </w:pPr>
          </w:p>
        </w:tc>
        <w:tc>
          <w:tcPr>
            <w:tcW w:w="1465" w:type="pct"/>
            <w:tcBorders>
              <w:left w:val="nil"/>
            </w:tcBorders>
            <w:noWrap/>
            <w:vAlign w:val="center"/>
          </w:tcPr>
          <w:p w14:paraId="74921AD7" w14:textId="40D68ED1" w:rsidR="004E643E" w:rsidRPr="004E643E" w:rsidRDefault="004E643E" w:rsidP="0057037E">
            <w:pPr>
              <w:pStyle w:val="Tablenotes0"/>
              <w:spacing w:before="0" w:after="0"/>
              <w:jc w:val="left"/>
              <w:rPr>
                <w:b/>
                <w:bCs/>
                <w:sz w:val="20"/>
                <w:szCs w:val="20"/>
              </w:rPr>
            </w:pPr>
          </w:p>
        </w:tc>
      </w:tr>
      <w:tr w:rsidR="004E643E" w:rsidRPr="004E643E" w14:paraId="26EEADD4" w14:textId="77777777" w:rsidTr="00850967">
        <w:trPr>
          <w:trHeight w:val="283"/>
        </w:trPr>
        <w:tc>
          <w:tcPr>
            <w:tcW w:w="1097" w:type="pct"/>
            <w:noWrap/>
            <w:vAlign w:val="center"/>
            <w:hideMark/>
          </w:tcPr>
          <w:p w14:paraId="799EF760" w14:textId="77777777" w:rsidR="004E643E" w:rsidRPr="004E643E" w:rsidRDefault="004E643E" w:rsidP="0057037E">
            <w:pPr>
              <w:pStyle w:val="Tablenotes0"/>
              <w:spacing w:before="0" w:after="0"/>
              <w:jc w:val="left"/>
              <w:rPr>
                <w:sz w:val="20"/>
                <w:szCs w:val="20"/>
              </w:rPr>
            </w:pPr>
            <w:r w:rsidRPr="004E643E">
              <w:rPr>
                <w:sz w:val="20"/>
                <w:szCs w:val="20"/>
              </w:rPr>
              <w:t>Bleeding</w:t>
            </w:r>
          </w:p>
        </w:tc>
        <w:tc>
          <w:tcPr>
            <w:tcW w:w="708" w:type="pct"/>
            <w:noWrap/>
            <w:vAlign w:val="center"/>
            <w:hideMark/>
          </w:tcPr>
          <w:p w14:paraId="62851AB4" w14:textId="77777777" w:rsidR="004E643E" w:rsidRPr="004E643E" w:rsidRDefault="004E643E" w:rsidP="0057037E">
            <w:pPr>
              <w:pStyle w:val="Tablenotes0"/>
              <w:spacing w:before="0" w:after="0"/>
              <w:jc w:val="center"/>
              <w:rPr>
                <w:sz w:val="20"/>
                <w:szCs w:val="20"/>
              </w:rPr>
            </w:pPr>
            <w:r w:rsidRPr="004E643E">
              <w:rPr>
                <w:sz w:val="20"/>
                <w:szCs w:val="20"/>
              </w:rPr>
              <w:t>$4,209.13</w:t>
            </w:r>
          </w:p>
        </w:tc>
        <w:tc>
          <w:tcPr>
            <w:tcW w:w="1100" w:type="pct"/>
            <w:vAlign w:val="center"/>
            <w:hideMark/>
          </w:tcPr>
          <w:p w14:paraId="275E5CE9" w14:textId="77777777" w:rsidR="004E643E" w:rsidRPr="004E643E" w:rsidRDefault="004E643E" w:rsidP="0057037E">
            <w:pPr>
              <w:pStyle w:val="Tablenotes0"/>
              <w:spacing w:before="0" w:after="0"/>
              <w:jc w:val="left"/>
              <w:rPr>
                <w:sz w:val="20"/>
                <w:szCs w:val="20"/>
              </w:rPr>
            </w:pPr>
            <w:r w:rsidRPr="004E643E">
              <w:rPr>
                <w:sz w:val="20"/>
                <w:szCs w:val="20"/>
              </w:rPr>
              <w:t>IHACPA 2023 G61 weighted</w:t>
            </w:r>
          </w:p>
        </w:tc>
        <w:tc>
          <w:tcPr>
            <w:tcW w:w="629" w:type="pct"/>
            <w:noWrap/>
            <w:vAlign w:val="center"/>
            <w:hideMark/>
          </w:tcPr>
          <w:p w14:paraId="6A1F113C" w14:textId="77777777" w:rsidR="004E643E" w:rsidRPr="004E643E" w:rsidRDefault="004E643E" w:rsidP="0057037E">
            <w:pPr>
              <w:pStyle w:val="Tablenotes0"/>
              <w:spacing w:before="0" w:after="0"/>
              <w:jc w:val="center"/>
              <w:rPr>
                <w:sz w:val="20"/>
                <w:szCs w:val="20"/>
              </w:rPr>
            </w:pPr>
            <w:r w:rsidRPr="004E643E">
              <w:rPr>
                <w:sz w:val="20"/>
                <w:szCs w:val="20"/>
              </w:rPr>
              <w:t>0.18%</w:t>
            </w:r>
          </w:p>
        </w:tc>
        <w:tc>
          <w:tcPr>
            <w:tcW w:w="1465" w:type="pct"/>
            <w:noWrap/>
            <w:vAlign w:val="center"/>
            <w:hideMark/>
          </w:tcPr>
          <w:p w14:paraId="44E52CA6" w14:textId="77777777" w:rsidR="004E643E" w:rsidRPr="004E643E" w:rsidRDefault="004E643E" w:rsidP="0057037E">
            <w:pPr>
              <w:pStyle w:val="Tablenotes0"/>
              <w:spacing w:before="0" w:after="0"/>
              <w:jc w:val="left"/>
              <w:rPr>
                <w:sz w:val="20"/>
                <w:szCs w:val="20"/>
              </w:rPr>
            </w:pPr>
            <w:r w:rsidRPr="004E643E">
              <w:rPr>
                <w:sz w:val="20"/>
                <w:szCs w:val="20"/>
              </w:rPr>
              <w:t>Alqahtani, Elahmedi et al. (2022)</w:t>
            </w:r>
          </w:p>
        </w:tc>
      </w:tr>
      <w:tr w:rsidR="004E643E" w:rsidRPr="004E643E" w14:paraId="1AA0FA9B" w14:textId="77777777" w:rsidTr="00850967">
        <w:trPr>
          <w:trHeight w:val="283"/>
        </w:trPr>
        <w:tc>
          <w:tcPr>
            <w:tcW w:w="1097" w:type="pct"/>
            <w:noWrap/>
            <w:vAlign w:val="center"/>
            <w:hideMark/>
          </w:tcPr>
          <w:p w14:paraId="2D8F6978" w14:textId="77777777" w:rsidR="004E643E" w:rsidRPr="004E643E" w:rsidRDefault="004E643E" w:rsidP="0057037E">
            <w:pPr>
              <w:pStyle w:val="Tablenotes0"/>
              <w:spacing w:before="0" w:after="0"/>
              <w:jc w:val="left"/>
              <w:rPr>
                <w:sz w:val="20"/>
                <w:szCs w:val="20"/>
              </w:rPr>
            </w:pPr>
            <w:r w:rsidRPr="004E643E">
              <w:rPr>
                <w:sz w:val="20"/>
                <w:szCs w:val="20"/>
              </w:rPr>
              <w:t>Nausea/Vomiting/Pain</w:t>
            </w:r>
          </w:p>
        </w:tc>
        <w:tc>
          <w:tcPr>
            <w:tcW w:w="708" w:type="pct"/>
            <w:noWrap/>
            <w:vAlign w:val="center"/>
            <w:hideMark/>
          </w:tcPr>
          <w:p w14:paraId="71CDF70F" w14:textId="77777777" w:rsidR="004E643E" w:rsidRPr="004E643E" w:rsidRDefault="004E643E" w:rsidP="0057037E">
            <w:pPr>
              <w:pStyle w:val="Tablenotes0"/>
              <w:spacing w:before="0" w:after="0"/>
              <w:jc w:val="center"/>
              <w:rPr>
                <w:sz w:val="20"/>
                <w:szCs w:val="20"/>
              </w:rPr>
            </w:pPr>
            <w:r w:rsidRPr="004E643E">
              <w:rPr>
                <w:sz w:val="20"/>
                <w:szCs w:val="20"/>
              </w:rPr>
              <w:t>$4,481.89</w:t>
            </w:r>
          </w:p>
        </w:tc>
        <w:tc>
          <w:tcPr>
            <w:tcW w:w="1100" w:type="pct"/>
            <w:vAlign w:val="center"/>
            <w:hideMark/>
          </w:tcPr>
          <w:p w14:paraId="058BEBD2" w14:textId="3D60D032" w:rsidR="004E643E" w:rsidRPr="004E643E" w:rsidRDefault="004E643E" w:rsidP="0057037E">
            <w:pPr>
              <w:pStyle w:val="Tablenotes0"/>
              <w:spacing w:before="0" w:after="0"/>
              <w:jc w:val="left"/>
              <w:rPr>
                <w:sz w:val="20"/>
                <w:szCs w:val="20"/>
              </w:rPr>
            </w:pPr>
            <w:r w:rsidRPr="004E643E">
              <w:rPr>
                <w:sz w:val="20"/>
                <w:szCs w:val="20"/>
              </w:rPr>
              <w:t>IHACPA 2023 G70,</w:t>
            </w:r>
            <w:r w:rsidR="00853AD6">
              <w:rPr>
                <w:sz w:val="20"/>
                <w:szCs w:val="20"/>
              </w:rPr>
              <w:t xml:space="preserve"> </w:t>
            </w:r>
            <w:r w:rsidRPr="004E643E">
              <w:rPr>
                <w:sz w:val="20"/>
                <w:szCs w:val="20"/>
              </w:rPr>
              <w:t>Z61 weighted</w:t>
            </w:r>
          </w:p>
        </w:tc>
        <w:tc>
          <w:tcPr>
            <w:tcW w:w="629" w:type="pct"/>
            <w:noWrap/>
            <w:vAlign w:val="center"/>
            <w:hideMark/>
          </w:tcPr>
          <w:p w14:paraId="63E28405" w14:textId="77777777" w:rsidR="004E643E" w:rsidRPr="004E643E" w:rsidRDefault="004E643E" w:rsidP="0057037E">
            <w:pPr>
              <w:pStyle w:val="Tablenotes0"/>
              <w:spacing w:before="0" w:after="0"/>
              <w:jc w:val="center"/>
              <w:rPr>
                <w:sz w:val="20"/>
                <w:szCs w:val="20"/>
              </w:rPr>
            </w:pPr>
            <w:r w:rsidRPr="004E643E">
              <w:rPr>
                <w:sz w:val="20"/>
                <w:szCs w:val="20"/>
              </w:rPr>
              <w:t>0.00%</w:t>
            </w:r>
          </w:p>
        </w:tc>
        <w:tc>
          <w:tcPr>
            <w:tcW w:w="1465" w:type="pct"/>
            <w:noWrap/>
            <w:vAlign w:val="center"/>
            <w:hideMark/>
          </w:tcPr>
          <w:p w14:paraId="03EF9E85" w14:textId="77777777" w:rsidR="004E643E" w:rsidRPr="004E643E" w:rsidRDefault="004E643E" w:rsidP="0057037E">
            <w:pPr>
              <w:pStyle w:val="Tablenotes0"/>
              <w:spacing w:before="0" w:after="0"/>
              <w:jc w:val="left"/>
              <w:rPr>
                <w:sz w:val="20"/>
                <w:szCs w:val="20"/>
              </w:rPr>
            </w:pPr>
            <w:r w:rsidRPr="004E643E">
              <w:rPr>
                <w:sz w:val="20"/>
                <w:szCs w:val="20"/>
              </w:rPr>
              <w:t>None reported, assumed statistically insignificant</w:t>
            </w:r>
          </w:p>
        </w:tc>
      </w:tr>
      <w:tr w:rsidR="004E643E" w:rsidRPr="004E643E" w14:paraId="4E149FE3" w14:textId="77777777" w:rsidTr="00850967">
        <w:trPr>
          <w:trHeight w:val="283"/>
        </w:trPr>
        <w:tc>
          <w:tcPr>
            <w:tcW w:w="1097" w:type="pct"/>
            <w:noWrap/>
            <w:vAlign w:val="center"/>
            <w:hideMark/>
          </w:tcPr>
          <w:p w14:paraId="2CBADF2E" w14:textId="77777777" w:rsidR="004E643E" w:rsidRPr="004E643E" w:rsidRDefault="004E643E" w:rsidP="0057037E">
            <w:pPr>
              <w:pStyle w:val="Tablenotes0"/>
              <w:spacing w:before="0" w:after="0"/>
              <w:jc w:val="left"/>
              <w:rPr>
                <w:sz w:val="20"/>
                <w:szCs w:val="20"/>
              </w:rPr>
            </w:pPr>
            <w:r w:rsidRPr="004E643E">
              <w:rPr>
                <w:sz w:val="20"/>
                <w:szCs w:val="20"/>
              </w:rPr>
              <w:t>Staple Line Leak</w:t>
            </w:r>
          </w:p>
        </w:tc>
        <w:tc>
          <w:tcPr>
            <w:tcW w:w="708" w:type="pct"/>
            <w:noWrap/>
            <w:vAlign w:val="center"/>
            <w:hideMark/>
          </w:tcPr>
          <w:p w14:paraId="1810BD82" w14:textId="77777777" w:rsidR="004E643E" w:rsidRPr="004E643E" w:rsidRDefault="004E643E" w:rsidP="0057037E">
            <w:pPr>
              <w:pStyle w:val="Tablenotes0"/>
              <w:spacing w:before="0" w:after="0"/>
              <w:jc w:val="center"/>
              <w:rPr>
                <w:sz w:val="20"/>
                <w:szCs w:val="20"/>
              </w:rPr>
            </w:pPr>
            <w:r w:rsidRPr="004E643E">
              <w:rPr>
                <w:sz w:val="20"/>
                <w:szCs w:val="20"/>
              </w:rPr>
              <w:t>$20,966.74</w:t>
            </w:r>
          </w:p>
        </w:tc>
        <w:tc>
          <w:tcPr>
            <w:tcW w:w="1100" w:type="pct"/>
            <w:vAlign w:val="center"/>
            <w:hideMark/>
          </w:tcPr>
          <w:p w14:paraId="5542D6E1" w14:textId="77777777" w:rsidR="004E643E" w:rsidRPr="004E643E" w:rsidRDefault="004E643E" w:rsidP="0057037E">
            <w:pPr>
              <w:pStyle w:val="Tablenotes0"/>
              <w:spacing w:before="0" w:after="0"/>
              <w:jc w:val="left"/>
              <w:rPr>
                <w:sz w:val="20"/>
                <w:szCs w:val="20"/>
              </w:rPr>
            </w:pPr>
            <w:r w:rsidRPr="004E643E">
              <w:rPr>
                <w:sz w:val="20"/>
                <w:szCs w:val="20"/>
              </w:rPr>
              <w:t>IHACPA 2023 G12 weighted</w:t>
            </w:r>
          </w:p>
        </w:tc>
        <w:tc>
          <w:tcPr>
            <w:tcW w:w="629" w:type="pct"/>
            <w:noWrap/>
            <w:vAlign w:val="center"/>
            <w:hideMark/>
          </w:tcPr>
          <w:p w14:paraId="003A477D" w14:textId="77777777" w:rsidR="004E643E" w:rsidRPr="004E643E" w:rsidRDefault="004E643E" w:rsidP="0057037E">
            <w:pPr>
              <w:pStyle w:val="Tablenotes0"/>
              <w:spacing w:before="0" w:after="0"/>
              <w:jc w:val="center"/>
              <w:rPr>
                <w:sz w:val="20"/>
                <w:szCs w:val="20"/>
              </w:rPr>
            </w:pPr>
            <w:r w:rsidRPr="004E643E">
              <w:rPr>
                <w:sz w:val="20"/>
                <w:szCs w:val="20"/>
              </w:rPr>
              <w:t>0.12%</w:t>
            </w:r>
          </w:p>
        </w:tc>
        <w:tc>
          <w:tcPr>
            <w:tcW w:w="1465" w:type="pct"/>
            <w:noWrap/>
            <w:vAlign w:val="center"/>
            <w:hideMark/>
          </w:tcPr>
          <w:p w14:paraId="56D54067" w14:textId="77777777" w:rsidR="004E643E" w:rsidRPr="004E643E" w:rsidRDefault="004E643E" w:rsidP="0057037E">
            <w:pPr>
              <w:pStyle w:val="Tablenotes0"/>
              <w:spacing w:before="0" w:after="0"/>
              <w:jc w:val="left"/>
              <w:rPr>
                <w:sz w:val="20"/>
                <w:szCs w:val="20"/>
              </w:rPr>
            </w:pPr>
            <w:r w:rsidRPr="004E643E">
              <w:rPr>
                <w:sz w:val="20"/>
                <w:szCs w:val="20"/>
              </w:rPr>
              <w:t>Alqahtani, Elahmedi et al. (2022)</w:t>
            </w:r>
          </w:p>
        </w:tc>
      </w:tr>
      <w:tr w:rsidR="004E643E" w:rsidRPr="004E643E" w14:paraId="61D0EC5F" w14:textId="77777777" w:rsidTr="00850967">
        <w:trPr>
          <w:trHeight w:val="283"/>
        </w:trPr>
        <w:tc>
          <w:tcPr>
            <w:tcW w:w="1097" w:type="pct"/>
            <w:noWrap/>
            <w:vAlign w:val="center"/>
            <w:hideMark/>
          </w:tcPr>
          <w:p w14:paraId="0846A1FB" w14:textId="77777777" w:rsidR="004E643E" w:rsidRPr="004E643E" w:rsidRDefault="004E643E" w:rsidP="0057037E">
            <w:pPr>
              <w:pStyle w:val="Tablenotes0"/>
              <w:spacing w:before="0" w:after="0"/>
              <w:jc w:val="left"/>
              <w:rPr>
                <w:sz w:val="20"/>
                <w:szCs w:val="20"/>
              </w:rPr>
            </w:pPr>
            <w:r w:rsidRPr="004E643E">
              <w:rPr>
                <w:sz w:val="20"/>
                <w:szCs w:val="20"/>
              </w:rPr>
              <w:t>Reoperation - Different procedure (ESG)</w:t>
            </w:r>
          </w:p>
        </w:tc>
        <w:tc>
          <w:tcPr>
            <w:tcW w:w="708" w:type="pct"/>
            <w:noWrap/>
            <w:vAlign w:val="center"/>
            <w:hideMark/>
          </w:tcPr>
          <w:p w14:paraId="18C0DDD9" w14:textId="77777777" w:rsidR="004E643E" w:rsidRPr="004E643E" w:rsidRDefault="004E643E" w:rsidP="0057037E">
            <w:pPr>
              <w:pStyle w:val="Tablenotes0"/>
              <w:spacing w:before="0" w:after="0"/>
              <w:jc w:val="center"/>
              <w:rPr>
                <w:sz w:val="20"/>
                <w:szCs w:val="20"/>
              </w:rPr>
            </w:pPr>
            <w:r w:rsidRPr="004E643E">
              <w:rPr>
                <w:sz w:val="20"/>
                <w:szCs w:val="20"/>
              </w:rPr>
              <w:t>$14,932.39</w:t>
            </w:r>
          </w:p>
        </w:tc>
        <w:tc>
          <w:tcPr>
            <w:tcW w:w="1100" w:type="pct"/>
            <w:vAlign w:val="center"/>
            <w:hideMark/>
          </w:tcPr>
          <w:p w14:paraId="3A0B8222" w14:textId="77777777" w:rsidR="004E643E" w:rsidRPr="00CD0D7F" w:rsidRDefault="004E643E" w:rsidP="0057037E">
            <w:pPr>
              <w:pStyle w:val="Tablenotes0"/>
              <w:spacing w:before="0" w:after="0"/>
              <w:jc w:val="left"/>
              <w:rPr>
                <w:sz w:val="20"/>
                <w:szCs w:val="20"/>
              </w:rPr>
            </w:pPr>
            <w:r w:rsidRPr="00CD0D7F">
              <w:rPr>
                <w:sz w:val="20"/>
                <w:szCs w:val="20"/>
              </w:rPr>
              <w:t>ESG Procedure Cost</w:t>
            </w:r>
          </w:p>
        </w:tc>
        <w:tc>
          <w:tcPr>
            <w:tcW w:w="629" w:type="pct"/>
            <w:noWrap/>
            <w:vAlign w:val="center"/>
            <w:hideMark/>
          </w:tcPr>
          <w:p w14:paraId="668C23F2" w14:textId="77777777" w:rsidR="004E643E" w:rsidRPr="004E643E" w:rsidRDefault="004E643E" w:rsidP="0057037E">
            <w:pPr>
              <w:pStyle w:val="Tablenotes0"/>
              <w:spacing w:before="0" w:after="0"/>
              <w:jc w:val="center"/>
              <w:rPr>
                <w:sz w:val="20"/>
                <w:szCs w:val="20"/>
              </w:rPr>
            </w:pPr>
            <w:r w:rsidRPr="004E643E">
              <w:rPr>
                <w:sz w:val="20"/>
                <w:szCs w:val="20"/>
              </w:rPr>
              <w:t>0.00%</w:t>
            </w:r>
          </w:p>
        </w:tc>
        <w:tc>
          <w:tcPr>
            <w:tcW w:w="1465" w:type="pct"/>
            <w:noWrap/>
            <w:vAlign w:val="center"/>
            <w:hideMark/>
          </w:tcPr>
          <w:p w14:paraId="294BF3B3" w14:textId="77777777" w:rsidR="004E643E" w:rsidRPr="004E643E" w:rsidRDefault="004E643E" w:rsidP="0057037E">
            <w:pPr>
              <w:pStyle w:val="Tablenotes0"/>
              <w:spacing w:before="0" w:after="0"/>
              <w:jc w:val="left"/>
              <w:rPr>
                <w:sz w:val="20"/>
                <w:szCs w:val="20"/>
              </w:rPr>
            </w:pPr>
            <w:r w:rsidRPr="004E643E">
              <w:rPr>
                <w:sz w:val="20"/>
                <w:szCs w:val="20"/>
              </w:rPr>
              <w:t>Gudur, Geng et al., 2023b</w:t>
            </w:r>
          </w:p>
        </w:tc>
      </w:tr>
      <w:tr w:rsidR="004E643E" w:rsidRPr="004E643E" w14:paraId="059A297C" w14:textId="77777777" w:rsidTr="00850967">
        <w:trPr>
          <w:trHeight w:val="283"/>
        </w:trPr>
        <w:tc>
          <w:tcPr>
            <w:tcW w:w="1097" w:type="pct"/>
            <w:noWrap/>
            <w:vAlign w:val="center"/>
            <w:hideMark/>
          </w:tcPr>
          <w:p w14:paraId="2708EA41" w14:textId="77777777" w:rsidR="004E643E" w:rsidRPr="004E643E" w:rsidRDefault="004E643E" w:rsidP="0057037E">
            <w:pPr>
              <w:pStyle w:val="Tablenotes0"/>
              <w:spacing w:before="0" w:after="0"/>
              <w:jc w:val="left"/>
              <w:rPr>
                <w:sz w:val="20"/>
                <w:szCs w:val="20"/>
              </w:rPr>
            </w:pPr>
            <w:r w:rsidRPr="004E643E">
              <w:rPr>
                <w:sz w:val="20"/>
                <w:szCs w:val="20"/>
              </w:rPr>
              <w:t>Reoperation - Same procedure (LSG)</w:t>
            </w:r>
          </w:p>
        </w:tc>
        <w:tc>
          <w:tcPr>
            <w:tcW w:w="708" w:type="pct"/>
            <w:noWrap/>
            <w:vAlign w:val="center"/>
            <w:hideMark/>
          </w:tcPr>
          <w:p w14:paraId="1C0F8F1D" w14:textId="77777777" w:rsidR="004E643E" w:rsidRPr="004E643E" w:rsidRDefault="004E643E" w:rsidP="0057037E">
            <w:pPr>
              <w:pStyle w:val="Tablenotes0"/>
              <w:spacing w:before="0" w:after="0"/>
              <w:jc w:val="center"/>
              <w:rPr>
                <w:sz w:val="20"/>
                <w:szCs w:val="20"/>
              </w:rPr>
            </w:pPr>
            <w:r w:rsidRPr="004E643E">
              <w:rPr>
                <w:sz w:val="20"/>
                <w:szCs w:val="20"/>
              </w:rPr>
              <w:t>$20,590.54</w:t>
            </w:r>
          </w:p>
        </w:tc>
        <w:tc>
          <w:tcPr>
            <w:tcW w:w="1100" w:type="pct"/>
            <w:vAlign w:val="center"/>
            <w:hideMark/>
          </w:tcPr>
          <w:p w14:paraId="1BF21AA9" w14:textId="77777777" w:rsidR="004E643E" w:rsidRPr="00CD0D7F" w:rsidRDefault="004E643E" w:rsidP="0057037E">
            <w:pPr>
              <w:pStyle w:val="Tablenotes0"/>
              <w:spacing w:before="0" w:after="0"/>
              <w:jc w:val="left"/>
              <w:rPr>
                <w:sz w:val="20"/>
                <w:szCs w:val="20"/>
              </w:rPr>
            </w:pPr>
            <w:r w:rsidRPr="00CD0D7F">
              <w:rPr>
                <w:sz w:val="20"/>
                <w:szCs w:val="20"/>
              </w:rPr>
              <w:t>LSG Procedure Cost</w:t>
            </w:r>
          </w:p>
        </w:tc>
        <w:tc>
          <w:tcPr>
            <w:tcW w:w="629" w:type="pct"/>
            <w:noWrap/>
            <w:vAlign w:val="center"/>
            <w:hideMark/>
          </w:tcPr>
          <w:p w14:paraId="31F5980B" w14:textId="77777777" w:rsidR="004E643E" w:rsidRPr="004E643E" w:rsidRDefault="004E643E" w:rsidP="0057037E">
            <w:pPr>
              <w:pStyle w:val="Tablenotes0"/>
              <w:spacing w:before="0" w:after="0"/>
              <w:jc w:val="center"/>
              <w:rPr>
                <w:sz w:val="20"/>
                <w:szCs w:val="20"/>
              </w:rPr>
            </w:pPr>
            <w:r w:rsidRPr="004E643E">
              <w:rPr>
                <w:sz w:val="20"/>
                <w:szCs w:val="20"/>
              </w:rPr>
              <w:t>0.80%</w:t>
            </w:r>
          </w:p>
        </w:tc>
        <w:tc>
          <w:tcPr>
            <w:tcW w:w="1465" w:type="pct"/>
            <w:noWrap/>
            <w:vAlign w:val="center"/>
            <w:hideMark/>
          </w:tcPr>
          <w:p w14:paraId="35D69EE3" w14:textId="77777777" w:rsidR="004E643E" w:rsidRPr="004E643E" w:rsidRDefault="004E643E" w:rsidP="0057037E">
            <w:pPr>
              <w:pStyle w:val="Tablenotes0"/>
              <w:spacing w:before="0" w:after="0"/>
              <w:jc w:val="left"/>
              <w:rPr>
                <w:sz w:val="20"/>
                <w:szCs w:val="20"/>
              </w:rPr>
            </w:pPr>
            <w:r w:rsidRPr="004E643E">
              <w:rPr>
                <w:sz w:val="20"/>
                <w:szCs w:val="20"/>
              </w:rPr>
              <w:t>Gudur, Geng et al., 2023b</w:t>
            </w:r>
          </w:p>
        </w:tc>
      </w:tr>
      <w:tr w:rsidR="004E643E" w:rsidRPr="004E643E" w14:paraId="14E45C92" w14:textId="77777777" w:rsidTr="00850967">
        <w:trPr>
          <w:trHeight w:val="283"/>
        </w:trPr>
        <w:tc>
          <w:tcPr>
            <w:tcW w:w="1097" w:type="pct"/>
            <w:noWrap/>
            <w:vAlign w:val="center"/>
            <w:hideMark/>
          </w:tcPr>
          <w:p w14:paraId="0636244F" w14:textId="77777777" w:rsidR="004E643E" w:rsidRPr="004E643E" w:rsidRDefault="004E643E" w:rsidP="0057037E">
            <w:pPr>
              <w:pStyle w:val="Tablenotes0"/>
              <w:spacing w:before="0" w:after="0"/>
              <w:jc w:val="left"/>
              <w:rPr>
                <w:sz w:val="20"/>
                <w:szCs w:val="20"/>
              </w:rPr>
            </w:pPr>
            <w:r w:rsidRPr="004E643E">
              <w:rPr>
                <w:sz w:val="20"/>
                <w:szCs w:val="20"/>
              </w:rPr>
              <w:t>Readmission</w:t>
            </w:r>
          </w:p>
        </w:tc>
        <w:tc>
          <w:tcPr>
            <w:tcW w:w="708" w:type="pct"/>
            <w:tcBorders>
              <w:bottom w:val="single" w:sz="4" w:space="0" w:color="auto"/>
            </w:tcBorders>
            <w:noWrap/>
            <w:vAlign w:val="center"/>
            <w:hideMark/>
          </w:tcPr>
          <w:p w14:paraId="661BAF42" w14:textId="77777777" w:rsidR="004E643E" w:rsidRPr="004E643E" w:rsidRDefault="004E643E" w:rsidP="0057037E">
            <w:pPr>
              <w:pStyle w:val="Tablenotes0"/>
              <w:spacing w:before="0" w:after="0"/>
              <w:jc w:val="center"/>
              <w:rPr>
                <w:sz w:val="20"/>
                <w:szCs w:val="20"/>
              </w:rPr>
            </w:pPr>
            <w:r w:rsidRPr="004E643E">
              <w:rPr>
                <w:sz w:val="20"/>
                <w:szCs w:val="20"/>
              </w:rPr>
              <w:t>$10,441.62</w:t>
            </w:r>
          </w:p>
        </w:tc>
        <w:tc>
          <w:tcPr>
            <w:tcW w:w="1100" w:type="pct"/>
            <w:tcBorders>
              <w:bottom w:val="single" w:sz="4" w:space="0" w:color="auto"/>
            </w:tcBorders>
            <w:vAlign w:val="center"/>
            <w:hideMark/>
          </w:tcPr>
          <w:p w14:paraId="4F1F5888" w14:textId="77777777" w:rsidR="004E643E" w:rsidRPr="004E643E" w:rsidRDefault="004E643E" w:rsidP="0057037E">
            <w:pPr>
              <w:pStyle w:val="Tablenotes0"/>
              <w:spacing w:before="0" w:after="0"/>
              <w:jc w:val="left"/>
              <w:rPr>
                <w:sz w:val="20"/>
                <w:szCs w:val="20"/>
              </w:rPr>
            </w:pPr>
            <w:r w:rsidRPr="004E643E">
              <w:rPr>
                <w:sz w:val="20"/>
                <w:szCs w:val="20"/>
              </w:rPr>
              <w:t>IHACPA 2023 K12Z</w:t>
            </w:r>
          </w:p>
        </w:tc>
        <w:tc>
          <w:tcPr>
            <w:tcW w:w="629" w:type="pct"/>
            <w:tcBorders>
              <w:bottom w:val="single" w:sz="4" w:space="0" w:color="auto"/>
            </w:tcBorders>
            <w:noWrap/>
            <w:vAlign w:val="center"/>
            <w:hideMark/>
          </w:tcPr>
          <w:p w14:paraId="00944648" w14:textId="77777777" w:rsidR="004E643E" w:rsidRPr="004E643E" w:rsidRDefault="004E643E" w:rsidP="0057037E">
            <w:pPr>
              <w:pStyle w:val="Tablenotes0"/>
              <w:spacing w:before="0" w:after="0"/>
              <w:jc w:val="center"/>
              <w:rPr>
                <w:sz w:val="20"/>
                <w:szCs w:val="20"/>
              </w:rPr>
            </w:pPr>
            <w:r w:rsidRPr="004E643E">
              <w:rPr>
                <w:sz w:val="20"/>
                <w:szCs w:val="20"/>
              </w:rPr>
              <w:t>2.80%</w:t>
            </w:r>
          </w:p>
        </w:tc>
        <w:tc>
          <w:tcPr>
            <w:tcW w:w="1465" w:type="pct"/>
            <w:tcBorders>
              <w:bottom w:val="single" w:sz="4" w:space="0" w:color="auto"/>
            </w:tcBorders>
            <w:noWrap/>
            <w:vAlign w:val="center"/>
            <w:hideMark/>
          </w:tcPr>
          <w:p w14:paraId="5358E8B5" w14:textId="77777777" w:rsidR="004E643E" w:rsidRPr="004E643E" w:rsidRDefault="004E643E" w:rsidP="0057037E">
            <w:pPr>
              <w:pStyle w:val="Tablenotes0"/>
              <w:spacing w:before="0" w:after="0"/>
              <w:jc w:val="left"/>
              <w:rPr>
                <w:sz w:val="20"/>
                <w:szCs w:val="20"/>
              </w:rPr>
            </w:pPr>
            <w:r w:rsidRPr="004E643E">
              <w:rPr>
                <w:sz w:val="20"/>
                <w:szCs w:val="20"/>
              </w:rPr>
              <w:t>Gudur, Geng et al., 2023b</w:t>
            </w:r>
          </w:p>
        </w:tc>
      </w:tr>
      <w:tr w:rsidR="004E643E" w:rsidRPr="004E643E" w14:paraId="39AD2461" w14:textId="77777777" w:rsidTr="00850967">
        <w:trPr>
          <w:trHeight w:val="283"/>
        </w:trPr>
        <w:tc>
          <w:tcPr>
            <w:tcW w:w="1097" w:type="pct"/>
            <w:noWrap/>
            <w:vAlign w:val="center"/>
            <w:hideMark/>
          </w:tcPr>
          <w:p w14:paraId="17C012CD" w14:textId="77777777" w:rsidR="004E643E" w:rsidRPr="004E643E" w:rsidRDefault="004E643E" w:rsidP="0057037E">
            <w:pPr>
              <w:pStyle w:val="Tablenotes0"/>
              <w:spacing w:before="0" w:after="0"/>
              <w:jc w:val="left"/>
              <w:rPr>
                <w:b/>
                <w:bCs/>
                <w:sz w:val="20"/>
                <w:szCs w:val="20"/>
              </w:rPr>
            </w:pPr>
            <w:r w:rsidRPr="004E643E">
              <w:rPr>
                <w:b/>
                <w:bCs/>
                <w:sz w:val="20"/>
                <w:szCs w:val="20"/>
              </w:rPr>
              <w:t>Weighted Total Cost</w:t>
            </w:r>
          </w:p>
        </w:tc>
        <w:tc>
          <w:tcPr>
            <w:tcW w:w="708" w:type="pct"/>
            <w:tcBorders>
              <w:right w:val="nil"/>
            </w:tcBorders>
            <w:noWrap/>
            <w:vAlign w:val="center"/>
            <w:hideMark/>
          </w:tcPr>
          <w:p w14:paraId="3E9DFA12" w14:textId="77777777" w:rsidR="004E643E" w:rsidRPr="004E643E" w:rsidRDefault="004E643E" w:rsidP="0057037E">
            <w:pPr>
              <w:pStyle w:val="Tablenotes0"/>
              <w:spacing w:before="0" w:after="0"/>
              <w:jc w:val="center"/>
              <w:rPr>
                <w:b/>
                <w:bCs/>
                <w:sz w:val="20"/>
                <w:szCs w:val="20"/>
              </w:rPr>
            </w:pPr>
            <w:r w:rsidRPr="004E643E">
              <w:rPr>
                <w:b/>
                <w:bCs/>
                <w:sz w:val="20"/>
                <w:szCs w:val="20"/>
              </w:rPr>
              <w:t>$489.83</w:t>
            </w:r>
          </w:p>
        </w:tc>
        <w:tc>
          <w:tcPr>
            <w:tcW w:w="1100" w:type="pct"/>
            <w:tcBorders>
              <w:left w:val="nil"/>
              <w:right w:val="nil"/>
            </w:tcBorders>
            <w:noWrap/>
            <w:vAlign w:val="center"/>
            <w:hideMark/>
          </w:tcPr>
          <w:p w14:paraId="4D8F55D6" w14:textId="77777777" w:rsidR="004E643E" w:rsidRPr="004E643E" w:rsidRDefault="004E643E" w:rsidP="0057037E">
            <w:pPr>
              <w:pStyle w:val="Tablenotes0"/>
              <w:spacing w:before="0" w:after="0"/>
              <w:jc w:val="left"/>
              <w:rPr>
                <w:b/>
                <w:bCs/>
                <w:sz w:val="20"/>
                <w:szCs w:val="20"/>
              </w:rPr>
            </w:pPr>
          </w:p>
        </w:tc>
        <w:tc>
          <w:tcPr>
            <w:tcW w:w="629" w:type="pct"/>
            <w:tcBorders>
              <w:left w:val="nil"/>
              <w:right w:val="nil"/>
            </w:tcBorders>
            <w:noWrap/>
            <w:vAlign w:val="center"/>
            <w:hideMark/>
          </w:tcPr>
          <w:p w14:paraId="0EDCCFA8" w14:textId="77777777" w:rsidR="004E643E" w:rsidRPr="004E643E" w:rsidRDefault="004E643E" w:rsidP="0057037E">
            <w:pPr>
              <w:pStyle w:val="Tablenotes0"/>
              <w:spacing w:before="0" w:after="0"/>
              <w:jc w:val="center"/>
              <w:rPr>
                <w:sz w:val="20"/>
                <w:szCs w:val="20"/>
              </w:rPr>
            </w:pPr>
          </w:p>
        </w:tc>
        <w:tc>
          <w:tcPr>
            <w:tcW w:w="1465" w:type="pct"/>
            <w:tcBorders>
              <w:left w:val="nil"/>
            </w:tcBorders>
            <w:noWrap/>
            <w:vAlign w:val="center"/>
            <w:hideMark/>
          </w:tcPr>
          <w:p w14:paraId="48171C80" w14:textId="77777777" w:rsidR="004E643E" w:rsidRPr="004E643E" w:rsidRDefault="004E643E" w:rsidP="0057037E">
            <w:pPr>
              <w:pStyle w:val="Tablenotes0"/>
              <w:spacing w:before="0" w:after="0"/>
              <w:jc w:val="left"/>
              <w:rPr>
                <w:sz w:val="20"/>
                <w:szCs w:val="20"/>
              </w:rPr>
            </w:pPr>
          </w:p>
        </w:tc>
      </w:tr>
    </w:tbl>
    <w:p w14:paraId="6B5C8FCB" w14:textId="25BEEA3C" w:rsidR="00905312" w:rsidRPr="00CD0D7F" w:rsidRDefault="00AE60F7" w:rsidP="00850967">
      <w:pPr>
        <w:pStyle w:val="TableFigureFooter"/>
        <w:rPr>
          <w:sz w:val="20"/>
          <w:szCs w:val="20"/>
        </w:rPr>
      </w:pPr>
      <w:r w:rsidRPr="00D76EFB">
        <w:t>Source</w:t>
      </w:r>
      <w:r w:rsidRPr="007D18A3">
        <w:t>:</w:t>
      </w:r>
      <w:r>
        <w:t xml:space="preserve"> </w:t>
      </w:r>
      <w:r w:rsidR="00B40C58">
        <w:t xml:space="preserve">Excel workbook </w:t>
      </w:r>
      <w:r w:rsidR="00374AC7">
        <w:t>titled</w:t>
      </w:r>
      <w:r w:rsidR="00B07040">
        <w:t xml:space="preserve"> ‘1555.1</w:t>
      </w:r>
      <w:r w:rsidR="00864116">
        <w:t xml:space="preserve"> – Applicants Pre-ESC response model’</w:t>
      </w:r>
      <w:r w:rsidR="00FB69EE">
        <w:t xml:space="preserve"> (tab ‘Adverse events’)</w:t>
      </w:r>
      <w:r w:rsidR="008117B8">
        <w:t xml:space="preserve"> </w:t>
      </w:r>
      <w:r w:rsidR="00F80B5A">
        <w:t xml:space="preserve">the applicant supplied </w:t>
      </w:r>
      <w:r w:rsidR="0012055B">
        <w:t>at the request of ESC.</w:t>
      </w:r>
    </w:p>
    <w:p w14:paraId="6E0ECA9F" w14:textId="3111FAF4" w:rsidR="007D0F4D" w:rsidRDefault="00772829" w:rsidP="00361335">
      <w:pPr>
        <w:pStyle w:val="Heading2"/>
        <w:numPr>
          <w:ilvl w:val="0"/>
          <w:numId w:val="26"/>
        </w:numPr>
        <w:ind w:hanging="720"/>
      </w:pPr>
      <w:bookmarkStart w:id="111" w:name="_Toc69491426"/>
      <w:r w:rsidRPr="00CE28E3">
        <w:t>Financial/budgetary impacts</w:t>
      </w:r>
      <w:bookmarkEnd w:id="111"/>
    </w:p>
    <w:p w14:paraId="209E5B19" w14:textId="4C464DE4" w:rsidR="00FA4963" w:rsidRDefault="009E037F" w:rsidP="002606CF">
      <w:r w:rsidRPr="2AA1CA0C">
        <w:t xml:space="preserve">The financial impact analysis in the </w:t>
      </w:r>
      <w:r w:rsidR="007F286F" w:rsidRPr="2AA1CA0C">
        <w:t xml:space="preserve">ADAR </w:t>
      </w:r>
      <w:r w:rsidR="00DC1511" w:rsidRPr="2AA1CA0C">
        <w:t>adopt</w:t>
      </w:r>
      <w:r w:rsidR="007F286F" w:rsidRPr="2AA1CA0C">
        <w:t>ed</w:t>
      </w:r>
      <w:r w:rsidR="00DC1511" w:rsidRPr="2AA1CA0C">
        <w:t xml:space="preserve"> a market</w:t>
      </w:r>
      <w:r w:rsidR="00330D8F" w:rsidRPr="2AA1CA0C">
        <w:t>-</w:t>
      </w:r>
      <w:r w:rsidR="00DC1511" w:rsidRPr="2AA1CA0C">
        <w:t xml:space="preserve">share approach. </w:t>
      </w:r>
      <w:r w:rsidR="00F82E7A" w:rsidRPr="2AA1CA0C">
        <w:t xml:space="preserve">The </w:t>
      </w:r>
      <w:r w:rsidR="00297507" w:rsidRPr="2AA1CA0C">
        <w:t xml:space="preserve">ESG procedure </w:t>
      </w:r>
      <w:r w:rsidR="00653135" w:rsidRPr="2AA1CA0C">
        <w:t>wa</w:t>
      </w:r>
      <w:r w:rsidR="00297507" w:rsidRPr="2AA1CA0C">
        <w:t xml:space="preserve">s </w:t>
      </w:r>
      <w:r w:rsidR="00D56DD3" w:rsidRPr="2AA1CA0C">
        <w:t xml:space="preserve">assumed to substitute </w:t>
      </w:r>
      <w:r w:rsidR="00297507" w:rsidRPr="2AA1CA0C">
        <w:t xml:space="preserve">for the LSG procedure. </w:t>
      </w:r>
      <w:r w:rsidR="00D638DA" w:rsidRPr="2AA1CA0C">
        <w:t xml:space="preserve">The estimated </w:t>
      </w:r>
      <w:r w:rsidR="0032625D" w:rsidRPr="2AA1CA0C">
        <w:t xml:space="preserve">market size </w:t>
      </w:r>
      <w:r w:rsidR="00D638DA" w:rsidRPr="2AA1CA0C">
        <w:t xml:space="preserve">was calculated using </w:t>
      </w:r>
      <w:r w:rsidR="00B213AA" w:rsidRPr="2AA1CA0C">
        <w:t>statistics for MBS item 31575</w:t>
      </w:r>
      <w:r w:rsidR="00E71414">
        <w:t>,</w:t>
      </w:r>
      <w:r w:rsidR="00BA506E" w:rsidRPr="2AA1CA0C" w:rsidDel="00E71414">
        <w:t xml:space="preserve"> </w:t>
      </w:r>
      <w:r w:rsidR="00E71414">
        <w:t>s</w:t>
      </w:r>
      <w:r w:rsidR="00BA506E" w:rsidRPr="2AA1CA0C">
        <w:t>pecif</w:t>
      </w:r>
      <w:r w:rsidR="009971B5" w:rsidRPr="2AA1CA0C">
        <w:t>ically, t</w:t>
      </w:r>
      <w:r w:rsidR="00BA506E" w:rsidRPr="2AA1CA0C">
        <w:t>he average number of claims over the period</w:t>
      </w:r>
      <w:r w:rsidR="00471347" w:rsidRPr="2AA1CA0C">
        <w:t xml:space="preserve"> </w:t>
      </w:r>
      <w:r w:rsidR="001813C0" w:rsidRPr="2AA1CA0C">
        <w:t>2019</w:t>
      </w:r>
      <w:r w:rsidR="00DF0079" w:rsidRPr="2AA1CA0C">
        <w:t>–</w:t>
      </w:r>
      <w:r w:rsidR="001813C0" w:rsidRPr="2AA1CA0C">
        <w:t xml:space="preserve">2023. </w:t>
      </w:r>
      <w:r w:rsidR="00B87D70" w:rsidRPr="2AA1CA0C">
        <w:t>The proportion</w:t>
      </w:r>
      <w:r w:rsidR="00B81995" w:rsidRPr="2AA1CA0C">
        <w:t>s</w:t>
      </w:r>
      <w:r w:rsidR="00B87D70" w:rsidRPr="2AA1CA0C">
        <w:t xml:space="preserve"> </w:t>
      </w:r>
      <w:r w:rsidR="00AE7EF7" w:rsidRPr="2AA1CA0C">
        <w:t xml:space="preserve">of the </w:t>
      </w:r>
      <w:r w:rsidR="00124541" w:rsidRPr="2AA1CA0C">
        <w:t xml:space="preserve">private </w:t>
      </w:r>
      <w:r w:rsidR="00DD4FB4" w:rsidRPr="2AA1CA0C">
        <w:t>bariatric</w:t>
      </w:r>
      <w:r w:rsidR="00124541" w:rsidRPr="2AA1CA0C">
        <w:t xml:space="preserve"> </w:t>
      </w:r>
      <w:r w:rsidR="003319B0" w:rsidRPr="2AA1CA0C">
        <w:t>procedures</w:t>
      </w:r>
      <w:r w:rsidR="00124541" w:rsidRPr="2AA1CA0C">
        <w:t xml:space="preserve"> </w:t>
      </w:r>
      <w:r w:rsidR="00177546" w:rsidRPr="2AA1CA0C">
        <w:t xml:space="preserve">undertaken </w:t>
      </w:r>
      <w:r w:rsidR="00A63328" w:rsidRPr="2AA1CA0C">
        <w:t xml:space="preserve">on patients </w:t>
      </w:r>
      <w:r w:rsidR="003319B0" w:rsidRPr="2AA1CA0C">
        <w:t xml:space="preserve">in each obesity </w:t>
      </w:r>
      <w:r w:rsidR="008F5EBB" w:rsidRPr="2AA1CA0C">
        <w:t>class</w:t>
      </w:r>
      <w:r w:rsidR="00B81995" w:rsidRPr="2AA1CA0C">
        <w:t>,</w:t>
      </w:r>
      <w:r w:rsidR="003319B0" w:rsidRPr="2AA1CA0C">
        <w:t xml:space="preserve"> as </w:t>
      </w:r>
      <w:r w:rsidR="00B81995" w:rsidRPr="2AA1CA0C">
        <w:t>report</w:t>
      </w:r>
      <w:r w:rsidR="003D62FF" w:rsidRPr="2AA1CA0C">
        <w:t>ed</w:t>
      </w:r>
      <w:r w:rsidR="00B81995" w:rsidRPr="2AA1CA0C">
        <w:t xml:space="preserve"> in the</w:t>
      </w:r>
      <w:r w:rsidR="003319B0" w:rsidRPr="2AA1CA0C">
        <w:t xml:space="preserve"> </w:t>
      </w:r>
      <w:r w:rsidR="008A0579" w:rsidRPr="2AA1CA0C">
        <w:t xml:space="preserve">2023 </w:t>
      </w:r>
      <w:r w:rsidR="003319B0" w:rsidRPr="2AA1CA0C">
        <w:t xml:space="preserve">Bariatric Surgery Registry </w:t>
      </w:r>
      <w:r w:rsidR="00BA2EEB" w:rsidRPr="2AA1CA0C">
        <w:t>a</w:t>
      </w:r>
      <w:r w:rsidR="003319B0" w:rsidRPr="2AA1CA0C">
        <w:t xml:space="preserve">nnual </w:t>
      </w:r>
      <w:r w:rsidR="00BA2EEB" w:rsidRPr="2AA1CA0C">
        <w:t>r</w:t>
      </w:r>
      <w:r w:rsidR="003319B0" w:rsidRPr="2AA1CA0C">
        <w:t>eport</w:t>
      </w:r>
      <w:r w:rsidR="00B81995" w:rsidRPr="2AA1CA0C">
        <w:t xml:space="preserve">, were used to inform the number of patients within the defined market within each obesity </w:t>
      </w:r>
      <w:r w:rsidR="008F5EBB" w:rsidRPr="2AA1CA0C">
        <w:t>class</w:t>
      </w:r>
      <w:r w:rsidR="003319B0" w:rsidRPr="2AA1CA0C">
        <w:t xml:space="preserve">. </w:t>
      </w:r>
      <w:r w:rsidR="00FA4963" w:rsidRPr="2AA1CA0C">
        <w:t xml:space="preserve">Uptake </w:t>
      </w:r>
      <w:r w:rsidR="00620580" w:rsidRPr="2AA1CA0C">
        <w:t xml:space="preserve">of ESG, as a </w:t>
      </w:r>
      <w:r w:rsidRPr="2AA1CA0C">
        <w:t>substitute</w:t>
      </w:r>
      <w:r w:rsidR="00620580" w:rsidRPr="2AA1CA0C">
        <w:t xml:space="preserve"> for LSG, was assumed to </w:t>
      </w:r>
      <w:r w:rsidR="00620580" w:rsidRPr="00380FC7">
        <w:t xml:space="preserve">be </w:t>
      </w:r>
      <w:r w:rsidR="007E4668" w:rsidRPr="00380FC7">
        <w:rPr>
          <w:b/>
          <w:bCs/>
        </w:rPr>
        <w:t>redacted</w:t>
      </w:r>
      <w:r w:rsidR="00620580" w:rsidRPr="00380FC7">
        <w:t xml:space="preserve">% </w:t>
      </w:r>
      <w:r w:rsidR="00DD469D" w:rsidRPr="00380FC7">
        <w:t>across</w:t>
      </w:r>
      <w:r w:rsidR="00DD469D" w:rsidRPr="2AA1CA0C">
        <w:t xml:space="preserve"> all 5 years for class I obesity, </w:t>
      </w:r>
      <w:r w:rsidR="007E4668" w:rsidRPr="00380FC7">
        <w:rPr>
          <w:b/>
          <w:bCs/>
        </w:rPr>
        <w:t>redacted</w:t>
      </w:r>
      <w:r w:rsidR="00DD469D" w:rsidRPr="00380FC7">
        <w:t>% in year</w:t>
      </w:r>
      <w:r w:rsidR="00DD469D" w:rsidRPr="2AA1CA0C">
        <w:t xml:space="preserve"> 1 increasing to </w:t>
      </w:r>
      <w:r w:rsidR="007E4668" w:rsidRPr="00380FC7">
        <w:rPr>
          <w:b/>
          <w:bCs/>
        </w:rPr>
        <w:t>redacted</w:t>
      </w:r>
      <w:r w:rsidR="00DD469D" w:rsidRPr="00380FC7">
        <w:t>% by</w:t>
      </w:r>
      <w:r w:rsidR="00DD469D" w:rsidRPr="2AA1CA0C">
        <w:t xml:space="preserve"> years 4 and 5 for class II obesity, </w:t>
      </w:r>
      <w:r w:rsidR="00DD469D" w:rsidRPr="00380FC7">
        <w:t xml:space="preserve">and </w:t>
      </w:r>
      <w:r w:rsidR="007E4668" w:rsidRPr="00380FC7">
        <w:rPr>
          <w:b/>
          <w:bCs/>
        </w:rPr>
        <w:t>redacted</w:t>
      </w:r>
      <w:r w:rsidR="00DD469D" w:rsidRPr="00380FC7">
        <w:t>%</w:t>
      </w:r>
      <w:r w:rsidR="00DD469D" w:rsidRPr="2AA1CA0C">
        <w:t xml:space="preserve"> across all 5 years for class III obesity. </w:t>
      </w:r>
    </w:p>
    <w:p w14:paraId="76C6B8AC" w14:textId="2DC82424" w:rsidR="00CC4715" w:rsidRDefault="008134A8" w:rsidP="002606CF">
      <w:r w:rsidRPr="2AA1CA0C">
        <w:t xml:space="preserve">In addition to the substitution of LSG, </w:t>
      </w:r>
      <w:r w:rsidR="009811E0">
        <w:t>the ADAR</w:t>
      </w:r>
      <w:r w:rsidR="004E7785">
        <w:t xml:space="preserve">, based on </w:t>
      </w:r>
      <w:r w:rsidR="00572E81">
        <w:t>expert opinion,</w:t>
      </w:r>
      <w:r w:rsidR="009811E0">
        <w:t xml:space="preserve"> </w:t>
      </w:r>
      <w:r w:rsidRPr="2AA1CA0C">
        <w:t>also</w:t>
      </w:r>
      <w:r w:rsidR="00D61C07" w:rsidRPr="2AA1CA0C">
        <w:t xml:space="preserve"> expected </w:t>
      </w:r>
      <w:r w:rsidR="009C0652">
        <w:t>the</w:t>
      </w:r>
      <w:r w:rsidR="00EB25EB" w:rsidRPr="2AA1CA0C">
        <w:t xml:space="preserve"> market </w:t>
      </w:r>
      <w:r w:rsidR="00B81995" w:rsidRPr="2AA1CA0C">
        <w:t>size</w:t>
      </w:r>
      <w:r w:rsidR="009C0652">
        <w:t xml:space="preserve"> to </w:t>
      </w:r>
      <w:r w:rsidR="00EC25B9">
        <w:t>expand</w:t>
      </w:r>
      <w:r w:rsidR="00B81995" w:rsidRPr="2AA1CA0C">
        <w:t xml:space="preserve"> due to</w:t>
      </w:r>
      <w:r w:rsidR="00AF604D" w:rsidRPr="2AA1CA0C">
        <w:t xml:space="preserve"> patients who </w:t>
      </w:r>
      <w:r w:rsidR="007940B3">
        <w:t>previously</w:t>
      </w:r>
      <w:r w:rsidR="007940B3" w:rsidRPr="2AA1CA0C">
        <w:t xml:space="preserve"> </w:t>
      </w:r>
      <w:r w:rsidR="007940B3">
        <w:t>do</w:t>
      </w:r>
      <w:r w:rsidR="00AF604D" w:rsidRPr="2AA1CA0C">
        <w:t xml:space="preserve"> not </w:t>
      </w:r>
      <w:r w:rsidR="007940B3">
        <w:t>elect</w:t>
      </w:r>
      <w:r w:rsidR="00AF604D" w:rsidRPr="2AA1CA0C">
        <w:t xml:space="preserve"> to undergo bariatric surgery </w:t>
      </w:r>
      <w:r w:rsidR="00EC25B9">
        <w:t>now accept</w:t>
      </w:r>
      <w:r w:rsidR="008F071F">
        <w:t>ing</w:t>
      </w:r>
      <w:r w:rsidR="00EC25B9">
        <w:t xml:space="preserve"> ESG</w:t>
      </w:r>
      <w:r w:rsidR="00366A13">
        <w:t xml:space="preserve"> </w:t>
      </w:r>
      <w:r w:rsidR="00E46520">
        <w:t xml:space="preserve">if </w:t>
      </w:r>
      <w:r w:rsidR="00EB25EB" w:rsidRPr="2AA1CA0C">
        <w:t xml:space="preserve">the </w:t>
      </w:r>
      <w:r w:rsidR="00EB5D9F">
        <w:t xml:space="preserve">proposed </w:t>
      </w:r>
      <w:r w:rsidR="00EB25EB" w:rsidRPr="2AA1CA0C">
        <w:t>MBS listing</w:t>
      </w:r>
      <w:r w:rsidR="00792F86">
        <w:t xml:space="preserve"> is supported</w:t>
      </w:r>
      <w:r w:rsidR="00AF604D" w:rsidRPr="2AA1CA0C">
        <w:t xml:space="preserve">. </w:t>
      </w:r>
      <w:r w:rsidR="00F72CA6">
        <w:t xml:space="preserve">The ADAR assumed that </w:t>
      </w:r>
      <w:r w:rsidR="008E1E6F">
        <w:t>f</w:t>
      </w:r>
      <w:r w:rsidR="00862D20" w:rsidRPr="2AA1CA0C">
        <w:t xml:space="preserve">or class I and II obesity, the market size </w:t>
      </w:r>
      <w:r w:rsidR="008E1E6F">
        <w:t>would</w:t>
      </w:r>
      <w:r w:rsidR="00862D20" w:rsidRPr="2AA1CA0C">
        <w:t xml:space="preserve"> </w:t>
      </w:r>
      <w:r w:rsidR="000B3A03" w:rsidRPr="2AA1CA0C">
        <w:t>grow</w:t>
      </w:r>
      <w:r w:rsidR="00862D20" w:rsidRPr="2AA1CA0C">
        <w:t xml:space="preserve"> </w:t>
      </w:r>
      <w:r w:rsidR="00053A54" w:rsidRPr="2AA1CA0C">
        <w:t>by</w:t>
      </w:r>
      <w:r w:rsidR="00862D20" w:rsidRPr="2AA1CA0C">
        <w:t xml:space="preserve"> 5% in year 1, </w:t>
      </w:r>
      <w:r w:rsidR="008210E2" w:rsidRPr="2AA1CA0C">
        <w:t>increasing</w:t>
      </w:r>
      <w:r w:rsidR="00862D20" w:rsidRPr="2AA1CA0C">
        <w:t xml:space="preserve"> to </w:t>
      </w:r>
      <w:r w:rsidR="008210E2" w:rsidRPr="2AA1CA0C">
        <w:t>a</w:t>
      </w:r>
      <w:r w:rsidR="00862D20" w:rsidRPr="2AA1CA0C">
        <w:t xml:space="preserve"> 20% </w:t>
      </w:r>
      <w:r w:rsidR="009B538B">
        <w:t>in</w:t>
      </w:r>
      <w:r w:rsidR="00862D20" w:rsidRPr="2AA1CA0C">
        <w:t xml:space="preserve"> year 5</w:t>
      </w:r>
      <w:r w:rsidR="009B538B">
        <w:t xml:space="preserve"> of listing</w:t>
      </w:r>
      <w:r w:rsidR="009F57B2" w:rsidRPr="2AA1CA0C">
        <w:t>.</w:t>
      </w:r>
      <w:r w:rsidR="00862D20" w:rsidRPr="2AA1CA0C">
        <w:t xml:space="preserve"> </w:t>
      </w:r>
      <w:r w:rsidR="009F57B2" w:rsidRPr="2AA1CA0C">
        <w:t>F</w:t>
      </w:r>
      <w:r w:rsidR="00862D20" w:rsidRPr="2AA1CA0C">
        <w:t xml:space="preserve">or class III obesity, the </w:t>
      </w:r>
      <w:r w:rsidR="00020576">
        <w:t xml:space="preserve">ADAR assumed the </w:t>
      </w:r>
      <w:r w:rsidR="00862D20" w:rsidRPr="2AA1CA0C">
        <w:t xml:space="preserve">market size </w:t>
      </w:r>
      <w:r w:rsidR="00DC3C25" w:rsidRPr="2AA1CA0C">
        <w:t>to grow</w:t>
      </w:r>
      <w:r w:rsidR="00862D20" w:rsidRPr="2AA1CA0C">
        <w:t xml:space="preserve"> </w:t>
      </w:r>
      <w:r w:rsidR="00F800CE" w:rsidRPr="2AA1CA0C">
        <w:t>2.5%</w:t>
      </w:r>
      <w:r w:rsidR="00020576">
        <w:t xml:space="preserve"> every year</w:t>
      </w:r>
      <w:r w:rsidR="00862D20" w:rsidRPr="2AA1CA0C">
        <w:t>.</w:t>
      </w:r>
    </w:p>
    <w:p w14:paraId="2C5DB596" w14:textId="34FC5E72" w:rsidR="00C318A5" w:rsidRDefault="00874699" w:rsidP="002606CF">
      <w:r w:rsidRPr="2AA1CA0C">
        <w:t xml:space="preserve">At </w:t>
      </w:r>
      <w:r w:rsidR="00475BA6" w:rsidRPr="2AA1CA0C">
        <w:t xml:space="preserve">75% benefits, the total </w:t>
      </w:r>
      <w:r w:rsidR="00675763" w:rsidRPr="2AA1CA0C">
        <w:t>M</w:t>
      </w:r>
      <w:r w:rsidR="00475BA6" w:rsidRPr="2AA1CA0C">
        <w:t xml:space="preserve">BS cost applied for the ESG procedure </w:t>
      </w:r>
      <w:r w:rsidR="00375111">
        <w:t>was</w:t>
      </w:r>
      <w:r w:rsidR="00375111" w:rsidRPr="2AA1CA0C">
        <w:t xml:space="preserve"> </w:t>
      </w:r>
      <w:r w:rsidR="007954B3" w:rsidRPr="2AA1CA0C">
        <w:t>$1</w:t>
      </w:r>
      <w:r w:rsidR="00785517" w:rsidRPr="2AA1CA0C">
        <w:t>,</w:t>
      </w:r>
      <w:r w:rsidR="007954B3" w:rsidRPr="2AA1CA0C">
        <w:t>682.21 per patient</w:t>
      </w:r>
      <w:r w:rsidR="00A800D3" w:rsidRPr="2AA1CA0C">
        <w:t>,</w:t>
      </w:r>
      <w:r w:rsidR="007954B3" w:rsidRPr="2AA1CA0C">
        <w:t xml:space="preserve"> which is </w:t>
      </w:r>
      <w:r w:rsidR="00E34762" w:rsidRPr="2AA1CA0C">
        <w:t>equivalent</w:t>
      </w:r>
      <w:r w:rsidR="007954B3" w:rsidRPr="2AA1CA0C">
        <w:t xml:space="preserve"> to the cost of </w:t>
      </w:r>
      <w:r w:rsidR="00A800D3" w:rsidRPr="2AA1CA0C">
        <w:t xml:space="preserve">the </w:t>
      </w:r>
      <w:r w:rsidR="007954B3" w:rsidRPr="2AA1CA0C">
        <w:t xml:space="preserve">LSG procedure. </w:t>
      </w:r>
      <w:r w:rsidR="00F56134" w:rsidRPr="2AA1CA0C">
        <w:t xml:space="preserve">This </w:t>
      </w:r>
      <w:r w:rsidR="00AA6B1F" w:rsidRPr="2AA1CA0C">
        <w:t xml:space="preserve">total </w:t>
      </w:r>
      <w:r w:rsidR="00F56134" w:rsidRPr="2AA1CA0C">
        <w:t xml:space="preserve">MBS cost includes costs of </w:t>
      </w:r>
      <w:r w:rsidR="00B57C99" w:rsidRPr="2AA1CA0C">
        <w:t xml:space="preserve">the </w:t>
      </w:r>
      <w:r w:rsidR="00F56134" w:rsidRPr="2AA1CA0C">
        <w:t>propose</w:t>
      </w:r>
      <w:r w:rsidR="00B57C99" w:rsidRPr="2AA1CA0C">
        <w:t>d</w:t>
      </w:r>
      <w:r w:rsidR="00F56134" w:rsidRPr="2AA1CA0C">
        <w:t xml:space="preserve"> MBS item</w:t>
      </w:r>
      <w:r w:rsidR="00021FA4" w:rsidRPr="2AA1CA0C">
        <w:t xml:space="preserve"> for ESG</w:t>
      </w:r>
      <w:r w:rsidR="00AA6B1F" w:rsidRPr="2AA1CA0C">
        <w:t xml:space="preserve"> (or </w:t>
      </w:r>
      <w:r w:rsidR="005F59C4" w:rsidRPr="2AA1CA0C">
        <w:t>existing MBS item</w:t>
      </w:r>
      <w:r w:rsidR="0022530B" w:rsidRPr="2AA1CA0C">
        <w:t xml:space="preserve"> 31575</w:t>
      </w:r>
      <w:r w:rsidR="005F59C4" w:rsidRPr="2AA1CA0C">
        <w:t xml:space="preserve"> for LSG</w:t>
      </w:r>
      <w:r w:rsidR="0022530B" w:rsidRPr="2AA1CA0C">
        <w:t>)</w:t>
      </w:r>
      <w:r w:rsidR="00F56134" w:rsidRPr="2AA1CA0C">
        <w:t>, pre-surgery costs</w:t>
      </w:r>
      <w:r w:rsidR="003E3C1E" w:rsidRPr="2AA1CA0C">
        <w:t xml:space="preserve"> (</w:t>
      </w:r>
      <w:r w:rsidR="0003297B" w:rsidRPr="2AA1CA0C">
        <w:t>haematology, renal function tes</w:t>
      </w:r>
      <w:r w:rsidR="00777860" w:rsidRPr="2AA1CA0C">
        <w:t>t, professional attendance</w:t>
      </w:r>
      <w:r w:rsidR="00A4407B" w:rsidRPr="2AA1CA0C">
        <w:t xml:space="preserve"> items</w:t>
      </w:r>
      <w:r w:rsidR="0007422F" w:rsidRPr="2AA1CA0C">
        <w:t xml:space="preserve"> with consultant physician and </w:t>
      </w:r>
      <w:r w:rsidR="002D421B" w:rsidRPr="2AA1CA0C">
        <w:t>anaesthetist</w:t>
      </w:r>
      <w:r w:rsidR="00A4407B" w:rsidRPr="2AA1CA0C">
        <w:t>, GP</w:t>
      </w:r>
      <w:r w:rsidR="00E17A01" w:rsidRPr="2AA1CA0C">
        <w:t xml:space="preserve"> </w:t>
      </w:r>
      <w:r w:rsidR="0007422F" w:rsidRPr="2AA1CA0C">
        <w:t xml:space="preserve">and allied health </w:t>
      </w:r>
      <w:r w:rsidR="0060603F" w:rsidRPr="2AA1CA0C">
        <w:t>services</w:t>
      </w:r>
      <w:r w:rsidR="0007422F" w:rsidRPr="2AA1CA0C">
        <w:t>)</w:t>
      </w:r>
      <w:r w:rsidR="00777860" w:rsidRPr="2AA1CA0C">
        <w:t xml:space="preserve"> </w:t>
      </w:r>
      <w:r w:rsidR="00F56134" w:rsidRPr="2AA1CA0C">
        <w:t xml:space="preserve">and anaesthesia costs. </w:t>
      </w:r>
    </w:p>
    <w:p w14:paraId="2295E880" w14:textId="0ADDD05C" w:rsidR="00C318A5" w:rsidRDefault="00C318A5" w:rsidP="00C318A5">
      <w:r w:rsidRPr="00AD3273">
        <w:t xml:space="preserve">The financial analysis </w:t>
      </w:r>
      <w:r w:rsidR="00375111">
        <w:t>assumed</w:t>
      </w:r>
      <w:r w:rsidR="00375111" w:rsidRPr="00AD3273">
        <w:t xml:space="preserve"> </w:t>
      </w:r>
      <w:r w:rsidRPr="00AD3273">
        <w:t xml:space="preserve">ESG as a new bariatric procedure in 52% and 63% of patients predicted to uptake the service in years 1 and 6, respectively. In these patients, ESG incurs a net cost to the MBS. For the remaining patients, ESG is </w:t>
      </w:r>
      <w:r w:rsidR="00375111">
        <w:t>assumed to</w:t>
      </w:r>
      <w:r w:rsidRPr="00AD3273">
        <w:t xml:space="preserve"> substitute for LSG. In these patients, </w:t>
      </w:r>
      <w:r w:rsidR="0049297E">
        <w:t xml:space="preserve">the ADAR projects </w:t>
      </w:r>
      <w:r w:rsidRPr="00AD3273">
        <w:t xml:space="preserve">no net cost to the MBS, given </w:t>
      </w:r>
      <w:r w:rsidR="0049297E">
        <w:t xml:space="preserve">the proposed </w:t>
      </w:r>
      <w:r w:rsidRPr="00AD3273">
        <w:t>equivalent MBS costs for ESG and LSG.</w:t>
      </w:r>
    </w:p>
    <w:p w14:paraId="696DDD73" w14:textId="4E5AAC85" w:rsidR="00FE226D" w:rsidRDefault="00182B32" w:rsidP="00C8307F">
      <w:r>
        <w:t xml:space="preserve">The </w:t>
      </w:r>
      <w:r w:rsidR="00DE317A">
        <w:t>ADAR</w:t>
      </w:r>
      <w:r>
        <w:t xml:space="preserve"> estimated total cost of </w:t>
      </w:r>
      <w:r w:rsidR="00A800D3">
        <w:t xml:space="preserve">the </w:t>
      </w:r>
      <w:r w:rsidR="00941A46">
        <w:t xml:space="preserve">ESG procedure </w:t>
      </w:r>
      <w:r w:rsidR="00BF6A63">
        <w:t xml:space="preserve">to the MBS at 75% </w:t>
      </w:r>
      <w:r w:rsidR="003E407C">
        <w:t xml:space="preserve">benefits </w:t>
      </w:r>
      <w:r w:rsidR="0049297E">
        <w:t xml:space="preserve">was </w:t>
      </w:r>
      <w:r w:rsidR="0091727D">
        <w:t>estimated to be</w:t>
      </w:r>
      <w:r w:rsidR="003E407C">
        <w:t xml:space="preserve"> </w:t>
      </w:r>
      <w:r w:rsidR="002B5476">
        <w:t>$2.06 million in year 1</w:t>
      </w:r>
      <w:r w:rsidR="00A800D3">
        <w:t>,</w:t>
      </w:r>
      <w:r w:rsidR="002B5476">
        <w:t xml:space="preserve"> </w:t>
      </w:r>
      <w:r w:rsidR="0096103D">
        <w:t xml:space="preserve">increasing to </w:t>
      </w:r>
      <w:r w:rsidR="0098554D">
        <w:t xml:space="preserve">$4.5 million in year 5. </w:t>
      </w:r>
      <w:r w:rsidR="00FF7FAC">
        <w:t>Similarly</w:t>
      </w:r>
      <w:r w:rsidR="00106D25">
        <w:t xml:space="preserve">, </w:t>
      </w:r>
      <w:r w:rsidR="00FF7FAC">
        <w:t>t</w:t>
      </w:r>
      <w:r w:rsidR="007954B3">
        <w:t xml:space="preserve">he estimated net cost of </w:t>
      </w:r>
      <w:r w:rsidR="00A800D3">
        <w:t xml:space="preserve">the </w:t>
      </w:r>
      <w:r w:rsidR="007954B3">
        <w:t xml:space="preserve">ESG procedure to the MBS at 75% benefits </w:t>
      </w:r>
      <w:r w:rsidR="0091727D">
        <w:t>was estimated to be</w:t>
      </w:r>
      <w:r w:rsidR="007954B3">
        <w:t xml:space="preserve"> </w:t>
      </w:r>
      <w:r w:rsidR="005D799C">
        <w:t>$1.07 million in year 1</w:t>
      </w:r>
      <w:r w:rsidR="00A800D3">
        <w:t>,</w:t>
      </w:r>
      <w:r w:rsidR="005D799C">
        <w:t xml:space="preserve"> </w:t>
      </w:r>
      <w:r w:rsidR="00310F16">
        <w:t xml:space="preserve">increasing to $2.9 </w:t>
      </w:r>
      <w:r w:rsidR="003C1AD5">
        <w:t xml:space="preserve">million in year 5. </w:t>
      </w:r>
      <w:r w:rsidR="00A800D3">
        <w:t>T</w:t>
      </w:r>
      <w:r w:rsidR="00197F84">
        <w:t xml:space="preserve">he total cost to </w:t>
      </w:r>
      <w:r w:rsidR="00A800D3">
        <w:t xml:space="preserve">the </w:t>
      </w:r>
      <w:r w:rsidR="00197F84">
        <w:t xml:space="preserve">health budget at 75% benefit </w:t>
      </w:r>
      <w:r w:rsidR="0091727D">
        <w:t xml:space="preserve">was </w:t>
      </w:r>
      <w:r w:rsidR="00E34762">
        <w:t>projected</w:t>
      </w:r>
      <w:r w:rsidR="00197F84">
        <w:t xml:space="preserve"> to be $</w:t>
      </w:r>
      <w:r w:rsidR="00F205E8">
        <w:t>1</w:t>
      </w:r>
      <w:r w:rsidR="00E34762">
        <w:t>.</w:t>
      </w:r>
      <w:r w:rsidR="00F205E8">
        <w:t>0</w:t>
      </w:r>
      <w:r w:rsidR="00E34762">
        <w:t>7 million in year 1</w:t>
      </w:r>
      <w:r w:rsidR="00A800D3">
        <w:t>,</w:t>
      </w:r>
      <w:r w:rsidR="00E34762">
        <w:t xml:space="preserve"> rising to $2.90 million in year 5</w:t>
      </w:r>
      <w:r w:rsidR="00BC656E">
        <w:t xml:space="preserve"> </w:t>
      </w:r>
      <w:r w:rsidR="00FD00C9">
        <w:t>(</w:t>
      </w:r>
      <w:r w:rsidR="00AF54AA">
        <w:fldChar w:fldCharType="begin"/>
      </w:r>
      <w:r w:rsidR="00AF54AA">
        <w:instrText xml:space="preserve"> REF _Ref191575313 \h </w:instrText>
      </w:r>
      <w:r w:rsidR="00AF54AA">
        <w:fldChar w:fldCharType="separate"/>
      </w:r>
      <w:r w:rsidR="008F37D1">
        <w:t xml:space="preserve">Table </w:t>
      </w:r>
      <w:r w:rsidR="008F37D1">
        <w:rPr>
          <w:noProof/>
        </w:rPr>
        <w:t>34</w:t>
      </w:r>
      <w:r w:rsidR="00AF54AA">
        <w:fldChar w:fldCharType="end"/>
      </w:r>
      <w:r w:rsidR="00E875EE" w:rsidRPr="00FD00C9">
        <w:t>)</w:t>
      </w:r>
      <w:r w:rsidR="00E34762" w:rsidRPr="00FD00C9">
        <w:t>.</w:t>
      </w:r>
      <w:r w:rsidR="00E34762">
        <w:t xml:space="preserve"> </w:t>
      </w:r>
    </w:p>
    <w:p w14:paraId="732BD1DF" w14:textId="6CBC4063" w:rsidR="00163747" w:rsidRDefault="00163747" w:rsidP="00CD0D7F">
      <w:pPr>
        <w:pStyle w:val="Caption"/>
      </w:pPr>
      <w:bookmarkStart w:id="112" w:name="_Ref191575313"/>
      <w:r>
        <w:t xml:space="preserve">Table </w:t>
      </w:r>
      <w:r w:rsidR="00707F6D">
        <w:fldChar w:fldCharType="begin"/>
      </w:r>
      <w:r w:rsidR="00707F6D">
        <w:instrText xml:space="preserve"> SEQ Table \* ARABIC </w:instrText>
      </w:r>
      <w:r w:rsidR="00707F6D">
        <w:fldChar w:fldCharType="separate"/>
      </w:r>
      <w:r w:rsidR="008F37D1">
        <w:rPr>
          <w:noProof/>
        </w:rPr>
        <w:t>34</w:t>
      </w:r>
      <w:r w:rsidR="00707F6D">
        <w:rPr>
          <w:noProof/>
        </w:rPr>
        <w:fldChar w:fldCharType="end"/>
      </w:r>
      <w:bookmarkEnd w:id="112"/>
      <w:r>
        <w:t>:</w:t>
      </w:r>
      <w:r w:rsidRPr="00163747">
        <w:t xml:space="preserve"> </w:t>
      </w:r>
      <w:r>
        <w:t>N</w:t>
      </w:r>
      <w:r w:rsidRPr="00C063D6">
        <w:t xml:space="preserve">et financial implications of </w:t>
      </w:r>
      <w:r w:rsidRPr="002606CF">
        <w:t>ESG to the MBS</w:t>
      </w:r>
      <w:r>
        <w:t xml:space="preserve"> in the ADAR</w:t>
      </w:r>
    </w:p>
    <w:tbl>
      <w:tblPr>
        <w:tblStyle w:val="TableGrid"/>
        <w:tblW w:w="5000" w:type="pct"/>
        <w:tblLook w:val="04A0" w:firstRow="1" w:lastRow="0" w:firstColumn="1" w:lastColumn="0" w:noHBand="0" w:noVBand="1"/>
      </w:tblPr>
      <w:tblGrid>
        <w:gridCol w:w="3257"/>
        <w:gridCol w:w="1134"/>
        <w:gridCol w:w="1134"/>
        <w:gridCol w:w="1134"/>
        <w:gridCol w:w="1134"/>
        <w:gridCol w:w="1223"/>
      </w:tblGrid>
      <w:tr w:rsidR="00CF61C1" w:rsidRPr="00B221AE" w14:paraId="1D781C57" w14:textId="77777777" w:rsidTr="00CD0D7F">
        <w:trPr>
          <w:tblHeader/>
        </w:trPr>
        <w:tc>
          <w:tcPr>
            <w:tcW w:w="1806" w:type="pct"/>
            <w:vAlign w:val="center"/>
          </w:tcPr>
          <w:p w14:paraId="66F4FB59" w14:textId="77777777" w:rsidR="00B76991" w:rsidRPr="009974D1" w:rsidRDefault="00B76991" w:rsidP="00D76EFB">
            <w:pPr>
              <w:spacing w:before="0"/>
              <w:rPr>
                <w:rFonts w:ascii="Arial Narrow" w:hAnsi="Arial Narrow"/>
                <w:b/>
                <w:sz w:val="20"/>
                <w:szCs w:val="20"/>
              </w:rPr>
            </w:pPr>
            <w:r w:rsidRPr="009974D1">
              <w:rPr>
                <w:rFonts w:ascii="Arial Narrow" w:hAnsi="Arial Narrow"/>
                <w:b/>
                <w:sz w:val="20"/>
                <w:szCs w:val="20"/>
              </w:rPr>
              <w:t>Parameter</w:t>
            </w:r>
          </w:p>
        </w:tc>
        <w:tc>
          <w:tcPr>
            <w:tcW w:w="629" w:type="pct"/>
            <w:vAlign w:val="center"/>
          </w:tcPr>
          <w:p w14:paraId="5F5B83CF" w14:textId="77777777" w:rsidR="00B76991" w:rsidRPr="009974D1" w:rsidRDefault="00B76991" w:rsidP="00D76EFB">
            <w:pPr>
              <w:spacing w:before="0"/>
              <w:jc w:val="center"/>
              <w:rPr>
                <w:rFonts w:ascii="Arial Narrow" w:hAnsi="Arial Narrow"/>
                <w:b/>
                <w:sz w:val="20"/>
                <w:szCs w:val="20"/>
              </w:rPr>
            </w:pPr>
            <w:r w:rsidRPr="009974D1">
              <w:rPr>
                <w:rFonts w:ascii="Arial Narrow" w:hAnsi="Arial Narrow"/>
                <w:b/>
                <w:sz w:val="20"/>
                <w:szCs w:val="20"/>
              </w:rPr>
              <w:t>Year 1</w:t>
            </w:r>
          </w:p>
        </w:tc>
        <w:tc>
          <w:tcPr>
            <w:tcW w:w="629" w:type="pct"/>
            <w:vAlign w:val="center"/>
          </w:tcPr>
          <w:p w14:paraId="54DC8D6A" w14:textId="77777777" w:rsidR="00B76991" w:rsidRPr="009974D1" w:rsidRDefault="00B76991" w:rsidP="00D76EFB">
            <w:pPr>
              <w:spacing w:before="0"/>
              <w:jc w:val="center"/>
              <w:rPr>
                <w:rFonts w:ascii="Arial Narrow" w:hAnsi="Arial Narrow"/>
                <w:b/>
                <w:sz w:val="20"/>
                <w:szCs w:val="20"/>
              </w:rPr>
            </w:pPr>
            <w:r w:rsidRPr="009974D1">
              <w:rPr>
                <w:rFonts w:ascii="Arial Narrow" w:hAnsi="Arial Narrow"/>
                <w:b/>
                <w:sz w:val="20"/>
                <w:szCs w:val="20"/>
              </w:rPr>
              <w:t>Year 2</w:t>
            </w:r>
          </w:p>
        </w:tc>
        <w:tc>
          <w:tcPr>
            <w:tcW w:w="629" w:type="pct"/>
            <w:vAlign w:val="center"/>
          </w:tcPr>
          <w:p w14:paraId="2C2A06F5" w14:textId="77777777" w:rsidR="00B76991" w:rsidRPr="009974D1" w:rsidRDefault="00B76991" w:rsidP="00D76EFB">
            <w:pPr>
              <w:spacing w:before="0"/>
              <w:jc w:val="center"/>
              <w:rPr>
                <w:rFonts w:ascii="Arial Narrow" w:hAnsi="Arial Narrow"/>
                <w:b/>
                <w:sz w:val="20"/>
                <w:szCs w:val="20"/>
              </w:rPr>
            </w:pPr>
            <w:r w:rsidRPr="009974D1">
              <w:rPr>
                <w:rFonts w:ascii="Arial Narrow" w:hAnsi="Arial Narrow"/>
                <w:b/>
                <w:sz w:val="20"/>
                <w:szCs w:val="20"/>
              </w:rPr>
              <w:t>Year 3</w:t>
            </w:r>
          </w:p>
        </w:tc>
        <w:tc>
          <w:tcPr>
            <w:tcW w:w="629" w:type="pct"/>
            <w:vAlign w:val="center"/>
          </w:tcPr>
          <w:p w14:paraId="6359AA9C" w14:textId="77777777" w:rsidR="00B76991" w:rsidRPr="009974D1" w:rsidRDefault="00B76991" w:rsidP="00D76EFB">
            <w:pPr>
              <w:spacing w:before="0"/>
              <w:jc w:val="center"/>
              <w:rPr>
                <w:rFonts w:ascii="Arial Narrow" w:hAnsi="Arial Narrow"/>
                <w:b/>
                <w:sz w:val="20"/>
                <w:szCs w:val="20"/>
              </w:rPr>
            </w:pPr>
            <w:r w:rsidRPr="009974D1">
              <w:rPr>
                <w:rFonts w:ascii="Arial Narrow" w:hAnsi="Arial Narrow"/>
                <w:b/>
                <w:sz w:val="20"/>
                <w:szCs w:val="20"/>
              </w:rPr>
              <w:t>Year 4</w:t>
            </w:r>
          </w:p>
        </w:tc>
        <w:tc>
          <w:tcPr>
            <w:tcW w:w="678" w:type="pct"/>
            <w:vAlign w:val="center"/>
          </w:tcPr>
          <w:p w14:paraId="01F31910" w14:textId="77777777" w:rsidR="00B76991" w:rsidRPr="009974D1" w:rsidRDefault="00B76991" w:rsidP="00D76EFB">
            <w:pPr>
              <w:spacing w:before="0"/>
              <w:jc w:val="center"/>
              <w:rPr>
                <w:rFonts w:ascii="Arial Narrow" w:hAnsi="Arial Narrow"/>
                <w:b/>
                <w:sz w:val="20"/>
                <w:szCs w:val="20"/>
              </w:rPr>
            </w:pPr>
            <w:r w:rsidRPr="009974D1">
              <w:rPr>
                <w:rFonts w:ascii="Arial Narrow" w:hAnsi="Arial Narrow"/>
                <w:b/>
                <w:sz w:val="20"/>
                <w:szCs w:val="20"/>
              </w:rPr>
              <w:t>Year 5</w:t>
            </w:r>
          </w:p>
        </w:tc>
      </w:tr>
      <w:tr w:rsidR="00CE1D27" w:rsidRPr="00B221AE" w14:paraId="61BEF66A" w14:textId="77777777" w:rsidTr="2AA1CA0C">
        <w:tc>
          <w:tcPr>
            <w:tcW w:w="5000" w:type="pct"/>
            <w:gridSpan w:val="6"/>
            <w:vAlign w:val="center"/>
          </w:tcPr>
          <w:p w14:paraId="55921F13" w14:textId="77777777" w:rsidR="00B76991" w:rsidRPr="009974D1" w:rsidRDefault="00B76991" w:rsidP="00D76EFB">
            <w:pPr>
              <w:spacing w:before="0"/>
              <w:rPr>
                <w:rFonts w:ascii="Arial Narrow" w:hAnsi="Arial Narrow"/>
                <w:b/>
                <w:sz w:val="20"/>
                <w:szCs w:val="20"/>
              </w:rPr>
            </w:pPr>
            <w:r w:rsidRPr="009974D1">
              <w:rPr>
                <w:rFonts w:ascii="Arial Narrow" w:hAnsi="Arial Narrow"/>
                <w:b/>
                <w:sz w:val="20"/>
                <w:szCs w:val="20"/>
              </w:rPr>
              <w:t>Estimated use and cost of ESG</w:t>
            </w:r>
          </w:p>
        </w:tc>
      </w:tr>
      <w:tr w:rsidR="00CF61C1" w:rsidRPr="00B221AE" w14:paraId="15899F19" w14:textId="77777777" w:rsidTr="00CD0D7F">
        <w:tc>
          <w:tcPr>
            <w:tcW w:w="1806" w:type="pct"/>
            <w:vAlign w:val="center"/>
          </w:tcPr>
          <w:p w14:paraId="76002A87" w14:textId="6F3619DA" w:rsidR="00B76991" w:rsidRPr="009974D1" w:rsidRDefault="00A800D3" w:rsidP="00D76EFB">
            <w:pPr>
              <w:spacing w:before="0"/>
              <w:rPr>
                <w:rFonts w:ascii="Arial Narrow" w:hAnsi="Arial Narrow"/>
                <w:sz w:val="20"/>
                <w:szCs w:val="20"/>
              </w:rPr>
            </w:pPr>
            <w:r>
              <w:rPr>
                <w:rFonts w:ascii="Arial Narrow" w:hAnsi="Arial Narrow"/>
                <w:sz w:val="20"/>
                <w:szCs w:val="20"/>
              </w:rPr>
              <w:t>P</w:t>
            </w:r>
            <w:r w:rsidRPr="009974D1">
              <w:rPr>
                <w:rFonts w:ascii="Arial Narrow" w:hAnsi="Arial Narrow"/>
                <w:sz w:val="20"/>
                <w:szCs w:val="20"/>
              </w:rPr>
              <w:t>rojected</w:t>
            </w:r>
            <w:r>
              <w:rPr>
                <w:rFonts w:ascii="Arial Narrow" w:hAnsi="Arial Narrow"/>
                <w:sz w:val="20"/>
                <w:szCs w:val="20"/>
              </w:rPr>
              <w:t xml:space="preserve"> nu</w:t>
            </w:r>
            <w:r w:rsidR="00B76991" w:rsidRPr="009974D1">
              <w:rPr>
                <w:rFonts w:ascii="Arial Narrow" w:hAnsi="Arial Narrow"/>
                <w:sz w:val="20"/>
                <w:szCs w:val="20"/>
              </w:rPr>
              <w:t>mber of ESG procedure</w:t>
            </w:r>
            <w:r>
              <w:rPr>
                <w:rFonts w:ascii="Arial Narrow" w:hAnsi="Arial Narrow"/>
                <w:sz w:val="20"/>
                <w:szCs w:val="20"/>
              </w:rPr>
              <w:t>s</w:t>
            </w:r>
            <w:r w:rsidR="00106860" w:rsidDel="00A800D3">
              <w:rPr>
                <w:rFonts w:ascii="Arial Narrow" w:hAnsi="Arial Narrow"/>
                <w:sz w:val="20"/>
                <w:szCs w:val="20"/>
              </w:rPr>
              <w:t xml:space="preserve"> </w:t>
            </w:r>
            <w:r w:rsidR="00106860">
              <w:rPr>
                <w:rFonts w:ascii="Arial Narrow" w:hAnsi="Arial Narrow"/>
                <w:sz w:val="20"/>
                <w:szCs w:val="20"/>
              </w:rPr>
              <w:t>attributable to market growth</w:t>
            </w:r>
            <w:r w:rsidR="00095F63">
              <w:rPr>
                <w:rFonts w:ascii="Arial Narrow" w:hAnsi="Arial Narrow"/>
                <w:sz w:val="20"/>
                <w:szCs w:val="20"/>
              </w:rPr>
              <w:t>*</w:t>
            </w:r>
          </w:p>
        </w:tc>
        <w:tc>
          <w:tcPr>
            <w:tcW w:w="629" w:type="pct"/>
            <w:vAlign w:val="center"/>
          </w:tcPr>
          <w:p w14:paraId="7F6C7E11" w14:textId="31A22905" w:rsidR="00B76991" w:rsidRPr="00380FC7" w:rsidRDefault="007E4668" w:rsidP="00D76EFB">
            <w:pPr>
              <w:spacing w:before="0"/>
              <w:jc w:val="center"/>
              <w:rPr>
                <w:rFonts w:ascii="Arial Narrow" w:hAnsi="Arial Narrow"/>
                <w:sz w:val="20"/>
                <w:szCs w:val="20"/>
              </w:rPr>
            </w:pPr>
            <w:r w:rsidRPr="00380FC7">
              <w:rPr>
                <w:rFonts w:ascii="Arial Narrow" w:hAnsi="Arial Narrow"/>
                <w:b/>
                <w:bCs/>
                <w:sz w:val="20"/>
                <w:szCs w:val="20"/>
              </w:rPr>
              <w:t>redacted</w:t>
            </w:r>
          </w:p>
        </w:tc>
        <w:tc>
          <w:tcPr>
            <w:tcW w:w="629" w:type="pct"/>
            <w:vAlign w:val="center"/>
          </w:tcPr>
          <w:p w14:paraId="002D4A4A" w14:textId="3A4451A3" w:rsidR="00B76991" w:rsidRPr="00380FC7" w:rsidRDefault="007E4668" w:rsidP="00D76EFB">
            <w:pPr>
              <w:spacing w:before="0"/>
              <w:jc w:val="center"/>
              <w:rPr>
                <w:rFonts w:ascii="Arial Narrow" w:hAnsi="Arial Narrow"/>
                <w:sz w:val="20"/>
                <w:szCs w:val="20"/>
              </w:rPr>
            </w:pPr>
            <w:r w:rsidRPr="00380FC7">
              <w:rPr>
                <w:rFonts w:ascii="Arial Narrow" w:hAnsi="Arial Narrow"/>
                <w:b/>
                <w:bCs/>
                <w:sz w:val="20"/>
                <w:szCs w:val="20"/>
              </w:rPr>
              <w:t>redacted</w:t>
            </w:r>
          </w:p>
        </w:tc>
        <w:tc>
          <w:tcPr>
            <w:tcW w:w="629" w:type="pct"/>
            <w:vAlign w:val="center"/>
          </w:tcPr>
          <w:p w14:paraId="6487B2F3" w14:textId="1D07A09B" w:rsidR="00B76991" w:rsidRPr="00380FC7" w:rsidRDefault="007E4668" w:rsidP="00D76EFB">
            <w:pPr>
              <w:spacing w:before="0"/>
              <w:jc w:val="center"/>
              <w:rPr>
                <w:rFonts w:ascii="Arial Narrow" w:hAnsi="Arial Narrow"/>
                <w:sz w:val="20"/>
                <w:szCs w:val="20"/>
              </w:rPr>
            </w:pPr>
            <w:r w:rsidRPr="00380FC7">
              <w:rPr>
                <w:rFonts w:ascii="Arial Narrow" w:hAnsi="Arial Narrow"/>
                <w:b/>
                <w:bCs/>
                <w:sz w:val="20"/>
                <w:szCs w:val="20"/>
              </w:rPr>
              <w:t>redacted</w:t>
            </w:r>
          </w:p>
        </w:tc>
        <w:tc>
          <w:tcPr>
            <w:tcW w:w="629" w:type="pct"/>
            <w:vAlign w:val="center"/>
          </w:tcPr>
          <w:p w14:paraId="44E90BB7" w14:textId="1D2E73E5" w:rsidR="00B76991" w:rsidRPr="00380FC7" w:rsidRDefault="007E4668" w:rsidP="00D76EFB">
            <w:pPr>
              <w:spacing w:before="0"/>
              <w:jc w:val="center"/>
              <w:rPr>
                <w:rFonts w:ascii="Arial Narrow" w:hAnsi="Arial Narrow"/>
                <w:sz w:val="20"/>
                <w:szCs w:val="20"/>
              </w:rPr>
            </w:pPr>
            <w:r w:rsidRPr="00380FC7">
              <w:rPr>
                <w:rFonts w:ascii="Arial Narrow" w:hAnsi="Arial Narrow"/>
                <w:b/>
                <w:bCs/>
                <w:sz w:val="20"/>
                <w:szCs w:val="20"/>
              </w:rPr>
              <w:t>redacted</w:t>
            </w:r>
          </w:p>
        </w:tc>
        <w:tc>
          <w:tcPr>
            <w:tcW w:w="678" w:type="pct"/>
            <w:vAlign w:val="center"/>
          </w:tcPr>
          <w:p w14:paraId="3B7341E0" w14:textId="78ECDCE0" w:rsidR="00B76991" w:rsidRPr="00380FC7" w:rsidRDefault="007E4668" w:rsidP="00D76EFB">
            <w:pPr>
              <w:spacing w:before="0"/>
              <w:jc w:val="center"/>
              <w:rPr>
                <w:rFonts w:ascii="Arial Narrow" w:hAnsi="Arial Narrow"/>
                <w:sz w:val="20"/>
                <w:szCs w:val="20"/>
              </w:rPr>
            </w:pPr>
            <w:r w:rsidRPr="00380FC7">
              <w:rPr>
                <w:rFonts w:ascii="Arial Narrow" w:hAnsi="Arial Narrow"/>
                <w:b/>
                <w:bCs/>
                <w:sz w:val="20"/>
                <w:szCs w:val="20"/>
              </w:rPr>
              <w:t>redacted</w:t>
            </w:r>
          </w:p>
        </w:tc>
      </w:tr>
      <w:tr w:rsidR="00CF61C1" w:rsidRPr="00B221AE" w14:paraId="30C004AB" w14:textId="77777777" w:rsidTr="00CD0D7F">
        <w:tc>
          <w:tcPr>
            <w:tcW w:w="1806" w:type="pct"/>
            <w:vAlign w:val="center"/>
          </w:tcPr>
          <w:p w14:paraId="0A7D4AAC" w14:textId="4750F9D6" w:rsidR="00410D06" w:rsidRPr="009974D1" w:rsidRDefault="00410D06" w:rsidP="00D76EFB">
            <w:pPr>
              <w:spacing w:before="0"/>
              <w:rPr>
                <w:rFonts w:ascii="Arial Narrow" w:hAnsi="Arial Narrow"/>
                <w:sz w:val="20"/>
                <w:szCs w:val="20"/>
              </w:rPr>
            </w:pPr>
            <w:r>
              <w:rPr>
                <w:rFonts w:ascii="Arial Narrow" w:hAnsi="Arial Narrow"/>
                <w:sz w:val="20"/>
                <w:szCs w:val="20"/>
              </w:rPr>
              <w:t xml:space="preserve">Projected number of ESG </w:t>
            </w:r>
            <w:r w:rsidR="00014B6B">
              <w:rPr>
                <w:rFonts w:ascii="Arial Narrow" w:hAnsi="Arial Narrow"/>
                <w:sz w:val="20"/>
                <w:szCs w:val="20"/>
              </w:rPr>
              <w:t>procedures substituting LSG</w:t>
            </w:r>
            <w:r w:rsidR="002129FB">
              <w:rPr>
                <w:rFonts w:ascii="Arial Narrow" w:hAnsi="Arial Narrow"/>
                <w:sz w:val="20"/>
                <w:szCs w:val="20"/>
              </w:rPr>
              <w:t>**</w:t>
            </w:r>
          </w:p>
        </w:tc>
        <w:tc>
          <w:tcPr>
            <w:tcW w:w="629" w:type="pct"/>
            <w:vAlign w:val="center"/>
          </w:tcPr>
          <w:p w14:paraId="03A65C57" w14:textId="55C80D3D" w:rsidR="00410D06" w:rsidRPr="00380FC7" w:rsidRDefault="007E4668" w:rsidP="00D76EFB">
            <w:pPr>
              <w:spacing w:before="0"/>
              <w:jc w:val="center"/>
              <w:rPr>
                <w:rFonts w:ascii="Arial Narrow" w:hAnsi="Arial Narrow"/>
                <w:sz w:val="20"/>
                <w:szCs w:val="20"/>
              </w:rPr>
            </w:pPr>
            <w:r w:rsidRPr="00380FC7">
              <w:rPr>
                <w:rFonts w:ascii="Arial Narrow" w:hAnsi="Arial Narrow"/>
                <w:b/>
                <w:bCs/>
                <w:sz w:val="20"/>
                <w:szCs w:val="20"/>
              </w:rPr>
              <w:t>redacted</w:t>
            </w:r>
          </w:p>
        </w:tc>
        <w:tc>
          <w:tcPr>
            <w:tcW w:w="629" w:type="pct"/>
            <w:vAlign w:val="center"/>
          </w:tcPr>
          <w:p w14:paraId="20311D65" w14:textId="784EBFCB" w:rsidR="00410D06" w:rsidRPr="00380FC7" w:rsidRDefault="007E4668" w:rsidP="00D76EFB">
            <w:pPr>
              <w:spacing w:before="0"/>
              <w:jc w:val="center"/>
              <w:rPr>
                <w:rFonts w:ascii="Arial Narrow" w:hAnsi="Arial Narrow"/>
                <w:sz w:val="20"/>
                <w:szCs w:val="20"/>
              </w:rPr>
            </w:pPr>
            <w:r w:rsidRPr="00380FC7">
              <w:rPr>
                <w:rFonts w:ascii="Arial Narrow" w:hAnsi="Arial Narrow"/>
                <w:b/>
                <w:bCs/>
                <w:sz w:val="20"/>
                <w:szCs w:val="20"/>
              </w:rPr>
              <w:t>redacted</w:t>
            </w:r>
          </w:p>
        </w:tc>
        <w:tc>
          <w:tcPr>
            <w:tcW w:w="629" w:type="pct"/>
            <w:vAlign w:val="center"/>
          </w:tcPr>
          <w:p w14:paraId="1741707A" w14:textId="040C64E9" w:rsidR="00410D06" w:rsidRPr="00380FC7" w:rsidRDefault="007E4668" w:rsidP="00D76EFB">
            <w:pPr>
              <w:spacing w:before="0"/>
              <w:jc w:val="center"/>
              <w:rPr>
                <w:rFonts w:ascii="Arial Narrow" w:hAnsi="Arial Narrow"/>
                <w:sz w:val="20"/>
                <w:szCs w:val="20"/>
              </w:rPr>
            </w:pPr>
            <w:r w:rsidRPr="00380FC7">
              <w:rPr>
                <w:rFonts w:ascii="Arial Narrow" w:hAnsi="Arial Narrow"/>
                <w:b/>
                <w:bCs/>
                <w:sz w:val="20"/>
                <w:szCs w:val="20"/>
              </w:rPr>
              <w:t>redacted</w:t>
            </w:r>
          </w:p>
        </w:tc>
        <w:tc>
          <w:tcPr>
            <w:tcW w:w="629" w:type="pct"/>
            <w:vAlign w:val="center"/>
          </w:tcPr>
          <w:p w14:paraId="4484C86B" w14:textId="7B88D900" w:rsidR="00410D06" w:rsidRPr="00380FC7" w:rsidRDefault="007E4668" w:rsidP="00D76EFB">
            <w:pPr>
              <w:spacing w:before="0"/>
              <w:jc w:val="center"/>
              <w:rPr>
                <w:rFonts w:ascii="Arial Narrow" w:hAnsi="Arial Narrow"/>
                <w:sz w:val="20"/>
                <w:szCs w:val="20"/>
              </w:rPr>
            </w:pPr>
            <w:r w:rsidRPr="00380FC7">
              <w:rPr>
                <w:rFonts w:ascii="Arial Narrow" w:hAnsi="Arial Narrow"/>
                <w:b/>
                <w:bCs/>
                <w:sz w:val="20"/>
                <w:szCs w:val="20"/>
              </w:rPr>
              <w:t>redacted</w:t>
            </w:r>
          </w:p>
        </w:tc>
        <w:tc>
          <w:tcPr>
            <w:tcW w:w="678" w:type="pct"/>
            <w:vAlign w:val="center"/>
          </w:tcPr>
          <w:p w14:paraId="35099161" w14:textId="4C52282B" w:rsidR="00410D06" w:rsidRPr="00380FC7" w:rsidRDefault="007E4668" w:rsidP="00D76EFB">
            <w:pPr>
              <w:spacing w:before="0"/>
              <w:jc w:val="center"/>
              <w:rPr>
                <w:rFonts w:ascii="Arial Narrow" w:hAnsi="Arial Narrow"/>
                <w:sz w:val="20"/>
                <w:szCs w:val="20"/>
              </w:rPr>
            </w:pPr>
            <w:r w:rsidRPr="00380FC7">
              <w:rPr>
                <w:rFonts w:ascii="Arial Narrow" w:hAnsi="Arial Narrow"/>
                <w:b/>
                <w:bCs/>
                <w:sz w:val="20"/>
                <w:szCs w:val="20"/>
              </w:rPr>
              <w:t>redacted</w:t>
            </w:r>
          </w:p>
        </w:tc>
      </w:tr>
      <w:tr w:rsidR="00CF61C1" w:rsidRPr="00B221AE" w14:paraId="3E23927F" w14:textId="77777777" w:rsidTr="00CD0D7F">
        <w:tc>
          <w:tcPr>
            <w:tcW w:w="1806" w:type="pct"/>
            <w:vAlign w:val="center"/>
          </w:tcPr>
          <w:p w14:paraId="1F0A7D4A" w14:textId="70117C88" w:rsidR="00B76991" w:rsidRPr="009974D1" w:rsidRDefault="00B76991" w:rsidP="00D76EFB">
            <w:pPr>
              <w:spacing w:before="0"/>
              <w:rPr>
                <w:rFonts w:ascii="Arial Narrow" w:hAnsi="Arial Narrow"/>
                <w:sz w:val="20"/>
                <w:szCs w:val="20"/>
              </w:rPr>
            </w:pPr>
            <w:r w:rsidRPr="009974D1">
              <w:rPr>
                <w:rFonts w:ascii="Arial Narrow" w:hAnsi="Arial Narrow"/>
                <w:sz w:val="20"/>
                <w:szCs w:val="20"/>
              </w:rPr>
              <w:t>Total number of ESG procedure</w:t>
            </w:r>
            <w:r w:rsidR="00A204FD">
              <w:rPr>
                <w:rFonts w:ascii="Arial Narrow" w:hAnsi="Arial Narrow"/>
                <w:sz w:val="20"/>
                <w:szCs w:val="20"/>
              </w:rPr>
              <w:t>s</w:t>
            </w:r>
            <w:r w:rsidRPr="009974D1">
              <w:rPr>
                <w:rFonts w:ascii="Arial Narrow" w:hAnsi="Arial Narrow"/>
                <w:sz w:val="20"/>
                <w:szCs w:val="20"/>
              </w:rPr>
              <w:t xml:space="preserve"> conducted</w:t>
            </w:r>
          </w:p>
        </w:tc>
        <w:tc>
          <w:tcPr>
            <w:tcW w:w="629" w:type="pct"/>
            <w:vAlign w:val="center"/>
          </w:tcPr>
          <w:p w14:paraId="70753CDF" w14:textId="046E697E" w:rsidR="00B76991" w:rsidRPr="00380FC7" w:rsidRDefault="007E4668" w:rsidP="00D76EFB">
            <w:pPr>
              <w:spacing w:before="0"/>
              <w:jc w:val="center"/>
              <w:rPr>
                <w:rFonts w:ascii="Arial Narrow" w:hAnsi="Arial Narrow"/>
                <w:sz w:val="20"/>
                <w:szCs w:val="20"/>
                <w:vertAlign w:val="superscript"/>
              </w:rPr>
            </w:pPr>
            <w:r w:rsidRPr="00380FC7">
              <w:rPr>
                <w:rFonts w:ascii="Arial Narrow" w:hAnsi="Arial Narrow"/>
                <w:b/>
                <w:bCs/>
                <w:sz w:val="20"/>
                <w:szCs w:val="20"/>
              </w:rPr>
              <w:t>redacted</w:t>
            </w:r>
            <w:r w:rsidRPr="00380FC7">
              <w:rPr>
                <w:rFonts w:ascii="Arial Narrow" w:hAnsi="Arial Narrow"/>
                <w:sz w:val="20"/>
                <w:szCs w:val="20"/>
                <w:vertAlign w:val="superscript"/>
              </w:rPr>
              <w:t xml:space="preserve"> </w:t>
            </w:r>
            <w:r w:rsidR="0082263A" w:rsidRPr="00380FC7">
              <w:rPr>
                <w:rFonts w:ascii="Arial Narrow" w:hAnsi="Arial Narrow"/>
                <w:sz w:val="20"/>
                <w:szCs w:val="20"/>
                <w:vertAlign w:val="superscript"/>
              </w:rPr>
              <w:t>c</w:t>
            </w:r>
          </w:p>
        </w:tc>
        <w:tc>
          <w:tcPr>
            <w:tcW w:w="629" w:type="pct"/>
            <w:vAlign w:val="center"/>
          </w:tcPr>
          <w:p w14:paraId="5CAD31AB" w14:textId="7D839CA8" w:rsidR="00B76991" w:rsidRPr="00380FC7" w:rsidRDefault="007E4668" w:rsidP="00D76EFB">
            <w:pPr>
              <w:spacing w:before="0"/>
              <w:jc w:val="center"/>
              <w:rPr>
                <w:rFonts w:ascii="Arial Narrow" w:hAnsi="Arial Narrow"/>
                <w:sz w:val="20"/>
                <w:szCs w:val="20"/>
              </w:rPr>
            </w:pPr>
            <w:r w:rsidRPr="00380FC7">
              <w:rPr>
                <w:rFonts w:ascii="Arial Narrow" w:hAnsi="Arial Narrow"/>
                <w:b/>
                <w:bCs/>
                <w:sz w:val="20"/>
                <w:szCs w:val="20"/>
              </w:rPr>
              <w:t>redacted</w:t>
            </w:r>
          </w:p>
        </w:tc>
        <w:tc>
          <w:tcPr>
            <w:tcW w:w="629" w:type="pct"/>
            <w:vAlign w:val="center"/>
          </w:tcPr>
          <w:p w14:paraId="7B57544B" w14:textId="3C492E5F" w:rsidR="00B76991" w:rsidRPr="00380FC7" w:rsidRDefault="007E4668" w:rsidP="00D76EFB">
            <w:pPr>
              <w:spacing w:before="0"/>
              <w:jc w:val="center"/>
              <w:rPr>
                <w:rFonts w:ascii="Arial Narrow" w:hAnsi="Arial Narrow"/>
                <w:sz w:val="20"/>
                <w:szCs w:val="20"/>
              </w:rPr>
            </w:pPr>
            <w:r w:rsidRPr="00380FC7">
              <w:rPr>
                <w:rFonts w:ascii="Arial Narrow" w:hAnsi="Arial Narrow"/>
                <w:b/>
                <w:bCs/>
                <w:sz w:val="20"/>
                <w:szCs w:val="20"/>
              </w:rPr>
              <w:t>redacted</w:t>
            </w:r>
          </w:p>
        </w:tc>
        <w:tc>
          <w:tcPr>
            <w:tcW w:w="629" w:type="pct"/>
            <w:vAlign w:val="center"/>
          </w:tcPr>
          <w:p w14:paraId="6049C604" w14:textId="298BF441" w:rsidR="00B76991" w:rsidRPr="00380FC7" w:rsidRDefault="007E4668" w:rsidP="00D76EFB">
            <w:pPr>
              <w:spacing w:before="0"/>
              <w:jc w:val="center"/>
              <w:rPr>
                <w:rFonts w:ascii="Arial Narrow" w:hAnsi="Arial Narrow"/>
                <w:sz w:val="20"/>
                <w:szCs w:val="20"/>
              </w:rPr>
            </w:pPr>
            <w:r w:rsidRPr="00380FC7">
              <w:rPr>
                <w:rFonts w:ascii="Arial Narrow" w:hAnsi="Arial Narrow"/>
                <w:b/>
                <w:bCs/>
                <w:sz w:val="20"/>
                <w:szCs w:val="20"/>
              </w:rPr>
              <w:t>redacted</w:t>
            </w:r>
          </w:p>
        </w:tc>
        <w:tc>
          <w:tcPr>
            <w:tcW w:w="678" w:type="pct"/>
            <w:vAlign w:val="center"/>
          </w:tcPr>
          <w:p w14:paraId="093E8290" w14:textId="48931C08" w:rsidR="00B76991" w:rsidRPr="00380FC7" w:rsidRDefault="007E4668" w:rsidP="00D76EFB">
            <w:pPr>
              <w:spacing w:before="0"/>
              <w:jc w:val="center"/>
              <w:rPr>
                <w:rFonts w:ascii="Arial Narrow" w:hAnsi="Arial Narrow"/>
                <w:sz w:val="20"/>
                <w:szCs w:val="20"/>
              </w:rPr>
            </w:pPr>
            <w:r w:rsidRPr="00380FC7">
              <w:rPr>
                <w:rFonts w:ascii="Arial Narrow" w:hAnsi="Arial Narrow"/>
                <w:b/>
                <w:bCs/>
                <w:sz w:val="20"/>
                <w:szCs w:val="20"/>
              </w:rPr>
              <w:t>redacted</w:t>
            </w:r>
          </w:p>
        </w:tc>
      </w:tr>
      <w:tr w:rsidR="00CF61C1" w:rsidRPr="00B221AE" w14:paraId="0991AAB4" w14:textId="77777777" w:rsidTr="00CD0D7F">
        <w:tc>
          <w:tcPr>
            <w:tcW w:w="1806" w:type="pct"/>
            <w:vAlign w:val="center"/>
          </w:tcPr>
          <w:p w14:paraId="75B7F736" w14:textId="47D93E57" w:rsidR="009974D1" w:rsidRPr="007D18A3" w:rsidRDefault="009974D1" w:rsidP="00D76EFB">
            <w:pPr>
              <w:spacing w:before="0"/>
              <w:rPr>
                <w:rFonts w:ascii="Arial Narrow" w:hAnsi="Arial Narrow"/>
                <w:b/>
                <w:bCs/>
                <w:sz w:val="20"/>
                <w:szCs w:val="20"/>
              </w:rPr>
            </w:pPr>
            <w:r w:rsidRPr="009974D1">
              <w:rPr>
                <w:rFonts w:ascii="Arial Narrow" w:hAnsi="Arial Narrow"/>
                <w:b/>
                <w:bCs/>
                <w:sz w:val="20"/>
                <w:szCs w:val="20"/>
              </w:rPr>
              <w:t>Total</w:t>
            </w:r>
            <w:r w:rsidRPr="007D18A3">
              <w:rPr>
                <w:rFonts w:ascii="Arial Narrow" w:hAnsi="Arial Narrow"/>
                <w:b/>
                <w:bCs/>
                <w:sz w:val="20"/>
                <w:szCs w:val="20"/>
              </w:rPr>
              <w:t xml:space="preserve"> ESG cost to MBS, 75% benefit</w:t>
            </w:r>
            <w:r w:rsidR="008F0DB8">
              <w:rPr>
                <w:rFonts w:ascii="Arial Narrow" w:hAnsi="Arial Narrow"/>
                <w:b/>
                <w:bCs/>
                <w:sz w:val="20"/>
                <w:szCs w:val="20"/>
              </w:rPr>
              <w:t>***</w:t>
            </w:r>
          </w:p>
        </w:tc>
        <w:tc>
          <w:tcPr>
            <w:tcW w:w="629" w:type="pct"/>
            <w:vAlign w:val="center"/>
          </w:tcPr>
          <w:p w14:paraId="2D93D418" w14:textId="2A8B5B32" w:rsidR="009974D1" w:rsidRPr="009974D1" w:rsidRDefault="009974D1" w:rsidP="00D76EFB">
            <w:pPr>
              <w:spacing w:before="0"/>
              <w:jc w:val="right"/>
              <w:rPr>
                <w:rFonts w:ascii="Arial Narrow" w:hAnsi="Arial Narrow"/>
                <w:sz w:val="20"/>
                <w:szCs w:val="20"/>
              </w:rPr>
            </w:pPr>
            <w:r w:rsidRPr="007D18A3">
              <w:rPr>
                <w:rFonts w:ascii="Arial Narrow" w:hAnsi="Arial Narrow"/>
                <w:sz w:val="20"/>
                <w:szCs w:val="20"/>
              </w:rPr>
              <w:t>$2,068,959</w:t>
            </w:r>
          </w:p>
        </w:tc>
        <w:tc>
          <w:tcPr>
            <w:tcW w:w="629" w:type="pct"/>
            <w:vAlign w:val="center"/>
          </w:tcPr>
          <w:p w14:paraId="1B3C71C4" w14:textId="3F365F49" w:rsidR="009974D1" w:rsidRPr="009974D1" w:rsidRDefault="009974D1" w:rsidP="00D76EFB">
            <w:pPr>
              <w:spacing w:before="0"/>
              <w:jc w:val="right"/>
              <w:rPr>
                <w:rFonts w:ascii="Arial Narrow" w:hAnsi="Arial Narrow"/>
                <w:sz w:val="20"/>
                <w:szCs w:val="20"/>
              </w:rPr>
            </w:pPr>
            <w:r w:rsidRPr="007D18A3">
              <w:rPr>
                <w:rFonts w:ascii="Arial Narrow" w:hAnsi="Arial Narrow"/>
                <w:sz w:val="20"/>
                <w:szCs w:val="20"/>
              </w:rPr>
              <w:t>$2,602,513</w:t>
            </w:r>
          </w:p>
        </w:tc>
        <w:tc>
          <w:tcPr>
            <w:tcW w:w="629" w:type="pct"/>
            <w:vAlign w:val="center"/>
          </w:tcPr>
          <w:p w14:paraId="78E525E5" w14:textId="23F2505C" w:rsidR="009974D1" w:rsidRPr="009974D1" w:rsidRDefault="009974D1" w:rsidP="00D76EFB">
            <w:pPr>
              <w:spacing w:before="0"/>
              <w:jc w:val="right"/>
              <w:rPr>
                <w:rFonts w:ascii="Arial Narrow" w:hAnsi="Arial Narrow"/>
                <w:sz w:val="20"/>
                <w:szCs w:val="20"/>
              </w:rPr>
            </w:pPr>
            <w:r w:rsidRPr="007D18A3">
              <w:rPr>
                <w:rFonts w:ascii="Arial Narrow" w:hAnsi="Arial Narrow"/>
                <w:sz w:val="20"/>
                <w:szCs w:val="20"/>
              </w:rPr>
              <w:t>$3,136,066</w:t>
            </w:r>
          </w:p>
        </w:tc>
        <w:tc>
          <w:tcPr>
            <w:tcW w:w="629" w:type="pct"/>
            <w:vAlign w:val="center"/>
          </w:tcPr>
          <w:p w14:paraId="09EBBD27" w14:textId="22018EEC" w:rsidR="009974D1" w:rsidRPr="009974D1" w:rsidRDefault="009974D1" w:rsidP="00D76EFB">
            <w:pPr>
              <w:spacing w:before="0"/>
              <w:jc w:val="right"/>
              <w:rPr>
                <w:rFonts w:ascii="Arial Narrow" w:hAnsi="Arial Narrow"/>
                <w:sz w:val="20"/>
                <w:szCs w:val="20"/>
              </w:rPr>
            </w:pPr>
            <w:r w:rsidRPr="007D18A3">
              <w:rPr>
                <w:rFonts w:ascii="Arial Narrow" w:hAnsi="Arial Narrow"/>
                <w:sz w:val="20"/>
                <w:szCs w:val="20"/>
              </w:rPr>
              <w:t>$3,975,166</w:t>
            </w:r>
          </w:p>
        </w:tc>
        <w:tc>
          <w:tcPr>
            <w:tcW w:w="678" w:type="pct"/>
            <w:vAlign w:val="center"/>
          </w:tcPr>
          <w:p w14:paraId="33C4377E" w14:textId="30D4C1BC" w:rsidR="009974D1" w:rsidRPr="009974D1" w:rsidRDefault="009974D1" w:rsidP="00D76EFB">
            <w:pPr>
              <w:spacing w:before="0"/>
              <w:jc w:val="right"/>
              <w:rPr>
                <w:rFonts w:ascii="Arial Narrow" w:hAnsi="Arial Narrow"/>
                <w:sz w:val="20"/>
                <w:szCs w:val="20"/>
              </w:rPr>
            </w:pPr>
            <w:r w:rsidRPr="007D18A3">
              <w:rPr>
                <w:rFonts w:ascii="Arial Narrow" w:hAnsi="Arial Narrow"/>
                <w:sz w:val="20"/>
                <w:szCs w:val="20"/>
              </w:rPr>
              <w:t>$4,586,257</w:t>
            </w:r>
          </w:p>
        </w:tc>
      </w:tr>
      <w:tr w:rsidR="00CF61C1" w:rsidRPr="00B221AE" w14:paraId="6F023482" w14:textId="77777777" w:rsidTr="00CD0D7F">
        <w:tc>
          <w:tcPr>
            <w:tcW w:w="1806" w:type="pct"/>
            <w:vAlign w:val="center"/>
          </w:tcPr>
          <w:p w14:paraId="344E6B45" w14:textId="31752C7C" w:rsidR="0078593A" w:rsidRPr="007D18A3" w:rsidRDefault="0078593A" w:rsidP="00D76EFB">
            <w:pPr>
              <w:spacing w:before="0"/>
              <w:rPr>
                <w:rFonts w:ascii="Arial Narrow" w:hAnsi="Arial Narrow"/>
                <w:b/>
                <w:bCs/>
                <w:sz w:val="20"/>
                <w:szCs w:val="20"/>
              </w:rPr>
            </w:pPr>
            <w:r w:rsidRPr="009974D1">
              <w:rPr>
                <w:rFonts w:ascii="Arial Narrow" w:hAnsi="Arial Narrow"/>
                <w:b/>
                <w:bCs/>
                <w:sz w:val="20"/>
                <w:szCs w:val="20"/>
              </w:rPr>
              <w:t>Total</w:t>
            </w:r>
            <w:r w:rsidRPr="007D18A3">
              <w:rPr>
                <w:rFonts w:ascii="Arial Narrow" w:hAnsi="Arial Narrow"/>
                <w:b/>
                <w:bCs/>
                <w:sz w:val="20"/>
                <w:szCs w:val="20"/>
              </w:rPr>
              <w:t xml:space="preserve"> ESG </w:t>
            </w:r>
            <w:r w:rsidR="000D7872" w:rsidRPr="007D18A3">
              <w:rPr>
                <w:rFonts w:ascii="Arial Narrow" w:hAnsi="Arial Narrow"/>
                <w:b/>
                <w:bCs/>
                <w:sz w:val="20"/>
                <w:szCs w:val="20"/>
              </w:rPr>
              <w:t xml:space="preserve">cost </w:t>
            </w:r>
            <w:r w:rsidRPr="007D18A3">
              <w:rPr>
                <w:rFonts w:ascii="Arial Narrow" w:hAnsi="Arial Narrow"/>
                <w:b/>
                <w:bCs/>
                <w:sz w:val="20"/>
                <w:szCs w:val="20"/>
              </w:rPr>
              <w:t>to MBS, 100% benefit</w:t>
            </w:r>
            <w:r w:rsidR="004E3BAB">
              <w:rPr>
                <w:rFonts w:ascii="Arial Narrow" w:hAnsi="Arial Narrow"/>
                <w:b/>
                <w:bCs/>
                <w:sz w:val="20"/>
                <w:szCs w:val="20"/>
              </w:rPr>
              <w:t>****</w:t>
            </w:r>
          </w:p>
        </w:tc>
        <w:tc>
          <w:tcPr>
            <w:tcW w:w="629" w:type="pct"/>
            <w:vAlign w:val="center"/>
          </w:tcPr>
          <w:p w14:paraId="3F761287" w14:textId="78E72190" w:rsidR="0078593A" w:rsidRPr="009974D1" w:rsidRDefault="0078593A" w:rsidP="00D76EFB">
            <w:pPr>
              <w:spacing w:before="0"/>
              <w:jc w:val="right"/>
              <w:rPr>
                <w:rFonts w:ascii="Arial Narrow" w:hAnsi="Arial Narrow"/>
                <w:sz w:val="20"/>
                <w:szCs w:val="20"/>
              </w:rPr>
            </w:pPr>
            <w:r w:rsidRPr="007D18A3">
              <w:rPr>
                <w:rFonts w:ascii="Arial Narrow" w:hAnsi="Arial Narrow"/>
                <w:sz w:val="20"/>
                <w:szCs w:val="20"/>
              </w:rPr>
              <w:t>$2,758,612</w:t>
            </w:r>
          </w:p>
        </w:tc>
        <w:tc>
          <w:tcPr>
            <w:tcW w:w="629" w:type="pct"/>
            <w:vAlign w:val="center"/>
          </w:tcPr>
          <w:p w14:paraId="2FB1A46E" w14:textId="55FF9782" w:rsidR="0078593A" w:rsidRPr="009974D1" w:rsidRDefault="0078593A" w:rsidP="00D76EFB">
            <w:pPr>
              <w:spacing w:before="0"/>
              <w:jc w:val="right"/>
              <w:rPr>
                <w:rFonts w:ascii="Arial Narrow" w:hAnsi="Arial Narrow"/>
                <w:sz w:val="20"/>
                <w:szCs w:val="20"/>
              </w:rPr>
            </w:pPr>
            <w:r w:rsidRPr="007D18A3">
              <w:rPr>
                <w:rFonts w:ascii="Arial Narrow" w:hAnsi="Arial Narrow"/>
                <w:sz w:val="20"/>
                <w:szCs w:val="20"/>
              </w:rPr>
              <w:t>$3,470,017</w:t>
            </w:r>
          </w:p>
        </w:tc>
        <w:tc>
          <w:tcPr>
            <w:tcW w:w="629" w:type="pct"/>
            <w:vAlign w:val="center"/>
          </w:tcPr>
          <w:p w14:paraId="4CFDCC34" w14:textId="49643C5B" w:rsidR="0078593A" w:rsidRPr="009974D1" w:rsidRDefault="0078593A" w:rsidP="00D76EFB">
            <w:pPr>
              <w:spacing w:before="0"/>
              <w:jc w:val="right"/>
              <w:rPr>
                <w:rFonts w:ascii="Arial Narrow" w:hAnsi="Arial Narrow"/>
                <w:sz w:val="20"/>
                <w:szCs w:val="20"/>
              </w:rPr>
            </w:pPr>
            <w:r w:rsidRPr="007D18A3">
              <w:rPr>
                <w:rFonts w:ascii="Arial Narrow" w:hAnsi="Arial Narrow"/>
                <w:sz w:val="20"/>
                <w:szCs w:val="20"/>
              </w:rPr>
              <w:t>$4,181,422</w:t>
            </w:r>
          </w:p>
        </w:tc>
        <w:tc>
          <w:tcPr>
            <w:tcW w:w="629" w:type="pct"/>
            <w:vAlign w:val="center"/>
          </w:tcPr>
          <w:p w14:paraId="3F8FC23B" w14:textId="256C38A4" w:rsidR="0078593A" w:rsidRPr="009974D1" w:rsidRDefault="0078593A" w:rsidP="00D76EFB">
            <w:pPr>
              <w:spacing w:before="0"/>
              <w:jc w:val="right"/>
              <w:rPr>
                <w:rFonts w:ascii="Arial Narrow" w:hAnsi="Arial Narrow"/>
                <w:sz w:val="20"/>
                <w:szCs w:val="20"/>
              </w:rPr>
            </w:pPr>
            <w:r w:rsidRPr="007D18A3">
              <w:rPr>
                <w:rFonts w:ascii="Arial Narrow" w:hAnsi="Arial Narrow"/>
                <w:sz w:val="20"/>
                <w:szCs w:val="20"/>
              </w:rPr>
              <w:t>$5,300,221</w:t>
            </w:r>
          </w:p>
        </w:tc>
        <w:tc>
          <w:tcPr>
            <w:tcW w:w="678" w:type="pct"/>
            <w:vAlign w:val="center"/>
          </w:tcPr>
          <w:p w14:paraId="091B1506" w14:textId="43C5AD4A" w:rsidR="0078593A" w:rsidRPr="009974D1" w:rsidRDefault="0078593A" w:rsidP="00D76EFB">
            <w:pPr>
              <w:spacing w:before="0"/>
              <w:jc w:val="right"/>
              <w:rPr>
                <w:rFonts w:ascii="Arial Narrow" w:hAnsi="Arial Narrow"/>
                <w:sz w:val="20"/>
                <w:szCs w:val="20"/>
              </w:rPr>
            </w:pPr>
            <w:r w:rsidRPr="007D18A3">
              <w:rPr>
                <w:rFonts w:ascii="Arial Narrow" w:hAnsi="Arial Narrow"/>
                <w:sz w:val="20"/>
                <w:szCs w:val="20"/>
              </w:rPr>
              <w:t>$6,115,010</w:t>
            </w:r>
          </w:p>
        </w:tc>
      </w:tr>
      <w:tr w:rsidR="00CE1D27" w:rsidRPr="00B221AE" w14:paraId="23D939BA" w14:textId="77777777" w:rsidTr="2AA1CA0C">
        <w:tc>
          <w:tcPr>
            <w:tcW w:w="5000" w:type="pct"/>
            <w:gridSpan w:val="6"/>
            <w:vAlign w:val="center"/>
          </w:tcPr>
          <w:p w14:paraId="0E95CCA9" w14:textId="77777777" w:rsidR="00B76991" w:rsidRPr="009974D1" w:rsidRDefault="00B76991" w:rsidP="00D76EFB">
            <w:pPr>
              <w:spacing w:before="0"/>
              <w:rPr>
                <w:rFonts w:ascii="Arial Narrow" w:hAnsi="Arial Narrow"/>
                <w:b/>
                <w:sz w:val="20"/>
                <w:szCs w:val="20"/>
              </w:rPr>
            </w:pPr>
            <w:r w:rsidRPr="009974D1">
              <w:rPr>
                <w:rFonts w:ascii="Arial Narrow" w:hAnsi="Arial Narrow"/>
                <w:b/>
                <w:sz w:val="20"/>
                <w:szCs w:val="20"/>
              </w:rPr>
              <w:t>Change in use and cost of LSG</w:t>
            </w:r>
          </w:p>
        </w:tc>
      </w:tr>
      <w:tr w:rsidR="00CF61C1" w:rsidRPr="00B221AE" w14:paraId="497F026C" w14:textId="77777777" w:rsidTr="00CD0D7F">
        <w:tc>
          <w:tcPr>
            <w:tcW w:w="1806" w:type="pct"/>
            <w:vAlign w:val="center"/>
          </w:tcPr>
          <w:p w14:paraId="5F884F3D" w14:textId="2242518B" w:rsidR="00B76991" w:rsidRPr="009974D1" w:rsidRDefault="00B76991" w:rsidP="00D76EFB">
            <w:pPr>
              <w:spacing w:before="0"/>
              <w:rPr>
                <w:rFonts w:ascii="Arial Narrow" w:hAnsi="Arial Narrow"/>
                <w:sz w:val="20"/>
                <w:szCs w:val="20"/>
              </w:rPr>
            </w:pPr>
            <w:r w:rsidRPr="009974D1">
              <w:rPr>
                <w:rFonts w:ascii="Arial Narrow" w:hAnsi="Arial Narrow"/>
                <w:sz w:val="20"/>
                <w:szCs w:val="20"/>
              </w:rPr>
              <w:t>Change in use of LSG procedure</w:t>
            </w:r>
            <w:r w:rsidR="00BA12EC">
              <w:rPr>
                <w:rFonts w:ascii="Arial Narrow" w:hAnsi="Arial Narrow"/>
                <w:sz w:val="20"/>
                <w:szCs w:val="20"/>
              </w:rPr>
              <w:t>**</w:t>
            </w:r>
          </w:p>
        </w:tc>
        <w:tc>
          <w:tcPr>
            <w:tcW w:w="629" w:type="pct"/>
            <w:vAlign w:val="center"/>
          </w:tcPr>
          <w:p w14:paraId="0B54B99F" w14:textId="77777777" w:rsidR="00B76991" w:rsidRPr="009974D1" w:rsidRDefault="00B76991" w:rsidP="00D76EFB">
            <w:pPr>
              <w:spacing w:before="0"/>
              <w:jc w:val="center"/>
              <w:rPr>
                <w:rFonts w:ascii="Arial Narrow" w:hAnsi="Arial Narrow"/>
                <w:sz w:val="20"/>
                <w:szCs w:val="20"/>
              </w:rPr>
            </w:pPr>
            <w:r w:rsidRPr="009974D1">
              <w:rPr>
                <w:rFonts w:ascii="Arial Narrow" w:hAnsi="Arial Narrow"/>
                <w:sz w:val="20"/>
                <w:szCs w:val="20"/>
              </w:rPr>
              <w:t>-593</w:t>
            </w:r>
          </w:p>
        </w:tc>
        <w:tc>
          <w:tcPr>
            <w:tcW w:w="629" w:type="pct"/>
            <w:vAlign w:val="center"/>
          </w:tcPr>
          <w:p w14:paraId="4C61AFCD" w14:textId="77777777" w:rsidR="00B76991" w:rsidRPr="009974D1" w:rsidRDefault="00B76991" w:rsidP="00D76EFB">
            <w:pPr>
              <w:spacing w:before="0"/>
              <w:jc w:val="center"/>
              <w:rPr>
                <w:rFonts w:ascii="Arial Narrow" w:hAnsi="Arial Narrow"/>
                <w:sz w:val="20"/>
                <w:szCs w:val="20"/>
              </w:rPr>
            </w:pPr>
            <w:r w:rsidRPr="009974D1">
              <w:rPr>
                <w:rFonts w:ascii="Arial Narrow" w:hAnsi="Arial Narrow"/>
                <w:sz w:val="20"/>
                <w:szCs w:val="20"/>
              </w:rPr>
              <w:t>-729</w:t>
            </w:r>
          </w:p>
        </w:tc>
        <w:tc>
          <w:tcPr>
            <w:tcW w:w="629" w:type="pct"/>
            <w:vAlign w:val="center"/>
          </w:tcPr>
          <w:p w14:paraId="5AA2174C" w14:textId="77777777" w:rsidR="00B76991" w:rsidRPr="009974D1" w:rsidRDefault="00B76991" w:rsidP="00D76EFB">
            <w:pPr>
              <w:spacing w:before="0"/>
              <w:jc w:val="center"/>
              <w:rPr>
                <w:rFonts w:ascii="Arial Narrow" w:hAnsi="Arial Narrow"/>
                <w:sz w:val="20"/>
                <w:szCs w:val="20"/>
              </w:rPr>
            </w:pPr>
            <w:r w:rsidRPr="009974D1">
              <w:rPr>
                <w:rFonts w:ascii="Arial Narrow" w:hAnsi="Arial Narrow"/>
                <w:sz w:val="20"/>
                <w:szCs w:val="20"/>
              </w:rPr>
              <w:t>-864</w:t>
            </w:r>
          </w:p>
        </w:tc>
        <w:tc>
          <w:tcPr>
            <w:tcW w:w="629" w:type="pct"/>
            <w:vAlign w:val="center"/>
          </w:tcPr>
          <w:p w14:paraId="1764B7EC" w14:textId="77777777" w:rsidR="00B76991" w:rsidRPr="009974D1" w:rsidRDefault="00B76991" w:rsidP="00D76EFB">
            <w:pPr>
              <w:spacing w:before="0"/>
              <w:jc w:val="center"/>
              <w:rPr>
                <w:rFonts w:ascii="Arial Narrow" w:hAnsi="Arial Narrow"/>
                <w:sz w:val="20"/>
                <w:szCs w:val="20"/>
              </w:rPr>
            </w:pPr>
            <w:r w:rsidRPr="009974D1">
              <w:rPr>
                <w:rFonts w:ascii="Arial Narrow" w:hAnsi="Arial Narrow"/>
                <w:sz w:val="20"/>
                <w:szCs w:val="20"/>
              </w:rPr>
              <w:t>-1,000</w:t>
            </w:r>
          </w:p>
        </w:tc>
        <w:tc>
          <w:tcPr>
            <w:tcW w:w="678" w:type="pct"/>
            <w:vAlign w:val="center"/>
          </w:tcPr>
          <w:p w14:paraId="0DF08F23" w14:textId="77777777" w:rsidR="00B76991" w:rsidRPr="009974D1" w:rsidRDefault="00B76991" w:rsidP="00D76EFB">
            <w:pPr>
              <w:spacing w:before="0"/>
              <w:jc w:val="center"/>
              <w:rPr>
                <w:rFonts w:ascii="Arial Narrow" w:hAnsi="Arial Narrow"/>
                <w:sz w:val="20"/>
                <w:szCs w:val="20"/>
              </w:rPr>
            </w:pPr>
            <w:r w:rsidRPr="009974D1">
              <w:rPr>
                <w:rFonts w:ascii="Arial Narrow" w:hAnsi="Arial Narrow"/>
                <w:sz w:val="20"/>
                <w:szCs w:val="20"/>
              </w:rPr>
              <w:t>-1,000</w:t>
            </w:r>
          </w:p>
        </w:tc>
      </w:tr>
      <w:tr w:rsidR="00CF61C1" w:rsidRPr="00B221AE" w14:paraId="77602D28" w14:textId="77777777" w:rsidTr="00CD0D7F">
        <w:tc>
          <w:tcPr>
            <w:tcW w:w="1806" w:type="pct"/>
            <w:vAlign w:val="center"/>
          </w:tcPr>
          <w:p w14:paraId="563AA302" w14:textId="1C7C4F71" w:rsidR="00B76991" w:rsidRPr="00115CA8" w:rsidRDefault="00B76991" w:rsidP="2AA1CA0C">
            <w:pPr>
              <w:spacing w:before="0"/>
              <w:rPr>
                <w:rFonts w:ascii="Arial Narrow" w:hAnsi="Arial Narrow"/>
                <w:sz w:val="20"/>
                <w:szCs w:val="20"/>
                <w:vertAlign w:val="superscript"/>
              </w:rPr>
            </w:pPr>
            <w:r w:rsidRPr="2AA1CA0C">
              <w:rPr>
                <w:rFonts w:ascii="Arial Narrow" w:hAnsi="Arial Narrow"/>
                <w:sz w:val="20"/>
                <w:szCs w:val="20"/>
              </w:rPr>
              <w:t>Total reduction of MBS cost of LSG, 75% benefit</w:t>
            </w:r>
            <w:r w:rsidR="00316312" w:rsidRPr="2AA1CA0C">
              <w:rPr>
                <w:rFonts w:ascii="Arial Narrow" w:hAnsi="Arial Narrow"/>
                <w:sz w:val="20"/>
                <w:szCs w:val="20"/>
                <w:vertAlign w:val="superscript"/>
              </w:rPr>
              <w:t>a</w:t>
            </w:r>
          </w:p>
        </w:tc>
        <w:tc>
          <w:tcPr>
            <w:tcW w:w="629" w:type="pct"/>
            <w:vAlign w:val="center"/>
          </w:tcPr>
          <w:p w14:paraId="228C6091" w14:textId="77777777" w:rsidR="00B76991" w:rsidRPr="009974D1" w:rsidRDefault="00B76991" w:rsidP="00D76EFB">
            <w:pPr>
              <w:spacing w:before="0"/>
              <w:jc w:val="right"/>
              <w:rPr>
                <w:rFonts w:ascii="Arial Narrow" w:hAnsi="Arial Narrow"/>
                <w:sz w:val="20"/>
                <w:szCs w:val="20"/>
              </w:rPr>
            </w:pPr>
            <w:r w:rsidRPr="009974D1">
              <w:rPr>
                <w:rFonts w:ascii="Arial Narrow" w:hAnsi="Arial Narrow"/>
                <w:sz w:val="20"/>
                <w:szCs w:val="20"/>
              </w:rPr>
              <w:t>-$998,014</w:t>
            </w:r>
          </w:p>
        </w:tc>
        <w:tc>
          <w:tcPr>
            <w:tcW w:w="629" w:type="pct"/>
            <w:vAlign w:val="center"/>
          </w:tcPr>
          <w:p w14:paraId="7E61502C" w14:textId="77777777" w:rsidR="00B76991" w:rsidRPr="009974D1" w:rsidRDefault="00B76991" w:rsidP="00D76EFB">
            <w:pPr>
              <w:spacing w:before="0"/>
              <w:jc w:val="right"/>
              <w:rPr>
                <w:rFonts w:ascii="Arial Narrow" w:hAnsi="Arial Narrow"/>
                <w:sz w:val="20"/>
                <w:szCs w:val="20"/>
              </w:rPr>
            </w:pPr>
            <w:r w:rsidRPr="009974D1">
              <w:rPr>
                <w:rFonts w:ascii="Arial Narrow" w:hAnsi="Arial Narrow"/>
                <w:sz w:val="20"/>
                <w:szCs w:val="20"/>
              </w:rPr>
              <w:t>-$1,226,022</w:t>
            </w:r>
          </w:p>
        </w:tc>
        <w:tc>
          <w:tcPr>
            <w:tcW w:w="629" w:type="pct"/>
            <w:vAlign w:val="center"/>
          </w:tcPr>
          <w:p w14:paraId="764D9C58" w14:textId="77777777" w:rsidR="00B76991" w:rsidRPr="009974D1" w:rsidRDefault="00B76991" w:rsidP="00D76EFB">
            <w:pPr>
              <w:spacing w:before="0"/>
              <w:jc w:val="right"/>
              <w:rPr>
                <w:rFonts w:ascii="Arial Narrow" w:hAnsi="Arial Narrow"/>
                <w:sz w:val="20"/>
                <w:szCs w:val="20"/>
              </w:rPr>
            </w:pPr>
            <w:r w:rsidRPr="009974D1">
              <w:rPr>
                <w:rFonts w:ascii="Arial Narrow" w:hAnsi="Arial Narrow"/>
                <w:sz w:val="20"/>
                <w:szCs w:val="20"/>
              </w:rPr>
              <w:t>-$1,454,029</w:t>
            </w:r>
          </w:p>
        </w:tc>
        <w:tc>
          <w:tcPr>
            <w:tcW w:w="629" w:type="pct"/>
            <w:vAlign w:val="center"/>
          </w:tcPr>
          <w:p w14:paraId="1A73DF9F" w14:textId="77777777" w:rsidR="00B76991" w:rsidRPr="009974D1" w:rsidRDefault="00B76991" w:rsidP="00D76EFB">
            <w:pPr>
              <w:spacing w:before="0"/>
              <w:jc w:val="right"/>
              <w:rPr>
                <w:rFonts w:ascii="Arial Narrow" w:hAnsi="Arial Narrow"/>
                <w:sz w:val="20"/>
                <w:szCs w:val="20"/>
              </w:rPr>
            </w:pPr>
            <w:r w:rsidRPr="009974D1">
              <w:rPr>
                <w:rFonts w:ascii="Arial Narrow" w:hAnsi="Arial Narrow"/>
                <w:sz w:val="20"/>
                <w:szCs w:val="20"/>
              </w:rPr>
              <w:t>-$1,682,037</w:t>
            </w:r>
          </w:p>
        </w:tc>
        <w:tc>
          <w:tcPr>
            <w:tcW w:w="678" w:type="pct"/>
            <w:vAlign w:val="center"/>
          </w:tcPr>
          <w:p w14:paraId="6A568FC8" w14:textId="77777777" w:rsidR="00B76991" w:rsidRPr="009974D1" w:rsidRDefault="00B76991" w:rsidP="00D76EFB">
            <w:pPr>
              <w:spacing w:before="0"/>
              <w:jc w:val="right"/>
              <w:rPr>
                <w:rFonts w:ascii="Arial Narrow" w:hAnsi="Arial Narrow"/>
                <w:sz w:val="20"/>
                <w:szCs w:val="20"/>
              </w:rPr>
            </w:pPr>
            <w:r w:rsidRPr="009974D1">
              <w:rPr>
                <w:rFonts w:ascii="Arial Narrow" w:hAnsi="Arial Narrow"/>
                <w:sz w:val="20"/>
                <w:szCs w:val="20"/>
              </w:rPr>
              <w:t>-$1,682,037</w:t>
            </w:r>
          </w:p>
        </w:tc>
      </w:tr>
      <w:tr w:rsidR="00CF61C1" w:rsidRPr="009974D1" w14:paraId="12227A1C" w14:textId="77777777" w:rsidTr="00CD0D7F">
        <w:tc>
          <w:tcPr>
            <w:tcW w:w="1806" w:type="pct"/>
            <w:vAlign w:val="center"/>
          </w:tcPr>
          <w:p w14:paraId="56C3DDA0" w14:textId="446D0252" w:rsidR="0026159A" w:rsidRPr="00115CA8" w:rsidRDefault="0026159A" w:rsidP="2AA1CA0C">
            <w:pPr>
              <w:spacing w:before="0"/>
              <w:rPr>
                <w:rFonts w:ascii="Arial Narrow" w:hAnsi="Arial Narrow"/>
                <w:sz w:val="20"/>
                <w:szCs w:val="20"/>
                <w:vertAlign w:val="superscript"/>
              </w:rPr>
            </w:pPr>
            <w:r w:rsidRPr="2AA1CA0C">
              <w:rPr>
                <w:rFonts w:ascii="Arial Narrow" w:hAnsi="Arial Narrow"/>
                <w:sz w:val="20"/>
                <w:szCs w:val="20"/>
              </w:rPr>
              <w:t>Total reduction of MBS cost of LSG, 100% benefit</w:t>
            </w:r>
            <w:r w:rsidR="0082263A" w:rsidRPr="2AA1CA0C">
              <w:rPr>
                <w:rFonts w:ascii="Arial Narrow" w:hAnsi="Arial Narrow"/>
                <w:sz w:val="20"/>
                <w:szCs w:val="20"/>
                <w:vertAlign w:val="superscript"/>
              </w:rPr>
              <w:t>b</w:t>
            </w:r>
          </w:p>
        </w:tc>
        <w:tc>
          <w:tcPr>
            <w:tcW w:w="629" w:type="pct"/>
            <w:vAlign w:val="center"/>
          </w:tcPr>
          <w:p w14:paraId="331A323F" w14:textId="389AAFBD" w:rsidR="0026159A" w:rsidRPr="009974D1" w:rsidRDefault="0026159A" w:rsidP="00D76EFB">
            <w:pPr>
              <w:spacing w:before="0"/>
              <w:jc w:val="right"/>
              <w:rPr>
                <w:rFonts w:ascii="Arial Narrow" w:hAnsi="Arial Narrow"/>
                <w:sz w:val="20"/>
                <w:szCs w:val="20"/>
              </w:rPr>
            </w:pPr>
            <w:r w:rsidRPr="007D18A3">
              <w:rPr>
                <w:rFonts w:ascii="Arial Narrow" w:hAnsi="Arial Narrow"/>
                <w:sz w:val="20"/>
                <w:szCs w:val="20"/>
              </w:rPr>
              <w:t>-$1,330,685</w:t>
            </w:r>
          </w:p>
        </w:tc>
        <w:tc>
          <w:tcPr>
            <w:tcW w:w="629" w:type="pct"/>
            <w:vAlign w:val="center"/>
          </w:tcPr>
          <w:p w14:paraId="0F065CAD" w14:textId="4C600A5E" w:rsidR="0026159A" w:rsidRPr="009974D1" w:rsidRDefault="0026159A" w:rsidP="00D76EFB">
            <w:pPr>
              <w:spacing w:before="0"/>
              <w:jc w:val="right"/>
              <w:rPr>
                <w:rFonts w:ascii="Arial Narrow" w:hAnsi="Arial Narrow"/>
                <w:sz w:val="20"/>
                <w:szCs w:val="20"/>
              </w:rPr>
            </w:pPr>
            <w:r w:rsidRPr="007D18A3">
              <w:rPr>
                <w:rFonts w:ascii="Arial Narrow" w:hAnsi="Arial Narrow"/>
                <w:sz w:val="20"/>
                <w:szCs w:val="20"/>
              </w:rPr>
              <w:t>-$1,634,695</w:t>
            </w:r>
          </w:p>
        </w:tc>
        <w:tc>
          <w:tcPr>
            <w:tcW w:w="629" w:type="pct"/>
            <w:vAlign w:val="center"/>
          </w:tcPr>
          <w:p w14:paraId="021E1EC3" w14:textId="32884F31" w:rsidR="0026159A" w:rsidRPr="009974D1" w:rsidRDefault="0026159A" w:rsidP="00D76EFB">
            <w:pPr>
              <w:spacing w:before="0"/>
              <w:jc w:val="right"/>
              <w:rPr>
                <w:rFonts w:ascii="Arial Narrow" w:hAnsi="Arial Narrow"/>
                <w:sz w:val="20"/>
                <w:szCs w:val="20"/>
              </w:rPr>
            </w:pPr>
            <w:r w:rsidRPr="007D18A3">
              <w:rPr>
                <w:rFonts w:ascii="Arial Narrow" w:hAnsi="Arial Narrow"/>
                <w:sz w:val="20"/>
                <w:szCs w:val="20"/>
              </w:rPr>
              <w:t>-$1,938,706</w:t>
            </w:r>
          </w:p>
        </w:tc>
        <w:tc>
          <w:tcPr>
            <w:tcW w:w="629" w:type="pct"/>
            <w:vAlign w:val="center"/>
          </w:tcPr>
          <w:p w14:paraId="588EBE02" w14:textId="77714E7C" w:rsidR="0026159A" w:rsidRPr="009974D1" w:rsidRDefault="0026159A" w:rsidP="00D76EFB">
            <w:pPr>
              <w:spacing w:before="0"/>
              <w:jc w:val="right"/>
              <w:rPr>
                <w:rFonts w:ascii="Arial Narrow" w:hAnsi="Arial Narrow"/>
                <w:sz w:val="20"/>
                <w:szCs w:val="20"/>
              </w:rPr>
            </w:pPr>
            <w:r w:rsidRPr="007D18A3">
              <w:rPr>
                <w:rFonts w:ascii="Arial Narrow" w:hAnsi="Arial Narrow"/>
                <w:sz w:val="20"/>
                <w:szCs w:val="20"/>
              </w:rPr>
              <w:t>-$2,242,716</w:t>
            </w:r>
          </w:p>
        </w:tc>
        <w:tc>
          <w:tcPr>
            <w:tcW w:w="678" w:type="pct"/>
            <w:vAlign w:val="center"/>
          </w:tcPr>
          <w:p w14:paraId="771C4225" w14:textId="3B03001A" w:rsidR="0026159A" w:rsidRPr="009974D1" w:rsidRDefault="0026159A" w:rsidP="00D76EFB">
            <w:pPr>
              <w:spacing w:before="0"/>
              <w:jc w:val="right"/>
              <w:rPr>
                <w:rFonts w:ascii="Arial Narrow" w:hAnsi="Arial Narrow"/>
                <w:sz w:val="20"/>
                <w:szCs w:val="20"/>
              </w:rPr>
            </w:pPr>
            <w:r w:rsidRPr="007D18A3">
              <w:rPr>
                <w:rFonts w:ascii="Arial Narrow" w:hAnsi="Arial Narrow"/>
                <w:sz w:val="20"/>
                <w:szCs w:val="20"/>
              </w:rPr>
              <w:t>-$2,242,716</w:t>
            </w:r>
          </w:p>
        </w:tc>
      </w:tr>
      <w:tr w:rsidR="00CF61C1" w:rsidRPr="00B221AE" w14:paraId="76BE0834" w14:textId="77777777" w:rsidTr="00CD0D7F">
        <w:tc>
          <w:tcPr>
            <w:tcW w:w="1806" w:type="pct"/>
            <w:vAlign w:val="center"/>
          </w:tcPr>
          <w:p w14:paraId="5C259AB1" w14:textId="6D677468" w:rsidR="00AF5E6B" w:rsidRPr="009974D1" w:rsidRDefault="00AF5E6B" w:rsidP="00D76EFB">
            <w:pPr>
              <w:spacing w:before="0"/>
              <w:rPr>
                <w:rFonts w:ascii="Arial Narrow" w:hAnsi="Arial Narrow"/>
                <w:b/>
                <w:sz w:val="20"/>
                <w:szCs w:val="20"/>
              </w:rPr>
            </w:pPr>
            <w:r w:rsidRPr="009974D1">
              <w:rPr>
                <w:rFonts w:ascii="Arial Narrow" w:hAnsi="Arial Narrow"/>
                <w:b/>
                <w:sz w:val="20"/>
                <w:szCs w:val="20"/>
              </w:rPr>
              <w:t>Net cost to MBS, 75% benefit</w:t>
            </w:r>
          </w:p>
        </w:tc>
        <w:tc>
          <w:tcPr>
            <w:tcW w:w="629" w:type="pct"/>
            <w:vAlign w:val="center"/>
          </w:tcPr>
          <w:p w14:paraId="29AC5194" w14:textId="34E99904" w:rsidR="00AF5E6B" w:rsidRPr="009974D1" w:rsidRDefault="00AF5E6B" w:rsidP="00D76EFB">
            <w:pPr>
              <w:spacing w:before="0"/>
              <w:jc w:val="right"/>
              <w:rPr>
                <w:rFonts w:ascii="Arial Narrow" w:hAnsi="Arial Narrow"/>
                <w:sz w:val="20"/>
                <w:szCs w:val="20"/>
              </w:rPr>
            </w:pPr>
            <w:r w:rsidRPr="00EC6FAC">
              <w:rPr>
                <w:rFonts w:ascii="Arial Narrow" w:hAnsi="Arial Narrow" w:cs="Arial"/>
                <w:sz w:val="20"/>
                <w:szCs w:val="20"/>
              </w:rPr>
              <w:t>$</w:t>
            </w:r>
            <w:r w:rsidRPr="007D18A3">
              <w:rPr>
                <w:rFonts w:ascii="Arial Narrow" w:hAnsi="Arial Narrow" w:cs="Arial"/>
                <w:sz w:val="20"/>
                <w:szCs w:val="20"/>
              </w:rPr>
              <w:t>1,070,946</w:t>
            </w:r>
          </w:p>
        </w:tc>
        <w:tc>
          <w:tcPr>
            <w:tcW w:w="629" w:type="pct"/>
            <w:vAlign w:val="center"/>
          </w:tcPr>
          <w:p w14:paraId="52C271AE" w14:textId="00A00334" w:rsidR="00AF5E6B" w:rsidRPr="009974D1" w:rsidRDefault="00AF5E6B" w:rsidP="00D76EFB">
            <w:pPr>
              <w:spacing w:before="0"/>
              <w:jc w:val="right"/>
              <w:rPr>
                <w:rFonts w:ascii="Arial Narrow" w:hAnsi="Arial Narrow"/>
                <w:sz w:val="20"/>
                <w:szCs w:val="20"/>
              </w:rPr>
            </w:pPr>
            <w:r w:rsidRPr="00EC6FAC">
              <w:rPr>
                <w:rFonts w:ascii="Arial Narrow" w:hAnsi="Arial Narrow" w:cs="Arial"/>
                <w:sz w:val="20"/>
                <w:szCs w:val="20"/>
              </w:rPr>
              <w:t>$</w:t>
            </w:r>
            <w:r w:rsidRPr="007D18A3">
              <w:rPr>
                <w:rFonts w:ascii="Arial Narrow" w:hAnsi="Arial Narrow" w:cs="Arial"/>
                <w:sz w:val="20"/>
                <w:szCs w:val="20"/>
              </w:rPr>
              <w:t>1,376,491</w:t>
            </w:r>
          </w:p>
        </w:tc>
        <w:tc>
          <w:tcPr>
            <w:tcW w:w="629" w:type="pct"/>
            <w:vAlign w:val="center"/>
          </w:tcPr>
          <w:p w14:paraId="08901507" w14:textId="15A77FB7" w:rsidR="00AF5E6B" w:rsidRPr="009974D1" w:rsidRDefault="00AF5E6B" w:rsidP="00D76EFB">
            <w:pPr>
              <w:spacing w:before="0"/>
              <w:jc w:val="right"/>
              <w:rPr>
                <w:rFonts w:ascii="Arial Narrow" w:hAnsi="Arial Narrow"/>
                <w:sz w:val="20"/>
                <w:szCs w:val="20"/>
              </w:rPr>
            </w:pPr>
            <w:r w:rsidRPr="00EC6FAC">
              <w:rPr>
                <w:rFonts w:ascii="Arial Narrow" w:hAnsi="Arial Narrow" w:cs="Arial"/>
                <w:sz w:val="20"/>
                <w:szCs w:val="20"/>
              </w:rPr>
              <w:t>$</w:t>
            </w:r>
            <w:r w:rsidRPr="007D18A3">
              <w:rPr>
                <w:rFonts w:ascii="Arial Narrow" w:hAnsi="Arial Narrow" w:cs="Arial"/>
                <w:sz w:val="20"/>
                <w:szCs w:val="20"/>
              </w:rPr>
              <w:t>1,682,037</w:t>
            </w:r>
          </w:p>
        </w:tc>
        <w:tc>
          <w:tcPr>
            <w:tcW w:w="629" w:type="pct"/>
            <w:vAlign w:val="center"/>
          </w:tcPr>
          <w:p w14:paraId="1A8367D7" w14:textId="55DB4E32" w:rsidR="00AF5E6B" w:rsidRPr="009974D1" w:rsidRDefault="00AF5E6B" w:rsidP="00D76EFB">
            <w:pPr>
              <w:spacing w:before="0"/>
              <w:jc w:val="right"/>
              <w:rPr>
                <w:rFonts w:ascii="Arial Narrow" w:hAnsi="Arial Narrow"/>
                <w:sz w:val="20"/>
                <w:szCs w:val="20"/>
              </w:rPr>
            </w:pPr>
            <w:r w:rsidRPr="00EC6FAC">
              <w:rPr>
                <w:rFonts w:ascii="Arial Narrow" w:hAnsi="Arial Narrow" w:cs="Arial"/>
                <w:sz w:val="20"/>
                <w:szCs w:val="20"/>
              </w:rPr>
              <w:t>$</w:t>
            </w:r>
            <w:r w:rsidRPr="007D18A3">
              <w:rPr>
                <w:rFonts w:ascii="Arial Narrow" w:hAnsi="Arial Narrow" w:cs="Arial"/>
                <w:sz w:val="20"/>
                <w:szCs w:val="20"/>
              </w:rPr>
              <w:t>2,293,129</w:t>
            </w:r>
          </w:p>
        </w:tc>
        <w:tc>
          <w:tcPr>
            <w:tcW w:w="678" w:type="pct"/>
            <w:vAlign w:val="center"/>
          </w:tcPr>
          <w:p w14:paraId="3E3362B8" w14:textId="5953BAC7" w:rsidR="00AF5E6B" w:rsidRPr="009974D1" w:rsidRDefault="00AF5E6B" w:rsidP="00D76EFB">
            <w:pPr>
              <w:spacing w:before="0"/>
              <w:jc w:val="right"/>
              <w:rPr>
                <w:rFonts w:ascii="Arial Narrow" w:hAnsi="Arial Narrow"/>
                <w:sz w:val="20"/>
                <w:szCs w:val="20"/>
              </w:rPr>
            </w:pPr>
            <w:r w:rsidRPr="00EC6FAC">
              <w:rPr>
                <w:rFonts w:ascii="Arial Narrow" w:hAnsi="Arial Narrow" w:cs="Arial"/>
                <w:sz w:val="20"/>
                <w:szCs w:val="20"/>
              </w:rPr>
              <w:t>$</w:t>
            </w:r>
            <w:r w:rsidRPr="007D18A3">
              <w:rPr>
                <w:rFonts w:ascii="Arial Narrow" w:hAnsi="Arial Narrow" w:cs="Arial"/>
                <w:sz w:val="20"/>
                <w:szCs w:val="20"/>
              </w:rPr>
              <w:t>2,904,220</w:t>
            </w:r>
          </w:p>
        </w:tc>
      </w:tr>
      <w:tr w:rsidR="00CF61C1" w:rsidRPr="00B221AE" w14:paraId="7585D6D4" w14:textId="77777777" w:rsidTr="00CD0D7F">
        <w:tc>
          <w:tcPr>
            <w:tcW w:w="1806" w:type="pct"/>
            <w:vAlign w:val="center"/>
          </w:tcPr>
          <w:p w14:paraId="4E96462F" w14:textId="3AD17296" w:rsidR="00AF5E6B" w:rsidRPr="009974D1" w:rsidRDefault="00AF5E6B" w:rsidP="00D76EFB">
            <w:pPr>
              <w:spacing w:before="0"/>
              <w:rPr>
                <w:rFonts w:ascii="Arial Narrow" w:hAnsi="Arial Narrow"/>
                <w:b/>
                <w:sz w:val="20"/>
                <w:szCs w:val="20"/>
              </w:rPr>
            </w:pPr>
            <w:r w:rsidRPr="009974D1">
              <w:rPr>
                <w:rFonts w:ascii="Arial Narrow" w:hAnsi="Arial Narrow"/>
                <w:b/>
                <w:sz w:val="20"/>
                <w:szCs w:val="20"/>
              </w:rPr>
              <w:t>Net cost to MBS, 100% benefit</w:t>
            </w:r>
          </w:p>
        </w:tc>
        <w:tc>
          <w:tcPr>
            <w:tcW w:w="629" w:type="pct"/>
            <w:vAlign w:val="center"/>
          </w:tcPr>
          <w:p w14:paraId="760F5AED" w14:textId="52E0C7AC" w:rsidR="00AF5E6B" w:rsidRPr="009974D1" w:rsidRDefault="00AF5E6B" w:rsidP="00D76EFB">
            <w:pPr>
              <w:spacing w:before="0"/>
              <w:jc w:val="right"/>
              <w:rPr>
                <w:rFonts w:ascii="Arial Narrow" w:hAnsi="Arial Narrow"/>
                <w:sz w:val="20"/>
                <w:szCs w:val="20"/>
              </w:rPr>
            </w:pPr>
            <w:r w:rsidRPr="007D18A3">
              <w:rPr>
                <w:rFonts w:ascii="Arial Narrow" w:hAnsi="Arial Narrow" w:cs="Arial"/>
                <w:sz w:val="20"/>
                <w:szCs w:val="20"/>
              </w:rPr>
              <w:t>$1,427,927</w:t>
            </w:r>
          </w:p>
        </w:tc>
        <w:tc>
          <w:tcPr>
            <w:tcW w:w="629" w:type="pct"/>
            <w:vAlign w:val="center"/>
          </w:tcPr>
          <w:p w14:paraId="46203ED7" w14:textId="33DDEE97" w:rsidR="00AF5E6B" w:rsidRPr="009974D1" w:rsidRDefault="00AF5E6B" w:rsidP="00D76EFB">
            <w:pPr>
              <w:spacing w:before="0"/>
              <w:jc w:val="right"/>
              <w:rPr>
                <w:rFonts w:ascii="Arial Narrow" w:hAnsi="Arial Narrow"/>
                <w:sz w:val="20"/>
                <w:szCs w:val="20"/>
              </w:rPr>
            </w:pPr>
            <w:r w:rsidRPr="007D18A3">
              <w:rPr>
                <w:rFonts w:ascii="Arial Narrow" w:hAnsi="Arial Narrow" w:cs="Arial"/>
                <w:sz w:val="20"/>
                <w:szCs w:val="20"/>
              </w:rPr>
              <w:t>$1,835,322</w:t>
            </w:r>
          </w:p>
        </w:tc>
        <w:tc>
          <w:tcPr>
            <w:tcW w:w="629" w:type="pct"/>
            <w:vAlign w:val="center"/>
          </w:tcPr>
          <w:p w14:paraId="5E17AAFA" w14:textId="5E33D8CF" w:rsidR="00AF5E6B" w:rsidRPr="009974D1" w:rsidRDefault="00AF5E6B" w:rsidP="00D76EFB">
            <w:pPr>
              <w:spacing w:before="0"/>
              <w:jc w:val="right"/>
              <w:rPr>
                <w:rFonts w:ascii="Arial Narrow" w:hAnsi="Arial Narrow"/>
                <w:sz w:val="20"/>
                <w:szCs w:val="20"/>
              </w:rPr>
            </w:pPr>
            <w:r w:rsidRPr="007D18A3">
              <w:rPr>
                <w:rFonts w:ascii="Arial Narrow" w:hAnsi="Arial Narrow" w:cs="Arial"/>
                <w:sz w:val="20"/>
                <w:szCs w:val="20"/>
              </w:rPr>
              <w:t>$2,242,716</w:t>
            </w:r>
          </w:p>
        </w:tc>
        <w:tc>
          <w:tcPr>
            <w:tcW w:w="629" w:type="pct"/>
            <w:vAlign w:val="center"/>
          </w:tcPr>
          <w:p w14:paraId="4D070FBD" w14:textId="663B9EA7" w:rsidR="00AF5E6B" w:rsidRPr="009974D1" w:rsidRDefault="00AF5E6B" w:rsidP="00D76EFB">
            <w:pPr>
              <w:spacing w:before="0"/>
              <w:jc w:val="right"/>
              <w:rPr>
                <w:rFonts w:ascii="Arial Narrow" w:hAnsi="Arial Narrow"/>
                <w:sz w:val="20"/>
                <w:szCs w:val="20"/>
              </w:rPr>
            </w:pPr>
            <w:r w:rsidRPr="007D18A3">
              <w:rPr>
                <w:rFonts w:ascii="Arial Narrow" w:hAnsi="Arial Narrow" w:cs="Arial"/>
                <w:sz w:val="20"/>
                <w:szCs w:val="20"/>
              </w:rPr>
              <w:t>$3,057,505</w:t>
            </w:r>
          </w:p>
        </w:tc>
        <w:tc>
          <w:tcPr>
            <w:tcW w:w="678" w:type="pct"/>
            <w:vAlign w:val="center"/>
          </w:tcPr>
          <w:p w14:paraId="22F3941D" w14:textId="41FC565F" w:rsidR="00AF5E6B" w:rsidRPr="009974D1" w:rsidRDefault="00AF5E6B" w:rsidP="00D76EFB">
            <w:pPr>
              <w:spacing w:before="0"/>
              <w:jc w:val="right"/>
              <w:rPr>
                <w:rFonts w:ascii="Arial Narrow" w:hAnsi="Arial Narrow"/>
                <w:sz w:val="20"/>
                <w:szCs w:val="20"/>
              </w:rPr>
            </w:pPr>
            <w:r w:rsidRPr="007D18A3">
              <w:rPr>
                <w:rFonts w:ascii="Arial Narrow" w:hAnsi="Arial Narrow" w:cs="Arial"/>
                <w:sz w:val="20"/>
                <w:szCs w:val="20"/>
              </w:rPr>
              <w:t>$3,872,293</w:t>
            </w:r>
          </w:p>
        </w:tc>
      </w:tr>
    </w:tbl>
    <w:p w14:paraId="6162D690" w14:textId="50D7F7DE" w:rsidR="00E0572F" w:rsidRDefault="00B76991" w:rsidP="00850967">
      <w:pPr>
        <w:pStyle w:val="TableFigureFooter"/>
      </w:pPr>
      <w:r w:rsidRPr="00D76EFB">
        <w:t>Abbreviations: ESG</w:t>
      </w:r>
      <w:r w:rsidR="00775138">
        <w:t>:</w:t>
      </w:r>
      <w:r w:rsidRPr="00D715A4">
        <w:t xml:space="preserve"> </w:t>
      </w:r>
      <w:r w:rsidR="00A204FD">
        <w:t>e</w:t>
      </w:r>
      <w:r w:rsidRPr="00D715A4">
        <w:t xml:space="preserve">ndoscopic sleeve gastroplasty; </w:t>
      </w:r>
      <w:r w:rsidRPr="00D76EFB">
        <w:t>LSG</w:t>
      </w:r>
      <w:r w:rsidR="00775138" w:rsidRPr="00A204FD">
        <w:t>:</w:t>
      </w:r>
      <w:r w:rsidRPr="00D715A4">
        <w:t xml:space="preserve"> </w:t>
      </w:r>
      <w:r w:rsidR="00A204FD">
        <w:t>l</w:t>
      </w:r>
      <w:r w:rsidRPr="00D715A4">
        <w:t>aparoscopic sleeve gastrectomy</w:t>
      </w:r>
      <w:r w:rsidR="00A204FD">
        <w:t xml:space="preserve">; </w:t>
      </w:r>
      <w:r w:rsidRPr="00D76EFB">
        <w:t>MBS</w:t>
      </w:r>
      <w:r w:rsidR="00775138">
        <w:t>:</w:t>
      </w:r>
      <w:r w:rsidRPr="00D715A4">
        <w:t xml:space="preserve"> Medicare Benefits Schedule</w:t>
      </w:r>
      <w:r w:rsidR="0057037E">
        <w:t>.</w:t>
      </w:r>
    </w:p>
    <w:p w14:paraId="52C5DB75" w14:textId="77777777" w:rsidR="00E0572F" w:rsidRDefault="00E0572F" w:rsidP="00850967">
      <w:pPr>
        <w:pStyle w:val="TableFigureFooter"/>
      </w:pPr>
      <w:r>
        <w:t>Notes:</w:t>
      </w:r>
      <w:r w:rsidR="001D3051">
        <w:t xml:space="preserve"> </w:t>
      </w:r>
    </w:p>
    <w:p w14:paraId="54917904" w14:textId="0BEBB70F" w:rsidR="00E0572F" w:rsidRDefault="001D3051" w:rsidP="00850967">
      <w:pPr>
        <w:pStyle w:val="TableFigureFooter"/>
      </w:pPr>
      <w:r w:rsidRPr="2AA1CA0C">
        <w:t>*</w:t>
      </w:r>
      <w:r w:rsidR="000841D6" w:rsidRPr="2AA1CA0C">
        <w:t>estimated based on average</w:t>
      </w:r>
      <w:r w:rsidR="00A270E1" w:rsidRPr="2AA1CA0C">
        <w:t xml:space="preserve"> </w:t>
      </w:r>
      <w:r w:rsidR="00166308" w:rsidRPr="2AA1CA0C">
        <w:t>LSG service utilisation by obesity class from 2019 to 2023</w:t>
      </w:r>
      <w:r w:rsidR="00A05AA1" w:rsidRPr="2AA1CA0C">
        <w:t>, multiplied by the</w:t>
      </w:r>
      <w:r w:rsidR="008258B4" w:rsidRPr="2AA1CA0C">
        <w:t xml:space="preserve"> </w:t>
      </w:r>
      <w:r w:rsidR="009B0250" w:rsidRPr="2AA1CA0C">
        <w:t xml:space="preserve">increase in </w:t>
      </w:r>
      <w:r w:rsidR="00A87BB0" w:rsidRPr="2AA1CA0C">
        <w:t xml:space="preserve">market size </w:t>
      </w:r>
      <w:r w:rsidR="009B0250" w:rsidRPr="2AA1CA0C">
        <w:t>estimates</w:t>
      </w:r>
      <w:r w:rsidR="00166308" w:rsidRPr="2AA1CA0C">
        <w:t xml:space="preserve"> </w:t>
      </w:r>
    </w:p>
    <w:p w14:paraId="40540303" w14:textId="2A96DBDA" w:rsidR="00E0572F" w:rsidRDefault="00EC0DB1" w:rsidP="00850967">
      <w:pPr>
        <w:pStyle w:val="TableFigureFooter"/>
      </w:pPr>
      <w:r>
        <w:t>**</w:t>
      </w:r>
      <w:r w:rsidR="001A462F">
        <w:t xml:space="preserve">estimated based on the </w:t>
      </w:r>
      <w:r w:rsidR="00773ABE">
        <w:t>average number of LSG services by obesity class between 2019 to 2023</w:t>
      </w:r>
      <w:r w:rsidR="0023125A">
        <w:t xml:space="preserve"> multiplied by assumed uptake rate</w:t>
      </w:r>
      <w:r w:rsidR="008F0DB8">
        <w:t xml:space="preserve"> </w:t>
      </w:r>
    </w:p>
    <w:p w14:paraId="3935B9A1" w14:textId="009DFEB6" w:rsidR="0023125A" w:rsidRDefault="008F0DB8" w:rsidP="00850967">
      <w:pPr>
        <w:pStyle w:val="TableFigureFooter"/>
      </w:pPr>
      <w:r>
        <w:t>***</w:t>
      </w:r>
      <w:r w:rsidR="00EC6ADA">
        <w:t>number of ESG procedure</w:t>
      </w:r>
      <w:r w:rsidR="006902E3">
        <w:t xml:space="preserve">s multiplied by the </w:t>
      </w:r>
      <w:r w:rsidR="001B0069">
        <w:t xml:space="preserve">estimated </w:t>
      </w:r>
      <w:r w:rsidR="006902E3">
        <w:t xml:space="preserve">MBS costs </w:t>
      </w:r>
      <w:r w:rsidR="002575E8">
        <w:t>of ESG at 75% benefit</w:t>
      </w:r>
      <w:r w:rsidR="00742DB6">
        <w:t xml:space="preserve"> ($1,682.21 per procedure)</w:t>
      </w:r>
      <w:r w:rsidR="004E3BAB">
        <w:t xml:space="preserve"> </w:t>
      </w:r>
    </w:p>
    <w:p w14:paraId="39D6F136" w14:textId="46B5DD60" w:rsidR="00703700" w:rsidRDefault="004E3BAB" w:rsidP="00850967">
      <w:pPr>
        <w:pStyle w:val="TableFigureFooter"/>
      </w:pPr>
      <w:r>
        <w:t>****</w:t>
      </w:r>
      <w:r w:rsidR="00490CB3">
        <w:t xml:space="preserve">number of ESG procedures multiplied by the </w:t>
      </w:r>
      <w:r w:rsidR="001B0069">
        <w:t xml:space="preserve">estimated </w:t>
      </w:r>
      <w:r w:rsidR="00490CB3">
        <w:t>MBS costs of ESG at 100% benefit</w:t>
      </w:r>
      <w:r w:rsidR="00E421E5">
        <w:t xml:space="preserve"> ($</w:t>
      </w:r>
      <w:r w:rsidR="00697C50">
        <w:t>2,242.95 per procedure)</w:t>
      </w:r>
      <w:r w:rsidR="00703700">
        <w:t xml:space="preserve"> </w:t>
      </w:r>
    </w:p>
    <w:p w14:paraId="1F8FA969" w14:textId="10BF91C4" w:rsidR="00703700" w:rsidRPr="00115CA8" w:rsidRDefault="009D7FDF" w:rsidP="00850967">
      <w:pPr>
        <w:pStyle w:val="TableFigureFooter"/>
      </w:pPr>
      <w:r w:rsidRPr="2AA1CA0C">
        <w:rPr>
          <w:vertAlign w:val="superscript"/>
        </w:rPr>
        <w:t>a</w:t>
      </w:r>
      <w:r w:rsidRPr="2AA1CA0C">
        <w:t xml:space="preserve"> number</w:t>
      </w:r>
      <w:r w:rsidR="00703700" w:rsidRPr="2AA1CA0C">
        <w:t xml:space="preserve"> </w:t>
      </w:r>
      <w:r w:rsidR="000F2FFA" w:rsidRPr="2AA1CA0C">
        <w:t>of</w:t>
      </w:r>
      <w:r w:rsidR="00703700" w:rsidRPr="2AA1CA0C">
        <w:t xml:space="preserve"> </w:t>
      </w:r>
      <w:r w:rsidR="00950310" w:rsidRPr="2AA1CA0C">
        <w:t>changes</w:t>
      </w:r>
      <w:r w:rsidR="00703700" w:rsidRPr="2AA1CA0C">
        <w:t xml:space="preserve"> in use of LSG procedure multiplied by the MBS costs of </w:t>
      </w:r>
      <w:r w:rsidR="00950310" w:rsidRPr="2AA1CA0C">
        <w:t>L</w:t>
      </w:r>
      <w:r w:rsidR="00703700" w:rsidRPr="2AA1CA0C">
        <w:t>SG at 75% benefits ($1682.21 per procedure)</w:t>
      </w:r>
    </w:p>
    <w:p w14:paraId="56A27ADC" w14:textId="2AFECF27" w:rsidR="00697C50" w:rsidRDefault="0082263A" w:rsidP="00850967">
      <w:pPr>
        <w:pStyle w:val="TableFigureFooter"/>
        <w:rPr>
          <w:szCs w:val="18"/>
        </w:rPr>
      </w:pPr>
      <w:r>
        <w:rPr>
          <w:szCs w:val="18"/>
          <w:vertAlign w:val="superscript"/>
        </w:rPr>
        <w:t>b</w:t>
      </w:r>
      <w:r w:rsidR="00950310" w:rsidRPr="00115CA8">
        <w:rPr>
          <w:szCs w:val="18"/>
        </w:rPr>
        <w:t xml:space="preserve"> </w:t>
      </w:r>
      <w:r w:rsidR="009D7FDF" w:rsidRPr="00115CA8">
        <w:rPr>
          <w:szCs w:val="18"/>
        </w:rPr>
        <w:t>n</w:t>
      </w:r>
      <w:r w:rsidR="00950310" w:rsidRPr="00115CA8">
        <w:rPr>
          <w:szCs w:val="18"/>
        </w:rPr>
        <w:t>umber of changes in use of LSG procedure multiplied by the MBS costs of LSG at 100% benefits ($</w:t>
      </w:r>
      <w:r w:rsidR="00724352" w:rsidRPr="00115CA8">
        <w:rPr>
          <w:szCs w:val="18"/>
        </w:rPr>
        <w:t>2,242.95</w:t>
      </w:r>
      <w:r w:rsidR="00950310" w:rsidRPr="00115CA8">
        <w:rPr>
          <w:szCs w:val="18"/>
        </w:rPr>
        <w:t xml:space="preserve"> per procedure)</w:t>
      </w:r>
    </w:p>
    <w:p w14:paraId="54EA083C" w14:textId="1B073DB8" w:rsidR="0082263A" w:rsidRPr="0082263A" w:rsidRDefault="0082263A" w:rsidP="00850967">
      <w:pPr>
        <w:pStyle w:val="TableFigureFooter"/>
      </w:pPr>
      <w:r>
        <w:rPr>
          <w:szCs w:val="18"/>
          <w:vertAlign w:val="superscript"/>
        </w:rPr>
        <w:t xml:space="preserve">c </w:t>
      </w:r>
      <w:r w:rsidR="001771D8">
        <w:rPr>
          <w:szCs w:val="18"/>
        </w:rPr>
        <w:t>Includes: 277 (class I</w:t>
      </w:r>
      <w:r w:rsidR="004206E4">
        <w:rPr>
          <w:szCs w:val="18"/>
        </w:rPr>
        <w:t>), 407 (class II) and 547 (class III obesity).</w:t>
      </w:r>
    </w:p>
    <w:p w14:paraId="0225D50F" w14:textId="6A1A3A83" w:rsidR="00775138" w:rsidRPr="00DA06B4" w:rsidRDefault="00775138" w:rsidP="00850967">
      <w:pPr>
        <w:pStyle w:val="TableFigureFooter"/>
        <w:rPr>
          <w:rFonts w:ascii="Franklin Gothic Book" w:hAnsi="Franklin Gothic Book"/>
          <w:color w:val="000000" w:themeColor="text1"/>
        </w:rPr>
      </w:pPr>
      <w:r w:rsidRPr="00D76EFB">
        <w:t>Source:</w:t>
      </w:r>
      <w:r w:rsidRPr="00D715A4">
        <w:t xml:space="preserve"> Submission Tables 4-1, 4-12, 4-18, 4-19, 4-21, 4-22, 4-25, 4-27 and 4-28; Attachment 3.4-ESG Budget Impact Model</w:t>
      </w:r>
    </w:p>
    <w:p w14:paraId="27066809" w14:textId="261E760D" w:rsidR="0013616F" w:rsidRPr="00A87187" w:rsidRDefault="00CC689F" w:rsidP="00204228">
      <w:r w:rsidRPr="2AA1CA0C">
        <w:t xml:space="preserve">The </w:t>
      </w:r>
      <w:r w:rsidR="00383CA4" w:rsidRPr="2AA1CA0C">
        <w:t>financial estimates</w:t>
      </w:r>
      <w:r w:rsidRPr="2AA1CA0C">
        <w:t xml:space="preserve"> provided by the applicant are based on the assumption that the device will be listed on the </w:t>
      </w:r>
      <w:r w:rsidR="00CF25AC" w:rsidRPr="2AA1CA0C">
        <w:t>PL</w:t>
      </w:r>
      <w:r w:rsidR="00420714" w:rsidRPr="2AA1CA0C">
        <w:t>, although</w:t>
      </w:r>
      <w:r w:rsidRPr="2AA1CA0C">
        <w:t xml:space="preserve"> </w:t>
      </w:r>
      <w:r w:rsidR="0091727D">
        <w:t>this is yet to occur</w:t>
      </w:r>
      <w:r w:rsidR="00FA48DF" w:rsidRPr="2AA1CA0C">
        <w:t xml:space="preserve"> (the applicant </w:t>
      </w:r>
      <w:r w:rsidR="001F0056">
        <w:t xml:space="preserve">has signalled they </w:t>
      </w:r>
      <w:r w:rsidR="00FA48DF" w:rsidRPr="2AA1CA0C">
        <w:t xml:space="preserve">intend to </w:t>
      </w:r>
      <w:r w:rsidR="00D81A20" w:rsidRPr="2AA1CA0C">
        <w:t>apply for</w:t>
      </w:r>
      <w:r w:rsidR="00BA7920">
        <w:t xml:space="preserve"> the device to be included on the</w:t>
      </w:r>
      <w:r w:rsidR="00D81A20" w:rsidRPr="2AA1CA0C">
        <w:t xml:space="preserve"> </w:t>
      </w:r>
      <w:r w:rsidR="001F0056">
        <w:t xml:space="preserve">PL </w:t>
      </w:r>
      <w:r w:rsidR="00BA7920">
        <w:t>should the current application be supported by MSAC</w:t>
      </w:r>
      <w:r w:rsidR="00FA48DF" w:rsidRPr="2AA1CA0C">
        <w:t>)</w:t>
      </w:r>
      <w:r w:rsidR="00462870" w:rsidRPr="2AA1CA0C">
        <w:t xml:space="preserve">. </w:t>
      </w:r>
      <w:r w:rsidR="001472DD" w:rsidRPr="2AA1CA0C">
        <w:t xml:space="preserve">Under this assumption, </w:t>
      </w:r>
      <w:r w:rsidR="00BA7920">
        <w:t xml:space="preserve">the ADAR </w:t>
      </w:r>
      <w:r w:rsidR="00F4235E">
        <w:t xml:space="preserve">estimates that </w:t>
      </w:r>
      <w:r w:rsidR="00204228" w:rsidRPr="2AA1CA0C">
        <w:t xml:space="preserve">ESG </w:t>
      </w:r>
      <w:r w:rsidR="00F4235E">
        <w:t>will</w:t>
      </w:r>
      <w:r w:rsidR="00204228" w:rsidRPr="2AA1CA0C">
        <w:t xml:space="preserve"> be cost</w:t>
      </w:r>
      <w:r w:rsidR="00A73E51" w:rsidRPr="2AA1CA0C">
        <w:t xml:space="preserve"> </w:t>
      </w:r>
      <w:r w:rsidR="00204228" w:rsidRPr="2AA1CA0C">
        <w:t xml:space="preserve">saving </w:t>
      </w:r>
      <w:r w:rsidR="00956CD8" w:rsidRPr="2AA1CA0C">
        <w:t>for</w:t>
      </w:r>
      <w:r w:rsidR="00204228" w:rsidRPr="2AA1CA0C">
        <w:t xml:space="preserve"> hospital </w:t>
      </w:r>
      <w:r w:rsidR="00B947CA" w:rsidRPr="2AA1CA0C">
        <w:t>budgets</w:t>
      </w:r>
      <w:r w:rsidR="00204228" w:rsidRPr="2AA1CA0C">
        <w:t xml:space="preserve"> due to shorter length</w:t>
      </w:r>
      <w:r w:rsidR="00956CD8" w:rsidRPr="2AA1CA0C">
        <w:t>s</w:t>
      </w:r>
      <w:r w:rsidR="00204228" w:rsidRPr="2AA1CA0C">
        <w:t xml:space="preserve"> of hospital stay compared to the LSG procedure</w:t>
      </w:r>
      <w:r w:rsidR="00453B7E" w:rsidRPr="2AA1CA0C">
        <w:t>.</w:t>
      </w:r>
      <w:r w:rsidR="000025C5" w:rsidRPr="2AA1CA0C">
        <w:t xml:space="preserve"> </w:t>
      </w:r>
      <w:r w:rsidR="00FB73B8" w:rsidRPr="2AA1CA0C">
        <w:t>H</w:t>
      </w:r>
      <w:r w:rsidR="000025C5" w:rsidRPr="2AA1CA0C">
        <w:t xml:space="preserve">ospital </w:t>
      </w:r>
      <w:r w:rsidR="00FB73B8" w:rsidRPr="2AA1CA0C">
        <w:t>stays</w:t>
      </w:r>
      <w:r w:rsidR="000025C5" w:rsidRPr="2AA1CA0C">
        <w:t xml:space="preserve"> are </w:t>
      </w:r>
      <w:r w:rsidR="00FB73B8" w:rsidRPr="2AA1CA0C">
        <w:t>costed at</w:t>
      </w:r>
      <w:r w:rsidR="000025C5" w:rsidRPr="2AA1CA0C">
        <w:t xml:space="preserve"> $</w:t>
      </w:r>
      <w:r w:rsidR="009266B4" w:rsidRPr="2AA1CA0C">
        <w:t xml:space="preserve">2,551.93 </w:t>
      </w:r>
      <w:r w:rsidR="00FB73B8" w:rsidRPr="2AA1CA0C">
        <w:t>per-</w:t>
      </w:r>
      <w:r w:rsidR="009266B4" w:rsidRPr="2AA1CA0C">
        <w:t xml:space="preserve">ESG </w:t>
      </w:r>
      <w:r w:rsidR="00FB73B8" w:rsidRPr="2AA1CA0C">
        <w:t xml:space="preserve">procedure </w:t>
      </w:r>
      <w:r w:rsidR="009266B4" w:rsidRPr="2AA1CA0C">
        <w:t>based on AR-DRGs K40 and G46</w:t>
      </w:r>
      <w:r w:rsidR="00615881" w:rsidRPr="2AA1CA0C">
        <w:t>,</w:t>
      </w:r>
      <w:r w:rsidR="00FB73B8" w:rsidRPr="2AA1CA0C">
        <w:t xml:space="preserve"> and</w:t>
      </w:r>
      <w:r w:rsidR="009266B4" w:rsidRPr="2AA1CA0C">
        <w:t xml:space="preserve"> </w:t>
      </w:r>
      <w:r w:rsidR="00615881" w:rsidRPr="2AA1CA0C">
        <w:t>at</w:t>
      </w:r>
      <w:r w:rsidR="00FB73B8" w:rsidRPr="2AA1CA0C">
        <w:t xml:space="preserve"> </w:t>
      </w:r>
      <w:r w:rsidR="009266B4" w:rsidRPr="2AA1CA0C">
        <w:t xml:space="preserve">$14,037.59 </w:t>
      </w:r>
      <w:r w:rsidR="00FB73B8" w:rsidRPr="2AA1CA0C">
        <w:t>per</w:t>
      </w:r>
      <w:r w:rsidR="009266B4" w:rsidRPr="2AA1CA0C">
        <w:t xml:space="preserve"> LSG</w:t>
      </w:r>
      <w:r w:rsidR="00FB73B8" w:rsidRPr="2AA1CA0C">
        <w:t xml:space="preserve"> procedure</w:t>
      </w:r>
      <w:r w:rsidR="009266B4" w:rsidRPr="2AA1CA0C">
        <w:t xml:space="preserve"> based on AR-DRG K11</w:t>
      </w:r>
      <w:r w:rsidR="00883FB8" w:rsidRPr="2AA1CA0C">
        <w:t xml:space="preserve"> (</w:t>
      </w:r>
      <w:r w:rsidR="00615881" w:rsidRPr="2AA1CA0C">
        <w:t xml:space="preserve">this cost </w:t>
      </w:r>
      <w:r w:rsidR="009A1042" w:rsidRPr="2AA1CA0C">
        <w:t>was</w:t>
      </w:r>
      <w:r w:rsidR="00615881" w:rsidRPr="2AA1CA0C">
        <w:t xml:space="preserve"> </w:t>
      </w:r>
      <w:r w:rsidR="00883FB8" w:rsidRPr="2AA1CA0C">
        <w:t xml:space="preserve">included as a cost offset </w:t>
      </w:r>
      <w:r w:rsidR="009A1042" w:rsidRPr="2AA1CA0C">
        <w:t>for</w:t>
      </w:r>
      <w:r w:rsidR="00883FB8" w:rsidRPr="2AA1CA0C">
        <w:t xml:space="preserve"> the proportion of patients </w:t>
      </w:r>
      <w:r w:rsidR="009A1042" w:rsidRPr="2AA1CA0C">
        <w:t>in</w:t>
      </w:r>
      <w:r w:rsidR="00883FB8" w:rsidRPr="2AA1CA0C">
        <w:t xml:space="preserve"> whom ESG was modelled to substitute LSG)</w:t>
      </w:r>
      <w:r w:rsidR="009266B4" w:rsidRPr="2AA1CA0C">
        <w:t>.</w:t>
      </w:r>
      <w:r w:rsidRPr="2AA1CA0C">
        <w:rPr>
          <w:b/>
          <w:bCs/>
        </w:rPr>
        <w:t xml:space="preserve"> </w:t>
      </w:r>
      <w:r w:rsidR="00076925" w:rsidRPr="2AA1CA0C">
        <w:t xml:space="preserve">The total </w:t>
      </w:r>
      <w:r w:rsidR="00462870" w:rsidRPr="2AA1CA0C">
        <w:t>PL</w:t>
      </w:r>
      <w:r w:rsidR="00E424E2" w:rsidRPr="2AA1CA0C">
        <w:t xml:space="preserve"> </w:t>
      </w:r>
      <w:r w:rsidR="00E92D6D" w:rsidRPr="2AA1CA0C">
        <w:t xml:space="preserve">cost of ESG </w:t>
      </w:r>
      <w:r w:rsidR="0013616F" w:rsidRPr="2AA1CA0C">
        <w:t>is estimated</w:t>
      </w:r>
      <w:r w:rsidR="00E92D6D" w:rsidRPr="2AA1CA0C">
        <w:t xml:space="preserve"> </w:t>
      </w:r>
      <w:r w:rsidR="001C102D" w:rsidRPr="2AA1CA0C">
        <w:t>at</w:t>
      </w:r>
      <w:r w:rsidR="00E92D6D" w:rsidRPr="2AA1CA0C">
        <w:t xml:space="preserve"> </w:t>
      </w:r>
      <w:r w:rsidR="001E398A" w:rsidRPr="2AA1CA0C">
        <w:t xml:space="preserve">$12.4 million in year 1, increasing to $27.6 million in year </w:t>
      </w:r>
      <w:r w:rsidR="00553980" w:rsidRPr="2AA1CA0C">
        <w:t>5</w:t>
      </w:r>
      <w:r w:rsidR="00251D34" w:rsidRPr="2AA1CA0C">
        <w:t>, based on the applicant-proposed ESG device costs</w:t>
      </w:r>
      <w:r w:rsidR="005808C8" w:rsidRPr="2AA1CA0C">
        <w:t xml:space="preserve"> (</w:t>
      </w:r>
      <w:r w:rsidR="00B963AD" w:rsidRPr="2AA1CA0C">
        <w:t>$10,137.51</w:t>
      </w:r>
      <w:r w:rsidR="00251D34" w:rsidRPr="2AA1CA0C">
        <w:t xml:space="preserve"> per procedure</w:t>
      </w:r>
      <w:r w:rsidR="0048387F" w:rsidRPr="2AA1CA0C">
        <w:t xml:space="preserve">, includes </w:t>
      </w:r>
      <w:r w:rsidR="00636D5B" w:rsidRPr="2AA1CA0C">
        <w:t>Apollo ESG NXT System and Endotherapy Overtube costs</w:t>
      </w:r>
      <w:r w:rsidR="00B963AD" w:rsidRPr="2AA1CA0C">
        <w:t>)</w:t>
      </w:r>
      <w:r w:rsidR="004F6D34" w:rsidRPr="2AA1CA0C">
        <w:t xml:space="preserve">. </w:t>
      </w:r>
      <w:r w:rsidR="00B11897" w:rsidRPr="2AA1CA0C">
        <w:t>In comparison, per-procedure PL costs for LSG</w:t>
      </w:r>
      <w:r w:rsidR="00251D34" w:rsidRPr="2AA1CA0C">
        <w:t xml:space="preserve"> </w:t>
      </w:r>
      <w:r w:rsidR="00B11897" w:rsidRPr="2AA1CA0C">
        <w:t>were $4,310.00</w:t>
      </w:r>
      <w:r w:rsidR="009A1042" w:rsidRPr="2AA1CA0C">
        <w:t xml:space="preserve"> (again, this cost was </w:t>
      </w:r>
      <w:r w:rsidR="00251D34" w:rsidRPr="2AA1CA0C">
        <w:t xml:space="preserve">included as a cost offset </w:t>
      </w:r>
      <w:r w:rsidR="004422FC" w:rsidRPr="2AA1CA0C">
        <w:t>in the proportion of patients for whom</w:t>
      </w:r>
      <w:r w:rsidR="00251D34" w:rsidRPr="2AA1CA0C">
        <w:t xml:space="preserve"> ESG was modelled to substitute LSG</w:t>
      </w:r>
      <w:r w:rsidR="009A1042" w:rsidRPr="2AA1CA0C">
        <w:t>)</w:t>
      </w:r>
      <w:r w:rsidR="00251D34" w:rsidRPr="2AA1CA0C">
        <w:t>.</w:t>
      </w:r>
    </w:p>
    <w:p w14:paraId="5828E3AA" w14:textId="77119F62" w:rsidR="005B2AA3" w:rsidRDefault="006379A4" w:rsidP="00C8307F">
      <w:r w:rsidRPr="2AA1CA0C">
        <w:t xml:space="preserve">The total budget impact </w:t>
      </w:r>
      <w:r w:rsidR="00381F4A" w:rsidRPr="2AA1CA0C">
        <w:t>of</w:t>
      </w:r>
      <w:r w:rsidR="00136E73" w:rsidRPr="2AA1CA0C">
        <w:t xml:space="preserve"> listing ESG </w:t>
      </w:r>
      <w:r w:rsidR="003D5812" w:rsidRPr="2AA1CA0C">
        <w:t>(</w:t>
      </w:r>
      <w:r w:rsidR="00515F6A">
        <w:fldChar w:fldCharType="begin"/>
      </w:r>
      <w:r w:rsidR="00515F6A">
        <w:instrText xml:space="preserve"> REF _Ref191569214 \h </w:instrText>
      </w:r>
      <w:r w:rsidR="00515F6A">
        <w:fldChar w:fldCharType="separate"/>
      </w:r>
      <w:r w:rsidR="008F37D1">
        <w:t xml:space="preserve">Table </w:t>
      </w:r>
      <w:r w:rsidR="008F37D1">
        <w:rPr>
          <w:noProof/>
        </w:rPr>
        <w:t>35</w:t>
      </w:r>
      <w:r w:rsidR="00515F6A">
        <w:fldChar w:fldCharType="end"/>
      </w:r>
      <w:r w:rsidR="003D5812" w:rsidRPr="2AA1CA0C">
        <w:t>)</w:t>
      </w:r>
      <w:r w:rsidR="00136E73" w:rsidRPr="2AA1CA0C">
        <w:t xml:space="preserve"> </w:t>
      </w:r>
      <w:r w:rsidR="00381F4A" w:rsidRPr="2AA1CA0C">
        <w:t>is the</w:t>
      </w:r>
      <w:r w:rsidR="003D5812" w:rsidRPr="2AA1CA0C">
        <w:t xml:space="preserve"> sum of the net</w:t>
      </w:r>
      <w:r w:rsidR="00381F4A" w:rsidRPr="2AA1CA0C">
        <w:t xml:space="preserve"> </w:t>
      </w:r>
      <w:r w:rsidR="00DE0074" w:rsidRPr="2AA1CA0C">
        <w:t xml:space="preserve">MBS, hospital and </w:t>
      </w:r>
      <w:r w:rsidR="00BA0982" w:rsidRPr="2AA1CA0C">
        <w:t>PL</w:t>
      </w:r>
      <w:r w:rsidR="00DE0074" w:rsidRPr="2AA1CA0C">
        <w:t xml:space="preserve"> costs</w:t>
      </w:r>
      <w:r w:rsidR="00CB40CB" w:rsidRPr="2AA1CA0C">
        <w:t xml:space="preserve">. </w:t>
      </w:r>
    </w:p>
    <w:p w14:paraId="784B7833" w14:textId="11B41568" w:rsidR="00163747" w:rsidRDefault="00163747" w:rsidP="00CD0D7F">
      <w:pPr>
        <w:pStyle w:val="Caption"/>
      </w:pPr>
      <w:bookmarkStart w:id="113" w:name="_Ref191569214"/>
      <w:r>
        <w:t xml:space="preserve">Table </w:t>
      </w:r>
      <w:r w:rsidR="00707F6D">
        <w:fldChar w:fldCharType="begin"/>
      </w:r>
      <w:r w:rsidR="00707F6D">
        <w:instrText xml:space="preserve"> SEQ Table \* ARABIC </w:instrText>
      </w:r>
      <w:r w:rsidR="00707F6D">
        <w:fldChar w:fldCharType="separate"/>
      </w:r>
      <w:r w:rsidR="008F37D1">
        <w:rPr>
          <w:noProof/>
        </w:rPr>
        <w:t>35</w:t>
      </w:r>
      <w:r w:rsidR="00707F6D">
        <w:rPr>
          <w:noProof/>
        </w:rPr>
        <w:fldChar w:fldCharType="end"/>
      </w:r>
      <w:bookmarkEnd w:id="113"/>
      <w:r>
        <w:t>:</w:t>
      </w:r>
      <w:r w:rsidRPr="00163747">
        <w:t xml:space="preserve"> </w:t>
      </w:r>
      <w:r>
        <w:t>N</w:t>
      </w:r>
      <w:r w:rsidRPr="2AA1CA0C">
        <w:t>et financial impact to health budget due to listing of ESG</w:t>
      </w:r>
    </w:p>
    <w:tbl>
      <w:tblPr>
        <w:tblStyle w:val="TableGrid"/>
        <w:tblW w:w="5000" w:type="pct"/>
        <w:tblLayout w:type="fixed"/>
        <w:tblLook w:val="04A0" w:firstRow="1" w:lastRow="0" w:firstColumn="1" w:lastColumn="0" w:noHBand="0" w:noVBand="1"/>
      </w:tblPr>
      <w:tblGrid>
        <w:gridCol w:w="2493"/>
        <w:gridCol w:w="1303"/>
        <w:gridCol w:w="1304"/>
        <w:gridCol w:w="1306"/>
        <w:gridCol w:w="1304"/>
        <w:gridCol w:w="1306"/>
      </w:tblGrid>
      <w:tr w:rsidR="00FD5C5B" w14:paraId="1B889166" w14:textId="77777777" w:rsidTr="00115CA8">
        <w:tc>
          <w:tcPr>
            <w:tcW w:w="1383" w:type="pct"/>
          </w:tcPr>
          <w:p w14:paraId="066475A9" w14:textId="2856E5C3" w:rsidR="00AD7593" w:rsidRPr="007D18A3" w:rsidRDefault="00AD7593" w:rsidP="00D76EFB">
            <w:pPr>
              <w:pStyle w:val="Tabletext0"/>
              <w:jc w:val="left"/>
              <w:rPr>
                <w:b/>
                <w:bCs/>
              </w:rPr>
            </w:pPr>
            <w:r w:rsidRPr="007D18A3">
              <w:rPr>
                <w:b/>
                <w:bCs/>
              </w:rPr>
              <w:t>Parameter</w:t>
            </w:r>
          </w:p>
        </w:tc>
        <w:tc>
          <w:tcPr>
            <w:tcW w:w="723" w:type="pct"/>
          </w:tcPr>
          <w:p w14:paraId="57027CB4" w14:textId="28B93EA9" w:rsidR="00AD7593" w:rsidRPr="007D18A3" w:rsidRDefault="00AD7593" w:rsidP="00D76EFB">
            <w:pPr>
              <w:pStyle w:val="Tabletext0"/>
              <w:jc w:val="center"/>
              <w:rPr>
                <w:b/>
                <w:bCs/>
              </w:rPr>
            </w:pPr>
            <w:r w:rsidRPr="007D18A3">
              <w:rPr>
                <w:b/>
                <w:bCs/>
              </w:rPr>
              <w:t>Year 1</w:t>
            </w:r>
          </w:p>
        </w:tc>
        <w:tc>
          <w:tcPr>
            <w:tcW w:w="723" w:type="pct"/>
          </w:tcPr>
          <w:p w14:paraId="1576FAF5" w14:textId="65A5A48C" w:rsidR="00AD7593" w:rsidRPr="007D18A3" w:rsidRDefault="00AD7593" w:rsidP="00D76EFB">
            <w:pPr>
              <w:pStyle w:val="Tabletext0"/>
              <w:jc w:val="center"/>
              <w:rPr>
                <w:b/>
                <w:bCs/>
              </w:rPr>
            </w:pPr>
            <w:r w:rsidRPr="007D18A3">
              <w:rPr>
                <w:b/>
                <w:bCs/>
              </w:rPr>
              <w:t>Year 2</w:t>
            </w:r>
          </w:p>
        </w:tc>
        <w:tc>
          <w:tcPr>
            <w:tcW w:w="724" w:type="pct"/>
          </w:tcPr>
          <w:p w14:paraId="10863C42" w14:textId="1EA66FD2" w:rsidR="00AD7593" w:rsidRPr="007D18A3" w:rsidRDefault="00AD7593" w:rsidP="00D76EFB">
            <w:pPr>
              <w:pStyle w:val="Tabletext0"/>
              <w:jc w:val="center"/>
              <w:rPr>
                <w:b/>
                <w:bCs/>
              </w:rPr>
            </w:pPr>
            <w:r w:rsidRPr="007D18A3">
              <w:rPr>
                <w:b/>
                <w:bCs/>
              </w:rPr>
              <w:t>Year 3</w:t>
            </w:r>
          </w:p>
        </w:tc>
        <w:tc>
          <w:tcPr>
            <w:tcW w:w="723" w:type="pct"/>
          </w:tcPr>
          <w:p w14:paraId="08C26CBF" w14:textId="721C8069" w:rsidR="00AD7593" w:rsidRPr="007D18A3" w:rsidRDefault="00AD7593" w:rsidP="00D76EFB">
            <w:pPr>
              <w:pStyle w:val="Tabletext0"/>
              <w:jc w:val="center"/>
              <w:rPr>
                <w:b/>
                <w:bCs/>
              </w:rPr>
            </w:pPr>
            <w:r w:rsidRPr="007D18A3">
              <w:rPr>
                <w:b/>
                <w:bCs/>
              </w:rPr>
              <w:t>Year 4</w:t>
            </w:r>
          </w:p>
        </w:tc>
        <w:tc>
          <w:tcPr>
            <w:tcW w:w="724" w:type="pct"/>
          </w:tcPr>
          <w:p w14:paraId="25D29AC7" w14:textId="4A773408" w:rsidR="00AD7593" w:rsidRPr="007D18A3" w:rsidRDefault="00AD7593" w:rsidP="00D76EFB">
            <w:pPr>
              <w:pStyle w:val="Tabletext0"/>
              <w:jc w:val="center"/>
              <w:rPr>
                <w:b/>
                <w:bCs/>
              </w:rPr>
            </w:pPr>
            <w:r w:rsidRPr="007D18A3">
              <w:rPr>
                <w:b/>
                <w:bCs/>
              </w:rPr>
              <w:t>Year 5</w:t>
            </w:r>
          </w:p>
        </w:tc>
      </w:tr>
      <w:tr w:rsidR="00FD5C5B" w14:paraId="52CA2D1F" w14:textId="77777777" w:rsidTr="00115CA8">
        <w:tc>
          <w:tcPr>
            <w:tcW w:w="1383" w:type="pct"/>
          </w:tcPr>
          <w:p w14:paraId="1D5A16CD" w14:textId="0656DE72" w:rsidR="00761520" w:rsidRDefault="00EC2546" w:rsidP="00D76EFB">
            <w:pPr>
              <w:pStyle w:val="Tabletext0"/>
              <w:jc w:val="left"/>
            </w:pPr>
            <w:r>
              <w:rPr>
                <w:bCs/>
              </w:rPr>
              <w:t xml:space="preserve">Total budget impact </w:t>
            </w:r>
            <w:r w:rsidR="00766CC8">
              <w:rPr>
                <w:bCs/>
              </w:rPr>
              <w:t xml:space="preserve">due to </w:t>
            </w:r>
            <w:r w:rsidR="006379A4">
              <w:rPr>
                <w:bCs/>
              </w:rPr>
              <w:t>listing ESG,</w:t>
            </w:r>
            <w:r w:rsidR="00761520">
              <w:rPr>
                <w:bCs/>
              </w:rPr>
              <w:t xml:space="preserve"> 75% benefit</w:t>
            </w:r>
            <w:r w:rsidR="009177A7">
              <w:rPr>
                <w:bCs/>
              </w:rPr>
              <w:t>*</w:t>
            </w:r>
          </w:p>
        </w:tc>
        <w:tc>
          <w:tcPr>
            <w:tcW w:w="723" w:type="pct"/>
          </w:tcPr>
          <w:p w14:paraId="2429750A" w14:textId="767E701A" w:rsidR="00761520" w:rsidRDefault="00761520" w:rsidP="00115CA8">
            <w:pPr>
              <w:pStyle w:val="Tabletext0"/>
              <w:jc w:val="center"/>
            </w:pPr>
            <w:r w:rsidRPr="001E4C15">
              <w:t>$5,792,574</w:t>
            </w:r>
          </w:p>
        </w:tc>
        <w:tc>
          <w:tcPr>
            <w:tcW w:w="723" w:type="pct"/>
          </w:tcPr>
          <w:p w14:paraId="657BCDCF" w14:textId="6B9F91AD" w:rsidR="00761520" w:rsidRDefault="00761520" w:rsidP="00115CA8">
            <w:pPr>
              <w:pStyle w:val="Tabletext0"/>
              <w:jc w:val="center"/>
            </w:pPr>
            <w:r w:rsidRPr="001E4C15">
              <w:t>$7,636,035</w:t>
            </w:r>
          </w:p>
        </w:tc>
        <w:tc>
          <w:tcPr>
            <w:tcW w:w="724" w:type="pct"/>
          </w:tcPr>
          <w:p w14:paraId="59935B7C" w14:textId="63A479FB" w:rsidR="00761520" w:rsidRDefault="00761520" w:rsidP="00115CA8">
            <w:pPr>
              <w:pStyle w:val="Tabletext0"/>
              <w:jc w:val="center"/>
            </w:pPr>
            <w:r w:rsidRPr="001E4C15">
              <w:t>$9,479,496</w:t>
            </w:r>
          </w:p>
        </w:tc>
        <w:tc>
          <w:tcPr>
            <w:tcW w:w="723" w:type="pct"/>
          </w:tcPr>
          <w:p w14:paraId="0529835C" w14:textId="37E86DD2" w:rsidR="00761520" w:rsidRDefault="00761520" w:rsidP="00115CA8">
            <w:pPr>
              <w:pStyle w:val="Tabletext0"/>
              <w:jc w:val="center"/>
            </w:pPr>
            <w:r w:rsidRPr="001E4C15">
              <w:t>$13,933,327</w:t>
            </w:r>
          </w:p>
        </w:tc>
        <w:tc>
          <w:tcPr>
            <w:tcW w:w="724" w:type="pct"/>
          </w:tcPr>
          <w:p w14:paraId="24A115B3" w14:textId="6AC9F0BF" w:rsidR="00761520" w:rsidRDefault="00761520" w:rsidP="00115CA8">
            <w:pPr>
              <w:pStyle w:val="Tabletext0"/>
              <w:jc w:val="center"/>
            </w:pPr>
            <w:r w:rsidRPr="001E4C15">
              <w:t>$19,154,066</w:t>
            </w:r>
          </w:p>
        </w:tc>
      </w:tr>
      <w:tr w:rsidR="00FD5C5B" w14:paraId="4A5AB700" w14:textId="77777777" w:rsidTr="006104E8">
        <w:tc>
          <w:tcPr>
            <w:tcW w:w="1383" w:type="pct"/>
            <w:tcBorders>
              <w:bottom w:val="single" w:sz="4" w:space="0" w:color="auto"/>
            </w:tcBorders>
          </w:tcPr>
          <w:p w14:paraId="3131E7D6" w14:textId="5185DFF7" w:rsidR="00761520" w:rsidRDefault="006379A4" w:rsidP="00D76EFB">
            <w:pPr>
              <w:pStyle w:val="Tabletext0"/>
              <w:jc w:val="left"/>
            </w:pPr>
            <w:r>
              <w:rPr>
                <w:bCs/>
              </w:rPr>
              <w:t>Total budget impact due to listing ESG</w:t>
            </w:r>
            <w:r w:rsidR="00761520">
              <w:rPr>
                <w:bCs/>
              </w:rPr>
              <w:t>, 100% benefit</w:t>
            </w:r>
            <w:r w:rsidR="009177A7">
              <w:rPr>
                <w:bCs/>
              </w:rPr>
              <w:t>**</w:t>
            </w:r>
          </w:p>
        </w:tc>
        <w:tc>
          <w:tcPr>
            <w:tcW w:w="723" w:type="pct"/>
            <w:tcBorders>
              <w:bottom w:val="single" w:sz="4" w:space="0" w:color="auto"/>
            </w:tcBorders>
          </w:tcPr>
          <w:p w14:paraId="6297D3F5" w14:textId="22358CA9" w:rsidR="00761520" w:rsidRDefault="00761520" w:rsidP="00115CA8">
            <w:pPr>
              <w:pStyle w:val="Tabletext0"/>
              <w:jc w:val="center"/>
            </w:pPr>
            <w:r w:rsidRPr="001E4C15">
              <w:t>$6,149,556</w:t>
            </w:r>
          </w:p>
        </w:tc>
        <w:tc>
          <w:tcPr>
            <w:tcW w:w="723" w:type="pct"/>
            <w:tcBorders>
              <w:bottom w:val="single" w:sz="4" w:space="0" w:color="auto"/>
            </w:tcBorders>
          </w:tcPr>
          <w:p w14:paraId="75AB4853" w14:textId="7B61FA52" w:rsidR="00761520" w:rsidRDefault="00761520" w:rsidP="00115CA8">
            <w:pPr>
              <w:pStyle w:val="Tabletext0"/>
              <w:jc w:val="center"/>
            </w:pPr>
            <w:r w:rsidRPr="001E4C15">
              <w:t>$8,094,866</w:t>
            </w:r>
          </w:p>
        </w:tc>
        <w:tc>
          <w:tcPr>
            <w:tcW w:w="724" w:type="pct"/>
            <w:tcBorders>
              <w:bottom w:val="single" w:sz="4" w:space="0" w:color="auto"/>
            </w:tcBorders>
          </w:tcPr>
          <w:p w14:paraId="47028EB0" w14:textId="78CD0E34" w:rsidR="00761520" w:rsidRDefault="00761520" w:rsidP="00115CA8">
            <w:pPr>
              <w:pStyle w:val="Tabletext0"/>
              <w:jc w:val="center"/>
            </w:pPr>
            <w:r w:rsidRPr="001E4C15">
              <w:t>$10,040,175</w:t>
            </w:r>
          </w:p>
        </w:tc>
        <w:tc>
          <w:tcPr>
            <w:tcW w:w="723" w:type="pct"/>
            <w:tcBorders>
              <w:bottom w:val="single" w:sz="4" w:space="0" w:color="auto"/>
            </w:tcBorders>
          </w:tcPr>
          <w:p w14:paraId="4828DD90" w14:textId="6DA6C8D0" w:rsidR="00761520" w:rsidRDefault="00761520" w:rsidP="00115CA8">
            <w:pPr>
              <w:pStyle w:val="Tabletext0"/>
              <w:jc w:val="center"/>
            </w:pPr>
            <w:r w:rsidRPr="001E4C15">
              <w:t>$14,697,703</w:t>
            </w:r>
          </w:p>
        </w:tc>
        <w:tc>
          <w:tcPr>
            <w:tcW w:w="724" w:type="pct"/>
            <w:tcBorders>
              <w:bottom w:val="single" w:sz="4" w:space="0" w:color="auto"/>
            </w:tcBorders>
          </w:tcPr>
          <w:p w14:paraId="62C8BF2B" w14:textId="3272D15E" w:rsidR="00761520" w:rsidRDefault="00761520" w:rsidP="00115CA8">
            <w:pPr>
              <w:pStyle w:val="Tabletext0"/>
              <w:jc w:val="center"/>
            </w:pPr>
            <w:r w:rsidRPr="001E4C15">
              <w:t>$20,122,139</w:t>
            </w:r>
          </w:p>
        </w:tc>
      </w:tr>
      <w:tr w:rsidR="002730DD" w:rsidRPr="00F1329E" w14:paraId="707DE1DC" w14:textId="77777777" w:rsidTr="006104E8">
        <w:tc>
          <w:tcPr>
            <w:tcW w:w="1383" w:type="pct"/>
            <w:tcBorders>
              <w:right w:val="nil"/>
            </w:tcBorders>
          </w:tcPr>
          <w:p w14:paraId="196D4D94" w14:textId="66048340" w:rsidR="002730DD" w:rsidRPr="006104E8" w:rsidRDefault="00F1329E" w:rsidP="00D76EFB">
            <w:pPr>
              <w:pStyle w:val="Tabletext0"/>
              <w:jc w:val="left"/>
              <w:rPr>
                <w:b/>
              </w:rPr>
            </w:pPr>
            <w:r w:rsidRPr="006104E8">
              <w:rPr>
                <w:b/>
              </w:rPr>
              <w:t>Pre-MSAC response</w:t>
            </w:r>
          </w:p>
        </w:tc>
        <w:tc>
          <w:tcPr>
            <w:tcW w:w="723" w:type="pct"/>
            <w:tcBorders>
              <w:left w:val="nil"/>
              <w:right w:val="nil"/>
            </w:tcBorders>
          </w:tcPr>
          <w:p w14:paraId="1145EEB3" w14:textId="77777777" w:rsidR="002730DD" w:rsidRPr="006104E8" w:rsidRDefault="002730DD" w:rsidP="00115CA8">
            <w:pPr>
              <w:pStyle w:val="Tabletext0"/>
              <w:jc w:val="center"/>
              <w:rPr>
                <w:b/>
              </w:rPr>
            </w:pPr>
          </w:p>
        </w:tc>
        <w:tc>
          <w:tcPr>
            <w:tcW w:w="723" w:type="pct"/>
            <w:tcBorders>
              <w:left w:val="nil"/>
              <w:right w:val="nil"/>
            </w:tcBorders>
          </w:tcPr>
          <w:p w14:paraId="42E30AE4" w14:textId="77777777" w:rsidR="002730DD" w:rsidRPr="006104E8" w:rsidRDefault="002730DD" w:rsidP="00115CA8">
            <w:pPr>
              <w:pStyle w:val="Tabletext0"/>
              <w:jc w:val="center"/>
              <w:rPr>
                <w:b/>
              </w:rPr>
            </w:pPr>
          </w:p>
        </w:tc>
        <w:tc>
          <w:tcPr>
            <w:tcW w:w="724" w:type="pct"/>
            <w:tcBorders>
              <w:left w:val="nil"/>
              <w:right w:val="nil"/>
            </w:tcBorders>
          </w:tcPr>
          <w:p w14:paraId="1B2599B5" w14:textId="77777777" w:rsidR="002730DD" w:rsidRPr="006104E8" w:rsidRDefault="002730DD" w:rsidP="00115CA8">
            <w:pPr>
              <w:pStyle w:val="Tabletext0"/>
              <w:jc w:val="center"/>
              <w:rPr>
                <w:b/>
              </w:rPr>
            </w:pPr>
          </w:p>
        </w:tc>
        <w:tc>
          <w:tcPr>
            <w:tcW w:w="723" w:type="pct"/>
            <w:tcBorders>
              <w:left w:val="nil"/>
              <w:right w:val="nil"/>
            </w:tcBorders>
          </w:tcPr>
          <w:p w14:paraId="0C86762B" w14:textId="77777777" w:rsidR="002730DD" w:rsidRPr="006104E8" w:rsidRDefault="002730DD" w:rsidP="00115CA8">
            <w:pPr>
              <w:pStyle w:val="Tabletext0"/>
              <w:jc w:val="center"/>
              <w:rPr>
                <w:b/>
              </w:rPr>
            </w:pPr>
          </w:p>
        </w:tc>
        <w:tc>
          <w:tcPr>
            <w:tcW w:w="724" w:type="pct"/>
            <w:tcBorders>
              <w:left w:val="nil"/>
            </w:tcBorders>
          </w:tcPr>
          <w:p w14:paraId="1D70190E" w14:textId="77777777" w:rsidR="002730DD" w:rsidRPr="006104E8" w:rsidRDefault="002730DD" w:rsidP="00115CA8">
            <w:pPr>
              <w:pStyle w:val="Tabletext0"/>
              <w:jc w:val="center"/>
              <w:rPr>
                <w:b/>
              </w:rPr>
            </w:pPr>
          </w:p>
        </w:tc>
      </w:tr>
      <w:tr w:rsidR="004849B4" w14:paraId="7A6C9833" w14:textId="77777777" w:rsidTr="00115CA8">
        <w:tc>
          <w:tcPr>
            <w:tcW w:w="1383" w:type="pct"/>
          </w:tcPr>
          <w:p w14:paraId="4854C318" w14:textId="06855E15" w:rsidR="004849B4" w:rsidRPr="004849B4" w:rsidRDefault="00F1329E" w:rsidP="004849B4">
            <w:pPr>
              <w:pStyle w:val="Tabletext0"/>
              <w:jc w:val="left"/>
              <w:rPr>
                <w:bCs/>
              </w:rPr>
            </w:pPr>
            <w:r>
              <w:rPr>
                <w:bCs/>
              </w:rPr>
              <w:t>Incorporating revisions</w:t>
            </w:r>
          </w:p>
        </w:tc>
        <w:tc>
          <w:tcPr>
            <w:tcW w:w="723" w:type="pct"/>
          </w:tcPr>
          <w:p w14:paraId="76CD49B4" w14:textId="4DBBDEFE" w:rsidR="004849B4" w:rsidRPr="004849B4" w:rsidRDefault="004849B4" w:rsidP="004849B4">
            <w:pPr>
              <w:pStyle w:val="Tabletext0"/>
              <w:jc w:val="center"/>
            </w:pPr>
            <w:r w:rsidRPr="006104E8">
              <w:rPr>
                <w:rFonts w:cs="Arial"/>
                <w:snapToGrid w:val="0"/>
              </w:rPr>
              <w:t>$6,149,556</w:t>
            </w:r>
          </w:p>
        </w:tc>
        <w:tc>
          <w:tcPr>
            <w:tcW w:w="723" w:type="pct"/>
          </w:tcPr>
          <w:p w14:paraId="3C91845D" w14:textId="3B669668" w:rsidR="004849B4" w:rsidRPr="004849B4" w:rsidRDefault="004849B4" w:rsidP="004849B4">
            <w:pPr>
              <w:pStyle w:val="Tabletext0"/>
              <w:jc w:val="center"/>
            </w:pPr>
            <w:r w:rsidRPr="006104E8">
              <w:rPr>
                <w:rFonts w:cs="Arial"/>
                <w:snapToGrid w:val="0"/>
              </w:rPr>
              <w:t>$8,094,866</w:t>
            </w:r>
          </w:p>
        </w:tc>
        <w:tc>
          <w:tcPr>
            <w:tcW w:w="724" w:type="pct"/>
          </w:tcPr>
          <w:p w14:paraId="358FB4EF" w14:textId="69A4EF57" w:rsidR="004849B4" w:rsidRPr="004849B4" w:rsidRDefault="004849B4" w:rsidP="004849B4">
            <w:pPr>
              <w:pStyle w:val="Tabletext0"/>
              <w:jc w:val="center"/>
            </w:pPr>
            <w:r w:rsidRPr="006104E8">
              <w:rPr>
                <w:rFonts w:cs="Arial"/>
                <w:snapToGrid w:val="0"/>
              </w:rPr>
              <w:t>$11,142,099</w:t>
            </w:r>
          </w:p>
        </w:tc>
        <w:tc>
          <w:tcPr>
            <w:tcW w:w="723" w:type="pct"/>
          </w:tcPr>
          <w:p w14:paraId="651D03CC" w14:textId="777EDB75" w:rsidR="004849B4" w:rsidRPr="004849B4" w:rsidRDefault="004849B4" w:rsidP="004849B4">
            <w:pPr>
              <w:pStyle w:val="Tabletext0"/>
              <w:jc w:val="center"/>
            </w:pPr>
            <w:r w:rsidRPr="006104E8">
              <w:rPr>
                <w:rFonts w:cs="Arial"/>
                <w:snapToGrid w:val="0"/>
              </w:rPr>
              <w:t>$16,767,555</w:t>
            </w:r>
          </w:p>
        </w:tc>
        <w:tc>
          <w:tcPr>
            <w:tcW w:w="724" w:type="pct"/>
          </w:tcPr>
          <w:p w14:paraId="2527942F" w14:textId="58B60533" w:rsidR="004849B4" w:rsidRPr="004849B4" w:rsidRDefault="004849B4" w:rsidP="004849B4">
            <w:pPr>
              <w:pStyle w:val="Tabletext0"/>
              <w:jc w:val="center"/>
            </w:pPr>
            <w:r w:rsidRPr="006104E8">
              <w:rPr>
                <w:rFonts w:cs="Arial"/>
                <w:snapToGrid w:val="0"/>
              </w:rPr>
              <w:t>$22,652,491</w:t>
            </w:r>
          </w:p>
        </w:tc>
      </w:tr>
    </w:tbl>
    <w:p w14:paraId="62057BEB" w14:textId="77777777" w:rsidR="00B457D9" w:rsidRDefault="00A1058D" w:rsidP="00850967">
      <w:pPr>
        <w:pStyle w:val="TableFigureFooter"/>
      </w:pPr>
      <w:r w:rsidRPr="00D76EFB">
        <w:t>Abbreviations: ESG</w:t>
      </w:r>
      <w:r w:rsidR="00CC2777" w:rsidRPr="00D76EFB">
        <w:t>:</w:t>
      </w:r>
      <w:r w:rsidRPr="00D715A4">
        <w:t xml:space="preserve"> Endoscopic sleeve gastroplasty; </w:t>
      </w:r>
      <w:r w:rsidRPr="00D76EFB">
        <w:t>MBS</w:t>
      </w:r>
      <w:r w:rsidR="00CC2777" w:rsidRPr="00D76EFB">
        <w:t>:</w:t>
      </w:r>
      <w:r w:rsidRPr="00D715A4">
        <w:t xml:space="preserve"> Medicare Benefits Schedule</w:t>
      </w:r>
      <w:r w:rsidRPr="00D76EFB">
        <w:t>; LSG</w:t>
      </w:r>
      <w:r w:rsidR="00CC2777">
        <w:t>:</w:t>
      </w:r>
      <w:r w:rsidRPr="00D715A4">
        <w:t xml:space="preserve"> Laparoscopic sleeve gastrectomy</w:t>
      </w:r>
    </w:p>
    <w:p w14:paraId="48F824C7" w14:textId="636AC849" w:rsidR="00B457D9" w:rsidRDefault="00B457D9" w:rsidP="00850967">
      <w:pPr>
        <w:pStyle w:val="TableFigureFooter"/>
      </w:pPr>
      <w:r>
        <w:t>Notes:</w:t>
      </w:r>
    </w:p>
    <w:p w14:paraId="38C48951" w14:textId="3C1BE4A1" w:rsidR="00B457D9" w:rsidRDefault="009177A7" w:rsidP="00850967">
      <w:pPr>
        <w:pStyle w:val="TableFigureFooter"/>
      </w:pPr>
      <w:r w:rsidRPr="2AA1CA0C">
        <w:t>*</w:t>
      </w:r>
      <w:r w:rsidR="00C74EEC" w:rsidRPr="2AA1CA0C">
        <w:t xml:space="preserve">sum of total MBS costs at 75% benefits, </w:t>
      </w:r>
      <w:r w:rsidR="00B024A1" w:rsidRPr="2AA1CA0C">
        <w:t>hospital costs and prescribed list costs</w:t>
      </w:r>
    </w:p>
    <w:p w14:paraId="72C2AEED" w14:textId="129276EF" w:rsidR="0065121E" w:rsidRDefault="000A6359" w:rsidP="00850967">
      <w:pPr>
        <w:pStyle w:val="TableFigureFooter"/>
      </w:pPr>
      <w:r>
        <w:t>**sum of total MBS costs at 100% benefits</w:t>
      </w:r>
      <w:r w:rsidR="00156320">
        <w:t>,</w:t>
      </w:r>
      <w:r w:rsidR="007927F8">
        <w:t xml:space="preserve"> hospital costs and prescribed list costs.</w:t>
      </w:r>
    </w:p>
    <w:p w14:paraId="25E34520" w14:textId="6901EC45" w:rsidR="00CC2777" w:rsidRPr="00B947CA" w:rsidRDefault="00CC2777" w:rsidP="00850967">
      <w:pPr>
        <w:pStyle w:val="TableFigureFooter"/>
        <w:rPr>
          <w:rFonts w:ascii="Franklin Gothic Book" w:hAnsi="Franklin Gothic Book"/>
          <w:color w:val="000000" w:themeColor="text1"/>
        </w:rPr>
      </w:pPr>
      <w:r w:rsidRPr="00D76EFB">
        <w:t>Source:</w:t>
      </w:r>
      <w:r w:rsidRPr="00D715A4">
        <w:t xml:space="preserve"> Attachment 3.4-ESG Budget Impact Model</w:t>
      </w:r>
    </w:p>
    <w:p w14:paraId="0F25AFB2" w14:textId="3B61BC40" w:rsidR="005264A6" w:rsidRPr="007D18A3" w:rsidRDefault="00F4235E" w:rsidP="005264A6">
      <w:r>
        <w:t>ESC noted there are</w:t>
      </w:r>
      <w:r w:rsidR="009943C9" w:rsidRPr="2AA1CA0C">
        <w:t xml:space="preserve"> uncertainties and missing evidence </w:t>
      </w:r>
      <w:r w:rsidR="00DE26DA" w:rsidRPr="2AA1CA0C">
        <w:t>with</w:t>
      </w:r>
      <w:r w:rsidR="009943C9" w:rsidRPr="2AA1CA0C">
        <w:t xml:space="preserve">in the </w:t>
      </w:r>
      <w:r w:rsidR="00397CE0" w:rsidRPr="2AA1CA0C">
        <w:t>budget impact analysis</w:t>
      </w:r>
      <w:r w:rsidR="009943C9" w:rsidRPr="2AA1CA0C">
        <w:t>.</w:t>
      </w:r>
      <w:r w:rsidR="00397CE0" w:rsidRPr="2AA1CA0C">
        <w:t xml:space="preserve"> </w:t>
      </w:r>
      <w:r w:rsidR="00061F49" w:rsidRPr="2AA1CA0C">
        <w:t>Market growth rate</w:t>
      </w:r>
      <w:r w:rsidR="004A766A" w:rsidRPr="2AA1CA0C">
        <w:t>s</w:t>
      </w:r>
      <w:r w:rsidR="00061F49" w:rsidRPr="2AA1CA0C">
        <w:t xml:space="preserve"> and uptake </w:t>
      </w:r>
      <w:r w:rsidR="005851BC" w:rsidRPr="2AA1CA0C">
        <w:t>rate</w:t>
      </w:r>
      <w:r w:rsidR="004A766A" w:rsidRPr="2AA1CA0C">
        <w:t>s</w:t>
      </w:r>
      <w:r w:rsidR="00061F49" w:rsidRPr="2AA1CA0C">
        <w:t xml:space="preserve"> </w:t>
      </w:r>
      <w:r w:rsidR="004A766A" w:rsidRPr="2AA1CA0C">
        <w:t>we</w:t>
      </w:r>
      <w:r w:rsidR="00DE26DA" w:rsidRPr="2AA1CA0C">
        <w:t xml:space="preserve">re </w:t>
      </w:r>
      <w:r w:rsidR="003E1993" w:rsidRPr="2AA1CA0C">
        <w:t>assumed</w:t>
      </w:r>
      <w:r w:rsidR="00500A06" w:rsidRPr="2AA1CA0C">
        <w:t>. T</w:t>
      </w:r>
      <w:r w:rsidR="003E1993" w:rsidRPr="2AA1CA0C">
        <w:t>he ADAR suggest</w:t>
      </w:r>
      <w:r w:rsidR="00C00261" w:rsidRPr="2AA1CA0C">
        <w:t>ed</w:t>
      </w:r>
      <w:r w:rsidR="003E1993" w:rsidRPr="2AA1CA0C">
        <w:t xml:space="preserve"> these assumptions were </w:t>
      </w:r>
      <w:r w:rsidR="00061F49" w:rsidRPr="2AA1CA0C">
        <w:t>based on the recommend</w:t>
      </w:r>
      <w:r w:rsidR="0042264B" w:rsidRPr="2AA1CA0C">
        <w:t>ations</w:t>
      </w:r>
      <w:r w:rsidR="00061F49" w:rsidRPr="2AA1CA0C">
        <w:t xml:space="preserve"> </w:t>
      </w:r>
      <w:r w:rsidR="00A204FD" w:rsidRPr="2AA1CA0C">
        <w:t>of</w:t>
      </w:r>
      <w:r w:rsidR="00061F49" w:rsidRPr="2AA1CA0C">
        <w:t xml:space="preserve"> </w:t>
      </w:r>
      <w:r w:rsidR="0042264B" w:rsidRPr="2AA1CA0C">
        <w:t>key opinion leader</w:t>
      </w:r>
      <w:r w:rsidR="003E1993" w:rsidRPr="2AA1CA0C">
        <w:t>s.</w:t>
      </w:r>
      <w:r w:rsidR="00E91431" w:rsidRPr="2AA1CA0C">
        <w:t xml:space="preserve"> </w:t>
      </w:r>
      <w:r w:rsidR="003E1993" w:rsidRPr="2AA1CA0C">
        <w:t>H</w:t>
      </w:r>
      <w:r w:rsidR="00E91431" w:rsidRPr="2AA1CA0C">
        <w:t xml:space="preserve">owever, </w:t>
      </w:r>
      <w:r w:rsidR="00885050" w:rsidRPr="2AA1CA0C">
        <w:t>detail</w:t>
      </w:r>
      <w:r w:rsidR="00DE26DA" w:rsidRPr="2AA1CA0C">
        <w:t>ed</w:t>
      </w:r>
      <w:r w:rsidR="00885050" w:rsidRPr="2AA1CA0C">
        <w:t xml:space="preserve"> information on the</w:t>
      </w:r>
      <w:r w:rsidR="00FB475C" w:rsidRPr="2AA1CA0C">
        <w:t>se opinion leaders</w:t>
      </w:r>
      <w:r w:rsidR="00DE26DA" w:rsidRPr="2AA1CA0C">
        <w:t>,</w:t>
      </w:r>
      <w:r w:rsidR="00885050" w:rsidRPr="2AA1CA0C">
        <w:t xml:space="preserve"> including their expertise </w:t>
      </w:r>
      <w:r w:rsidR="005851BC" w:rsidRPr="2AA1CA0C">
        <w:t>and the robustness o</w:t>
      </w:r>
      <w:r w:rsidR="00DE26DA" w:rsidRPr="2AA1CA0C">
        <w:t>f</w:t>
      </w:r>
      <w:r w:rsidR="005851BC" w:rsidRPr="2AA1CA0C">
        <w:t xml:space="preserve"> </w:t>
      </w:r>
      <w:r w:rsidR="003E1993" w:rsidRPr="2AA1CA0C">
        <w:t xml:space="preserve">the process used to elicit their </w:t>
      </w:r>
      <w:r w:rsidR="00E91B35" w:rsidRPr="2AA1CA0C">
        <w:t>estimates are</w:t>
      </w:r>
      <w:r w:rsidR="005851BC" w:rsidRPr="2AA1CA0C">
        <w:t xml:space="preserve"> lacking. </w:t>
      </w:r>
      <w:r w:rsidR="00A06102" w:rsidRPr="2AA1CA0C">
        <w:t xml:space="preserve">Further, </w:t>
      </w:r>
      <w:r w:rsidR="00DE26DA" w:rsidRPr="2AA1CA0C">
        <w:t xml:space="preserve">the </w:t>
      </w:r>
      <w:r w:rsidR="00957582" w:rsidRPr="2AA1CA0C">
        <w:t xml:space="preserve">uptake and </w:t>
      </w:r>
      <w:r w:rsidR="00356369" w:rsidRPr="2AA1CA0C">
        <w:t xml:space="preserve">market growth </w:t>
      </w:r>
      <w:r w:rsidR="004051C1" w:rsidRPr="2AA1CA0C">
        <w:t>rate</w:t>
      </w:r>
      <w:r w:rsidR="004051C1">
        <w:t>s</w:t>
      </w:r>
      <w:r w:rsidR="004051C1" w:rsidRPr="2AA1CA0C">
        <w:t xml:space="preserve"> used </w:t>
      </w:r>
      <w:r w:rsidR="00C525A2" w:rsidRPr="2AA1CA0C">
        <w:t>in</w:t>
      </w:r>
      <w:r w:rsidR="0006251B" w:rsidRPr="2AA1CA0C">
        <w:t xml:space="preserve"> the sensitivity analyses</w:t>
      </w:r>
      <w:r w:rsidR="00C525A2" w:rsidRPr="2AA1CA0C">
        <w:t xml:space="preserve"> are arbitrary</w:t>
      </w:r>
      <w:r w:rsidR="00DE26DA" w:rsidRPr="2AA1CA0C">
        <w:t>,</w:t>
      </w:r>
      <w:r w:rsidR="0006251B" w:rsidRPr="2AA1CA0C">
        <w:t xml:space="preserve"> </w:t>
      </w:r>
      <w:r w:rsidR="000C2F90" w:rsidRPr="2AA1CA0C">
        <w:t xml:space="preserve">which may </w:t>
      </w:r>
      <w:r w:rsidR="007720AD" w:rsidRPr="2AA1CA0C">
        <w:t xml:space="preserve">exert </w:t>
      </w:r>
      <w:r w:rsidR="000C2F90" w:rsidRPr="2AA1CA0C">
        <w:t xml:space="preserve">higher </w:t>
      </w:r>
      <w:r w:rsidR="00181B3C" w:rsidRPr="2AA1CA0C">
        <w:t>uncertainties</w:t>
      </w:r>
      <w:r w:rsidR="000C2F90" w:rsidRPr="2AA1CA0C">
        <w:t xml:space="preserve"> </w:t>
      </w:r>
      <w:r w:rsidR="007720AD" w:rsidRPr="2AA1CA0C">
        <w:t>o</w:t>
      </w:r>
      <w:r w:rsidR="00181B3C" w:rsidRPr="2AA1CA0C">
        <w:t xml:space="preserve">n the budget impact. </w:t>
      </w:r>
    </w:p>
    <w:p w14:paraId="7A3F9153" w14:textId="30DF28E6" w:rsidR="00AA4997" w:rsidRDefault="00CB5068" w:rsidP="005264A6">
      <w:r>
        <w:t>The ADAR notes that</w:t>
      </w:r>
      <w:r w:rsidRPr="00A87187">
        <w:t xml:space="preserve"> ESG is expected to be used only once per patient per episode of care.</w:t>
      </w:r>
      <w:r w:rsidR="00323CFA">
        <w:t xml:space="preserve"> Nevertheless, the literature show</w:t>
      </w:r>
      <w:r w:rsidR="002755E7">
        <w:t>s</w:t>
      </w:r>
      <w:r w:rsidR="00323CFA">
        <w:t xml:space="preserve"> that patients may need re-tightening or revision procedures, which have not be</w:t>
      </w:r>
      <w:r w:rsidR="009F7364">
        <w:t>en</w:t>
      </w:r>
      <w:r w:rsidR="00323CFA">
        <w:t xml:space="preserve"> accounted for in the financial analysis. </w:t>
      </w:r>
      <w:r>
        <w:t xml:space="preserve">The </w:t>
      </w:r>
      <w:r w:rsidR="00E91B35" w:rsidRPr="00A87187">
        <w:t xml:space="preserve">ESG device cost is more than double </w:t>
      </w:r>
      <w:r w:rsidR="003738F1">
        <w:t>that of</w:t>
      </w:r>
      <w:r w:rsidR="00E91B35" w:rsidRPr="00A87187">
        <w:t xml:space="preserve"> LSG devices</w:t>
      </w:r>
      <w:r w:rsidR="00A34058" w:rsidRPr="00A87187">
        <w:t xml:space="preserve">. </w:t>
      </w:r>
      <w:r w:rsidR="00A121C0" w:rsidRPr="00A87187">
        <w:t xml:space="preserve">The cost of ESG will increase by 38% per reintervention or per repetition of procedure, which is </w:t>
      </w:r>
      <w:r w:rsidR="003738F1">
        <w:t>not</w:t>
      </w:r>
      <w:r w:rsidR="00AA4997" w:rsidRPr="00A87187">
        <w:t xml:space="preserve"> consider</w:t>
      </w:r>
      <w:r w:rsidR="003738F1">
        <w:t>ed</w:t>
      </w:r>
      <w:r w:rsidR="00A121C0" w:rsidRPr="00A87187">
        <w:t xml:space="preserve"> in </w:t>
      </w:r>
      <w:r w:rsidR="00AA4997" w:rsidRPr="00A87187">
        <w:t xml:space="preserve">the </w:t>
      </w:r>
      <w:r w:rsidR="00A121C0" w:rsidRPr="00A87187">
        <w:t>estimates.</w:t>
      </w:r>
      <w:r>
        <w:t xml:space="preserve"> </w:t>
      </w:r>
    </w:p>
    <w:p w14:paraId="3D2956C0" w14:textId="02D428E5" w:rsidR="0006055C" w:rsidRDefault="00D62016" w:rsidP="005264A6">
      <w:r w:rsidRPr="2AA1CA0C">
        <w:t xml:space="preserve">Using the expected number of claims for existing MBS item 31575 risks underestimating </w:t>
      </w:r>
      <w:r w:rsidR="0027625B" w:rsidRPr="2AA1CA0C">
        <w:t>the market size, given ESG may also substitute other bariatric procedures.</w:t>
      </w:r>
      <w:r w:rsidR="0021363C" w:rsidRPr="2AA1CA0C">
        <w:t xml:space="preserve"> MBS item 20791 pertains to the initiation of the anaesthesia management for bariatric surgery in patients with clinically severe obesity and it is relevant to all bariatric surgery procedures.</w:t>
      </w:r>
      <w:r w:rsidRPr="2AA1CA0C">
        <w:t xml:space="preserve"> </w:t>
      </w:r>
      <w:r w:rsidR="009B4282" w:rsidRPr="2AA1CA0C">
        <w:t>E</w:t>
      </w:r>
      <w:r w:rsidR="0006055C" w:rsidRPr="2AA1CA0C">
        <w:t xml:space="preserve">stimated utilisation using </w:t>
      </w:r>
      <w:r w:rsidR="00BC1053" w:rsidRPr="2AA1CA0C">
        <w:t xml:space="preserve">statistics for MBS item 20791 </w:t>
      </w:r>
      <w:r w:rsidR="00541278" w:rsidRPr="2AA1CA0C">
        <w:t>may therefore provide</w:t>
      </w:r>
      <w:r w:rsidR="00BC1053" w:rsidRPr="2AA1CA0C">
        <w:t xml:space="preserve"> a </w:t>
      </w:r>
      <w:r w:rsidR="00541278" w:rsidRPr="2AA1CA0C">
        <w:t>more accurate reflection of the true market demand</w:t>
      </w:r>
      <w:r w:rsidR="004719C0" w:rsidRPr="2AA1CA0C">
        <w:t xml:space="preserve">. </w:t>
      </w:r>
      <w:r w:rsidR="00F26DB6" w:rsidRPr="2AA1CA0C">
        <w:t xml:space="preserve">An additional sensitivity analysis was performed during the </w:t>
      </w:r>
      <w:r w:rsidR="00F37A7F" w:rsidRPr="2AA1CA0C">
        <w:t xml:space="preserve">evaluation </w:t>
      </w:r>
      <w:r w:rsidR="00F26DB6" w:rsidRPr="2AA1CA0C">
        <w:t xml:space="preserve">using </w:t>
      </w:r>
      <w:r w:rsidR="0014556D" w:rsidRPr="2AA1CA0C">
        <w:t xml:space="preserve">claims for </w:t>
      </w:r>
      <w:r w:rsidR="00F26DB6" w:rsidRPr="2AA1CA0C">
        <w:t>MBS item 20791 to estimate the market size.</w:t>
      </w:r>
      <w:r w:rsidR="004719C0" w:rsidRPr="2AA1CA0C">
        <w:t xml:space="preserve"> This analysis show</w:t>
      </w:r>
      <w:r w:rsidR="00F26DB6" w:rsidRPr="2AA1CA0C">
        <w:t>ed</w:t>
      </w:r>
      <w:r w:rsidR="004719C0" w:rsidRPr="2AA1CA0C">
        <w:t xml:space="preserve"> </w:t>
      </w:r>
      <w:r w:rsidR="00F26DB6" w:rsidRPr="2AA1CA0C">
        <w:t>a</w:t>
      </w:r>
      <w:r w:rsidR="004719C0" w:rsidRPr="2AA1CA0C">
        <w:t xml:space="preserve"> </w:t>
      </w:r>
      <w:r w:rsidR="004033B4" w:rsidRPr="2AA1CA0C">
        <w:t xml:space="preserve">total budget impact </w:t>
      </w:r>
      <w:r w:rsidR="00F26DB6" w:rsidRPr="2AA1CA0C">
        <w:t>that was</w:t>
      </w:r>
      <w:r w:rsidR="004033B4" w:rsidRPr="2AA1CA0C">
        <w:t xml:space="preserve"> 36% higher compared to </w:t>
      </w:r>
      <w:r w:rsidR="00022894" w:rsidRPr="2AA1CA0C">
        <w:t xml:space="preserve">the </w:t>
      </w:r>
      <w:r w:rsidR="0096140E" w:rsidRPr="2AA1CA0C">
        <w:t xml:space="preserve">ADAR’s </w:t>
      </w:r>
      <w:r w:rsidR="00022894" w:rsidRPr="2AA1CA0C">
        <w:t>base case estimates.</w:t>
      </w:r>
      <w:r w:rsidR="004033B4" w:rsidRPr="2AA1CA0C">
        <w:t xml:space="preserve"> </w:t>
      </w:r>
    </w:p>
    <w:p w14:paraId="794246FE" w14:textId="2ED29E4B" w:rsidR="00190FC1" w:rsidRDefault="005F7C3B" w:rsidP="00361335">
      <w:r>
        <w:t>A p</w:t>
      </w:r>
      <w:r w:rsidR="00DE61DB">
        <w:t>ost-ESC sensi</w:t>
      </w:r>
      <w:r w:rsidR="0013300C">
        <w:t>tivity analysis</w:t>
      </w:r>
      <w:r w:rsidR="009A4167">
        <w:t xml:space="preserve"> </w:t>
      </w:r>
      <w:r w:rsidR="00BC6B56">
        <w:t>bas</w:t>
      </w:r>
      <w:r>
        <w:t>ed on</w:t>
      </w:r>
      <w:r w:rsidR="00BC6B56">
        <w:t xml:space="preserve"> utilisation </w:t>
      </w:r>
      <w:r w:rsidR="005B29E3">
        <w:t>on item 20791</w:t>
      </w:r>
      <w:r w:rsidR="00267B17">
        <w:t xml:space="preserve"> is shown below in </w:t>
      </w:r>
      <w:r w:rsidR="008D0666">
        <w:rPr>
          <w:highlight w:val="yellow"/>
        </w:rPr>
        <w:fldChar w:fldCharType="begin"/>
      </w:r>
      <w:r w:rsidR="008D0666">
        <w:instrText xml:space="preserve"> REF _Ref191569181 \h </w:instrText>
      </w:r>
      <w:r w:rsidR="008D0666">
        <w:rPr>
          <w:highlight w:val="yellow"/>
        </w:rPr>
      </w:r>
      <w:r w:rsidR="008D0666">
        <w:rPr>
          <w:highlight w:val="yellow"/>
        </w:rPr>
        <w:fldChar w:fldCharType="separate"/>
      </w:r>
      <w:r w:rsidR="008F37D1">
        <w:t xml:space="preserve">Table </w:t>
      </w:r>
      <w:r w:rsidR="008F37D1">
        <w:rPr>
          <w:noProof/>
        </w:rPr>
        <w:t>36</w:t>
      </w:r>
      <w:r w:rsidR="008D0666">
        <w:rPr>
          <w:highlight w:val="yellow"/>
        </w:rPr>
        <w:fldChar w:fldCharType="end"/>
      </w:r>
      <w:r w:rsidR="00361335">
        <w:t>.</w:t>
      </w:r>
    </w:p>
    <w:p w14:paraId="0A85A466" w14:textId="705B677E" w:rsidR="00632172" w:rsidRPr="00CD0D7F" w:rsidRDefault="00632172" w:rsidP="00515F6A">
      <w:pPr>
        <w:pStyle w:val="Caption"/>
        <w:keepLines/>
        <w:spacing w:after="40"/>
        <w:rPr>
          <w:i/>
          <w:iCs/>
        </w:rPr>
      </w:pPr>
      <w:bookmarkStart w:id="114" w:name="_Ref191569181"/>
      <w:r>
        <w:t xml:space="preserve">Table </w:t>
      </w:r>
      <w:r w:rsidR="00707F6D">
        <w:fldChar w:fldCharType="begin"/>
      </w:r>
      <w:r w:rsidR="00707F6D">
        <w:instrText xml:space="preserve"> SEQ Table \* ARABIC </w:instrText>
      </w:r>
      <w:r w:rsidR="00707F6D">
        <w:fldChar w:fldCharType="separate"/>
      </w:r>
      <w:r w:rsidR="008F37D1">
        <w:rPr>
          <w:noProof/>
        </w:rPr>
        <w:t>36</w:t>
      </w:r>
      <w:r w:rsidR="00707F6D">
        <w:rPr>
          <w:noProof/>
        </w:rPr>
        <w:fldChar w:fldCharType="end"/>
      </w:r>
      <w:bookmarkEnd w:id="114"/>
      <w:r>
        <w:t xml:space="preserve">: </w:t>
      </w:r>
      <w:r w:rsidRPr="00E52C0A">
        <w:t>Results under the scenario estimating market size based on MBS item 20791</w:t>
      </w:r>
    </w:p>
    <w:tbl>
      <w:tblPr>
        <w:tblStyle w:val="TableGrid"/>
        <w:tblW w:w="5000" w:type="pct"/>
        <w:tblLook w:val="04A0" w:firstRow="1" w:lastRow="0" w:firstColumn="1" w:lastColumn="0" w:noHBand="0" w:noVBand="1"/>
      </w:tblPr>
      <w:tblGrid>
        <w:gridCol w:w="3257"/>
        <w:gridCol w:w="1134"/>
        <w:gridCol w:w="1132"/>
        <w:gridCol w:w="1277"/>
        <w:gridCol w:w="1132"/>
        <w:gridCol w:w="1084"/>
      </w:tblGrid>
      <w:tr w:rsidR="00850967" w:rsidRPr="00B221AE" w14:paraId="4A8F47F1" w14:textId="77777777" w:rsidTr="00850967">
        <w:trPr>
          <w:tblHeader/>
        </w:trPr>
        <w:tc>
          <w:tcPr>
            <w:tcW w:w="1806" w:type="pct"/>
            <w:vAlign w:val="center"/>
          </w:tcPr>
          <w:p w14:paraId="1AFBD64C" w14:textId="77777777" w:rsidR="00BA4A65" w:rsidRPr="009974D1" w:rsidRDefault="00BA4A65" w:rsidP="00515F6A">
            <w:pPr>
              <w:keepNext/>
              <w:keepLines/>
              <w:spacing w:before="0"/>
              <w:rPr>
                <w:rFonts w:ascii="Arial Narrow" w:hAnsi="Arial Narrow"/>
                <w:b/>
                <w:sz w:val="20"/>
                <w:szCs w:val="20"/>
              </w:rPr>
            </w:pPr>
            <w:r w:rsidRPr="009974D1">
              <w:rPr>
                <w:rFonts w:ascii="Arial Narrow" w:hAnsi="Arial Narrow"/>
                <w:b/>
                <w:sz w:val="20"/>
                <w:szCs w:val="20"/>
              </w:rPr>
              <w:t>Parameter</w:t>
            </w:r>
          </w:p>
        </w:tc>
        <w:tc>
          <w:tcPr>
            <w:tcW w:w="629" w:type="pct"/>
            <w:vAlign w:val="center"/>
          </w:tcPr>
          <w:p w14:paraId="4A58EB57" w14:textId="77777777" w:rsidR="00BA4A65" w:rsidRPr="009974D1" w:rsidRDefault="00BA4A65" w:rsidP="00515F6A">
            <w:pPr>
              <w:keepNext/>
              <w:keepLines/>
              <w:spacing w:before="0"/>
              <w:jc w:val="center"/>
              <w:rPr>
                <w:rFonts w:ascii="Arial Narrow" w:hAnsi="Arial Narrow"/>
                <w:b/>
                <w:sz w:val="20"/>
                <w:szCs w:val="20"/>
              </w:rPr>
            </w:pPr>
            <w:r w:rsidRPr="009974D1">
              <w:rPr>
                <w:rFonts w:ascii="Arial Narrow" w:hAnsi="Arial Narrow"/>
                <w:b/>
                <w:sz w:val="20"/>
                <w:szCs w:val="20"/>
              </w:rPr>
              <w:t>Year 1</w:t>
            </w:r>
          </w:p>
        </w:tc>
        <w:tc>
          <w:tcPr>
            <w:tcW w:w="628" w:type="pct"/>
            <w:vAlign w:val="center"/>
          </w:tcPr>
          <w:p w14:paraId="50494F42" w14:textId="77777777" w:rsidR="00BA4A65" w:rsidRPr="009974D1" w:rsidRDefault="00BA4A65" w:rsidP="00515F6A">
            <w:pPr>
              <w:keepNext/>
              <w:keepLines/>
              <w:spacing w:before="0"/>
              <w:jc w:val="center"/>
              <w:rPr>
                <w:rFonts w:ascii="Arial Narrow" w:hAnsi="Arial Narrow"/>
                <w:b/>
                <w:sz w:val="20"/>
                <w:szCs w:val="20"/>
              </w:rPr>
            </w:pPr>
            <w:r w:rsidRPr="009974D1">
              <w:rPr>
                <w:rFonts w:ascii="Arial Narrow" w:hAnsi="Arial Narrow"/>
                <w:b/>
                <w:sz w:val="20"/>
                <w:szCs w:val="20"/>
              </w:rPr>
              <w:t>Year 2</w:t>
            </w:r>
          </w:p>
        </w:tc>
        <w:tc>
          <w:tcPr>
            <w:tcW w:w="708" w:type="pct"/>
            <w:vAlign w:val="center"/>
          </w:tcPr>
          <w:p w14:paraId="27726AF9" w14:textId="77777777" w:rsidR="00BA4A65" w:rsidRPr="009974D1" w:rsidRDefault="00BA4A65" w:rsidP="00515F6A">
            <w:pPr>
              <w:keepNext/>
              <w:keepLines/>
              <w:spacing w:before="0"/>
              <w:jc w:val="center"/>
              <w:rPr>
                <w:rFonts w:ascii="Arial Narrow" w:hAnsi="Arial Narrow"/>
                <w:b/>
                <w:sz w:val="20"/>
                <w:szCs w:val="20"/>
              </w:rPr>
            </w:pPr>
            <w:r w:rsidRPr="009974D1">
              <w:rPr>
                <w:rFonts w:ascii="Arial Narrow" w:hAnsi="Arial Narrow"/>
                <w:b/>
                <w:sz w:val="20"/>
                <w:szCs w:val="20"/>
              </w:rPr>
              <w:t>Year 3</w:t>
            </w:r>
          </w:p>
        </w:tc>
        <w:tc>
          <w:tcPr>
            <w:tcW w:w="628" w:type="pct"/>
            <w:vAlign w:val="center"/>
          </w:tcPr>
          <w:p w14:paraId="6B7E9DAF" w14:textId="77777777" w:rsidR="00BA4A65" w:rsidRPr="009974D1" w:rsidRDefault="00BA4A65" w:rsidP="00515F6A">
            <w:pPr>
              <w:keepNext/>
              <w:keepLines/>
              <w:spacing w:before="0"/>
              <w:jc w:val="center"/>
              <w:rPr>
                <w:rFonts w:ascii="Arial Narrow" w:hAnsi="Arial Narrow"/>
                <w:b/>
                <w:sz w:val="20"/>
                <w:szCs w:val="20"/>
              </w:rPr>
            </w:pPr>
            <w:r w:rsidRPr="009974D1">
              <w:rPr>
                <w:rFonts w:ascii="Arial Narrow" w:hAnsi="Arial Narrow"/>
                <w:b/>
                <w:sz w:val="20"/>
                <w:szCs w:val="20"/>
              </w:rPr>
              <w:t>Year 4</w:t>
            </w:r>
          </w:p>
        </w:tc>
        <w:tc>
          <w:tcPr>
            <w:tcW w:w="601" w:type="pct"/>
            <w:vAlign w:val="center"/>
          </w:tcPr>
          <w:p w14:paraId="73742A7F" w14:textId="77777777" w:rsidR="00BA4A65" w:rsidRPr="009974D1" w:rsidRDefault="00BA4A65" w:rsidP="00515F6A">
            <w:pPr>
              <w:keepNext/>
              <w:keepLines/>
              <w:spacing w:before="0"/>
              <w:jc w:val="center"/>
              <w:rPr>
                <w:rFonts w:ascii="Arial Narrow" w:hAnsi="Arial Narrow"/>
                <w:b/>
                <w:sz w:val="20"/>
                <w:szCs w:val="20"/>
              </w:rPr>
            </w:pPr>
            <w:r w:rsidRPr="009974D1">
              <w:rPr>
                <w:rFonts w:ascii="Arial Narrow" w:hAnsi="Arial Narrow"/>
                <w:b/>
                <w:sz w:val="20"/>
                <w:szCs w:val="20"/>
              </w:rPr>
              <w:t>Year 5</w:t>
            </w:r>
          </w:p>
        </w:tc>
      </w:tr>
      <w:tr w:rsidR="00BA4A65" w:rsidRPr="00B221AE" w14:paraId="0B56C98E" w14:textId="77777777" w:rsidTr="00850967">
        <w:tc>
          <w:tcPr>
            <w:tcW w:w="5000" w:type="pct"/>
            <w:gridSpan w:val="6"/>
            <w:vAlign w:val="center"/>
          </w:tcPr>
          <w:p w14:paraId="75C7C17D" w14:textId="77777777" w:rsidR="00BA4A65" w:rsidRPr="009974D1" w:rsidRDefault="00BA4A65" w:rsidP="00515F6A">
            <w:pPr>
              <w:keepNext/>
              <w:keepLines/>
              <w:spacing w:before="0"/>
              <w:rPr>
                <w:rFonts w:ascii="Arial Narrow" w:hAnsi="Arial Narrow"/>
                <w:b/>
                <w:sz w:val="20"/>
                <w:szCs w:val="20"/>
              </w:rPr>
            </w:pPr>
            <w:r w:rsidRPr="009974D1">
              <w:rPr>
                <w:rFonts w:ascii="Arial Narrow" w:hAnsi="Arial Narrow"/>
                <w:b/>
                <w:sz w:val="20"/>
                <w:szCs w:val="20"/>
              </w:rPr>
              <w:t>Estimated use and cost of ESG</w:t>
            </w:r>
          </w:p>
        </w:tc>
      </w:tr>
      <w:tr w:rsidR="00850967" w:rsidRPr="00B221AE" w14:paraId="128F7055" w14:textId="77777777" w:rsidTr="00850967">
        <w:tc>
          <w:tcPr>
            <w:tcW w:w="1806" w:type="pct"/>
            <w:vAlign w:val="center"/>
          </w:tcPr>
          <w:p w14:paraId="1B7F0ADB" w14:textId="77777777" w:rsidR="00BA4A65" w:rsidRPr="009974D1" w:rsidRDefault="00BA4A65" w:rsidP="00515F6A">
            <w:pPr>
              <w:keepNext/>
              <w:keepLines/>
              <w:spacing w:before="0"/>
              <w:rPr>
                <w:rFonts w:ascii="Arial Narrow" w:hAnsi="Arial Narrow"/>
                <w:sz w:val="20"/>
                <w:szCs w:val="20"/>
              </w:rPr>
            </w:pPr>
            <w:r>
              <w:rPr>
                <w:rFonts w:ascii="Arial Narrow" w:hAnsi="Arial Narrow"/>
                <w:sz w:val="20"/>
                <w:szCs w:val="20"/>
              </w:rPr>
              <w:t>P</w:t>
            </w:r>
            <w:r w:rsidRPr="009974D1">
              <w:rPr>
                <w:rFonts w:ascii="Arial Narrow" w:hAnsi="Arial Narrow"/>
                <w:sz w:val="20"/>
                <w:szCs w:val="20"/>
              </w:rPr>
              <w:t>rojected</w:t>
            </w:r>
            <w:r>
              <w:rPr>
                <w:rFonts w:ascii="Arial Narrow" w:hAnsi="Arial Narrow"/>
                <w:sz w:val="20"/>
                <w:szCs w:val="20"/>
              </w:rPr>
              <w:t xml:space="preserve"> nu</w:t>
            </w:r>
            <w:r w:rsidRPr="009974D1">
              <w:rPr>
                <w:rFonts w:ascii="Arial Narrow" w:hAnsi="Arial Narrow"/>
                <w:sz w:val="20"/>
                <w:szCs w:val="20"/>
              </w:rPr>
              <w:t>mber of ESG procedure</w:t>
            </w:r>
            <w:r>
              <w:rPr>
                <w:rFonts w:ascii="Arial Narrow" w:hAnsi="Arial Narrow"/>
                <w:sz w:val="20"/>
                <w:szCs w:val="20"/>
              </w:rPr>
              <w:t>s</w:t>
            </w:r>
            <w:r w:rsidDel="00A800D3">
              <w:rPr>
                <w:rFonts w:ascii="Arial Narrow" w:hAnsi="Arial Narrow"/>
                <w:sz w:val="20"/>
                <w:szCs w:val="20"/>
              </w:rPr>
              <w:t xml:space="preserve"> </w:t>
            </w:r>
            <w:r>
              <w:rPr>
                <w:rFonts w:ascii="Arial Narrow" w:hAnsi="Arial Narrow"/>
                <w:sz w:val="20"/>
                <w:szCs w:val="20"/>
              </w:rPr>
              <w:t>attributable to market growth</w:t>
            </w:r>
          </w:p>
        </w:tc>
        <w:tc>
          <w:tcPr>
            <w:tcW w:w="629" w:type="pct"/>
            <w:vAlign w:val="center"/>
          </w:tcPr>
          <w:p w14:paraId="73D024DC" w14:textId="752A303F" w:rsidR="00BA4A65" w:rsidRPr="00380FC7" w:rsidRDefault="007E4668" w:rsidP="00515F6A">
            <w:pPr>
              <w:keepNext/>
              <w:keepLines/>
              <w:spacing w:before="0"/>
              <w:jc w:val="center"/>
              <w:rPr>
                <w:rFonts w:ascii="Arial Narrow" w:hAnsi="Arial Narrow"/>
                <w:sz w:val="20"/>
                <w:szCs w:val="20"/>
              </w:rPr>
            </w:pPr>
            <w:r w:rsidRPr="00380FC7">
              <w:rPr>
                <w:rFonts w:ascii="Arial Narrow" w:hAnsi="Arial Narrow"/>
                <w:b/>
                <w:bCs/>
                <w:sz w:val="20"/>
                <w:szCs w:val="20"/>
              </w:rPr>
              <w:t>redacted</w:t>
            </w:r>
          </w:p>
        </w:tc>
        <w:tc>
          <w:tcPr>
            <w:tcW w:w="628" w:type="pct"/>
            <w:vAlign w:val="center"/>
          </w:tcPr>
          <w:p w14:paraId="1322F9B2" w14:textId="364E71FD" w:rsidR="00BA4A65" w:rsidRPr="00380FC7" w:rsidRDefault="007E4668" w:rsidP="00515F6A">
            <w:pPr>
              <w:keepNext/>
              <w:keepLines/>
              <w:spacing w:before="0"/>
              <w:jc w:val="center"/>
              <w:rPr>
                <w:rFonts w:ascii="Arial Narrow" w:hAnsi="Arial Narrow"/>
                <w:sz w:val="20"/>
                <w:szCs w:val="20"/>
              </w:rPr>
            </w:pPr>
            <w:r w:rsidRPr="00380FC7">
              <w:rPr>
                <w:rFonts w:ascii="Arial Narrow" w:hAnsi="Arial Narrow"/>
                <w:b/>
                <w:bCs/>
                <w:sz w:val="20"/>
                <w:szCs w:val="20"/>
              </w:rPr>
              <w:t>redacted</w:t>
            </w:r>
          </w:p>
        </w:tc>
        <w:tc>
          <w:tcPr>
            <w:tcW w:w="708" w:type="pct"/>
            <w:vAlign w:val="center"/>
          </w:tcPr>
          <w:p w14:paraId="3FD1D930" w14:textId="6048762A" w:rsidR="00BA4A65" w:rsidRPr="00380FC7" w:rsidRDefault="007E4668" w:rsidP="00515F6A">
            <w:pPr>
              <w:keepNext/>
              <w:keepLines/>
              <w:spacing w:before="0"/>
              <w:jc w:val="center"/>
              <w:rPr>
                <w:rFonts w:ascii="Arial Narrow" w:hAnsi="Arial Narrow"/>
                <w:sz w:val="20"/>
                <w:szCs w:val="20"/>
              </w:rPr>
            </w:pPr>
            <w:r w:rsidRPr="00380FC7">
              <w:rPr>
                <w:rFonts w:ascii="Arial Narrow" w:hAnsi="Arial Narrow"/>
                <w:b/>
                <w:bCs/>
                <w:sz w:val="20"/>
                <w:szCs w:val="20"/>
              </w:rPr>
              <w:t>redacted</w:t>
            </w:r>
          </w:p>
        </w:tc>
        <w:tc>
          <w:tcPr>
            <w:tcW w:w="628" w:type="pct"/>
            <w:vAlign w:val="center"/>
          </w:tcPr>
          <w:p w14:paraId="7085D0C4" w14:textId="6BDE983B" w:rsidR="00BA4A65" w:rsidRPr="00380FC7" w:rsidRDefault="007E4668" w:rsidP="00515F6A">
            <w:pPr>
              <w:keepNext/>
              <w:keepLines/>
              <w:spacing w:before="0"/>
              <w:jc w:val="center"/>
              <w:rPr>
                <w:rFonts w:ascii="Arial Narrow" w:hAnsi="Arial Narrow"/>
                <w:sz w:val="20"/>
                <w:szCs w:val="20"/>
              </w:rPr>
            </w:pPr>
            <w:r w:rsidRPr="00380FC7">
              <w:rPr>
                <w:rFonts w:ascii="Arial Narrow" w:hAnsi="Arial Narrow"/>
                <w:b/>
                <w:bCs/>
                <w:sz w:val="20"/>
                <w:szCs w:val="20"/>
              </w:rPr>
              <w:t>redacted</w:t>
            </w:r>
          </w:p>
        </w:tc>
        <w:tc>
          <w:tcPr>
            <w:tcW w:w="601" w:type="pct"/>
            <w:vAlign w:val="center"/>
          </w:tcPr>
          <w:p w14:paraId="58A6D03C" w14:textId="208B6B7F" w:rsidR="00BA4A65" w:rsidRPr="00380FC7" w:rsidRDefault="007E4668" w:rsidP="00515F6A">
            <w:pPr>
              <w:keepNext/>
              <w:keepLines/>
              <w:spacing w:before="0"/>
              <w:jc w:val="center"/>
              <w:rPr>
                <w:rFonts w:ascii="Arial Narrow" w:hAnsi="Arial Narrow"/>
                <w:sz w:val="20"/>
                <w:szCs w:val="20"/>
              </w:rPr>
            </w:pPr>
            <w:r w:rsidRPr="00380FC7">
              <w:rPr>
                <w:rFonts w:ascii="Arial Narrow" w:hAnsi="Arial Narrow"/>
                <w:b/>
                <w:bCs/>
                <w:sz w:val="20"/>
                <w:szCs w:val="20"/>
              </w:rPr>
              <w:t>redacted</w:t>
            </w:r>
          </w:p>
        </w:tc>
      </w:tr>
      <w:tr w:rsidR="00850967" w:rsidRPr="00B221AE" w14:paraId="104955EF" w14:textId="77777777" w:rsidTr="00850967">
        <w:tc>
          <w:tcPr>
            <w:tcW w:w="1806" w:type="pct"/>
            <w:vAlign w:val="center"/>
          </w:tcPr>
          <w:p w14:paraId="23D51AE3" w14:textId="77777777" w:rsidR="00BA4A65" w:rsidRPr="009974D1" w:rsidRDefault="00BA4A65" w:rsidP="00515F6A">
            <w:pPr>
              <w:keepNext/>
              <w:keepLines/>
              <w:spacing w:before="0"/>
              <w:rPr>
                <w:rFonts w:ascii="Arial Narrow" w:hAnsi="Arial Narrow"/>
                <w:sz w:val="20"/>
                <w:szCs w:val="20"/>
              </w:rPr>
            </w:pPr>
            <w:r>
              <w:rPr>
                <w:rFonts w:ascii="Arial Narrow" w:hAnsi="Arial Narrow"/>
                <w:sz w:val="20"/>
                <w:szCs w:val="20"/>
              </w:rPr>
              <w:t>Projected number of ESG procedures substituting LSG</w:t>
            </w:r>
          </w:p>
        </w:tc>
        <w:tc>
          <w:tcPr>
            <w:tcW w:w="629" w:type="pct"/>
            <w:vAlign w:val="center"/>
          </w:tcPr>
          <w:p w14:paraId="41753E2C" w14:textId="007AF5D1" w:rsidR="00BA4A65" w:rsidRPr="00380FC7" w:rsidRDefault="007E4668" w:rsidP="00515F6A">
            <w:pPr>
              <w:keepNext/>
              <w:keepLines/>
              <w:spacing w:before="0"/>
              <w:jc w:val="center"/>
              <w:rPr>
                <w:rFonts w:ascii="Arial Narrow" w:hAnsi="Arial Narrow"/>
                <w:sz w:val="20"/>
                <w:szCs w:val="20"/>
              </w:rPr>
            </w:pPr>
            <w:r w:rsidRPr="00380FC7">
              <w:rPr>
                <w:rFonts w:ascii="Arial Narrow" w:hAnsi="Arial Narrow"/>
                <w:b/>
                <w:bCs/>
                <w:sz w:val="20"/>
                <w:szCs w:val="20"/>
              </w:rPr>
              <w:t>redacted</w:t>
            </w:r>
          </w:p>
        </w:tc>
        <w:tc>
          <w:tcPr>
            <w:tcW w:w="628" w:type="pct"/>
            <w:vAlign w:val="center"/>
          </w:tcPr>
          <w:p w14:paraId="49DEF14E" w14:textId="75910B99" w:rsidR="00BA4A65" w:rsidRPr="00380FC7" w:rsidRDefault="007E4668" w:rsidP="00515F6A">
            <w:pPr>
              <w:keepNext/>
              <w:keepLines/>
              <w:spacing w:before="0"/>
              <w:jc w:val="center"/>
              <w:rPr>
                <w:rFonts w:ascii="Arial Narrow" w:hAnsi="Arial Narrow"/>
                <w:sz w:val="20"/>
                <w:szCs w:val="20"/>
              </w:rPr>
            </w:pPr>
            <w:r w:rsidRPr="00380FC7">
              <w:rPr>
                <w:rFonts w:ascii="Arial Narrow" w:hAnsi="Arial Narrow"/>
                <w:b/>
                <w:bCs/>
                <w:sz w:val="20"/>
                <w:szCs w:val="20"/>
              </w:rPr>
              <w:t>redacted</w:t>
            </w:r>
          </w:p>
        </w:tc>
        <w:tc>
          <w:tcPr>
            <w:tcW w:w="708" w:type="pct"/>
            <w:vAlign w:val="center"/>
          </w:tcPr>
          <w:p w14:paraId="08DC1694" w14:textId="61E18545" w:rsidR="00BA4A65" w:rsidRPr="00380FC7" w:rsidRDefault="007E4668" w:rsidP="00515F6A">
            <w:pPr>
              <w:keepNext/>
              <w:keepLines/>
              <w:spacing w:before="0"/>
              <w:jc w:val="center"/>
              <w:rPr>
                <w:rFonts w:ascii="Arial Narrow" w:hAnsi="Arial Narrow"/>
                <w:sz w:val="20"/>
                <w:szCs w:val="20"/>
              </w:rPr>
            </w:pPr>
            <w:r w:rsidRPr="00380FC7">
              <w:rPr>
                <w:rFonts w:ascii="Arial Narrow" w:hAnsi="Arial Narrow"/>
                <w:b/>
                <w:bCs/>
                <w:sz w:val="20"/>
                <w:szCs w:val="20"/>
              </w:rPr>
              <w:t>redacted</w:t>
            </w:r>
          </w:p>
        </w:tc>
        <w:tc>
          <w:tcPr>
            <w:tcW w:w="628" w:type="pct"/>
            <w:vAlign w:val="center"/>
          </w:tcPr>
          <w:p w14:paraId="7E5AEC0D" w14:textId="7C56E0E7" w:rsidR="00BA4A65" w:rsidRPr="00380FC7" w:rsidRDefault="007E4668" w:rsidP="00515F6A">
            <w:pPr>
              <w:keepNext/>
              <w:keepLines/>
              <w:spacing w:before="0"/>
              <w:jc w:val="center"/>
              <w:rPr>
                <w:rFonts w:ascii="Arial Narrow" w:hAnsi="Arial Narrow"/>
                <w:sz w:val="20"/>
                <w:szCs w:val="20"/>
              </w:rPr>
            </w:pPr>
            <w:r w:rsidRPr="00380FC7">
              <w:rPr>
                <w:rFonts w:ascii="Arial Narrow" w:hAnsi="Arial Narrow"/>
                <w:b/>
                <w:bCs/>
                <w:sz w:val="20"/>
                <w:szCs w:val="20"/>
              </w:rPr>
              <w:t>redacted</w:t>
            </w:r>
          </w:p>
        </w:tc>
        <w:tc>
          <w:tcPr>
            <w:tcW w:w="601" w:type="pct"/>
            <w:vAlign w:val="center"/>
          </w:tcPr>
          <w:p w14:paraId="011EA916" w14:textId="6D0C4399" w:rsidR="00BA4A65" w:rsidRPr="00380FC7" w:rsidRDefault="007E4668" w:rsidP="00515F6A">
            <w:pPr>
              <w:keepNext/>
              <w:keepLines/>
              <w:spacing w:before="0"/>
              <w:jc w:val="center"/>
              <w:rPr>
                <w:rFonts w:ascii="Arial Narrow" w:hAnsi="Arial Narrow"/>
                <w:sz w:val="20"/>
                <w:szCs w:val="20"/>
              </w:rPr>
            </w:pPr>
            <w:r w:rsidRPr="00380FC7">
              <w:rPr>
                <w:rFonts w:ascii="Arial Narrow" w:hAnsi="Arial Narrow"/>
                <w:b/>
                <w:bCs/>
                <w:sz w:val="20"/>
                <w:szCs w:val="20"/>
              </w:rPr>
              <w:t>redacted</w:t>
            </w:r>
          </w:p>
        </w:tc>
      </w:tr>
      <w:tr w:rsidR="00850967" w:rsidRPr="00B221AE" w14:paraId="42FD5BE2" w14:textId="77777777" w:rsidTr="00850967">
        <w:tc>
          <w:tcPr>
            <w:tcW w:w="1806" w:type="pct"/>
            <w:vAlign w:val="center"/>
          </w:tcPr>
          <w:p w14:paraId="68727A5B" w14:textId="77777777" w:rsidR="00BA4A65" w:rsidRPr="009974D1" w:rsidRDefault="00BA4A65" w:rsidP="00515F6A">
            <w:pPr>
              <w:keepNext/>
              <w:keepLines/>
              <w:spacing w:before="0"/>
              <w:rPr>
                <w:rFonts w:ascii="Arial Narrow" w:hAnsi="Arial Narrow"/>
                <w:sz w:val="20"/>
                <w:szCs w:val="20"/>
              </w:rPr>
            </w:pPr>
            <w:r w:rsidRPr="009974D1">
              <w:rPr>
                <w:rFonts w:ascii="Arial Narrow" w:hAnsi="Arial Narrow"/>
                <w:sz w:val="20"/>
                <w:szCs w:val="20"/>
              </w:rPr>
              <w:t>Total number of ESG procedure</w:t>
            </w:r>
            <w:r>
              <w:rPr>
                <w:rFonts w:ascii="Arial Narrow" w:hAnsi="Arial Narrow"/>
                <w:sz w:val="20"/>
                <w:szCs w:val="20"/>
              </w:rPr>
              <w:t>s</w:t>
            </w:r>
            <w:r w:rsidRPr="009974D1">
              <w:rPr>
                <w:rFonts w:ascii="Arial Narrow" w:hAnsi="Arial Narrow"/>
                <w:sz w:val="20"/>
                <w:szCs w:val="20"/>
              </w:rPr>
              <w:t xml:space="preserve"> conducted</w:t>
            </w:r>
          </w:p>
        </w:tc>
        <w:tc>
          <w:tcPr>
            <w:tcW w:w="629" w:type="pct"/>
            <w:vAlign w:val="center"/>
          </w:tcPr>
          <w:p w14:paraId="0ACCD3CF" w14:textId="761BBDBA" w:rsidR="00BA4A65" w:rsidRPr="00380FC7" w:rsidRDefault="007E4668" w:rsidP="00515F6A">
            <w:pPr>
              <w:keepNext/>
              <w:keepLines/>
              <w:spacing w:before="0"/>
              <w:jc w:val="center"/>
              <w:rPr>
                <w:rFonts w:ascii="Arial Narrow" w:hAnsi="Arial Narrow"/>
                <w:sz w:val="20"/>
                <w:szCs w:val="20"/>
              </w:rPr>
            </w:pPr>
            <w:r w:rsidRPr="00380FC7">
              <w:rPr>
                <w:rFonts w:ascii="Arial Narrow" w:hAnsi="Arial Narrow"/>
                <w:b/>
                <w:bCs/>
                <w:sz w:val="20"/>
                <w:szCs w:val="20"/>
              </w:rPr>
              <w:t>redacted</w:t>
            </w:r>
          </w:p>
        </w:tc>
        <w:tc>
          <w:tcPr>
            <w:tcW w:w="628" w:type="pct"/>
            <w:vAlign w:val="center"/>
          </w:tcPr>
          <w:p w14:paraId="6EE666CA" w14:textId="403AAA9C" w:rsidR="00BA4A65" w:rsidRPr="00380FC7" w:rsidRDefault="007E4668" w:rsidP="00515F6A">
            <w:pPr>
              <w:keepNext/>
              <w:keepLines/>
              <w:spacing w:before="0"/>
              <w:jc w:val="center"/>
              <w:rPr>
                <w:rFonts w:ascii="Arial Narrow" w:hAnsi="Arial Narrow"/>
                <w:sz w:val="20"/>
                <w:szCs w:val="20"/>
              </w:rPr>
            </w:pPr>
            <w:r w:rsidRPr="00380FC7">
              <w:rPr>
                <w:rFonts w:ascii="Arial Narrow" w:hAnsi="Arial Narrow"/>
                <w:b/>
                <w:bCs/>
                <w:sz w:val="20"/>
                <w:szCs w:val="20"/>
              </w:rPr>
              <w:t>redacted</w:t>
            </w:r>
          </w:p>
        </w:tc>
        <w:tc>
          <w:tcPr>
            <w:tcW w:w="708" w:type="pct"/>
            <w:vAlign w:val="center"/>
          </w:tcPr>
          <w:p w14:paraId="1802553C" w14:textId="6B462175" w:rsidR="00BA4A65" w:rsidRPr="00380FC7" w:rsidRDefault="007E4668" w:rsidP="00515F6A">
            <w:pPr>
              <w:keepNext/>
              <w:keepLines/>
              <w:spacing w:before="0"/>
              <w:jc w:val="center"/>
              <w:rPr>
                <w:rFonts w:ascii="Arial Narrow" w:hAnsi="Arial Narrow"/>
                <w:sz w:val="20"/>
                <w:szCs w:val="20"/>
              </w:rPr>
            </w:pPr>
            <w:r w:rsidRPr="00380FC7">
              <w:rPr>
                <w:rFonts w:ascii="Arial Narrow" w:hAnsi="Arial Narrow"/>
                <w:b/>
                <w:bCs/>
                <w:sz w:val="20"/>
                <w:szCs w:val="20"/>
              </w:rPr>
              <w:t>redacted</w:t>
            </w:r>
          </w:p>
        </w:tc>
        <w:tc>
          <w:tcPr>
            <w:tcW w:w="628" w:type="pct"/>
            <w:vAlign w:val="center"/>
          </w:tcPr>
          <w:p w14:paraId="2C8CB065" w14:textId="1BCB2EB7" w:rsidR="00BA4A65" w:rsidRPr="00380FC7" w:rsidRDefault="007E4668" w:rsidP="00515F6A">
            <w:pPr>
              <w:keepNext/>
              <w:keepLines/>
              <w:spacing w:before="0"/>
              <w:jc w:val="center"/>
              <w:rPr>
                <w:rFonts w:ascii="Arial Narrow" w:hAnsi="Arial Narrow"/>
                <w:sz w:val="20"/>
                <w:szCs w:val="20"/>
              </w:rPr>
            </w:pPr>
            <w:r w:rsidRPr="00380FC7">
              <w:rPr>
                <w:rFonts w:ascii="Arial Narrow" w:hAnsi="Arial Narrow"/>
                <w:b/>
                <w:bCs/>
                <w:sz w:val="20"/>
                <w:szCs w:val="20"/>
              </w:rPr>
              <w:t>redacted</w:t>
            </w:r>
          </w:p>
        </w:tc>
        <w:tc>
          <w:tcPr>
            <w:tcW w:w="601" w:type="pct"/>
            <w:vAlign w:val="center"/>
          </w:tcPr>
          <w:p w14:paraId="2C57E51D" w14:textId="13FB5CBF" w:rsidR="00BA4A65" w:rsidRPr="00380FC7" w:rsidRDefault="007E4668" w:rsidP="00515F6A">
            <w:pPr>
              <w:keepNext/>
              <w:keepLines/>
              <w:spacing w:before="0"/>
              <w:jc w:val="center"/>
              <w:rPr>
                <w:rFonts w:ascii="Arial Narrow" w:hAnsi="Arial Narrow"/>
                <w:sz w:val="20"/>
                <w:szCs w:val="20"/>
              </w:rPr>
            </w:pPr>
            <w:r w:rsidRPr="00380FC7">
              <w:rPr>
                <w:rFonts w:ascii="Arial Narrow" w:hAnsi="Arial Narrow"/>
                <w:b/>
                <w:bCs/>
                <w:sz w:val="20"/>
                <w:szCs w:val="20"/>
              </w:rPr>
              <w:t>redacted</w:t>
            </w:r>
          </w:p>
        </w:tc>
      </w:tr>
      <w:tr w:rsidR="00850967" w:rsidRPr="00B221AE" w14:paraId="484467F8" w14:textId="77777777" w:rsidTr="00850967">
        <w:tc>
          <w:tcPr>
            <w:tcW w:w="1806" w:type="pct"/>
            <w:vAlign w:val="center"/>
          </w:tcPr>
          <w:p w14:paraId="0CBAB87C" w14:textId="77777777" w:rsidR="00BA4A65" w:rsidRPr="007D18A3" w:rsidRDefault="00BA4A65" w:rsidP="00515F6A">
            <w:pPr>
              <w:keepNext/>
              <w:keepLines/>
              <w:spacing w:before="0"/>
              <w:rPr>
                <w:rFonts w:ascii="Arial Narrow" w:hAnsi="Arial Narrow"/>
                <w:b/>
                <w:bCs/>
                <w:sz w:val="20"/>
                <w:szCs w:val="20"/>
              </w:rPr>
            </w:pPr>
            <w:r w:rsidRPr="009974D1">
              <w:rPr>
                <w:rFonts w:ascii="Arial Narrow" w:hAnsi="Arial Narrow"/>
                <w:b/>
                <w:bCs/>
                <w:sz w:val="20"/>
                <w:szCs w:val="20"/>
              </w:rPr>
              <w:t>Total</w:t>
            </w:r>
            <w:r w:rsidRPr="007D18A3">
              <w:rPr>
                <w:rFonts w:ascii="Arial Narrow" w:hAnsi="Arial Narrow"/>
                <w:b/>
                <w:bCs/>
                <w:sz w:val="20"/>
                <w:szCs w:val="20"/>
              </w:rPr>
              <w:t xml:space="preserve"> ESG cost to MBS, 75% benefit</w:t>
            </w:r>
          </w:p>
        </w:tc>
        <w:tc>
          <w:tcPr>
            <w:tcW w:w="629" w:type="pct"/>
            <w:vAlign w:val="center"/>
          </w:tcPr>
          <w:p w14:paraId="7244162E" w14:textId="77777777" w:rsidR="00BA4A65" w:rsidRPr="009974D1" w:rsidRDefault="00BA4A65" w:rsidP="00515F6A">
            <w:pPr>
              <w:keepNext/>
              <w:keepLines/>
              <w:spacing w:before="0"/>
              <w:jc w:val="center"/>
              <w:rPr>
                <w:rFonts w:ascii="Arial Narrow" w:hAnsi="Arial Narrow"/>
                <w:sz w:val="20"/>
                <w:szCs w:val="20"/>
              </w:rPr>
            </w:pPr>
            <w:r w:rsidRPr="007D18A3">
              <w:rPr>
                <w:rFonts w:ascii="Arial Narrow" w:hAnsi="Arial Narrow"/>
                <w:sz w:val="20"/>
                <w:szCs w:val="20"/>
              </w:rPr>
              <w:t>$2</w:t>
            </w:r>
            <w:r>
              <w:rPr>
                <w:rFonts w:ascii="Arial Narrow" w:hAnsi="Arial Narrow"/>
                <w:sz w:val="20"/>
                <w:szCs w:val="20"/>
              </w:rPr>
              <w:t>,823,095</w:t>
            </w:r>
          </w:p>
        </w:tc>
        <w:tc>
          <w:tcPr>
            <w:tcW w:w="628" w:type="pct"/>
            <w:vAlign w:val="center"/>
          </w:tcPr>
          <w:p w14:paraId="3913D833" w14:textId="77777777" w:rsidR="00BA4A65" w:rsidRPr="009974D1" w:rsidRDefault="00BA4A65" w:rsidP="00515F6A">
            <w:pPr>
              <w:keepNext/>
              <w:keepLines/>
              <w:spacing w:before="0"/>
              <w:jc w:val="center"/>
              <w:rPr>
                <w:rFonts w:ascii="Arial Narrow" w:hAnsi="Arial Narrow"/>
                <w:sz w:val="20"/>
                <w:szCs w:val="20"/>
              </w:rPr>
            </w:pPr>
            <w:r w:rsidRPr="007D18A3">
              <w:rPr>
                <w:rFonts w:ascii="Arial Narrow" w:hAnsi="Arial Narrow"/>
                <w:sz w:val="20"/>
                <w:szCs w:val="20"/>
              </w:rPr>
              <w:t>$</w:t>
            </w:r>
            <w:r>
              <w:rPr>
                <w:rFonts w:ascii="Arial Narrow" w:hAnsi="Arial Narrow"/>
                <w:sz w:val="20"/>
                <w:szCs w:val="20"/>
              </w:rPr>
              <w:t>3,551,129</w:t>
            </w:r>
          </w:p>
        </w:tc>
        <w:tc>
          <w:tcPr>
            <w:tcW w:w="708" w:type="pct"/>
            <w:vAlign w:val="center"/>
          </w:tcPr>
          <w:p w14:paraId="4959EF2C" w14:textId="77777777" w:rsidR="00BA4A65" w:rsidRPr="009974D1" w:rsidRDefault="00BA4A65" w:rsidP="00515F6A">
            <w:pPr>
              <w:keepNext/>
              <w:keepLines/>
              <w:spacing w:before="0"/>
              <w:jc w:val="center"/>
              <w:rPr>
                <w:rFonts w:ascii="Arial Narrow" w:hAnsi="Arial Narrow"/>
                <w:sz w:val="20"/>
                <w:szCs w:val="20"/>
              </w:rPr>
            </w:pPr>
            <w:r w:rsidRPr="007D18A3">
              <w:rPr>
                <w:rFonts w:ascii="Arial Narrow" w:hAnsi="Arial Narrow"/>
                <w:sz w:val="20"/>
                <w:szCs w:val="20"/>
              </w:rPr>
              <w:t>$</w:t>
            </w:r>
            <w:r>
              <w:rPr>
                <w:rFonts w:ascii="Arial Narrow" w:hAnsi="Arial Narrow"/>
                <w:sz w:val="20"/>
                <w:szCs w:val="20"/>
              </w:rPr>
              <w:t>4,279,162</w:t>
            </w:r>
          </w:p>
        </w:tc>
        <w:tc>
          <w:tcPr>
            <w:tcW w:w="628" w:type="pct"/>
            <w:vAlign w:val="center"/>
          </w:tcPr>
          <w:p w14:paraId="1A39523D" w14:textId="77777777" w:rsidR="00BA4A65" w:rsidRPr="009974D1" w:rsidRDefault="00BA4A65" w:rsidP="00515F6A">
            <w:pPr>
              <w:keepNext/>
              <w:keepLines/>
              <w:spacing w:before="0"/>
              <w:jc w:val="center"/>
              <w:rPr>
                <w:rFonts w:ascii="Arial Narrow" w:hAnsi="Arial Narrow"/>
                <w:sz w:val="20"/>
                <w:szCs w:val="20"/>
              </w:rPr>
            </w:pPr>
            <w:r w:rsidRPr="007D18A3">
              <w:rPr>
                <w:rFonts w:ascii="Arial Narrow" w:hAnsi="Arial Narrow"/>
                <w:sz w:val="20"/>
                <w:szCs w:val="20"/>
              </w:rPr>
              <w:t>$</w:t>
            </w:r>
            <w:r>
              <w:rPr>
                <w:rFonts w:ascii="Arial Narrow" w:hAnsi="Arial Narrow"/>
                <w:sz w:val="20"/>
                <w:szCs w:val="20"/>
              </w:rPr>
              <w:t>5,424,113</w:t>
            </w:r>
          </w:p>
        </w:tc>
        <w:tc>
          <w:tcPr>
            <w:tcW w:w="601" w:type="pct"/>
            <w:vAlign w:val="center"/>
          </w:tcPr>
          <w:p w14:paraId="2414AD2D" w14:textId="77777777" w:rsidR="00BA4A65" w:rsidRPr="009974D1" w:rsidRDefault="00BA4A65" w:rsidP="00515F6A">
            <w:pPr>
              <w:keepNext/>
              <w:keepLines/>
              <w:spacing w:before="0"/>
              <w:jc w:val="center"/>
              <w:rPr>
                <w:rFonts w:ascii="Arial Narrow" w:hAnsi="Arial Narrow"/>
                <w:sz w:val="20"/>
                <w:szCs w:val="20"/>
              </w:rPr>
            </w:pPr>
            <w:r w:rsidRPr="007D18A3">
              <w:rPr>
                <w:rFonts w:ascii="Arial Narrow" w:hAnsi="Arial Narrow"/>
                <w:sz w:val="20"/>
                <w:szCs w:val="20"/>
              </w:rPr>
              <w:t>$</w:t>
            </w:r>
            <w:r>
              <w:rPr>
                <w:rFonts w:ascii="Arial Narrow" w:hAnsi="Arial Narrow"/>
                <w:sz w:val="20"/>
                <w:szCs w:val="20"/>
              </w:rPr>
              <w:t>6,257,947</w:t>
            </w:r>
          </w:p>
        </w:tc>
      </w:tr>
      <w:tr w:rsidR="00BA4A65" w:rsidRPr="00B221AE" w14:paraId="021CFB04" w14:textId="77777777" w:rsidTr="00850967">
        <w:tc>
          <w:tcPr>
            <w:tcW w:w="5000" w:type="pct"/>
            <w:gridSpan w:val="6"/>
            <w:vAlign w:val="center"/>
          </w:tcPr>
          <w:p w14:paraId="03558005" w14:textId="77777777" w:rsidR="00BA4A65" w:rsidRPr="009974D1" w:rsidRDefault="00BA4A65" w:rsidP="00515F6A">
            <w:pPr>
              <w:keepNext/>
              <w:keepLines/>
              <w:spacing w:before="0"/>
              <w:rPr>
                <w:rFonts w:ascii="Arial Narrow" w:hAnsi="Arial Narrow"/>
                <w:b/>
                <w:sz w:val="20"/>
                <w:szCs w:val="20"/>
              </w:rPr>
            </w:pPr>
            <w:r w:rsidRPr="009974D1">
              <w:rPr>
                <w:rFonts w:ascii="Arial Narrow" w:hAnsi="Arial Narrow"/>
                <w:b/>
                <w:sz w:val="20"/>
                <w:szCs w:val="20"/>
              </w:rPr>
              <w:t>Change in use and cost of LSG</w:t>
            </w:r>
          </w:p>
        </w:tc>
      </w:tr>
      <w:tr w:rsidR="00850967" w:rsidRPr="00B221AE" w14:paraId="441520EB" w14:textId="77777777" w:rsidTr="00850967">
        <w:tc>
          <w:tcPr>
            <w:tcW w:w="1806" w:type="pct"/>
            <w:vAlign w:val="center"/>
          </w:tcPr>
          <w:p w14:paraId="2CD66899" w14:textId="77777777" w:rsidR="00BA4A65" w:rsidRPr="009974D1" w:rsidRDefault="00BA4A65" w:rsidP="00515F6A">
            <w:pPr>
              <w:keepNext/>
              <w:keepLines/>
              <w:spacing w:before="0"/>
              <w:rPr>
                <w:rFonts w:ascii="Arial Narrow" w:hAnsi="Arial Narrow"/>
                <w:sz w:val="20"/>
                <w:szCs w:val="20"/>
              </w:rPr>
            </w:pPr>
            <w:r w:rsidRPr="009974D1">
              <w:rPr>
                <w:rFonts w:ascii="Arial Narrow" w:hAnsi="Arial Narrow"/>
                <w:sz w:val="20"/>
                <w:szCs w:val="20"/>
              </w:rPr>
              <w:t>Change in use of LSG procedure</w:t>
            </w:r>
            <w:r>
              <w:rPr>
                <w:rFonts w:ascii="Arial Narrow" w:hAnsi="Arial Narrow"/>
                <w:sz w:val="20"/>
                <w:szCs w:val="20"/>
              </w:rPr>
              <w:t>**</w:t>
            </w:r>
          </w:p>
        </w:tc>
        <w:tc>
          <w:tcPr>
            <w:tcW w:w="629" w:type="pct"/>
            <w:vAlign w:val="center"/>
          </w:tcPr>
          <w:p w14:paraId="38778C81" w14:textId="77777777" w:rsidR="00BA4A65" w:rsidRPr="009974D1" w:rsidRDefault="00BA4A65" w:rsidP="00515F6A">
            <w:pPr>
              <w:keepNext/>
              <w:keepLines/>
              <w:spacing w:before="0"/>
              <w:jc w:val="center"/>
              <w:rPr>
                <w:rFonts w:ascii="Arial Narrow" w:hAnsi="Arial Narrow"/>
                <w:sz w:val="20"/>
                <w:szCs w:val="20"/>
              </w:rPr>
            </w:pPr>
            <w:r w:rsidRPr="009974D1">
              <w:rPr>
                <w:rFonts w:ascii="Arial Narrow" w:hAnsi="Arial Narrow"/>
                <w:sz w:val="20"/>
                <w:szCs w:val="20"/>
              </w:rPr>
              <w:t>-</w:t>
            </w:r>
            <w:r>
              <w:rPr>
                <w:rFonts w:ascii="Arial Narrow" w:hAnsi="Arial Narrow"/>
                <w:sz w:val="20"/>
                <w:szCs w:val="20"/>
              </w:rPr>
              <w:t>810</w:t>
            </w:r>
          </w:p>
        </w:tc>
        <w:tc>
          <w:tcPr>
            <w:tcW w:w="628" w:type="pct"/>
            <w:vAlign w:val="center"/>
          </w:tcPr>
          <w:p w14:paraId="5D55EFF4" w14:textId="77777777" w:rsidR="00BA4A65" w:rsidRPr="009974D1" w:rsidRDefault="00BA4A65" w:rsidP="00515F6A">
            <w:pPr>
              <w:keepNext/>
              <w:keepLines/>
              <w:spacing w:before="0"/>
              <w:jc w:val="center"/>
              <w:rPr>
                <w:rFonts w:ascii="Arial Narrow" w:hAnsi="Arial Narrow"/>
                <w:sz w:val="20"/>
                <w:szCs w:val="20"/>
              </w:rPr>
            </w:pPr>
            <w:r w:rsidRPr="009974D1">
              <w:rPr>
                <w:rFonts w:ascii="Arial Narrow" w:hAnsi="Arial Narrow"/>
                <w:sz w:val="20"/>
                <w:szCs w:val="20"/>
              </w:rPr>
              <w:t>-</w:t>
            </w:r>
            <w:r>
              <w:rPr>
                <w:rFonts w:ascii="Arial Narrow" w:hAnsi="Arial Narrow"/>
                <w:sz w:val="20"/>
                <w:szCs w:val="20"/>
              </w:rPr>
              <w:t>994</w:t>
            </w:r>
          </w:p>
        </w:tc>
        <w:tc>
          <w:tcPr>
            <w:tcW w:w="708" w:type="pct"/>
            <w:vAlign w:val="center"/>
          </w:tcPr>
          <w:p w14:paraId="44E33B3B" w14:textId="77777777" w:rsidR="00BA4A65" w:rsidRPr="009974D1" w:rsidRDefault="00BA4A65" w:rsidP="00515F6A">
            <w:pPr>
              <w:keepNext/>
              <w:keepLines/>
              <w:spacing w:before="0"/>
              <w:jc w:val="center"/>
              <w:rPr>
                <w:rFonts w:ascii="Arial Narrow" w:hAnsi="Arial Narrow"/>
                <w:sz w:val="20"/>
                <w:szCs w:val="20"/>
              </w:rPr>
            </w:pPr>
            <w:r w:rsidRPr="009974D1">
              <w:rPr>
                <w:rFonts w:ascii="Arial Narrow" w:hAnsi="Arial Narrow"/>
                <w:sz w:val="20"/>
                <w:szCs w:val="20"/>
              </w:rPr>
              <w:t>-</w:t>
            </w:r>
            <w:r>
              <w:rPr>
                <w:rFonts w:ascii="Arial Narrow" w:hAnsi="Arial Narrow"/>
                <w:sz w:val="20"/>
                <w:szCs w:val="20"/>
              </w:rPr>
              <w:t>1,179</w:t>
            </w:r>
          </w:p>
        </w:tc>
        <w:tc>
          <w:tcPr>
            <w:tcW w:w="628" w:type="pct"/>
            <w:vAlign w:val="center"/>
          </w:tcPr>
          <w:p w14:paraId="5C642D3C" w14:textId="77777777" w:rsidR="00BA4A65" w:rsidRPr="009974D1" w:rsidRDefault="00BA4A65" w:rsidP="00515F6A">
            <w:pPr>
              <w:keepNext/>
              <w:keepLines/>
              <w:spacing w:before="0"/>
              <w:jc w:val="center"/>
              <w:rPr>
                <w:rFonts w:ascii="Arial Narrow" w:hAnsi="Arial Narrow"/>
                <w:sz w:val="20"/>
                <w:szCs w:val="20"/>
              </w:rPr>
            </w:pPr>
            <w:r w:rsidRPr="009974D1">
              <w:rPr>
                <w:rFonts w:ascii="Arial Narrow" w:hAnsi="Arial Narrow"/>
                <w:sz w:val="20"/>
                <w:szCs w:val="20"/>
              </w:rPr>
              <w:t>-1,</w:t>
            </w:r>
            <w:r>
              <w:rPr>
                <w:rFonts w:ascii="Arial Narrow" w:hAnsi="Arial Narrow"/>
                <w:sz w:val="20"/>
                <w:szCs w:val="20"/>
              </w:rPr>
              <w:t>364</w:t>
            </w:r>
          </w:p>
        </w:tc>
        <w:tc>
          <w:tcPr>
            <w:tcW w:w="601" w:type="pct"/>
            <w:vAlign w:val="center"/>
          </w:tcPr>
          <w:p w14:paraId="0A2838BB" w14:textId="77777777" w:rsidR="00BA4A65" w:rsidRPr="009974D1" w:rsidRDefault="00BA4A65" w:rsidP="00515F6A">
            <w:pPr>
              <w:keepNext/>
              <w:keepLines/>
              <w:spacing w:before="0"/>
              <w:jc w:val="center"/>
              <w:rPr>
                <w:rFonts w:ascii="Arial Narrow" w:hAnsi="Arial Narrow"/>
                <w:sz w:val="20"/>
                <w:szCs w:val="20"/>
              </w:rPr>
            </w:pPr>
            <w:r w:rsidRPr="009974D1">
              <w:rPr>
                <w:rFonts w:ascii="Arial Narrow" w:hAnsi="Arial Narrow"/>
                <w:sz w:val="20"/>
                <w:szCs w:val="20"/>
              </w:rPr>
              <w:t>-1,</w:t>
            </w:r>
            <w:r>
              <w:rPr>
                <w:rFonts w:ascii="Arial Narrow" w:hAnsi="Arial Narrow"/>
                <w:sz w:val="20"/>
                <w:szCs w:val="20"/>
              </w:rPr>
              <w:t>364</w:t>
            </w:r>
          </w:p>
        </w:tc>
      </w:tr>
      <w:tr w:rsidR="00850967" w:rsidRPr="00B221AE" w14:paraId="2736D51A" w14:textId="77777777" w:rsidTr="00850967">
        <w:tc>
          <w:tcPr>
            <w:tcW w:w="1806" w:type="pct"/>
            <w:vAlign w:val="center"/>
          </w:tcPr>
          <w:p w14:paraId="799CC00B" w14:textId="77777777" w:rsidR="00BA4A65" w:rsidRPr="00115CA8" w:rsidRDefault="00BA4A65" w:rsidP="00515F6A">
            <w:pPr>
              <w:keepNext/>
              <w:keepLines/>
              <w:spacing w:before="0"/>
              <w:rPr>
                <w:rFonts w:ascii="Arial Narrow" w:hAnsi="Arial Narrow"/>
                <w:sz w:val="20"/>
                <w:szCs w:val="20"/>
                <w:vertAlign w:val="superscript"/>
              </w:rPr>
            </w:pPr>
            <w:r w:rsidRPr="009974D1">
              <w:rPr>
                <w:rFonts w:ascii="Arial Narrow" w:hAnsi="Arial Narrow"/>
                <w:sz w:val="20"/>
                <w:szCs w:val="20"/>
              </w:rPr>
              <w:t>Total reduction of MBS cost of LSG, 75% benefit</w:t>
            </w:r>
          </w:p>
        </w:tc>
        <w:tc>
          <w:tcPr>
            <w:tcW w:w="629" w:type="pct"/>
            <w:vAlign w:val="center"/>
          </w:tcPr>
          <w:p w14:paraId="0D805CB0" w14:textId="77777777" w:rsidR="00BA4A65" w:rsidRPr="009974D1" w:rsidRDefault="00BA4A65" w:rsidP="00515F6A">
            <w:pPr>
              <w:keepNext/>
              <w:keepLines/>
              <w:spacing w:before="0"/>
              <w:jc w:val="center"/>
              <w:rPr>
                <w:rFonts w:ascii="Arial Narrow" w:hAnsi="Arial Narrow"/>
                <w:sz w:val="20"/>
                <w:szCs w:val="20"/>
              </w:rPr>
            </w:pPr>
            <w:r w:rsidRPr="009974D1">
              <w:rPr>
                <w:rFonts w:ascii="Arial Narrow" w:hAnsi="Arial Narrow"/>
                <w:sz w:val="20"/>
                <w:szCs w:val="20"/>
              </w:rPr>
              <w:t>-$</w:t>
            </w:r>
            <w:r>
              <w:rPr>
                <w:rFonts w:ascii="Arial Narrow" w:hAnsi="Arial Narrow"/>
                <w:sz w:val="20"/>
                <w:szCs w:val="20"/>
              </w:rPr>
              <w:t>1,361,790</w:t>
            </w:r>
          </w:p>
        </w:tc>
        <w:tc>
          <w:tcPr>
            <w:tcW w:w="628" w:type="pct"/>
            <w:vAlign w:val="center"/>
          </w:tcPr>
          <w:p w14:paraId="107074A0" w14:textId="77777777" w:rsidR="00BA4A65" w:rsidRPr="009974D1" w:rsidRDefault="00BA4A65" w:rsidP="00515F6A">
            <w:pPr>
              <w:keepNext/>
              <w:keepLines/>
              <w:spacing w:before="0"/>
              <w:jc w:val="center"/>
              <w:rPr>
                <w:rFonts w:ascii="Arial Narrow" w:hAnsi="Arial Narrow"/>
                <w:sz w:val="20"/>
                <w:szCs w:val="20"/>
              </w:rPr>
            </w:pPr>
            <w:r w:rsidRPr="009974D1">
              <w:rPr>
                <w:rFonts w:ascii="Arial Narrow" w:hAnsi="Arial Narrow"/>
                <w:sz w:val="20"/>
                <w:szCs w:val="20"/>
              </w:rPr>
              <w:t>-$1</w:t>
            </w:r>
            <w:r>
              <w:rPr>
                <w:rFonts w:ascii="Arial Narrow" w:hAnsi="Arial Narrow"/>
                <w:sz w:val="20"/>
                <w:szCs w:val="20"/>
              </w:rPr>
              <w:t>,672,906</w:t>
            </w:r>
          </w:p>
        </w:tc>
        <w:tc>
          <w:tcPr>
            <w:tcW w:w="708" w:type="pct"/>
            <w:vAlign w:val="center"/>
          </w:tcPr>
          <w:p w14:paraId="4536E9CD" w14:textId="77777777" w:rsidR="00BA4A65" w:rsidRPr="009974D1" w:rsidRDefault="00BA4A65" w:rsidP="00515F6A">
            <w:pPr>
              <w:keepNext/>
              <w:keepLines/>
              <w:spacing w:before="0"/>
              <w:jc w:val="center"/>
              <w:rPr>
                <w:rFonts w:ascii="Arial Narrow" w:hAnsi="Arial Narrow"/>
                <w:sz w:val="20"/>
                <w:szCs w:val="20"/>
              </w:rPr>
            </w:pPr>
            <w:r w:rsidRPr="009974D1">
              <w:rPr>
                <w:rFonts w:ascii="Arial Narrow" w:hAnsi="Arial Narrow"/>
                <w:sz w:val="20"/>
                <w:szCs w:val="20"/>
              </w:rPr>
              <w:t>-$1,</w:t>
            </w:r>
            <w:r>
              <w:rPr>
                <w:rFonts w:ascii="Arial Narrow" w:hAnsi="Arial Narrow"/>
                <w:sz w:val="20"/>
                <w:szCs w:val="20"/>
              </w:rPr>
              <w:t>984,023</w:t>
            </w:r>
          </w:p>
        </w:tc>
        <w:tc>
          <w:tcPr>
            <w:tcW w:w="628" w:type="pct"/>
            <w:vAlign w:val="center"/>
          </w:tcPr>
          <w:p w14:paraId="66B448D8" w14:textId="77777777" w:rsidR="00BA4A65" w:rsidRPr="009974D1" w:rsidRDefault="00BA4A65" w:rsidP="00515F6A">
            <w:pPr>
              <w:keepNext/>
              <w:keepLines/>
              <w:spacing w:before="0"/>
              <w:jc w:val="center"/>
              <w:rPr>
                <w:rFonts w:ascii="Arial Narrow" w:hAnsi="Arial Narrow"/>
                <w:sz w:val="20"/>
                <w:szCs w:val="20"/>
              </w:rPr>
            </w:pPr>
            <w:r w:rsidRPr="009974D1">
              <w:rPr>
                <w:rFonts w:ascii="Arial Narrow" w:hAnsi="Arial Narrow"/>
                <w:sz w:val="20"/>
                <w:szCs w:val="20"/>
              </w:rPr>
              <w:t>-$</w:t>
            </w:r>
            <w:r>
              <w:rPr>
                <w:rFonts w:ascii="Arial Narrow" w:hAnsi="Arial Narrow"/>
                <w:sz w:val="20"/>
                <w:szCs w:val="20"/>
              </w:rPr>
              <w:t>2,295,139</w:t>
            </w:r>
          </w:p>
        </w:tc>
        <w:tc>
          <w:tcPr>
            <w:tcW w:w="601" w:type="pct"/>
            <w:vAlign w:val="center"/>
          </w:tcPr>
          <w:p w14:paraId="2D5B6B79" w14:textId="77777777" w:rsidR="00BA4A65" w:rsidRPr="009974D1" w:rsidRDefault="00BA4A65" w:rsidP="00515F6A">
            <w:pPr>
              <w:keepNext/>
              <w:keepLines/>
              <w:spacing w:before="0"/>
              <w:jc w:val="center"/>
              <w:rPr>
                <w:rFonts w:ascii="Arial Narrow" w:hAnsi="Arial Narrow"/>
                <w:sz w:val="20"/>
                <w:szCs w:val="20"/>
              </w:rPr>
            </w:pPr>
            <w:r w:rsidRPr="009974D1">
              <w:rPr>
                <w:rFonts w:ascii="Arial Narrow" w:hAnsi="Arial Narrow"/>
                <w:sz w:val="20"/>
                <w:szCs w:val="20"/>
              </w:rPr>
              <w:t>-$</w:t>
            </w:r>
            <w:r>
              <w:rPr>
                <w:rFonts w:ascii="Arial Narrow" w:hAnsi="Arial Narrow"/>
                <w:sz w:val="20"/>
                <w:szCs w:val="20"/>
              </w:rPr>
              <w:t>2,295,139</w:t>
            </w:r>
          </w:p>
        </w:tc>
      </w:tr>
      <w:tr w:rsidR="00850967" w:rsidRPr="00B221AE" w14:paraId="4EEE955A" w14:textId="77777777" w:rsidTr="00850967">
        <w:tc>
          <w:tcPr>
            <w:tcW w:w="1806" w:type="pct"/>
            <w:vAlign w:val="center"/>
          </w:tcPr>
          <w:p w14:paraId="7D9A1F9B" w14:textId="77777777" w:rsidR="00BA4A65" w:rsidRPr="009974D1" w:rsidRDefault="00BA4A65" w:rsidP="00515F6A">
            <w:pPr>
              <w:keepNext/>
              <w:keepLines/>
              <w:spacing w:before="0"/>
              <w:rPr>
                <w:rFonts w:ascii="Arial Narrow" w:hAnsi="Arial Narrow"/>
                <w:b/>
                <w:sz w:val="20"/>
                <w:szCs w:val="20"/>
              </w:rPr>
            </w:pPr>
            <w:r w:rsidRPr="009974D1">
              <w:rPr>
                <w:rFonts w:ascii="Arial Narrow" w:hAnsi="Arial Narrow"/>
                <w:b/>
                <w:sz w:val="20"/>
                <w:szCs w:val="20"/>
              </w:rPr>
              <w:t>Net cost to MBS, 75% benefit</w:t>
            </w:r>
          </w:p>
        </w:tc>
        <w:tc>
          <w:tcPr>
            <w:tcW w:w="629" w:type="pct"/>
            <w:vAlign w:val="center"/>
          </w:tcPr>
          <w:p w14:paraId="1CBB835C" w14:textId="77777777" w:rsidR="00BA4A65" w:rsidRPr="009974D1" w:rsidRDefault="00BA4A65" w:rsidP="00515F6A">
            <w:pPr>
              <w:keepNext/>
              <w:keepLines/>
              <w:spacing w:before="0"/>
              <w:jc w:val="center"/>
              <w:rPr>
                <w:rFonts w:ascii="Arial Narrow" w:hAnsi="Arial Narrow"/>
                <w:sz w:val="20"/>
                <w:szCs w:val="20"/>
              </w:rPr>
            </w:pPr>
            <w:r w:rsidRPr="00EC6FAC">
              <w:rPr>
                <w:rFonts w:ascii="Arial Narrow" w:hAnsi="Arial Narrow" w:cs="Arial"/>
                <w:sz w:val="20"/>
                <w:szCs w:val="20"/>
              </w:rPr>
              <w:t>$</w:t>
            </w:r>
            <w:r w:rsidRPr="007D18A3">
              <w:rPr>
                <w:rFonts w:ascii="Arial Narrow" w:hAnsi="Arial Narrow" w:cs="Arial"/>
                <w:sz w:val="20"/>
                <w:szCs w:val="20"/>
              </w:rPr>
              <w:t>1</w:t>
            </w:r>
            <w:r>
              <w:rPr>
                <w:rFonts w:ascii="Arial Narrow" w:hAnsi="Arial Narrow" w:cs="Arial"/>
                <w:sz w:val="20"/>
                <w:szCs w:val="20"/>
              </w:rPr>
              <w:t>,461,305</w:t>
            </w:r>
          </w:p>
        </w:tc>
        <w:tc>
          <w:tcPr>
            <w:tcW w:w="628" w:type="pct"/>
            <w:vAlign w:val="center"/>
          </w:tcPr>
          <w:p w14:paraId="60AB123F" w14:textId="77777777" w:rsidR="00BA4A65" w:rsidRPr="009974D1" w:rsidRDefault="00BA4A65" w:rsidP="00515F6A">
            <w:pPr>
              <w:keepNext/>
              <w:keepLines/>
              <w:spacing w:before="0"/>
              <w:jc w:val="center"/>
              <w:rPr>
                <w:rFonts w:ascii="Arial Narrow" w:hAnsi="Arial Narrow"/>
                <w:sz w:val="20"/>
                <w:szCs w:val="20"/>
              </w:rPr>
            </w:pPr>
            <w:r w:rsidRPr="00EC6FAC">
              <w:rPr>
                <w:rFonts w:ascii="Arial Narrow" w:hAnsi="Arial Narrow" w:cs="Arial"/>
                <w:sz w:val="20"/>
                <w:szCs w:val="20"/>
              </w:rPr>
              <w:t>$</w:t>
            </w:r>
            <w:r w:rsidRPr="007D18A3">
              <w:rPr>
                <w:rFonts w:ascii="Arial Narrow" w:hAnsi="Arial Narrow" w:cs="Arial"/>
                <w:sz w:val="20"/>
                <w:szCs w:val="20"/>
              </w:rPr>
              <w:t>1,</w:t>
            </w:r>
            <w:r>
              <w:rPr>
                <w:rFonts w:ascii="Arial Narrow" w:hAnsi="Arial Narrow" w:cs="Arial"/>
                <w:sz w:val="20"/>
                <w:szCs w:val="20"/>
              </w:rPr>
              <w:t>878,222</w:t>
            </w:r>
          </w:p>
        </w:tc>
        <w:tc>
          <w:tcPr>
            <w:tcW w:w="708" w:type="pct"/>
            <w:vAlign w:val="center"/>
          </w:tcPr>
          <w:p w14:paraId="1DE7F313" w14:textId="77777777" w:rsidR="00BA4A65" w:rsidRPr="009974D1" w:rsidRDefault="00BA4A65" w:rsidP="00515F6A">
            <w:pPr>
              <w:keepNext/>
              <w:keepLines/>
              <w:spacing w:before="0"/>
              <w:jc w:val="center"/>
              <w:rPr>
                <w:rFonts w:ascii="Arial Narrow" w:hAnsi="Arial Narrow"/>
                <w:sz w:val="20"/>
                <w:szCs w:val="20"/>
              </w:rPr>
            </w:pPr>
            <w:r w:rsidRPr="00EC6FAC">
              <w:rPr>
                <w:rFonts w:ascii="Arial Narrow" w:hAnsi="Arial Narrow" w:cs="Arial"/>
                <w:sz w:val="20"/>
                <w:szCs w:val="20"/>
              </w:rPr>
              <w:t>$</w:t>
            </w:r>
            <w:r>
              <w:rPr>
                <w:rFonts w:ascii="Arial Narrow" w:hAnsi="Arial Narrow" w:cs="Arial"/>
                <w:sz w:val="20"/>
                <w:szCs w:val="20"/>
              </w:rPr>
              <w:t>2,295,139</w:t>
            </w:r>
          </w:p>
        </w:tc>
        <w:tc>
          <w:tcPr>
            <w:tcW w:w="628" w:type="pct"/>
            <w:vAlign w:val="center"/>
          </w:tcPr>
          <w:p w14:paraId="6664E0DD" w14:textId="77777777" w:rsidR="00BA4A65" w:rsidRPr="009974D1" w:rsidRDefault="00BA4A65" w:rsidP="00515F6A">
            <w:pPr>
              <w:keepNext/>
              <w:keepLines/>
              <w:spacing w:before="0"/>
              <w:jc w:val="center"/>
              <w:rPr>
                <w:rFonts w:ascii="Arial Narrow" w:hAnsi="Arial Narrow"/>
                <w:sz w:val="20"/>
                <w:szCs w:val="20"/>
              </w:rPr>
            </w:pPr>
            <w:r w:rsidRPr="00EC6FAC">
              <w:rPr>
                <w:rFonts w:ascii="Arial Narrow" w:hAnsi="Arial Narrow" w:cs="Arial"/>
                <w:sz w:val="20"/>
                <w:szCs w:val="20"/>
              </w:rPr>
              <w:t>$</w:t>
            </w:r>
            <w:r>
              <w:rPr>
                <w:rFonts w:ascii="Arial Narrow" w:hAnsi="Arial Narrow" w:cs="Arial"/>
                <w:sz w:val="20"/>
                <w:szCs w:val="20"/>
              </w:rPr>
              <w:t>3,128,974</w:t>
            </w:r>
          </w:p>
        </w:tc>
        <w:tc>
          <w:tcPr>
            <w:tcW w:w="601" w:type="pct"/>
            <w:vAlign w:val="center"/>
          </w:tcPr>
          <w:p w14:paraId="47136AA2" w14:textId="77777777" w:rsidR="00BA4A65" w:rsidRPr="009974D1" w:rsidRDefault="00BA4A65" w:rsidP="00515F6A">
            <w:pPr>
              <w:keepNext/>
              <w:keepLines/>
              <w:spacing w:before="0"/>
              <w:jc w:val="center"/>
              <w:rPr>
                <w:rFonts w:ascii="Arial Narrow" w:hAnsi="Arial Narrow"/>
                <w:sz w:val="20"/>
                <w:szCs w:val="20"/>
              </w:rPr>
            </w:pPr>
            <w:r w:rsidRPr="00EC6FAC">
              <w:rPr>
                <w:rFonts w:ascii="Arial Narrow" w:hAnsi="Arial Narrow" w:cs="Arial"/>
                <w:sz w:val="20"/>
                <w:szCs w:val="20"/>
              </w:rPr>
              <w:t>$</w:t>
            </w:r>
            <w:r>
              <w:rPr>
                <w:rFonts w:ascii="Arial Narrow" w:hAnsi="Arial Narrow" w:cs="Arial"/>
                <w:sz w:val="20"/>
                <w:szCs w:val="20"/>
              </w:rPr>
              <w:t>3,962,808</w:t>
            </w:r>
          </w:p>
        </w:tc>
      </w:tr>
    </w:tbl>
    <w:p w14:paraId="116717A1" w14:textId="77777777" w:rsidR="00914BF2" w:rsidRDefault="00BA4A65" w:rsidP="00515F6A">
      <w:pPr>
        <w:pStyle w:val="TableFigureFooter"/>
        <w:keepNext/>
        <w:keepLines/>
      </w:pPr>
      <w:r w:rsidRPr="00CD0D7F">
        <w:t>Abbreviations: ESG: endoscopic sleeve gastroplasty; LSG: laparoscopic sleeve gastrectomy; MBS: Medicare Benefits Schedule</w:t>
      </w:r>
      <w:r w:rsidR="00914BF2">
        <w:t xml:space="preserve">. </w:t>
      </w:r>
    </w:p>
    <w:p w14:paraId="3DA835BC" w14:textId="03B9B0D7" w:rsidR="00914BF2" w:rsidRPr="00B037FC" w:rsidRDefault="00914BF2" w:rsidP="00515F6A">
      <w:pPr>
        <w:pStyle w:val="TableFigureFooter"/>
        <w:keepNext/>
        <w:keepLines/>
      </w:pPr>
      <w:r>
        <w:t xml:space="preserve">Source: Post-ESC additional analysis conducted by the </w:t>
      </w:r>
      <w:r w:rsidR="00C22800">
        <w:t>assessment group</w:t>
      </w:r>
      <w:r>
        <w:t>.</w:t>
      </w:r>
    </w:p>
    <w:p w14:paraId="45785BD9" w14:textId="78F98CFB" w:rsidR="007139AB" w:rsidRDefault="00ED179C" w:rsidP="005264A6">
      <w:r>
        <w:t>E</w:t>
      </w:r>
      <w:r w:rsidRPr="2AA1CA0C">
        <w:t>stimatin</w:t>
      </w:r>
      <w:r>
        <w:t>g</w:t>
      </w:r>
      <w:r w:rsidRPr="2AA1CA0C">
        <w:t xml:space="preserve"> market </w:t>
      </w:r>
      <w:r w:rsidR="00237464" w:rsidRPr="2AA1CA0C">
        <w:t>growth</w:t>
      </w:r>
      <w:r w:rsidR="007139AB" w:rsidRPr="2AA1CA0C">
        <w:t xml:space="preserve"> as a percentage of </w:t>
      </w:r>
      <w:r w:rsidR="002A3C8F" w:rsidRPr="2AA1CA0C">
        <w:t xml:space="preserve">the existing bariatric surgery </w:t>
      </w:r>
      <w:r w:rsidR="00BA4904" w:rsidRPr="2AA1CA0C">
        <w:t xml:space="preserve">market </w:t>
      </w:r>
      <w:r w:rsidR="00237464" w:rsidRPr="2AA1CA0C">
        <w:t>further</w:t>
      </w:r>
      <w:r w:rsidR="007139AB" w:rsidRPr="2AA1CA0C">
        <w:t xml:space="preserve"> risks underestimating ESG utilisation.</w:t>
      </w:r>
      <w:r w:rsidR="00BA4904" w:rsidRPr="2AA1CA0C">
        <w:t xml:space="preserve"> There may </w:t>
      </w:r>
      <w:r w:rsidR="009C142C" w:rsidRPr="2AA1CA0C">
        <w:t>be</w:t>
      </w:r>
      <w:r w:rsidR="00BA4904" w:rsidRPr="2AA1CA0C">
        <w:t xml:space="preserve"> growth in the market size </w:t>
      </w:r>
      <w:r w:rsidR="009C142C" w:rsidRPr="2AA1CA0C">
        <w:t xml:space="preserve">due </w:t>
      </w:r>
      <w:r w:rsidR="00BA4904" w:rsidRPr="2AA1CA0C">
        <w:t xml:space="preserve">to both (1) the </w:t>
      </w:r>
      <w:r w:rsidR="0075088B" w:rsidRPr="2AA1CA0C">
        <w:t xml:space="preserve">expanded BMI eligibility for ESG (as opposed to the tighter restrictions which exist for current bariatric surgery items) and (2) </w:t>
      </w:r>
      <w:r w:rsidR="009C142C" w:rsidRPr="2AA1CA0C">
        <w:t>the increased acceptance of ESG relative to</w:t>
      </w:r>
      <w:r w:rsidR="00EB46F6" w:rsidRPr="2AA1CA0C">
        <w:t xml:space="preserve"> existing bariatric surgeries.</w:t>
      </w:r>
      <w:r w:rsidR="000F4358" w:rsidRPr="2AA1CA0C">
        <w:t xml:space="preserve"> </w:t>
      </w:r>
      <w:r w:rsidR="007139AB" w:rsidRPr="2AA1CA0C">
        <w:t xml:space="preserve">Expert advice provided in the PICO for Application 1555.1 was that 10–20% of eligible patients may be willing to undergo ESG, as </w:t>
      </w:r>
      <w:r w:rsidR="007139AB" w:rsidRPr="00380FC7">
        <w:t xml:space="preserve">opposed to </w:t>
      </w:r>
      <w:r w:rsidR="007E4668" w:rsidRPr="00380FC7">
        <w:rPr>
          <w:b/>
          <w:bCs/>
        </w:rPr>
        <w:t>redacted</w:t>
      </w:r>
      <w:r w:rsidR="007139AB" w:rsidRPr="00380FC7">
        <w:t>%</w:t>
      </w:r>
      <w:r w:rsidR="007139AB" w:rsidRPr="2AA1CA0C">
        <w:t xml:space="preserve"> who would consider bariatric surgery. </w:t>
      </w:r>
      <w:r w:rsidR="007A59E4" w:rsidRPr="2AA1CA0C">
        <w:t>This indicates the potential for considerable growth in the market size.</w:t>
      </w:r>
      <w:r w:rsidR="00881EBA" w:rsidRPr="2AA1CA0C">
        <w:t xml:space="preserve"> The</w:t>
      </w:r>
      <w:r w:rsidR="007139AB" w:rsidRPr="2AA1CA0C">
        <w:t xml:space="preserve"> PICO suggested approximately </w:t>
      </w:r>
      <w:r w:rsidR="007139AB" w:rsidRPr="00CE3C9C">
        <w:t>3,040</w:t>
      </w:r>
      <w:r w:rsidR="007139AB" w:rsidRPr="2AA1CA0C">
        <w:t xml:space="preserve"> procedures in year 4 after listing, with PASC noting that the expected utilisation may be higher than this.</w:t>
      </w:r>
      <w:r w:rsidR="00EB46F6" w:rsidRPr="2AA1CA0C">
        <w:t xml:space="preserve"> The number of patients estimated to receive ESG in year 4 in the ADAR was lower than this estimate</w:t>
      </w:r>
      <w:r w:rsidR="00EB46F6" w:rsidRPr="00380FC7">
        <w:t xml:space="preserve">, at </w:t>
      </w:r>
      <w:r w:rsidR="007E4668" w:rsidRPr="00380FC7">
        <w:rPr>
          <w:b/>
          <w:bCs/>
        </w:rPr>
        <w:t>redacted</w:t>
      </w:r>
      <w:r w:rsidR="007E4668" w:rsidRPr="2AA1CA0C">
        <w:t xml:space="preserve"> </w:t>
      </w:r>
      <w:r w:rsidR="00EB46F6" w:rsidRPr="2AA1CA0C">
        <w:t>patients.</w:t>
      </w:r>
    </w:p>
    <w:p w14:paraId="217D1C95" w14:textId="70BD4B34" w:rsidR="00F1547F" w:rsidRDefault="00AC4B5E" w:rsidP="00F1547F">
      <w:r>
        <w:t xml:space="preserve">Due to ESC raising concerns </w:t>
      </w:r>
      <w:r w:rsidR="00BC32F1">
        <w:t xml:space="preserve">about varying ESG procedure lengths, </w:t>
      </w:r>
      <w:r w:rsidR="00A76D47">
        <w:t xml:space="preserve">a </w:t>
      </w:r>
      <w:r w:rsidR="00BC32F1">
        <w:t>p</w:t>
      </w:r>
      <w:r w:rsidR="00F1547F">
        <w:t>ost-ESC sensitivity analysis</w:t>
      </w:r>
      <w:r w:rsidR="00BC32F1">
        <w:t xml:space="preserve"> has be</w:t>
      </w:r>
      <w:r w:rsidR="00A27B22">
        <w:t>en</w:t>
      </w:r>
      <w:r w:rsidR="00F1547F">
        <w:t xml:space="preserve"> conducted of the financial impact </w:t>
      </w:r>
      <w:r w:rsidR="00034AA6">
        <w:t>of differing anaesthesia time</w:t>
      </w:r>
      <w:r w:rsidR="00F1547F">
        <w:t xml:space="preserve"> </w:t>
      </w:r>
      <w:r w:rsidR="00034AA6">
        <w:t>for ESG</w:t>
      </w:r>
      <w:r w:rsidR="00A27B22">
        <w:t>. Results are</w:t>
      </w:r>
      <w:r w:rsidR="00F1547F">
        <w:t xml:space="preserve"> shown below in </w:t>
      </w:r>
      <w:r w:rsidR="008D0666">
        <w:fldChar w:fldCharType="begin"/>
      </w:r>
      <w:r w:rsidR="008D0666">
        <w:instrText xml:space="preserve"> REF _Ref191569150 \h </w:instrText>
      </w:r>
      <w:r w:rsidR="008D0666">
        <w:fldChar w:fldCharType="separate"/>
      </w:r>
      <w:r w:rsidR="008F37D1">
        <w:t xml:space="preserve">Table </w:t>
      </w:r>
      <w:r w:rsidR="008F37D1">
        <w:rPr>
          <w:noProof/>
        </w:rPr>
        <w:t>37</w:t>
      </w:r>
      <w:r w:rsidR="008D0666">
        <w:fldChar w:fldCharType="end"/>
      </w:r>
      <w:r w:rsidR="00F1547F">
        <w:t>.</w:t>
      </w:r>
    </w:p>
    <w:p w14:paraId="6DC5F863" w14:textId="38FC01D9" w:rsidR="00632172" w:rsidRPr="00CD0D7F" w:rsidRDefault="00632172" w:rsidP="00CD0D7F">
      <w:pPr>
        <w:pStyle w:val="Caption"/>
        <w:spacing w:after="40"/>
        <w:rPr>
          <w:i/>
          <w:iCs/>
        </w:rPr>
      </w:pPr>
      <w:bookmarkStart w:id="115" w:name="_Ref191569150"/>
      <w:r>
        <w:t xml:space="preserve">Table </w:t>
      </w:r>
      <w:r w:rsidR="00707F6D">
        <w:fldChar w:fldCharType="begin"/>
      </w:r>
      <w:r w:rsidR="00707F6D">
        <w:instrText xml:space="preserve"> SEQ Table \* ARABIC </w:instrText>
      </w:r>
      <w:r w:rsidR="00707F6D">
        <w:fldChar w:fldCharType="separate"/>
      </w:r>
      <w:r w:rsidR="008F37D1">
        <w:rPr>
          <w:noProof/>
        </w:rPr>
        <w:t>37</w:t>
      </w:r>
      <w:r w:rsidR="00707F6D">
        <w:rPr>
          <w:noProof/>
        </w:rPr>
        <w:fldChar w:fldCharType="end"/>
      </w:r>
      <w:bookmarkEnd w:id="115"/>
      <w:r>
        <w:t>:</w:t>
      </w:r>
      <w:r w:rsidRPr="00632172">
        <w:t xml:space="preserve"> </w:t>
      </w:r>
      <w:r w:rsidR="005D74F9">
        <w:t>Post-ESC sensitivity analysis on MBS anaesthesia items</w:t>
      </w:r>
    </w:p>
    <w:tbl>
      <w:tblPr>
        <w:tblStyle w:val="TableGrid"/>
        <w:tblW w:w="5000" w:type="pct"/>
        <w:tblLook w:val="04A0" w:firstRow="1" w:lastRow="0" w:firstColumn="1" w:lastColumn="0" w:noHBand="0" w:noVBand="1"/>
      </w:tblPr>
      <w:tblGrid>
        <w:gridCol w:w="2886"/>
        <w:gridCol w:w="1226"/>
        <w:gridCol w:w="1226"/>
        <w:gridCol w:w="1226"/>
        <w:gridCol w:w="1226"/>
        <w:gridCol w:w="1226"/>
      </w:tblGrid>
      <w:tr w:rsidR="002B1615" w:rsidRPr="000F157D" w14:paraId="0C276758" w14:textId="77777777">
        <w:tc>
          <w:tcPr>
            <w:tcW w:w="1600" w:type="pct"/>
          </w:tcPr>
          <w:p w14:paraId="4AEA9C5A" w14:textId="77777777" w:rsidR="002B1615" w:rsidRPr="000F157D" w:rsidRDefault="002B1615" w:rsidP="001814E4">
            <w:pPr>
              <w:spacing w:before="100" w:beforeAutospacing="1" w:after="100" w:afterAutospacing="1"/>
              <w:rPr>
                <w:rFonts w:ascii="Arial Narrow" w:hAnsi="Arial Narrow"/>
                <w:b/>
                <w:bCs/>
                <w:sz w:val="20"/>
                <w:szCs w:val="20"/>
              </w:rPr>
            </w:pPr>
            <w:r>
              <w:rPr>
                <w:rFonts w:ascii="Arial Narrow" w:hAnsi="Arial Narrow"/>
                <w:b/>
                <w:bCs/>
                <w:sz w:val="20"/>
                <w:szCs w:val="20"/>
              </w:rPr>
              <w:t>Condition/Year</w:t>
            </w:r>
          </w:p>
        </w:tc>
        <w:tc>
          <w:tcPr>
            <w:tcW w:w="680" w:type="pct"/>
          </w:tcPr>
          <w:p w14:paraId="257CF6EC" w14:textId="77777777" w:rsidR="002B1615" w:rsidRPr="000F157D" w:rsidRDefault="002B1615" w:rsidP="00850967">
            <w:pPr>
              <w:spacing w:before="100" w:beforeAutospacing="1" w:after="100" w:afterAutospacing="1"/>
              <w:jc w:val="center"/>
              <w:rPr>
                <w:rFonts w:ascii="Arial Narrow" w:hAnsi="Arial Narrow"/>
                <w:b/>
                <w:bCs/>
                <w:sz w:val="20"/>
                <w:szCs w:val="20"/>
              </w:rPr>
            </w:pPr>
            <w:r w:rsidRPr="000F157D">
              <w:rPr>
                <w:rFonts w:ascii="Arial Narrow" w:hAnsi="Arial Narrow"/>
                <w:b/>
                <w:bCs/>
                <w:sz w:val="20"/>
                <w:szCs w:val="20"/>
              </w:rPr>
              <w:t>Year 1</w:t>
            </w:r>
          </w:p>
        </w:tc>
        <w:tc>
          <w:tcPr>
            <w:tcW w:w="680" w:type="pct"/>
          </w:tcPr>
          <w:p w14:paraId="4619877D" w14:textId="77777777" w:rsidR="002B1615" w:rsidRPr="000F157D" w:rsidRDefault="002B1615" w:rsidP="00850967">
            <w:pPr>
              <w:spacing w:before="100" w:beforeAutospacing="1" w:after="100" w:afterAutospacing="1"/>
              <w:jc w:val="center"/>
              <w:rPr>
                <w:rFonts w:ascii="Arial Narrow" w:hAnsi="Arial Narrow"/>
                <w:b/>
                <w:bCs/>
                <w:sz w:val="20"/>
                <w:szCs w:val="20"/>
              </w:rPr>
            </w:pPr>
            <w:r w:rsidRPr="000F157D">
              <w:rPr>
                <w:rFonts w:ascii="Arial Narrow" w:hAnsi="Arial Narrow"/>
                <w:b/>
                <w:bCs/>
                <w:sz w:val="20"/>
                <w:szCs w:val="20"/>
              </w:rPr>
              <w:t>Year 2</w:t>
            </w:r>
          </w:p>
        </w:tc>
        <w:tc>
          <w:tcPr>
            <w:tcW w:w="680" w:type="pct"/>
          </w:tcPr>
          <w:p w14:paraId="5C6F9263" w14:textId="77777777" w:rsidR="002B1615" w:rsidRPr="000F157D" w:rsidRDefault="002B1615" w:rsidP="00850967">
            <w:pPr>
              <w:spacing w:before="100" w:beforeAutospacing="1" w:after="100" w:afterAutospacing="1"/>
              <w:jc w:val="center"/>
              <w:rPr>
                <w:rFonts w:ascii="Arial Narrow" w:hAnsi="Arial Narrow"/>
                <w:b/>
                <w:bCs/>
                <w:sz w:val="20"/>
                <w:szCs w:val="20"/>
              </w:rPr>
            </w:pPr>
            <w:r w:rsidRPr="000F157D">
              <w:rPr>
                <w:rFonts w:ascii="Arial Narrow" w:hAnsi="Arial Narrow"/>
                <w:b/>
                <w:bCs/>
                <w:sz w:val="20"/>
                <w:szCs w:val="20"/>
              </w:rPr>
              <w:t>Year 3</w:t>
            </w:r>
          </w:p>
        </w:tc>
        <w:tc>
          <w:tcPr>
            <w:tcW w:w="680" w:type="pct"/>
          </w:tcPr>
          <w:p w14:paraId="3F4FC0D9" w14:textId="77777777" w:rsidR="002B1615" w:rsidRPr="000F157D" w:rsidRDefault="002B1615" w:rsidP="00850967">
            <w:pPr>
              <w:spacing w:before="100" w:beforeAutospacing="1" w:after="100" w:afterAutospacing="1"/>
              <w:jc w:val="center"/>
              <w:rPr>
                <w:rFonts w:ascii="Arial Narrow" w:hAnsi="Arial Narrow"/>
                <w:b/>
                <w:bCs/>
                <w:sz w:val="20"/>
                <w:szCs w:val="20"/>
              </w:rPr>
            </w:pPr>
            <w:r w:rsidRPr="000F157D">
              <w:rPr>
                <w:rFonts w:ascii="Arial Narrow" w:hAnsi="Arial Narrow"/>
                <w:b/>
                <w:bCs/>
                <w:sz w:val="20"/>
                <w:szCs w:val="20"/>
              </w:rPr>
              <w:t>Year 4</w:t>
            </w:r>
          </w:p>
        </w:tc>
        <w:tc>
          <w:tcPr>
            <w:tcW w:w="680" w:type="pct"/>
          </w:tcPr>
          <w:p w14:paraId="71A61959" w14:textId="77777777" w:rsidR="002B1615" w:rsidRPr="000F157D" w:rsidRDefault="002B1615" w:rsidP="00850967">
            <w:pPr>
              <w:spacing w:before="100" w:beforeAutospacing="1" w:after="100" w:afterAutospacing="1"/>
              <w:jc w:val="center"/>
              <w:rPr>
                <w:rFonts w:ascii="Arial Narrow" w:hAnsi="Arial Narrow"/>
                <w:b/>
                <w:bCs/>
                <w:sz w:val="20"/>
                <w:szCs w:val="20"/>
              </w:rPr>
            </w:pPr>
            <w:r w:rsidRPr="000F157D">
              <w:rPr>
                <w:rFonts w:ascii="Arial Narrow" w:hAnsi="Arial Narrow"/>
                <w:b/>
                <w:bCs/>
                <w:sz w:val="20"/>
                <w:szCs w:val="20"/>
              </w:rPr>
              <w:t>Year 5</w:t>
            </w:r>
          </w:p>
        </w:tc>
      </w:tr>
      <w:tr w:rsidR="002B1615" w:rsidRPr="000F157D" w14:paraId="43FED66F" w14:textId="77777777">
        <w:tc>
          <w:tcPr>
            <w:tcW w:w="5000" w:type="pct"/>
            <w:gridSpan w:val="6"/>
          </w:tcPr>
          <w:p w14:paraId="5EB43FC2" w14:textId="77777777" w:rsidR="002B1615" w:rsidRPr="000F157D" w:rsidRDefault="002B1615" w:rsidP="001814E4">
            <w:pPr>
              <w:spacing w:before="100" w:beforeAutospacing="1" w:after="100" w:afterAutospacing="1"/>
              <w:rPr>
                <w:rFonts w:ascii="Arial Narrow" w:hAnsi="Arial Narrow"/>
                <w:b/>
                <w:bCs/>
                <w:sz w:val="20"/>
                <w:szCs w:val="20"/>
              </w:rPr>
            </w:pPr>
            <w:r w:rsidRPr="000F157D">
              <w:rPr>
                <w:rFonts w:ascii="Arial Narrow" w:hAnsi="Arial Narrow"/>
                <w:b/>
                <w:bCs/>
                <w:sz w:val="20"/>
                <w:szCs w:val="20"/>
              </w:rPr>
              <w:t>Base case</w:t>
            </w:r>
          </w:p>
        </w:tc>
      </w:tr>
      <w:tr w:rsidR="002B1615" w:rsidRPr="000F157D" w14:paraId="0C2259C0" w14:textId="77777777">
        <w:tc>
          <w:tcPr>
            <w:tcW w:w="1600" w:type="pct"/>
          </w:tcPr>
          <w:p w14:paraId="22753BD0" w14:textId="77777777" w:rsidR="002B1615" w:rsidRPr="000F157D" w:rsidRDefault="002B1615" w:rsidP="001814E4">
            <w:pPr>
              <w:spacing w:before="100" w:beforeAutospacing="1" w:after="100" w:afterAutospacing="1"/>
              <w:rPr>
                <w:rFonts w:ascii="Arial Narrow" w:hAnsi="Arial Narrow"/>
                <w:sz w:val="20"/>
                <w:szCs w:val="20"/>
              </w:rPr>
            </w:pPr>
            <w:r w:rsidRPr="000F157D">
              <w:rPr>
                <w:rFonts w:ascii="Arial Narrow" w:hAnsi="Arial Narrow"/>
                <w:sz w:val="20"/>
                <w:szCs w:val="20"/>
              </w:rPr>
              <w:t>Total ESG cost to MBS, 75% benefit</w:t>
            </w:r>
          </w:p>
        </w:tc>
        <w:tc>
          <w:tcPr>
            <w:tcW w:w="680" w:type="pct"/>
          </w:tcPr>
          <w:p w14:paraId="06846C17" w14:textId="77777777" w:rsidR="002B1615" w:rsidRPr="000F157D" w:rsidRDefault="002B1615" w:rsidP="00850967">
            <w:pPr>
              <w:spacing w:before="100" w:beforeAutospacing="1" w:after="100" w:afterAutospacing="1"/>
              <w:jc w:val="right"/>
              <w:rPr>
                <w:rFonts w:ascii="Arial Narrow" w:hAnsi="Arial Narrow"/>
                <w:sz w:val="20"/>
                <w:szCs w:val="20"/>
              </w:rPr>
            </w:pPr>
            <w:r>
              <w:rPr>
                <w:rFonts w:ascii="Arial Narrow" w:hAnsi="Arial Narrow"/>
                <w:sz w:val="20"/>
                <w:szCs w:val="20"/>
              </w:rPr>
              <w:t>$2,068,959</w:t>
            </w:r>
          </w:p>
        </w:tc>
        <w:tc>
          <w:tcPr>
            <w:tcW w:w="680" w:type="pct"/>
          </w:tcPr>
          <w:p w14:paraId="21335372" w14:textId="77777777" w:rsidR="002B1615" w:rsidRPr="000F157D" w:rsidRDefault="002B1615" w:rsidP="00850967">
            <w:pPr>
              <w:spacing w:before="100" w:beforeAutospacing="1" w:after="100" w:afterAutospacing="1"/>
              <w:jc w:val="right"/>
              <w:rPr>
                <w:rFonts w:ascii="Arial Narrow" w:hAnsi="Arial Narrow"/>
                <w:sz w:val="20"/>
                <w:szCs w:val="20"/>
              </w:rPr>
            </w:pPr>
            <w:r>
              <w:rPr>
                <w:rFonts w:ascii="Arial Narrow" w:hAnsi="Arial Narrow"/>
                <w:sz w:val="20"/>
                <w:szCs w:val="20"/>
              </w:rPr>
              <w:t>$2,602,513</w:t>
            </w:r>
          </w:p>
        </w:tc>
        <w:tc>
          <w:tcPr>
            <w:tcW w:w="680" w:type="pct"/>
          </w:tcPr>
          <w:p w14:paraId="491512E2" w14:textId="77777777" w:rsidR="002B1615" w:rsidRPr="000F157D" w:rsidRDefault="002B1615" w:rsidP="00850967">
            <w:pPr>
              <w:spacing w:before="100" w:beforeAutospacing="1" w:after="100" w:afterAutospacing="1"/>
              <w:jc w:val="right"/>
              <w:rPr>
                <w:rFonts w:ascii="Arial Narrow" w:hAnsi="Arial Narrow"/>
                <w:sz w:val="20"/>
                <w:szCs w:val="20"/>
              </w:rPr>
            </w:pPr>
            <w:r>
              <w:rPr>
                <w:rFonts w:ascii="Arial Narrow" w:hAnsi="Arial Narrow"/>
                <w:sz w:val="20"/>
                <w:szCs w:val="20"/>
              </w:rPr>
              <w:t>$3,136,066</w:t>
            </w:r>
          </w:p>
        </w:tc>
        <w:tc>
          <w:tcPr>
            <w:tcW w:w="680" w:type="pct"/>
          </w:tcPr>
          <w:p w14:paraId="4882331B" w14:textId="77777777" w:rsidR="002B1615" w:rsidRPr="000F157D" w:rsidRDefault="002B1615" w:rsidP="00850967">
            <w:pPr>
              <w:spacing w:before="100" w:beforeAutospacing="1" w:after="100" w:afterAutospacing="1"/>
              <w:jc w:val="right"/>
              <w:rPr>
                <w:rFonts w:ascii="Arial Narrow" w:hAnsi="Arial Narrow"/>
                <w:sz w:val="20"/>
                <w:szCs w:val="20"/>
              </w:rPr>
            </w:pPr>
            <w:r>
              <w:rPr>
                <w:rFonts w:ascii="Arial Narrow" w:hAnsi="Arial Narrow"/>
                <w:sz w:val="20"/>
                <w:szCs w:val="20"/>
              </w:rPr>
              <w:t>$3,975,166</w:t>
            </w:r>
          </w:p>
        </w:tc>
        <w:tc>
          <w:tcPr>
            <w:tcW w:w="680" w:type="pct"/>
          </w:tcPr>
          <w:p w14:paraId="45EF65D4" w14:textId="77777777" w:rsidR="002B1615" w:rsidRPr="000F157D" w:rsidRDefault="002B1615" w:rsidP="00850967">
            <w:pPr>
              <w:spacing w:before="100" w:beforeAutospacing="1" w:after="100" w:afterAutospacing="1"/>
              <w:jc w:val="right"/>
              <w:rPr>
                <w:rFonts w:ascii="Arial Narrow" w:hAnsi="Arial Narrow"/>
                <w:sz w:val="20"/>
                <w:szCs w:val="20"/>
              </w:rPr>
            </w:pPr>
            <w:r>
              <w:rPr>
                <w:rFonts w:ascii="Arial Narrow" w:hAnsi="Arial Narrow"/>
                <w:sz w:val="20"/>
                <w:szCs w:val="20"/>
              </w:rPr>
              <w:t>$4,586,257</w:t>
            </w:r>
          </w:p>
        </w:tc>
      </w:tr>
      <w:tr w:rsidR="002B1615" w:rsidRPr="000F157D" w14:paraId="23FA793A" w14:textId="77777777">
        <w:tc>
          <w:tcPr>
            <w:tcW w:w="1600" w:type="pct"/>
          </w:tcPr>
          <w:p w14:paraId="1CD9C529" w14:textId="77777777" w:rsidR="002B1615" w:rsidRPr="000F157D" w:rsidRDefault="002B1615" w:rsidP="001814E4">
            <w:pPr>
              <w:spacing w:before="100" w:beforeAutospacing="1" w:after="100" w:afterAutospacing="1"/>
              <w:rPr>
                <w:rFonts w:ascii="Arial Narrow" w:hAnsi="Arial Narrow"/>
                <w:sz w:val="20"/>
                <w:szCs w:val="20"/>
                <w:highlight w:val="yellow"/>
              </w:rPr>
            </w:pPr>
            <w:r w:rsidRPr="000F157D">
              <w:rPr>
                <w:rFonts w:ascii="Arial Narrow" w:hAnsi="Arial Narrow"/>
                <w:sz w:val="20"/>
                <w:szCs w:val="20"/>
              </w:rPr>
              <w:t>Net cost to MBS, 75% benefit</w:t>
            </w:r>
          </w:p>
        </w:tc>
        <w:tc>
          <w:tcPr>
            <w:tcW w:w="680" w:type="pct"/>
          </w:tcPr>
          <w:p w14:paraId="696D8863"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$1,070,946</w:t>
            </w:r>
          </w:p>
        </w:tc>
        <w:tc>
          <w:tcPr>
            <w:tcW w:w="680" w:type="pct"/>
          </w:tcPr>
          <w:p w14:paraId="2A163DA5"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$1,376,491</w:t>
            </w:r>
          </w:p>
        </w:tc>
        <w:tc>
          <w:tcPr>
            <w:tcW w:w="680" w:type="pct"/>
          </w:tcPr>
          <w:p w14:paraId="3247AA33"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$1,682,037</w:t>
            </w:r>
          </w:p>
        </w:tc>
        <w:tc>
          <w:tcPr>
            <w:tcW w:w="680" w:type="pct"/>
          </w:tcPr>
          <w:p w14:paraId="02593668"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$2,293,129</w:t>
            </w:r>
          </w:p>
        </w:tc>
        <w:tc>
          <w:tcPr>
            <w:tcW w:w="680" w:type="pct"/>
          </w:tcPr>
          <w:p w14:paraId="3388D906"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$2,904,220</w:t>
            </w:r>
          </w:p>
        </w:tc>
      </w:tr>
      <w:tr w:rsidR="002B1615" w:rsidRPr="002E01A7" w14:paraId="10BA41AA" w14:textId="77777777">
        <w:tc>
          <w:tcPr>
            <w:tcW w:w="5000" w:type="pct"/>
            <w:gridSpan w:val="6"/>
          </w:tcPr>
          <w:p w14:paraId="5B095978" w14:textId="77777777" w:rsidR="002B1615" w:rsidRPr="0080320D" w:rsidRDefault="002B1615" w:rsidP="001814E4">
            <w:pPr>
              <w:spacing w:before="100" w:beforeAutospacing="1" w:after="100" w:afterAutospacing="1"/>
              <w:rPr>
                <w:rFonts w:ascii="Arial Narrow" w:hAnsi="Arial Narrow"/>
                <w:sz w:val="20"/>
                <w:szCs w:val="20"/>
              </w:rPr>
            </w:pPr>
            <w:r w:rsidRPr="002E01A7">
              <w:rPr>
                <w:rFonts w:ascii="Arial Narrow" w:hAnsi="Arial Narrow"/>
                <w:b/>
                <w:sz w:val="20"/>
                <w:szCs w:val="20"/>
              </w:rPr>
              <w:t>Use item 23045 for ESG</w:t>
            </w:r>
          </w:p>
        </w:tc>
      </w:tr>
      <w:tr w:rsidR="002B1615" w:rsidRPr="000F157D" w14:paraId="0FC94FAD" w14:textId="77777777">
        <w:tc>
          <w:tcPr>
            <w:tcW w:w="1600" w:type="pct"/>
          </w:tcPr>
          <w:p w14:paraId="5475CDE7" w14:textId="77777777" w:rsidR="002B1615" w:rsidRPr="000F157D" w:rsidRDefault="002B1615" w:rsidP="001814E4">
            <w:pPr>
              <w:spacing w:before="100" w:beforeAutospacing="1" w:after="100" w:afterAutospacing="1"/>
              <w:rPr>
                <w:rFonts w:ascii="Arial Narrow" w:hAnsi="Arial Narrow"/>
                <w:b/>
                <w:sz w:val="20"/>
                <w:szCs w:val="20"/>
              </w:rPr>
            </w:pPr>
            <w:r w:rsidRPr="000F157D">
              <w:rPr>
                <w:rFonts w:ascii="Arial Narrow" w:hAnsi="Arial Narrow"/>
                <w:sz w:val="20"/>
                <w:szCs w:val="20"/>
              </w:rPr>
              <w:t>Total ESG cost to MBS, 75% benefit</w:t>
            </w:r>
          </w:p>
        </w:tc>
        <w:tc>
          <w:tcPr>
            <w:tcW w:w="680" w:type="pct"/>
          </w:tcPr>
          <w:p w14:paraId="46690B22"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$2,089,760</w:t>
            </w:r>
          </w:p>
        </w:tc>
        <w:tc>
          <w:tcPr>
            <w:tcW w:w="680" w:type="pct"/>
          </w:tcPr>
          <w:p w14:paraId="46DCE6A0"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$2,628,678</w:t>
            </w:r>
          </w:p>
        </w:tc>
        <w:tc>
          <w:tcPr>
            <w:tcW w:w="680" w:type="pct"/>
          </w:tcPr>
          <w:p w14:paraId="238868B6"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$3,167,596</w:t>
            </w:r>
          </w:p>
        </w:tc>
        <w:tc>
          <w:tcPr>
            <w:tcW w:w="680" w:type="pct"/>
          </w:tcPr>
          <w:p w14:paraId="4325C6C3"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$4,015,131</w:t>
            </w:r>
          </w:p>
        </w:tc>
        <w:tc>
          <w:tcPr>
            <w:tcW w:w="680" w:type="pct"/>
          </w:tcPr>
          <w:p w14:paraId="1B470CF8"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$4,632,366</w:t>
            </w:r>
          </w:p>
        </w:tc>
      </w:tr>
      <w:tr w:rsidR="002B1615" w:rsidRPr="000F157D" w14:paraId="44D30C7B" w14:textId="77777777">
        <w:tc>
          <w:tcPr>
            <w:tcW w:w="1600" w:type="pct"/>
          </w:tcPr>
          <w:p w14:paraId="3902618F" w14:textId="77777777" w:rsidR="002B1615" w:rsidRPr="000F157D" w:rsidRDefault="002B1615" w:rsidP="001814E4">
            <w:pPr>
              <w:spacing w:before="100" w:beforeAutospacing="1" w:after="100" w:afterAutospacing="1"/>
              <w:rPr>
                <w:rFonts w:ascii="Arial Narrow" w:hAnsi="Arial Narrow"/>
                <w:b/>
                <w:sz w:val="20"/>
                <w:szCs w:val="20"/>
              </w:rPr>
            </w:pPr>
            <w:r w:rsidRPr="000F157D">
              <w:rPr>
                <w:rFonts w:ascii="Arial Narrow" w:hAnsi="Arial Narrow"/>
                <w:sz w:val="20"/>
                <w:szCs w:val="20"/>
              </w:rPr>
              <w:t>Net cost to MBS, 75% benefit</w:t>
            </w:r>
          </w:p>
        </w:tc>
        <w:tc>
          <w:tcPr>
            <w:tcW w:w="680" w:type="pct"/>
          </w:tcPr>
          <w:p w14:paraId="2B659041"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$1,091,746</w:t>
            </w:r>
          </w:p>
        </w:tc>
        <w:tc>
          <w:tcPr>
            <w:tcW w:w="680" w:type="pct"/>
          </w:tcPr>
          <w:p w14:paraId="725BD744"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$1,402,656</w:t>
            </w:r>
          </w:p>
        </w:tc>
        <w:tc>
          <w:tcPr>
            <w:tcW w:w="680" w:type="pct"/>
          </w:tcPr>
          <w:p w14:paraId="485E3ABF"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$1,713,566</w:t>
            </w:r>
          </w:p>
        </w:tc>
        <w:tc>
          <w:tcPr>
            <w:tcW w:w="680" w:type="pct"/>
          </w:tcPr>
          <w:p w14:paraId="620092B8"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$2,333,094</w:t>
            </w:r>
          </w:p>
        </w:tc>
        <w:tc>
          <w:tcPr>
            <w:tcW w:w="680" w:type="pct"/>
          </w:tcPr>
          <w:p w14:paraId="4B0974CF"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$2,950,329</w:t>
            </w:r>
          </w:p>
        </w:tc>
      </w:tr>
      <w:tr w:rsidR="002B1615" w:rsidRPr="002E01A7" w14:paraId="65DE6FF2" w14:textId="77777777">
        <w:tc>
          <w:tcPr>
            <w:tcW w:w="5000" w:type="pct"/>
            <w:gridSpan w:val="6"/>
          </w:tcPr>
          <w:p w14:paraId="6F929802" w14:textId="77777777" w:rsidR="002B1615" w:rsidRPr="0080320D" w:rsidRDefault="002B1615" w:rsidP="001814E4">
            <w:pPr>
              <w:spacing w:before="100" w:beforeAutospacing="1" w:after="100" w:afterAutospacing="1"/>
              <w:rPr>
                <w:rFonts w:ascii="Arial Narrow" w:hAnsi="Arial Narrow"/>
                <w:sz w:val="20"/>
                <w:szCs w:val="20"/>
              </w:rPr>
            </w:pPr>
            <w:r w:rsidRPr="002E01A7">
              <w:rPr>
                <w:rFonts w:ascii="Arial Narrow" w:hAnsi="Arial Narrow"/>
                <w:b/>
                <w:bCs/>
                <w:sz w:val="20"/>
                <w:szCs w:val="20"/>
              </w:rPr>
              <w:t>Use item 230</w:t>
            </w:r>
            <w:r>
              <w:rPr>
                <w:rFonts w:ascii="Arial Narrow" w:hAnsi="Arial Narrow"/>
                <w:b/>
                <w:bCs/>
                <w:sz w:val="20"/>
                <w:szCs w:val="20"/>
              </w:rPr>
              <w:t>5</w:t>
            </w:r>
            <w:r w:rsidRPr="002E01A7">
              <w:rPr>
                <w:rFonts w:ascii="Arial Narrow" w:hAnsi="Arial Narrow"/>
                <w:b/>
                <w:bCs/>
                <w:sz w:val="20"/>
                <w:szCs w:val="20"/>
              </w:rPr>
              <w:t>5 for ESG</w:t>
            </w:r>
          </w:p>
        </w:tc>
      </w:tr>
      <w:tr w:rsidR="002B1615" w:rsidRPr="000F157D" w14:paraId="5729047C" w14:textId="77777777">
        <w:tc>
          <w:tcPr>
            <w:tcW w:w="1600" w:type="pct"/>
          </w:tcPr>
          <w:p w14:paraId="2179946C" w14:textId="77777777" w:rsidR="002B1615" w:rsidRPr="000F157D" w:rsidRDefault="002B1615" w:rsidP="001814E4">
            <w:pPr>
              <w:spacing w:before="100" w:beforeAutospacing="1" w:after="100" w:afterAutospacing="1"/>
              <w:rPr>
                <w:rFonts w:ascii="Arial Narrow" w:hAnsi="Arial Narrow"/>
                <w:b/>
                <w:sz w:val="20"/>
                <w:szCs w:val="20"/>
              </w:rPr>
            </w:pPr>
            <w:r w:rsidRPr="000F157D">
              <w:rPr>
                <w:rFonts w:ascii="Arial Narrow" w:hAnsi="Arial Narrow"/>
                <w:sz w:val="20"/>
                <w:szCs w:val="20"/>
              </w:rPr>
              <w:t>Total ESG cost to MBS, 75% benefit</w:t>
            </w:r>
          </w:p>
        </w:tc>
        <w:tc>
          <w:tcPr>
            <w:tcW w:w="680" w:type="pct"/>
          </w:tcPr>
          <w:p w14:paraId="503FB03A"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$2,110,558</w:t>
            </w:r>
          </w:p>
        </w:tc>
        <w:tc>
          <w:tcPr>
            <w:tcW w:w="680" w:type="pct"/>
          </w:tcPr>
          <w:p w14:paraId="3658755E"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$2,654,839</w:t>
            </w:r>
          </w:p>
        </w:tc>
        <w:tc>
          <w:tcPr>
            <w:tcW w:w="680" w:type="pct"/>
          </w:tcPr>
          <w:p w14:paraId="7A9B57E2"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$3,199,120</w:t>
            </w:r>
          </w:p>
        </w:tc>
        <w:tc>
          <w:tcPr>
            <w:tcW w:w="680" w:type="pct"/>
          </w:tcPr>
          <w:p w14:paraId="348776E8"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$4,055,090</w:t>
            </w:r>
          </w:p>
        </w:tc>
        <w:tc>
          <w:tcPr>
            <w:tcW w:w="680" w:type="pct"/>
          </w:tcPr>
          <w:p w14:paraId="4BE97B39"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$4,678,468</w:t>
            </w:r>
          </w:p>
        </w:tc>
      </w:tr>
      <w:tr w:rsidR="002B1615" w:rsidRPr="000F157D" w14:paraId="700B1637" w14:textId="77777777">
        <w:tc>
          <w:tcPr>
            <w:tcW w:w="1600" w:type="pct"/>
          </w:tcPr>
          <w:p w14:paraId="5B9DED86" w14:textId="77777777" w:rsidR="002B1615" w:rsidRPr="000F157D" w:rsidRDefault="002B1615" w:rsidP="001814E4">
            <w:pPr>
              <w:spacing w:before="100" w:beforeAutospacing="1" w:after="100" w:afterAutospacing="1"/>
              <w:rPr>
                <w:rFonts w:ascii="Arial Narrow" w:hAnsi="Arial Narrow"/>
                <w:b/>
                <w:sz w:val="20"/>
                <w:szCs w:val="20"/>
              </w:rPr>
            </w:pPr>
            <w:r w:rsidRPr="000F157D">
              <w:rPr>
                <w:rFonts w:ascii="Arial Narrow" w:hAnsi="Arial Narrow"/>
                <w:sz w:val="20"/>
                <w:szCs w:val="20"/>
              </w:rPr>
              <w:t>Net cost to MBS, 75% benefit</w:t>
            </w:r>
          </w:p>
        </w:tc>
        <w:tc>
          <w:tcPr>
            <w:tcW w:w="680" w:type="pct"/>
          </w:tcPr>
          <w:p w14:paraId="54AE1DC5"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$1,112,544</w:t>
            </w:r>
          </w:p>
        </w:tc>
        <w:tc>
          <w:tcPr>
            <w:tcW w:w="680" w:type="pct"/>
          </w:tcPr>
          <w:p w14:paraId="36B90494"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$1,428,817</w:t>
            </w:r>
          </w:p>
        </w:tc>
        <w:tc>
          <w:tcPr>
            <w:tcW w:w="680" w:type="pct"/>
          </w:tcPr>
          <w:p w14:paraId="72F17ED3"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$1,745,091</w:t>
            </w:r>
          </w:p>
        </w:tc>
        <w:tc>
          <w:tcPr>
            <w:tcW w:w="680" w:type="pct"/>
          </w:tcPr>
          <w:p w14:paraId="359B556C"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$2,373,053</w:t>
            </w:r>
          </w:p>
        </w:tc>
        <w:tc>
          <w:tcPr>
            <w:tcW w:w="680" w:type="pct"/>
          </w:tcPr>
          <w:p w14:paraId="2328D1F3"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$2,996,431</w:t>
            </w:r>
          </w:p>
        </w:tc>
      </w:tr>
      <w:tr w:rsidR="002B1615" w:rsidRPr="002E01A7" w14:paraId="2884C4C2" w14:textId="77777777">
        <w:tc>
          <w:tcPr>
            <w:tcW w:w="5000" w:type="pct"/>
            <w:gridSpan w:val="6"/>
          </w:tcPr>
          <w:p w14:paraId="74602BFF" w14:textId="77777777" w:rsidR="002B1615" w:rsidRPr="0080320D" w:rsidRDefault="002B1615" w:rsidP="001814E4">
            <w:pPr>
              <w:spacing w:before="100" w:beforeAutospacing="1" w:after="100" w:afterAutospacing="1"/>
              <w:rPr>
                <w:rFonts w:ascii="Arial Narrow" w:hAnsi="Arial Narrow"/>
                <w:sz w:val="20"/>
                <w:szCs w:val="20"/>
              </w:rPr>
            </w:pPr>
            <w:r w:rsidRPr="002E01A7">
              <w:rPr>
                <w:rFonts w:ascii="Arial Narrow" w:hAnsi="Arial Narrow"/>
                <w:b/>
                <w:bCs/>
                <w:sz w:val="20"/>
                <w:szCs w:val="20"/>
              </w:rPr>
              <w:t>Use item 230</w:t>
            </w:r>
            <w:r>
              <w:rPr>
                <w:rFonts w:ascii="Arial Narrow" w:hAnsi="Arial Narrow"/>
                <w:b/>
                <w:bCs/>
                <w:sz w:val="20"/>
                <w:szCs w:val="20"/>
              </w:rPr>
              <w:t>6</w:t>
            </w:r>
            <w:r w:rsidRPr="002E01A7">
              <w:rPr>
                <w:rFonts w:ascii="Arial Narrow" w:hAnsi="Arial Narrow"/>
                <w:b/>
                <w:bCs/>
                <w:sz w:val="20"/>
                <w:szCs w:val="20"/>
              </w:rPr>
              <w:t>5 for ESG</w:t>
            </w:r>
          </w:p>
        </w:tc>
      </w:tr>
      <w:tr w:rsidR="002B1615" w:rsidRPr="000F157D" w14:paraId="2671CEBB" w14:textId="77777777">
        <w:tc>
          <w:tcPr>
            <w:tcW w:w="1600" w:type="pct"/>
          </w:tcPr>
          <w:p w14:paraId="087D0858" w14:textId="77777777" w:rsidR="002B1615" w:rsidRPr="000F157D" w:rsidRDefault="002B1615" w:rsidP="001814E4">
            <w:pPr>
              <w:spacing w:before="100" w:beforeAutospacing="1" w:after="100" w:afterAutospacing="1"/>
              <w:rPr>
                <w:rFonts w:ascii="Arial Narrow" w:hAnsi="Arial Narrow"/>
                <w:b/>
                <w:sz w:val="20"/>
                <w:szCs w:val="20"/>
              </w:rPr>
            </w:pPr>
            <w:r w:rsidRPr="000F157D">
              <w:rPr>
                <w:rFonts w:ascii="Arial Narrow" w:hAnsi="Arial Narrow"/>
                <w:sz w:val="20"/>
                <w:szCs w:val="20"/>
              </w:rPr>
              <w:t>Total ESG cost to MBS, 75% benefit</w:t>
            </w:r>
          </w:p>
        </w:tc>
        <w:tc>
          <w:tcPr>
            <w:tcW w:w="680" w:type="pct"/>
          </w:tcPr>
          <w:p w14:paraId="3FB5BE7B"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$2,131,368</w:t>
            </w:r>
          </w:p>
        </w:tc>
        <w:tc>
          <w:tcPr>
            <w:tcW w:w="680" w:type="pct"/>
          </w:tcPr>
          <w:p w14:paraId="3A595C76"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$2,681,015</w:t>
            </w:r>
          </w:p>
        </w:tc>
        <w:tc>
          <w:tcPr>
            <w:tcW w:w="680" w:type="pct"/>
          </w:tcPr>
          <w:p w14:paraId="113CE44D"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$3,230,663</w:t>
            </w:r>
          </w:p>
        </w:tc>
        <w:tc>
          <w:tcPr>
            <w:tcW w:w="680" w:type="pct"/>
          </w:tcPr>
          <w:p w14:paraId="680F11BF"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$4,095,073</w:t>
            </w:r>
          </w:p>
        </w:tc>
        <w:tc>
          <w:tcPr>
            <w:tcW w:w="680" w:type="pct"/>
          </w:tcPr>
          <w:p w14:paraId="2528B9EF"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$4,724,598</w:t>
            </w:r>
          </w:p>
        </w:tc>
      </w:tr>
      <w:tr w:rsidR="002B1615" w:rsidRPr="000F157D" w14:paraId="68A9E531" w14:textId="77777777">
        <w:tc>
          <w:tcPr>
            <w:tcW w:w="1600" w:type="pct"/>
          </w:tcPr>
          <w:p w14:paraId="7714ABA7" w14:textId="77777777" w:rsidR="002B1615" w:rsidRPr="000F157D" w:rsidRDefault="002B1615" w:rsidP="001814E4">
            <w:pPr>
              <w:spacing w:before="100" w:beforeAutospacing="1" w:after="100" w:afterAutospacing="1"/>
              <w:rPr>
                <w:rFonts w:ascii="Arial Narrow" w:hAnsi="Arial Narrow"/>
                <w:b/>
                <w:sz w:val="20"/>
                <w:szCs w:val="20"/>
              </w:rPr>
            </w:pPr>
            <w:r w:rsidRPr="000F157D">
              <w:rPr>
                <w:rFonts w:ascii="Arial Narrow" w:hAnsi="Arial Narrow"/>
                <w:sz w:val="20"/>
                <w:szCs w:val="20"/>
              </w:rPr>
              <w:t>Net cost to MBS, 75% benefit</w:t>
            </w:r>
          </w:p>
        </w:tc>
        <w:tc>
          <w:tcPr>
            <w:tcW w:w="680" w:type="pct"/>
          </w:tcPr>
          <w:p w14:paraId="6F0A300F"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$1,133,354</w:t>
            </w:r>
          </w:p>
        </w:tc>
        <w:tc>
          <w:tcPr>
            <w:tcW w:w="680" w:type="pct"/>
          </w:tcPr>
          <w:p w14:paraId="74E29C2B"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$1,454,994</w:t>
            </w:r>
          </w:p>
        </w:tc>
        <w:tc>
          <w:tcPr>
            <w:tcW w:w="680" w:type="pct"/>
          </w:tcPr>
          <w:p w14:paraId="348E0D0A"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$1,776,634</w:t>
            </w:r>
          </w:p>
        </w:tc>
        <w:tc>
          <w:tcPr>
            <w:tcW w:w="680" w:type="pct"/>
          </w:tcPr>
          <w:p w14:paraId="4897165E"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$2,413,036</w:t>
            </w:r>
          </w:p>
        </w:tc>
        <w:tc>
          <w:tcPr>
            <w:tcW w:w="680" w:type="pct"/>
          </w:tcPr>
          <w:p w14:paraId="6741F6E7" w14:textId="77777777" w:rsidR="002B1615" w:rsidRPr="0080320D" w:rsidRDefault="002B1615" w:rsidP="00850967">
            <w:pPr>
              <w:spacing w:before="100" w:beforeAutospacing="1" w:after="100" w:afterAutospacing="1"/>
              <w:jc w:val="right"/>
              <w:rPr>
                <w:rFonts w:ascii="Arial Narrow" w:hAnsi="Arial Narrow"/>
                <w:sz w:val="20"/>
                <w:szCs w:val="20"/>
              </w:rPr>
            </w:pPr>
            <w:r w:rsidRPr="0080320D">
              <w:rPr>
                <w:rFonts w:ascii="Arial Narrow" w:hAnsi="Arial Narrow"/>
                <w:sz w:val="20"/>
                <w:szCs w:val="20"/>
              </w:rPr>
              <w:t>$3,042,561</w:t>
            </w:r>
          </w:p>
        </w:tc>
      </w:tr>
      <w:tr w:rsidR="002B1615" w:rsidRPr="000F157D" w14:paraId="6864D1AB" w14:textId="77777777">
        <w:tc>
          <w:tcPr>
            <w:tcW w:w="5000" w:type="pct"/>
            <w:gridSpan w:val="6"/>
          </w:tcPr>
          <w:p w14:paraId="58CA6A82" w14:textId="77777777" w:rsidR="002B1615" w:rsidRPr="000F157D" w:rsidRDefault="002B1615" w:rsidP="001814E4">
            <w:pPr>
              <w:spacing w:before="100" w:beforeAutospacing="1" w:after="100" w:afterAutospacing="1"/>
              <w:rPr>
                <w:rFonts w:ascii="Arial Narrow" w:hAnsi="Arial Narrow"/>
                <w:sz w:val="20"/>
                <w:szCs w:val="20"/>
                <w:highlight w:val="yellow"/>
              </w:rPr>
            </w:pPr>
            <w:r>
              <w:rPr>
                <w:rFonts w:ascii="Arial Narrow" w:hAnsi="Arial Narrow"/>
                <w:b/>
                <w:sz w:val="20"/>
                <w:szCs w:val="20"/>
              </w:rPr>
              <w:t>Include 6% revision rate for ESG</w:t>
            </w:r>
          </w:p>
        </w:tc>
      </w:tr>
      <w:tr w:rsidR="002B1615" w:rsidRPr="000F157D" w14:paraId="344C45B5" w14:textId="77777777">
        <w:tc>
          <w:tcPr>
            <w:tcW w:w="1600" w:type="pct"/>
          </w:tcPr>
          <w:p w14:paraId="7ECC8228" w14:textId="77777777" w:rsidR="002B1615" w:rsidRPr="000F157D" w:rsidRDefault="002B1615" w:rsidP="001814E4">
            <w:pPr>
              <w:spacing w:before="100" w:beforeAutospacing="1" w:after="100" w:afterAutospacing="1"/>
              <w:rPr>
                <w:rFonts w:ascii="Arial Narrow" w:hAnsi="Arial Narrow"/>
                <w:b/>
                <w:sz w:val="20"/>
                <w:szCs w:val="20"/>
              </w:rPr>
            </w:pPr>
            <w:r w:rsidRPr="000F157D">
              <w:rPr>
                <w:rFonts w:ascii="Arial Narrow" w:hAnsi="Arial Narrow"/>
                <w:sz w:val="20"/>
                <w:szCs w:val="20"/>
              </w:rPr>
              <w:t>Total ESG cost to MBS, 75% benefit</w:t>
            </w:r>
          </w:p>
        </w:tc>
        <w:tc>
          <w:tcPr>
            <w:tcW w:w="680" w:type="pct"/>
            <w:tcBorders>
              <w:top w:val="single" w:sz="4" w:space="0" w:color="auto"/>
              <w:left w:val="single" w:sz="4" w:space="0" w:color="auto"/>
              <w:bottom w:val="single" w:sz="4" w:space="0" w:color="auto"/>
              <w:right w:val="single" w:sz="4" w:space="0" w:color="auto"/>
            </w:tcBorders>
            <w:shd w:val="clear" w:color="000000" w:fill="FFFFFF"/>
            <w:vAlign w:val="center"/>
          </w:tcPr>
          <w:p w14:paraId="06AA2E19" w14:textId="77777777" w:rsidR="002B1615" w:rsidRPr="000F157D" w:rsidRDefault="002B1615" w:rsidP="00850967">
            <w:pPr>
              <w:spacing w:before="100" w:beforeAutospacing="1" w:after="100" w:afterAutospacing="1"/>
              <w:jc w:val="right"/>
              <w:rPr>
                <w:rFonts w:ascii="Arial Narrow" w:hAnsi="Arial Narrow"/>
                <w:sz w:val="20"/>
                <w:szCs w:val="20"/>
                <w:highlight w:val="yellow"/>
              </w:rPr>
            </w:pPr>
            <w:r w:rsidRPr="00EC3850">
              <w:rPr>
                <w:rFonts w:ascii="Arial Narrow" w:hAnsi="Arial Narrow"/>
                <w:sz w:val="20"/>
                <w:szCs w:val="20"/>
              </w:rPr>
              <w:t>$2,193,886</w:t>
            </w:r>
          </w:p>
        </w:tc>
        <w:tc>
          <w:tcPr>
            <w:tcW w:w="680" w:type="pct"/>
            <w:tcBorders>
              <w:top w:val="single" w:sz="4" w:space="0" w:color="auto"/>
              <w:left w:val="nil"/>
              <w:bottom w:val="single" w:sz="4" w:space="0" w:color="auto"/>
              <w:right w:val="single" w:sz="4" w:space="0" w:color="auto"/>
            </w:tcBorders>
            <w:shd w:val="clear" w:color="000000" w:fill="FFFFFF"/>
            <w:vAlign w:val="center"/>
          </w:tcPr>
          <w:p w14:paraId="49B72868" w14:textId="77777777" w:rsidR="002B1615" w:rsidRPr="000F157D" w:rsidRDefault="002B1615" w:rsidP="00850967">
            <w:pPr>
              <w:spacing w:before="100" w:beforeAutospacing="1" w:after="100" w:afterAutospacing="1"/>
              <w:jc w:val="right"/>
              <w:rPr>
                <w:rFonts w:ascii="Arial Narrow" w:hAnsi="Arial Narrow"/>
                <w:sz w:val="20"/>
                <w:szCs w:val="20"/>
                <w:highlight w:val="yellow"/>
              </w:rPr>
            </w:pPr>
            <w:r w:rsidRPr="00EC3850">
              <w:rPr>
                <w:rFonts w:ascii="Arial Narrow" w:hAnsi="Arial Narrow"/>
                <w:sz w:val="20"/>
                <w:szCs w:val="20"/>
              </w:rPr>
              <w:t>$2,759,288</w:t>
            </w:r>
          </w:p>
        </w:tc>
        <w:tc>
          <w:tcPr>
            <w:tcW w:w="680" w:type="pct"/>
            <w:tcBorders>
              <w:top w:val="single" w:sz="4" w:space="0" w:color="auto"/>
              <w:left w:val="nil"/>
              <w:bottom w:val="single" w:sz="4" w:space="0" w:color="auto"/>
              <w:right w:val="single" w:sz="4" w:space="0" w:color="auto"/>
            </w:tcBorders>
            <w:shd w:val="clear" w:color="000000" w:fill="FFFFFF"/>
            <w:vAlign w:val="center"/>
          </w:tcPr>
          <w:p w14:paraId="129607E2" w14:textId="77777777" w:rsidR="002B1615" w:rsidRPr="000F157D" w:rsidRDefault="002B1615" w:rsidP="00850967">
            <w:pPr>
              <w:spacing w:before="100" w:beforeAutospacing="1" w:after="100" w:afterAutospacing="1"/>
              <w:jc w:val="right"/>
              <w:rPr>
                <w:rFonts w:ascii="Arial Narrow" w:hAnsi="Arial Narrow"/>
                <w:sz w:val="20"/>
                <w:szCs w:val="20"/>
                <w:highlight w:val="yellow"/>
              </w:rPr>
            </w:pPr>
            <w:r w:rsidRPr="00EC3850">
              <w:rPr>
                <w:rFonts w:ascii="Arial Narrow" w:hAnsi="Arial Narrow"/>
                <w:sz w:val="20"/>
                <w:szCs w:val="20"/>
              </w:rPr>
              <w:t>$3,324,689</w:t>
            </w:r>
          </w:p>
        </w:tc>
        <w:tc>
          <w:tcPr>
            <w:tcW w:w="680" w:type="pct"/>
            <w:tcBorders>
              <w:top w:val="single" w:sz="4" w:space="0" w:color="auto"/>
              <w:left w:val="nil"/>
              <w:bottom w:val="single" w:sz="4" w:space="0" w:color="auto"/>
              <w:right w:val="single" w:sz="4" w:space="0" w:color="auto"/>
            </w:tcBorders>
            <w:shd w:val="clear" w:color="000000" w:fill="FFFFFF"/>
            <w:vAlign w:val="center"/>
          </w:tcPr>
          <w:p w14:paraId="20B9245F" w14:textId="77777777" w:rsidR="002B1615" w:rsidRPr="000F157D" w:rsidRDefault="002B1615" w:rsidP="00850967">
            <w:pPr>
              <w:spacing w:before="100" w:beforeAutospacing="1" w:after="100" w:afterAutospacing="1"/>
              <w:jc w:val="right"/>
              <w:rPr>
                <w:rFonts w:ascii="Arial Narrow" w:hAnsi="Arial Narrow"/>
                <w:sz w:val="20"/>
                <w:szCs w:val="20"/>
                <w:highlight w:val="yellow"/>
              </w:rPr>
            </w:pPr>
            <w:r w:rsidRPr="00EC3850">
              <w:rPr>
                <w:rFonts w:ascii="Arial Narrow" w:hAnsi="Arial Narrow"/>
                <w:sz w:val="20"/>
                <w:szCs w:val="20"/>
              </w:rPr>
              <w:t>$4,213,803</w:t>
            </w:r>
          </w:p>
        </w:tc>
        <w:tc>
          <w:tcPr>
            <w:tcW w:w="680" w:type="pct"/>
            <w:tcBorders>
              <w:top w:val="single" w:sz="4" w:space="0" w:color="auto"/>
              <w:left w:val="nil"/>
              <w:bottom w:val="single" w:sz="4" w:space="0" w:color="auto"/>
              <w:right w:val="single" w:sz="4" w:space="0" w:color="auto"/>
            </w:tcBorders>
            <w:shd w:val="clear" w:color="000000" w:fill="FFFFFF"/>
            <w:vAlign w:val="center"/>
          </w:tcPr>
          <w:p w14:paraId="79B51DFC" w14:textId="77777777" w:rsidR="002B1615" w:rsidRPr="000F157D" w:rsidRDefault="002B1615" w:rsidP="00850967">
            <w:pPr>
              <w:spacing w:before="100" w:beforeAutospacing="1" w:after="100" w:afterAutospacing="1"/>
              <w:jc w:val="right"/>
              <w:rPr>
                <w:rFonts w:ascii="Arial Narrow" w:hAnsi="Arial Narrow"/>
                <w:sz w:val="20"/>
                <w:szCs w:val="20"/>
                <w:highlight w:val="yellow"/>
              </w:rPr>
            </w:pPr>
            <w:r w:rsidRPr="00EC3850">
              <w:rPr>
                <w:rFonts w:ascii="Arial Narrow" w:hAnsi="Arial Narrow"/>
                <w:sz w:val="20"/>
                <w:szCs w:val="20"/>
              </w:rPr>
              <w:t>$4,861,229</w:t>
            </w:r>
          </w:p>
        </w:tc>
      </w:tr>
      <w:tr w:rsidR="002B1615" w:rsidRPr="000F157D" w14:paraId="17C1CE53" w14:textId="77777777">
        <w:tc>
          <w:tcPr>
            <w:tcW w:w="1600" w:type="pct"/>
          </w:tcPr>
          <w:p w14:paraId="6D1AFFA7" w14:textId="77777777" w:rsidR="002B1615" w:rsidRPr="000F157D" w:rsidRDefault="002B1615" w:rsidP="001814E4">
            <w:pPr>
              <w:spacing w:before="100" w:beforeAutospacing="1" w:after="100" w:afterAutospacing="1"/>
              <w:rPr>
                <w:rFonts w:ascii="Arial Narrow" w:hAnsi="Arial Narrow"/>
                <w:b/>
                <w:sz w:val="20"/>
                <w:szCs w:val="20"/>
              </w:rPr>
            </w:pPr>
            <w:r w:rsidRPr="000F157D">
              <w:rPr>
                <w:rFonts w:ascii="Arial Narrow" w:hAnsi="Arial Narrow"/>
                <w:sz w:val="20"/>
                <w:szCs w:val="20"/>
              </w:rPr>
              <w:t>Net cost to MBS, 75% benefit</w:t>
            </w:r>
          </w:p>
        </w:tc>
        <w:tc>
          <w:tcPr>
            <w:tcW w:w="680" w:type="pct"/>
            <w:tcBorders>
              <w:top w:val="single" w:sz="4" w:space="0" w:color="auto"/>
              <w:left w:val="single" w:sz="4" w:space="0" w:color="auto"/>
              <w:bottom w:val="single" w:sz="4" w:space="0" w:color="auto"/>
              <w:right w:val="single" w:sz="4" w:space="0" w:color="auto"/>
            </w:tcBorders>
            <w:shd w:val="clear" w:color="auto" w:fill="auto"/>
            <w:vAlign w:val="bottom"/>
          </w:tcPr>
          <w:p w14:paraId="3FCE8DC6" w14:textId="77777777" w:rsidR="002B1615" w:rsidRPr="000F157D" w:rsidRDefault="002B1615" w:rsidP="00850967">
            <w:pPr>
              <w:spacing w:before="100" w:beforeAutospacing="1" w:after="100" w:afterAutospacing="1"/>
              <w:jc w:val="right"/>
              <w:rPr>
                <w:rFonts w:ascii="Arial Narrow" w:hAnsi="Arial Narrow"/>
                <w:sz w:val="20"/>
                <w:szCs w:val="20"/>
                <w:highlight w:val="yellow"/>
              </w:rPr>
            </w:pPr>
            <w:r w:rsidRPr="00EC3850">
              <w:rPr>
                <w:rFonts w:ascii="Arial Narrow" w:hAnsi="Arial Narrow"/>
                <w:sz w:val="20"/>
                <w:szCs w:val="20"/>
              </w:rPr>
              <w:t>$1,195,873</w:t>
            </w:r>
          </w:p>
        </w:tc>
        <w:tc>
          <w:tcPr>
            <w:tcW w:w="680" w:type="pct"/>
            <w:tcBorders>
              <w:top w:val="single" w:sz="4" w:space="0" w:color="auto"/>
              <w:left w:val="nil"/>
              <w:bottom w:val="single" w:sz="4" w:space="0" w:color="auto"/>
              <w:right w:val="single" w:sz="4" w:space="0" w:color="auto"/>
            </w:tcBorders>
            <w:shd w:val="clear" w:color="auto" w:fill="auto"/>
            <w:vAlign w:val="bottom"/>
          </w:tcPr>
          <w:p w14:paraId="7221B22E" w14:textId="77777777" w:rsidR="002B1615" w:rsidRPr="000F157D" w:rsidRDefault="002B1615" w:rsidP="00850967">
            <w:pPr>
              <w:spacing w:before="100" w:beforeAutospacing="1" w:after="100" w:afterAutospacing="1"/>
              <w:jc w:val="right"/>
              <w:rPr>
                <w:rFonts w:ascii="Arial Narrow" w:hAnsi="Arial Narrow"/>
                <w:sz w:val="20"/>
                <w:szCs w:val="20"/>
                <w:highlight w:val="yellow"/>
              </w:rPr>
            </w:pPr>
            <w:r w:rsidRPr="00EC3850">
              <w:rPr>
                <w:rFonts w:ascii="Arial Narrow" w:hAnsi="Arial Narrow"/>
                <w:sz w:val="20"/>
                <w:szCs w:val="20"/>
              </w:rPr>
              <w:t>$1,533,266</w:t>
            </w:r>
          </w:p>
        </w:tc>
        <w:tc>
          <w:tcPr>
            <w:tcW w:w="680" w:type="pct"/>
            <w:tcBorders>
              <w:top w:val="single" w:sz="4" w:space="0" w:color="auto"/>
              <w:left w:val="nil"/>
              <w:bottom w:val="single" w:sz="4" w:space="0" w:color="auto"/>
              <w:right w:val="single" w:sz="4" w:space="0" w:color="auto"/>
            </w:tcBorders>
            <w:shd w:val="clear" w:color="auto" w:fill="auto"/>
            <w:vAlign w:val="bottom"/>
          </w:tcPr>
          <w:p w14:paraId="11BD72F8" w14:textId="77777777" w:rsidR="002B1615" w:rsidRPr="000F157D" w:rsidRDefault="002B1615" w:rsidP="00850967">
            <w:pPr>
              <w:spacing w:before="100" w:beforeAutospacing="1" w:after="100" w:afterAutospacing="1"/>
              <w:jc w:val="right"/>
              <w:rPr>
                <w:rFonts w:ascii="Arial Narrow" w:hAnsi="Arial Narrow"/>
                <w:sz w:val="20"/>
                <w:szCs w:val="20"/>
                <w:highlight w:val="yellow"/>
              </w:rPr>
            </w:pPr>
            <w:r w:rsidRPr="00EC3850">
              <w:rPr>
                <w:rFonts w:ascii="Arial Narrow" w:hAnsi="Arial Narrow"/>
                <w:sz w:val="20"/>
                <w:szCs w:val="20"/>
              </w:rPr>
              <w:t>$1,870,659</w:t>
            </w:r>
          </w:p>
        </w:tc>
        <w:tc>
          <w:tcPr>
            <w:tcW w:w="680" w:type="pct"/>
            <w:tcBorders>
              <w:top w:val="single" w:sz="4" w:space="0" w:color="auto"/>
              <w:left w:val="nil"/>
              <w:bottom w:val="single" w:sz="4" w:space="0" w:color="auto"/>
              <w:right w:val="single" w:sz="4" w:space="0" w:color="auto"/>
            </w:tcBorders>
            <w:shd w:val="clear" w:color="auto" w:fill="auto"/>
            <w:vAlign w:val="bottom"/>
          </w:tcPr>
          <w:p w14:paraId="2BF04912" w14:textId="77777777" w:rsidR="002B1615" w:rsidRPr="000F157D" w:rsidRDefault="002B1615" w:rsidP="00850967">
            <w:pPr>
              <w:spacing w:before="100" w:beforeAutospacing="1" w:after="100" w:afterAutospacing="1"/>
              <w:jc w:val="right"/>
              <w:rPr>
                <w:rFonts w:ascii="Arial Narrow" w:hAnsi="Arial Narrow"/>
                <w:sz w:val="20"/>
                <w:szCs w:val="20"/>
                <w:highlight w:val="yellow"/>
              </w:rPr>
            </w:pPr>
            <w:r w:rsidRPr="00EC3850">
              <w:rPr>
                <w:rFonts w:ascii="Arial Narrow" w:hAnsi="Arial Narrow"/>
                <w:sz w:val="20"/>
                <w:szCs w:val="20"/>
              </w:rPr>
              <w:t>$2,531,766</w:t>
            </w:r>
          </w:p>
        </w:tc>
        <w:tc>
          <w:tcPr>
            <w:tcW w:w="680" w:type="pct"/>
            <w:tcBorders>
              <w:top w:val="single" w:sz="4" w:space="0" w:color="auto"/>
              <w:left w:val="nil"/>
              <w:bottom w:val="single" w:sz="4" w:space="0" w:color="auto"/>
              <w:right w:val="single" w:sz="4" w:space="0" w:color="auto"/>
            </w:tcBorders>
            <w:shd w:val="clear" w:color="auto" w:fill="auto"/>
            <w:vAlign w:val="bottom"/>
          </w:tcPr>
          <w:p w14:paraId="3C2FFB20" w14:textId="77777777" w:rsidR="002B1615" w:rsidRPr="000F157D" w:rsidRDefault="002B1615" w:rsidP="00850967">
            <w:pPr>
              <w:spacing w:before="100" w:beforeAutospacing="1" w:after="100" w:afterAutospacing="1"/>
              <w:jc w:val="right"/>
              <w:rPr>
                <w:rFonts w:ascii="Arial Narrow" w:hAnsi="Arial Narrow"/>
                <w:sz w:val="20"/>
                <w:szCs w:val="20"/>
                <w:highlight w:val="yellow"/>
              </w:rPr>
            </w:pPr>
            <w:r w:rsidRPr="00EC3850">
              <w:rPr>
                <w:rFonts w:ascii="Arial Narrow" w:hAnsi="Arial Narrow"/>
                <w:sz w:val="20"/>
                <w:szCs w:val="20"/>
              </w:rPr>
              <w:t>$3,179,192</w:t>
            </w:r>
          </w:p>
        </w:tc>
      </w:tr>
      <w:tr w:rsidR="002B1615" w:rsidRPr="000F157D" w14:paraId="1C1B4E47" w14:textId="77777777">
        <w:tc>
          <w:tcPr>
            <w:tcW w:w="5000" w:type="pct"/>
            <w:gridSpan w:val="6"/>
          </w:tcPr>
          <w:p w14:paraId="0114F583" w14:textId="77777777" w:rsidR="002B1615" w:rsidRPr="00EC3850" w:rsidRDefault="002B1615" w:rsidP="001814E4">
            <w:pPr>
              <w:spacing w:before="100" w:beforeAutospacing="1" w:after="100" w:afterAutospacing="1"/>
              <w:rPr>
                <w:rFonts w:ascii="Arial Narrow" w:hAnsi="Arial Narrow"/>
                <w:b/>
                <w:sz w:val="20"/>
                <w:szCs w:val="20"/>
                <w:highlight w:val="yellow"/>
              </w:rPr>
            </w:pPr>
            <w:r>
              <w:rPr>
                <w:rFonts w:ascii="Arial Narrow" w:hAnsi="Arial Narrow"/>
                <w:b/>
                <w:sz w:val="20"/>
                <w:szCs w:val="20"/>
              </w:rPr>
              <w:t>Include 18.2% revision rate for ESG</w:t>
            </w:r>
          </w:p>
        </w:tc>
      </w:tr>
      <w:tr w:rsidR="002B1615" w:rsidRPr="000F157D" w14:paraId="4780C59F" w14:textId="77777777">
        <w:tc>
          <w:tcPr>
            <w:tcW w:w="1600" w:type="pct"/>
          </w:tcPr>
          <w:p w14:paraId="5E96A94C" w14:textId="77777777" w:rsidR="002B1615" w:rsidRPr="000F157D" w:rsidRDefault="002B1615" w:rsidP="001814E4">
            <w:pPr>
              <w:spacing w:before="100" w:beforeAutospacing="1" w:after="100" w:afterAutospacing="1"/>
              <w:rPr>
                <w:rFonts w:ascii="Arial Narrow" w:hAnsi="Arial Narrow"/>
                <w:b/>
                <w:sz w:val="20"/>
                <w:szCs w:val="20"/>
              </w:rPr>
            </w:pPr>
            <w:r w:rsidRPr="000F157D">
              <w:rPr>
                <w:rFonts w:ascii="Arial Narrow" w:hAnsi="Arial Narrow"/>
                <w:sz w:val="20"/>
                <w:szCs w:val="20"/>
              </w:rPr>
              <w:t>Total ESG cost to MBS, 75% benefit</w:t>
            </w:r>
          </w:p>
        </w:tc>
        <w:tc>
          <w:tcPr>
            <w:tcW w:w="680" w:type="pct"/>
            <w:tcBorders>
              <w:top w:val="single" w:sz="4" w:space="0" w:color="auto"/>
              <w:left w:val="single" w:sz="4" w:space="0" w:color="auto"/>
              <w:bottom w:val="single" w:sz="4" w:space="0" w:color="auto"/>
              <w:right w:val="single" w:sz="4" w:space="0" w:color="auto"/>
            </w:tcBorders>
            <w:shd w:val="clear" w:color="000000" w:fill="FFFFFF"/>
            <w:vAlign w:val="center"/>
          </w:tcPr>
          <w:p w14:paraId="54E9B418" w14:textId="77777777" w:rsidR="002B1615" w:rsidRPr="000F157D" w:rsidRDefault="002B1615" w:rsidP="00850967">
            <w:pPr>
              <w:spacing w:before="100" w:beforeAutospacing="1" w:after="100" w:afterAutospacing="1"/>
              <w:jc w:val="right"/>
              <w:rPr>
                <w:rFonts w:ascii="Arial Narrow" w:hAnsi="Arial Narrow"/>
                <w:sz w:val="20"/>
                <w:szCs w:val="20"/>
                <w:highlight w:val="yellow"/>
              </w:rPr>
            </w:pPr>
            <w:r w:rsidRPr="00EC3850">
              <w:rPr>
                <w:rFonts w:ascii="Arial Narrow" w:hAnsi="Arial Narrow"/>
                <w:sz w:val="20"/>
                <w:szCs w:val="20"/>
              </w:rPr>
              <w:t>$2,446,390</w:t>
            </w:r>
          </w:p>
        </w:tc>
        <w:tc>
          <w:tcPr>
            <w:tcW w:w="680" w:type="pct"/>
            <w:tcBorders>
              <w:top w:val="single" w:sz="4" w:space="0" w:color="auto"/>
              <w:left w:val="nil"/>
              <w:bottom w:val="single" w:sz="4" w:space="0" w:color="auto"/>
              <w:right w:val="single" w:sz="4" w:space="0" w:color="auto"/>
            </w:tcBorders>
            <w:shd w:val="clear" w:color="000000" w:fill="FFFFFF"/>
            <w:vAlign w:val="center"/>
          </w:tcPr>
          <w:p w14:paraId="24AED908" w14:textId="77777777" w:rsidR="002B1615" w:rsidRPr="000F157D" w:rsidRDefault="002B1615" w:rsidP="00850967">
            <w:pPr>
              <w:spacing w:before="100" w:beforeAutospacing="1" w:after="100" w:afterAutospacing="1"/>
              <w:jc w:val="right"/>
              <w:rPr>
                <w:rFonts w:ascii="Arial Narrow" w:hAnsi="Arial Narrow"/>
                <w:sz w:val="20"/>
                <w:szCs w:val="20"/>
                <w:highlight w:val="yellow"/>
              </w:rPr>
            </w:pPr>
            <w:r w:rsidRPr="00EC3850">
              <w:rPr>
                <w:rFonts w:ascii="Arial Narrow" w:hAnsi="Arial Narrow"/>
                <w:sz w:val="20"/>
                <w:szCs w:val="20"/>
              </w:rPr>
              <w:t>$3,076,866</w:t>
            </w:r>
          </w:p>
        </w:tc>
        <w:tc>
          <w:tcPr>
            <w:tcW w:w="680" w:type="pct"/>
            <w:tcBorders>
              <w:top w:val="single" w:sz="4" w:space="0" w:color="auto"/>
              <w:left w:val="nil"/>
              <w:bottom w:val="single" w:sz="4" w:space="0" w:color="auto"/>
              <w:right w:val="single" w:sz="4" w:space="0" w:color="auto"/>
            </w:tcBorders>
            <w:shd w:val="clear" w:color="000000" w:fill="FFFFFF"/>
            <w:vAlign w:val="center"/>
          </w:tcPr>
          <w:p w14:paraId="62C8D95A" w14:textId="77777777" w:rsidR="002B1615" w:rsidRPr="000F157D" w:rsidRDefault="002B1615" w:rsidP="00850967">
            <w:pPr>
              <w:spacing w:before="100" w:beforeAutospacing="1" w:after="100" w:afterAutospacing="1"/>
              <w:jc w:val="right"/>
              <w:rPr>
                <w:rFonts w:ascii="Arial Narrow" w:hAnsi="Arial Narrow"/>
                <w:sz w:val="20"/>
                <w:szCs w:val="20"/>
                <w:highlight w:val="yellow"/>
              </w:rPr>
            </w:pPr>
            <w:r w:rsidRPr="00EC3850">
              <w:rPr>
                <w:rFonts w:ascii="Arial Narrow" w:hAnsi="Arial Narrow"/>
                <w:sz w:val="20"/>
                <w:szCs w:val="20"/>
              </w:rPr>
              <w:t>$3,707,342</w:t>
            </w:r>
          </w:p>
        </w:tc>
        <w:tc>
          <w:tcPr>
            <w:tcW w:w="680" w:type="pct"/>
            <w:tcBorders>
              <w:top w:val="single" w:sz="4" w:space="0" w:color="auto"/>
              <w:left w:val="nil"/>
              <w:bottom w:val="single" w:sz="4" w:space="0" w:color="auto"/>
              <w:right w:val="single" w:sz="4" w:space="0" w:color="auto"/>
            </w:tcBorders>
            <w:shd w:val="clear" w:color="000000" w:fill="FFFFFF"/>
            <w:vAlign w:val="center"/>
          </w:tcPr>
          <w:p w14:paraId="4E473C8B" w14:textId="77777777" w:rsidR="002B1615" w:rsidRPr="000F157D" w:rsidRDefault="002B1615" w:rsidP="00850967">
            <w:pPr>
              <w:spacing w:before="100" w:beforeAutospacing="1" w:after="100" w:afterAutospacing="1"/>
              <w:jc w:val="right"/>
              <w:rPr>
                <w:rFonts w:ascii="Arial Narrow" w:hAnsi="Arial Narrow"/>
                <w:sz w:val="20"/>
                <w:szCs w:val="20"/>
                <w:highlight w:val="yellow"/>
              </w:rPr>
            </w:pPr>
            <w:r w:rsidRPr="00EC3850">
              <w:rPr>
                <w:rFonts w:ascii="Arial Narrow" w:hAnsi="Arial Narrow"/>
                <w:sz w:val="20"/>
                <w:szCs w:val="20"/>
              </w:rPr>
              <w:t>$4,698,788</w:t>
            </w:r>
          </w:p>
        </w:tc>
        <w:tc>
          <w:tcPr>
            <w:tcW w:w="680" w:type="pct"/>
            <w:tcBorders>
              <w:top w:val="single" w:sz="4" w:space="0" w:color="auto"/>
              <w:left w:val="nil"/>
              <w:bottom w:val="single" w:sz="4" w:space="0" w:color="auto"/>
              <w:right w:val="single" w:sz="4" w:space="0" w:color="auto"/>
            </w:tcBorders>
            <w:shd w:val="clear" w:color="000000" w:fill="FFFFFF"/>
            <w:vAlign w:val="center"/>
          </w:tcPr>
          <w:p w14:paraId="1DEA7B16" w14:textId="77777777" w:rsidR="002B1615" w:rsidRPr="000F157D" w:rsidRDefault="002B1615" w:rsidP="00850967">
            <w:pPr>
              <w:spacing w:before="100" w:beforeAutospacing="1" w:after="100" w:afterAutospacing="1"/>
              <w:jc w:val="right"/>
              <w:rPr>
                <w:rFonts w:ascii="Arial Narrow" w:hAnsi="Arial Narrow"/>
                <w:sz w:val="20"/>
                <w:szCs w:val="20"/>
                <w:highlight w:val="yellow"/>
              </w:rPr>
            </w:pPr>
            <w:r w:rsidRPr="00EC3850">
              <w:rPr>
                <w:rFonts w:ascii="Arial Narrow" w:hAnsi="Arial Narrow"/>
                <w:sz w:val="20"/>
                <w:szCs w:val="20"/>
              </w:rPr>
              <w:t>$5,420,729</w:t>
            </w:r>
          </w:p>
        </w:tc>
      </w:tr>
      <w:tr w:rsidR="002B1615" w:rsidRPr="000F157D" w14:paraId="7B413E7D" w14:textId="77777777">
        <w:tc>
          <w:tcPr>
            <w:tcW w:w="1600" w:type="pct"/>
          </w:tcPr>
          <w:p w14:paraId="322A3B4E" w14:textId="77777777" w:rsidR="002B1615" w:rsidRPr="000F157D" w:rsidRDefault="002B1615" w:rsidP="001814E4">
            <w:pPr>
              <w:spacing w:before="100" w:beforeAutospacing="1" w:after="100" w:afterAutospacing="1"/>
              <w:rPr>
                <w:rFonts w:ascii="Arial Narrow" w:hAnsi="Arial Narrow"/>
                <w:b/>
                <w:sz w:val="20"/>
                <w:szCs w:val="20"/>
              </w:rPr>
            </w:pPr>
            <w:r w:rsidRPr="000F157D">
              <w:rPr>
                <w:rFonts w:ascii="Arial Narrow" w:hAnsi="Arial Narrow"/>
                <w:sz w:val="20"/>
                <w:szCs w:val="20"/>
              </w:rPr>
              <w:t>Net cost to MBS, 75% benefit</w:t>
            </w:r>
          </w:p>
        </w:tc>
        <w:tc>
          <w:tcPr>
            <w:tcW w:w="680" w:type="pct"/>
            <w:tcBorders>
              <w:top w:val="single" w:sz="4" w:space="0" w:color="auto"/>
              <w:left w:val="single" w:sz="4" w:space="0" w:color="auto"/>
              <w:bottom w:val="single" w:sz="4" w:space="0" w:color="auto"/>
              <w:right w:val="single" w:sz="4" w:space="0" w:color="auto"/>
            </w:tcBorders>
            <w:shd w:val="clear" w:color="auto" w:fill="auto"/>
            <w:vAlign w:val="bottom"/>
          </w:tcPr>
          <w:p w14:paraId="1931F14F" w14:textId="77777777" w:rsidR="002B1615" w:rsidRPr="000F157D" w:rsidRDefault="002B1615" w:rsidP="00850967">
            <w:pPr>
              <w:spacing w:before="100" w:beforeAutospacing="1" w:after="100" w:afterAutospacing="1"/>
              <w:jc w:val="right"/>
              <w:rPr>
                <w:rFonts w:ascii="Arial Narrow" w:hAnsi="Arial Narrow"/>
                <w:sz w:val="20"/>
                <w:szCs w:val="20"/>
                <w:highlight w:val="yellow"/>
              </w:rPr>
            </w:pPr>
            <w:r w:rsidRPr="00EC3850">
              <w:rPr>
                <w:rFonts w:ascii="Arial Narrow" w:hAnsi="Arial Narrow"/>
                <w:sz w:val="20"/>
                <w:szCs w:val="20"/>
              </w:rPr>
              <w:t>$1,448,377</w:t>
            </w:r>
          </w:p>
        </w:tc>
        <w:tc>
          <w:tcPr>
            <w:tcW w:w="680" w:type="pct"/>
            <w:tcBorders>
              <w:top w:val="single" w:sz="4" w:space="0" w:color="auto"/>
              <w:left w:val="nil"/>
              <w:bottom w:val="single" w:sz="4" w:space="0" w:color="auto"/>
              <w:right w:val="single" w:sz="4" w:space="0" w:color="auto"/>
            </w:tcBorders>
            <w:shd w:val="clear" w:color="auto" w:fill="auto"/>
            <w:vAlign w:val="bottom"/>
          </w:tcPr>
          <w:p w14:paraId="2C03329A" w14:textId="77777777" w:rsidR="002B1615" w:rsidRPr="000F157D" w:rsidRDefault="002B1615" w:rsidP="00850967">
            <w:pPr>
              <w:spacing w:before="100" w:beforeAutospacing="1" w:after="100" w:afterAutospacing="1"/>
              <w:jc w:val="right"/>
              <w:rPr>
                <w:rFonts w:ascii="Arial Narrow" w:hAnsi="Arial Narrow"/>
                <w:sz w:val="20"/>
                <w:szCs w:val="20"/>
                <w:highlight w:val="yellow"/>
              </w:rPr>
            </w:pPr>
            <w:r w:rsidRPr="00EC3850">
              <w:rPr>
                <w:rFonts w:ascii="Arial Narrow" w:hAnsi="Arial Narrow"/>
                <w:sz w:val="20"/>
                <w:szCs w:val="20"/>
              </w:rPr>
              <w:t>$1,850,844</w:t>
            </w:r>
          </w:p>
        </w:tc>
        <w:tc>
          <w:tcPr>
            <w:tcW w:w="680" w:type="pct"/>
            <w:tcBorders>
              <w:top w:val="single" w:sz="4" w:space="0" w:color="auto"/>
              <w:left w:val="nil"/>
              <w:bottom w:val="single" w:sz="4" w:space="0" w:color="auto"/>
              <w:right w:val="single" w:sz="4" w:space="0" w:color="auto"/>
            </w:tcBorders>
            <w:shd w:val="clear" w:color="auto" w:fill="auto"/>
            <w:vAlign w:val="bottom"/>
          </w:tcPr>
          <w:p w14:paraId="11B8FBB0" w14:textId="77777777" w:rsidR="002B1615" w:rsidRPr="000F157D" w:rsidRDefault="002B1615" w:rsidP="00850967">
            <w:pPr>
              <w:spacing w:before="100" w:beforeAutospacing="1" w:after="100" w:afterAutospacing="1"/>
              <w:jc w:val="right"/>
              <w:rPr>
                <w:rFonts w:ascii="Arial Narrow" w:hAnsi="Arial Narrow"/>
                <w:sz w:val="20"/>
                <w:szCs w:val="20"/>
                <w:highlight w:val="yellow"/>
              </w:rPr>
            </w:pPr>
            <w:r w:rsidRPr="00EC3850">
              <w:rPr>
                <w:rFonts w:ascii="Arial Narrow" w:hAnsi="Arial Narrow"/>
                <w:sz w:val="20"/>
                <w:szCs w:val="20"/>
              </w:rPr>
              <w:t>$2,253,312</w:t>
            </w:r>
          </w:p>
        </w:tc>
        <w:tc>
          <w:tcPr>
            <w:tcW w:w="680" w:type="pct"/>
            <w:tcBorders>
              <w:top w:val="single" w:sz="4" w:space="0" w:color="auto"/>
              <w:left w:val="nil"/>
              <w:bottom w:val="single" w:sz="4" w:space="0" w:color="auto"/>
              <w:right w:val="single" w:sz="4" w:space="0" w:color="auto"/>
            </w:tcBorders>
            <w:shd w:val="clear" w:color="auto" w:fill="auto"/>
            <w:vAlign w:val="bottom"/>
          </w:tcPr>
          <w:p w14:paraId="009C5C31" w14:textId="77777777" w:rsidR="002B1615" w:rsidRPr="000F157D" w:rsidRDefault="002B1615" w:rsidP="00850967">
            <w:pPr>
              <w:spacing w:before="100" w:beforeAutospacing="1" w:after="100" w:afterAutospacing="1"/>
              <w:jc w:val="right"/>
              <w:rPr>
                <w:rFonts w:ascii="Arial Narrow" w:hAnsi="Arial Narrow"/>
                <w:sz w:val="20"/>
                <w:szCs w:val="20"/>
                <w:highlight w:val="yellow"/>
              </w:rPr>
            </w:pPr>
            <w:r w:rsidRPr="00EC3850">
              <w:rPr>
                <w:rFonts w:ascii="Arial Narrow" w:hAnsi="Arial Narrow"/>
                <w:sz w:val="20"/>
                <w:szCs w:val="20"/>
              </w:rPr>
              <w:t>$3,016,751</w:t>
            </w:r>
          </w:p>
        </w:tc>
        <w:tc>
          <w:tcPr>
            <w:tcW w:w="680" w:type="pct"/>
            <w:tcBorders>
              <w:top w:val="single" w:sz="4" w:space="0" w:color="auto"/>
              <w:left w:val="nil"/>
              <w:bottom w:val="single" w:sz="4" w:space="0" w:color="auto"/>
              <w:right w:val="single" w:sz="4" w:space="0" w:color="auto"/>
            </w:tcBorders>
            <w:shd w:val="clear" w:color="auto" w:fill="auto"/>
            <w:vAlign w:val="bottom"/>
          </w:tcPr>
          <w:p w14:paraId="098981B2" w14:textId="77777777" w:rsidR="002B1615" w:rsidRPr="000F157D" w:rsidRDefault="002B1615" w:rsidP="00850967">
            <w:pPr>
              <w:spacing w:before="100" w:beforeAutospacing="1" w:after="100" w:afterAutospacing="1"/>
              <w:jc w:val="right"/>
              <w:rPr>
                <w:rFonts w:ascii="Arial Narrow" w:hAnsi="Arial Narrow"/>
                <w:sz w:val="20"/>
                <w:szCs w:val="20"/>
                <w:highlight w:val="yellow"/>
              </w:rPr>
            </w:pPr>
            <w:r w:rsidRPr="00EC3850">
              <w:rPr>
                <w:rFonts w:ascii="Arial Narrow" w:hAnsi="Arial Narrow"/>
                <w:sz w:val="20"/>
                <w:szCs w:val="20"/>
              </w:rPr>
              <w:t>$3,738,691</w:t>
            </w:r>
          </w:p>
        </w:tc>
      </w:tr>
    </w:tbl>
    <w:p w14:paraId="7B3BAB50" w14:textId="7FA7BD8F" w:rsidR="00034AA6" w:rsidRDefault="002B1615" w:rsidP="00850967">
      <w:pPr>
        <w:pStyle w:val="TableFigureFooter"/>
      </w:pPr>
      <w:r w:rsidRPr="00CD0D7F">
        <w:t>Abbreviations: ESG: endoscopic sleeve gastroplasty; ICER: incremental cost-effectiveness ratio; MBS: Medicare Benefits Schedule.</w:t>
      </w:r>
    </w:p>
    <w:p w14:paraId="13866980" w14:textId="4D941874" w:rsidR="002B1615" w:rsidRPr="00CD0D7F" w:rsidRDefault="002B1615" w:rsidP="00850967">
      <w:pPr>
        <w:pStyle w:val="TableFigureFooter"/>
      </w:pPr>
      <w:r>
        <w:t>Source: Post-ESC additional analysis conducted by the assessment group.</w:t>
      </w:r>
    </w:p>
    <w:p w14:paraId="11A9DE27" w14:textId="2B5D1ADA" w:rsidR="00294C21" w:rsidRDefault="00323CFA" w:rsidP="005264A6">
      <w:r w:rsidRPr="2AA1CA0C">
        <w:t>Overall, t</w:t>
      </w:r>
      <w:r w:rsidR="003738F1" w:rsidRPr="2AA1CA0C">
        <w:t xml:space="preserve">he </w:t>
      </w:r>
      <w:r w:rsidR="007A4E61" w:rsidRPr="2AA1CA0C">
        <w:t xml:space="preserve">ESG procedure is expected to </w:t>
      </w:r>
      <w:r w:rsidRPr="2AA1CA0C">
        <w:t xml:space="preserve">result in a net cost </w:t>
      </w:r>
      <w:r w:rsidR="001D32C6" w:rsidRPr="2AA1CA0C">
        <w:t xml:space="preserve">to </w:t>
      </w:r>
      <w:r w:rsidRPr="2AA1CA0C">
        <w:t xml:space="preserve">the </w:t>
      </w:r>
      <w:r w:rsidR="00AE76C4" w:rsidRPr="2AA1CA0C">
        <w:t>healthcare system</w:t>
      </w:r>
      <w:r w:rsidR="003738F1" w:rsidRPr="2AA1CA0C">
        <w:t>;</w:t>
      </w:r>
      <w:r w:rsidR="001439E9" w:rsidRPr="2AA1CA0C">
        <w:t xml:space="preserve"> however, </w:t>
      </w:r>
      <w:r w:rsidR="005B4F2B" w:rsidRPr="2AA1CA0C">
        <w:t xml:space="preserve">the </w:t>
      </w:r>
      <w:r w:rsidR="00AE76C4" w:rsidRPr="2AA1CA0C">
        <w:t>total estimated net cost</w:t>
      </w:r>
      <w:r w:rsidR="005B4F2B" w:rsidRPr="2AA1CA0C">
        <w:t xml:space="preserve"> remains </w:t>
      </w:r>
      <w:r w:rsidR="005E5859" w:rsidRPr="2AA1CA0C">
        <w:t xml:space="preserve">uncertain </w:t>
      </w:r>
      <w:r w:rsidR="00C45615" w:rsidRPr="2AA1CA0C">
        <w:t xml:space="preserve">due to </w:t>
      </w:r>
      <w:r w:rsidR="005E145C" w:rsidRPr="2AA1CA0C">
        <w:t xml:space="preserve">a </w:t>
      </w:r>
      <w:r w:rsidR="00C45615" w:rsidRPr="2AA1CA0C">
        <w:t xml:space="preserve">lack of </w:t>
      </w:r>
      <w:r w:rsidR="00386A0C" w:rsidRPr="2AA1CA0C">
        <w:t xml:space="preserve">information on </w:t>
      </w:r>
      <w:r w:rsidR="005E145C" w:rsidRPr="2AA1CA0C">
        <w:t>AE</w:t>
      </w:r>
      <w:r w:rsidR="00386A0C" w:rsidRPr="2AA1CA0C">
        <w:t xml:space="preserve"> costs, </w:t>
      </w:r>
      <w:r w:rsidR="00157904" w:rsidRPr="2AA1CA0C">
        <w:t>cos</w:t>
      </w:r>
      <w:r w:rsidR="00464F61" w:rsidRPr="2AA1CA0C">
        <w:t xml:space="preserve">ts of </w:t>
      </w:r>
      <w:r w:rsidR="00386A0C" w:rsidRPr="2AA1CA0C">
        <w:t xml:space="preserve">readmissions, </w:t>
      </w:r>
      <w:r w:rsidR="00C37E4A" w:rsidRPr="2AA1CA0C">
        <w:t xml:space="preserve">and unknown </w:t>
      </w:r>
      <w:r w:rsidR="00543E49" w:rsidRPr="2AA1CA0C">
        <w:t>length</w:t>
      </w:r>
      <w:r w:rsidR="005E145C" w:rsidRPr="2AA1CA0C">
        <w:t>s</w:t>
      </w:r>
      <w:r w:rsidR="00543E49" w:rsidRPr="2AA1CA0C">
        <w:t xml:space="preserve"> of </w:t>
      </w:r>
      <w:r w:rsidR="006C0E9D" w:rsidRPr="2AA1CA0C">
        <w:t>hosp</w:t>
      </w:r>
      <w:r w:rsidR="006C692D" w:rsidRPr="2AA1CA0C">
        <w:t>italisation.</w:t>
      </w:r>
    </w:p>
    <w:p w14:paraId="6F0A7B98" w14:textId="2B47A163" w:rsidR="00706797" w:rsidRDefault="00706797" w:rsidP="00706797">
      <w:r>
        <w:t xml:space="preserve">The overall impact of uncertainties associated with the budget impact of listing ESG still exists. Factors influencing ESG uptake among patients hesitant about LSG remain unclear. The analyses did not account for potential health benefits and cost reductions due to the impact of ESG uptake, particularly decreasing healthcare resource utilisation. </w:t>
      </w:r>
    </w:p>
    <w:p w14:paraId="7838A9FF" w14:textId="33CE6C9C" w:rsidR="00772829" w:rsidRPr="00CE28E3" w:rsidRDefault="00772829" w:rsidP="00361335">
      <w:pPr>
        <w:pStyle w:val="Heading2"/>
        <w:numPr>
          <w:ilvl w:val="0"/>
          <w:numId w:val="26"/>
        </w:numPr>
        <w:ind w:hanging="720"/>
      </w:pPr>
      <w:bookmarkStart w:id="116" w:name="_Toc69491427"/>
      <w:bookmarkStart w:id="117" w:name="_Ref197085634"/>
      <w:r w:rsidRPr="00CE28E3">
        <w:t xml:space="preserve">Other relevant </w:t>
      </w:r>
      <w:bookmarkEnd w:id="116"/>
      <w:r w:rsidR="00FA5766">
        <w:t>information</w:t>
      </w:r>
      <w:bookmarkEnd w:id="117"/>
    </w:p>
    <w:p w14:paraId="12E882E9" w14:textId="15D4F4F7" w:rsidR="00D31F38" w:rsidRDefault="00211956" w:rsidP="00DA2E66">
      <w:r w:rsidRPr="2AA1CA0C">
        <w:t>The eligible p</w:t>
      </w:r>
      <w:r w:rsidR="00DA2E66" w:rsidRPr="2AA1CA0C">
        <w:t>opulation</w:t>
      </w:r>
      <w:r w:rsidRPr="2AA1CA0C">
        <w:t>s</w:t>
      </w:r>
      <w:r w:rsidR="00D15BFA" w:rsidRPr="2AA1CA0C">
        <w:t xml:space="preserve"> </w:t>
      </w:r>
      <w:r w:rsidR="00DA2E66" w:rsidRPr="2AA1CA0C">
        <w:t xml:space="preserve">as defined </w:t>
      </w:r>
      <w:r w:rsidRPr="2AA1CA0C">
        <w:t>are</w:t>
      </w:r>
      <w:r w:rsidR="00DA2E66" w:rsidRPr="2AA1CA0C">
        <w:t xml:space="preserve"> likely to create equity of access issues should ESG be recommended for public funding. At the protocol phase, PASC recommended </w:t>
      </w:r>
      <w:r w:rsidR="005626B2" w:rsidRPr="2AA1CA0C">
        <w:t xml:space="preserve">that </w:t>
      </w:r>
      <w:r w:rsidR="00DA2E66" w:rsidRPr="2AA1CA0C">
        <w:t xml:space="preserve">the population eligible for ESG be limited to patients </w:t>
      </w:r>
      <w:r w:rsidR="005626B2" w:rsidRPr="2AA1CA0C">
        <w:t xml:space="preserve">who </w:t>
      </w:r>
      <w:r w:rsidR="00DA2E66" w:rsidRPr="2AA1CA0C">
        <w:t xml:space="preserve">had failed first-line (lifestyle modification) </w:t>
      </w:r>
      <w:r w:rsidR="00DA2E66" w:rsidRPr="2AA1CA0C">
        <w:rPr>
          <w:u w:val="single"/>
        </w:rPr>
        <w:t>and</w:t>
      </w:r>
      <w:r w:rsidR="00DA2E66" w:rsidRPr="2AA1CA0C">
        <w:t xml:space="preserve"> second-line (</w:t>
      </w:r>
      <w:r w:rsidR="00392285" w:rsidRPr="2AA1CA0C">
        <w:t>VLED</w:t>
      </w:r>
      <w:r w:rsidR="00DA2E66" w:rsidRPr="2AA1CA0C">
        <w:t xml:space="preserve"> </w:t>
      </w:r>
      <w:r w:rsidR="00392285" w:rsidRPr="2AA1CA0C">
        <w:t xml:space="preserve">plus </w:t>
      </w:r>
      <w:r w:rsidR="00DA2E66" w:rsidRPr="2AA1CA0C">
        <w:t xml:space="preserve">pharmacotherapy) therapies. </w:t>
      </w:r>
    </w:p>
    <w:p w14:paraId="06A0D4E4" w14:textId="3362F031" w:rsidR="00B571E7" w:rsidRDefault="00DA2E66" w:rsidP="00B571E7">
      <w:r w:rsidRPr="2AA1CA0C">
        <w:t>As of writing, only one pharmacotherapy specifically intended for weight loss is listed on the RPBS</w:t>
      </w:r>
      <w:r w:rsidR="009C1780" w:rsidRPr="2AA1CA0C">
        <w:t>, that being</w:t>
      </w:r>
      <w:r w:rsidR="0061240F" w:rsidRPr="2AA1CA0C">
        <w:t xml:space="preserve"> </w:t>
      </w:r>
      <w:r w:rsidR="009C1780" w:rsidRPr="2AA1CA0C">
        <w:t>o</w:t>
      </w:r>
      <w:r w:rsidR="0061240F" w:rsidRPr="2AA1CA0C">
        <w:t>rlistat (</w:t>
      </w:r>
      <w:r w:rsidR="00D134AD" w:rsidRPr="2AA1CA0C">
        <w:t xml:space="preserve">brand name </w:t>
      </w:r>
      <w:r w:rsidR="0061240F" w:rsidRPr="2AA1CA0C">
        <w:t>Xenical</w:t>
      </w:r>
      <w:r w:rsidRPr="2AA1CA0C">
        <w:t>) as an initial course in patients with BMI ≥35</w:t>
      </w:r>
      <w:r w:rsidR="00801832" w:rsidRPr="2AA1CA0C">
        <w:t> kg/m</w:t>
      </w:r>
      <w:r w:rsidR="00801832" w:rsidRPr="2AA1CA0C">
        <w:rPr>
          <w:vertAlign w:val="superscript"/>
        </w:rPr>
        <w:t>2</w:t>
      </w:r>
      <w:r w:rsidRPr="2AA1CA0C">
        <w:t xml:space="preserve"> with no known comorbidities, or ≥30</w:t>
      </w:r>
      <w:r w:rsidR="00D134AD" w:rsidRPr="2AA1CA0C">
        <w:t> </w:t>
      </w:r>
      <w:r w:rsidR="00801832" w:rsidRPr="2AA1CA0C">
        <w:t>kg/m</w:t>
      </w:r>
      <w:r w:rsidR="00801832" w:rsidRPr="2AA1CA0C">
        <w:rPr>
          <w:vertAlign w:val="superscript"/>
        </w:rPr>
        <w:t xml:space="preserve">2 </w:t>
      </w:r>
      <w:r w:rsidRPr="2AA1CA0C">
        <w:t>with either diabetes, ischaemic heart disease, psychiatric conditions or hypertension.</w:t>
      </w:r>
      <w:r w:rsidR="00D134AD" w:rsidRPr="2AA1CA0C">
        <w:t xml:space="preserve"> </w:t>
      </w:r>
    </w:p>
    <w:p w14:paraId="3DF652EC" w14:textId="0393716A" w:rsidR="00B571E7" w:rsidRDefault="002E1672" w:rsidP="00C05DB4">
      <w:pPr>
        <w:pStyle w:val="ListParagraph"/>
        <w:numPr>
          <w:ilvl w:val="0"/>
          <w:numId w:val="21"/>
        </w:numPr>
      </w:pPr>
      <w:r w:rsidRPr="2AA1CA0C">
        <w:t>S</w:t>
      </w:r>
      <w:r w:rsidR="00E93297" w:rsidRPr="2AA1CA0C">
        <w:t>emaglutide</w:t>
      </w:r>
      <w:r w:rsidR="004E2190" w:rsidRPr="2AA1CA0C">
        <w:t xml:space="preserve"> </w:t>
      </w:r>
      <w:r w:rsidRPr="2AA1CA0C">
        <w:t>(W</w:t>
      </w:r>
      <w:r w:rsidR="00936ECD" w:rsidRPr="2AA1CA0C">
        <w:t>egovy</w:t>
      </w:r>
      <w:r w:rsidR="008B61BE" w:rsidRPr="2AA1CA0C">
        <w:t xml:space="preserve">) </w:t>
      </w:r>
      <w:r w:rsidR="00A45047" w:rsidRPr="2AA1CA0C">
        <w:t>is TGA-registered</w:t>
      </w:r>
      <w:r w:rsidR="009F0EB3" w:rsidRPr="2AA1CA0C">
        <w:t xml:space="preserve">: </w:t>
      </w:r>
      <w:r w:rsidR="006605DA" w:rsidRPr="2AA1CA0C">
        <w:t xml:space="preserve">(a) </w:t>
      </w:r>
      <w:r w:rsidR="00D520F0" w:rsidRPr="2AA1CA0C">
        <w:t xml:space="preserve">as an adjunct to a reduced-energy diet and increased physical activity for chronic weight management (including weight loss and weight maintenance) </w:t>
      </w:r>
      <w:r w:rsidR="00EA145F" w:rsidRPr="2AA1CA0C">
        <w:t>in adults</w:t>
      </w:r>
      <w:r w:rsidR="00D520F0" w:rsidRPr="2AA1CA0C">
        <w:t xml:space="preserve"> with an initial BMI of ≥30 kg/m</w:t>
      </w:r>
      <w:r w:rsidR="00D520F0" w:rsidRPr="2AA1CA0C">
        <w:rPr>
          <w:vertAlign w:val="superscript"/>
        </w:rPr>
        <w:t>2</w:t>
      </w:r>
      <w:r w:rsidR="00214F90" w:rsidRPr="2AA1CA0C">
        <w:t xml:space="preserve"> (obesity)</w:t>
      </w:r>
      <w:r w:rsidR="009F0EB3" w:rsidRPr="2AA1CA0C">
        <w:t>,</w:t>
      </w:r>
      <w:r w:rsidR="00214F90" w:rsidRPr="2AA1CA0C">
        <w:t xml:space="preserve"> or </w:t>
      </w:r>
      <w:r w:rsidR="00DC306C" w:rsidRPr="2AA1CA0C">
        <w:t>≥27 kg/m</w:t>
      </w:r>
      <w:r w:rsidR="00DC306C" w:rsidRPr="2AA1CA0C">
        <w:rPr>
          <w:vertAlign w:val="superscript"/>
        </w:rPr>
        <w:t>2</w:t>
      </w:r>
      <w:r w:rsidR="00DC306C" w:rsidRPr="2AA1CA0C">
        <w:t xml:space="preserve"> to &lt;30 kg/m</w:t>
      </w:r>
      <w:r w:rsidR="00DC306C" w:rsidRPr="2AA1CA0C">
        <w:rPr>
          <w:vertAlign w:val="superscript"/>
        </w:rPr>
        <w:t>2</w:t>
      </w:r>
      <w:r w:rsidR="00DC306C" w:rsidRPr="2AA1CA0C">
        <w:t xml:space="preserve"> (overweight) in the presence of at least one weight-related comorbidity</w:t>
      </w:r>
      <w:r w:rsidR="00D10671" w:rsidRPr="2AA1CA0C">
        <w:t xml:space="preserve">; and (b) </w:t>
      </w:r>
      <w:r w:rsidR="00391293" w:rsidRPr="2AA1CA0C">
        <w:t xml:space="preserve">as an adjunct to a reduced-calorie diet and increased physical activity for weight management in </w:t>
      </w:r>
      <w:r w:rsidR="000472A9" w:rsidRPr="2AA1CA0C">
        <w:t>adolescents</w:t>
      </w:r>
      <w:r w:rsidR="00391293" w:rsidRPr="2AA1CA0C">
        <w:t xml:space="preserve"> age</w:t>
      </w:r>
      <w:r w:rsidR="00DA1A8C" w:rsidRPr="2AA1CA0C">
        <w:t>d</w:t>
      </w:r>
      <w:r w:rsidR="00391293" w:rsidRPr="2AA1CA0C">
        <w:t xml:space="preserve"> </w:t>
      </w:r>
      <w:r w:rsidR="009F0EB3" w:rsidRPr="2AA1CA0C">
        <w:t>≥</w:t>
      </w:r>
      <w:r w:rsidR="00391293" w:rsidRPr="2AA1CA0C">
        <w:t>12 years with initial</w:t>
      </w:r>
      <w:r w:rsidR="00594F2E" w:rsidRPr="2AA1CA0C">
        <w:t xml:space="preserve"> </w:t>
      </w:r>
      <w:r w:rsidR="00391293" w:rsidRPr="2AA1CA0C">
        <w:t>obesity</w:t>
      </w:r>
      <w:r w:rsidR="00EB1B82" w:rsidRPr="2AA1CA0C">
        <w:t xml:space="preserve"> </w:t>
      </w:r>
      <w:r w:rsidR="00391293" w:rsidRPr="2AA1CA0C">
        <w:t>and</w:t>
      </w:r>
      <w:r w:rsidR="00EB1B82" w:rsidRPr="2AA1CA0C">
        <w:t xml:space="preserve"> </w:t>
      </w:r>
      <w:r w:rsidR="00391293" w:rsidRPr="2AA1CA0C">
        <w:t xml:space="preserve">body weight </w:t>
      </w:r>
      <w:r w:rsidR="009F0EB3" w:rsidRPr="2AA1CA0C">
        <w:t>&gt;</w:t>
      </w:r>
      <w:r w:rsidR="00391293" w:rsidRPr="2AA1CA0C">
        <w:t>60 kg</w:t>
      </w:r>
      <w:r w:rsidR="00EB1B82" w:rsidRPr="2AA1CA0C">
        <w:t xml:space="preserve">. </w:t>
      </w:r>
      <w:r w:rsidR="0075254C" w:rsidRPr="2AA1CA0C">
        <w:t xml:space="preserve">PBAC </w:t>
      </w:r>
      <w:r w:rsidR="0025140A" w:rsidRPr="2AA1CA0C">
        <w:t>considered s</w:t>
      </w:r>
      <w:r w:rsidR="0075254C" w:rsidRPr="2AA1CA0C">
        <w:t>emaglutide (Wegovy)</w:t>
      </w:r>
      <w:r w:rsidR="003C29B6" w:rsidRPr="2AA1CA0C">
        <w:t xml:space="preserve"> for the treatment of severe obesity</w:t>
      </w:r>
      <w:r w:rsidR="0075254C" w:rsidRPr="2AA1CA0C">
        <w:t xml:space="preserve"> </w:t>
      </w:r>
      <w:r w:rsidR="00CC7865" w:rsidRPr="2AA1CA0C">
        <w:t xml:space="preserve">in </w:t>
      </w:r>
      <w:r w:rsidR="004B2A3E" w:rsidRPr="2AA1CA0C">
        <w:t>March 2022 and November 2023</w:t>
      </w:r>
      <w:r w:rsidR="003C29B6" w:rsidRPr="2AA1CA0C">
        <w:t xml:space="preserve"> </w:t>
      </w:r>
      <w:r w:rsidR="00B8438D" w:rsidRPr="2AA1CA0C">
        <w:t xml:space="preserve">and did not recommend the proposed PBS listing. </w:t>
      </w:r>
      <w:r w:rsidR="00464A44" w:rsidRPr="2AA1CA0C">
        <w:t xml:space="preserve">Semaglutide (Ozempic) is PBS-listed for the treatment of type 2 diabetes mellitus and is purportedly widely used off-label as a weight-loss treatment, like other anti-diabetic medications. </w:t>
      </w:r>
    </w:p>
    <w:p w14:paraId="5895AAFC" w14:textId="5B4C917A" w:rsidR="00431E18" w:rsidRPr="00431E18" w:rsidRDefault="007C6E99" w:rsidP="00C05DB4">
      <w:pPr>
        <w:pStyle w:val="ListParagraph"/>
        <w:numPr>
          <w:ilvl w:val="0"/>
          <w:numId w:val="21"/>
        </w:numPr>
      </w:pPr>
      <w:r w:rsidRPr="2AA1CA0C">
        <w:t>The TGA recently extended the indication of tirzepatide (</w:t>
      </w:r>
      <w:r w:rsidR="00121E5B" w:rsidRPr="2AA1CA0C">
        <w:t>Mounjaro KwikPen</w:t>
      </w:r>
      <w:r w:rsidRPr="2AA1CA0C">
        <w:t xml:space="preserve">) </w:t>
      </w:r>
      <w:r w:rsidR="00B571E7" w:rsidRPr="2AA1CA0C">
        <w:t>as an adjunct to a reduced-calorie diet and increased physical activity for chronic weight management, including weight loss and weight maintenance, in adults with an initial BMI of:</w:t>
      </w:r>
      <w:r w:rsidR="000C4935" w:rsidRPr="2AA1CA0C">
        <w:t xml:space="preserve"> ≥</w:t>
      </w:r>
      <w:r w:rsidR="00B571E7" w:rsidRPr="2AA1CA0C">
        <w:t>30 kg/m</w:t>
      </w:r>
      <w:r w:rsidR="00B571E7" w:rsidRPr="2AA1CA0C">
        <w:rPr>
          <w:vertAlign w:val="superscript"/>
        </w:rPr>
        <w:t>2</w:t>
      </w:r>
      <w:r w:rsidR="00B571E7" w:rsidRPr="2AA1CA0C">
        <w:t xml:space="preserve"> (obesity) or,· </w:t>
      </w:r>
      <w:r w:rsidR="00C71D2F" w:rsidRPr="2AA1CA0C">
        <w:t>≥</w:t>
      </w:r>
      <w:r w:rsidR="00B571E7" w:rsidRPr="2AA1CA0C">
        <w:t>27 kg/m</w:t>
      </w:r>
      <w:r w:rsidR="00B571E7" w:rsidRPr="2AA1CA0C">
        <w:rPr>
          <w:vertAlign w:val="superscript"/>
        </w:rPr>
        <w:t>2</w:t>
      </w:r>
      <w:r w:rsidR="00B571E7" w:rsidRPr="2AA1CA0C">
        <w:t xml:space="preserve"> to &lt;30 kg/m</w:t>
      </w:r>
      <w:r w:rsidR="00B571E7" w:rsidRPr="2AA1CA0C">
        <w:rPr>
          <w:vertAlign w:val="superscript"/>
        </w:rPr>
        <w:t>2</w:t>
      </w:r>
      <w:r w:rsidR="00B571E7" w:rsidRPr="2AA1CA0C">
        <w:t xml:space="preserve"> (overweight) in the presence of at least one weight-related comorbid condition (e.g., hypertension, dyslipidaemia, obstructive sleep apnoea, cardiovascular disease, prediabetes or type 2 diabetes mellitus).</w:t>
      </w:r>
      <w:r w:rsidR="00C71D2F" w:rsidRPr="2AA1CA0C">
        <w:t xml:space="preserve"> </w:t>
      </w:r>
      <w:r w:rsidR="2CC9E94F" w:rsidRPr="2AA1CA0C">
        <w:t>PBAC considered tirzepatide</w:t>
      </w:r>
      <w:r w:rsidR="42A16400" w:rsidRPr="2AA1CA0C">
        <w:t xml:space="preserve"> (Mounjaro) for </w:t>
      </w:r>
      <w:r w:rsidR="00D65967" w:rsidRPr="2AA1CA0C">
        <w:t xml:space="preserve">the treatment of </w:t>
      </w:r>
      <w:r w:rsidR="42A16400" w:rsidRPr="2AA1CA0C">
        <w:t xml:space="preserve">adult patients with inadequately controlled type </w:t>
      </w:r>
      <w:r w:rsidR="408C9D29" w:rsidRPr="2AA1CA0C">
        <w:t>2 diabetes melli</w:t>
      </w:r>
      <w:r w:rsidR="00AD6722" w:rsidRPr="2AA1CA0C">
        <w:t>t</w:t>
      </w:r>
      <w:r w:rsidR="408C9D29" w:rsidRPr="2AA1CA0C">
        <w:t xml:space="preserve">us </w:t>
      </w:r>
      <w:r w:rsidR="00AE045F" w:rsidRPr="2AA1CA0C">
        <w:t xml:space="preserve">who </w:t>
      </w:r>
      <w:r w:rsidR="009667CA" w:rsidRPr="2AA1CA0C">
        <w:t>either have</w:t>
      </w:r>
      <w:r w:rsidR="408C9D29" w:rsidRPr="2AA1CA0C">
        <w:t xml:space="preserve"> comorbid severe obesity o</w:t>
      </w:r>
      <w:r w:rsidR="00186953" w:rsidRPr="2AA1CA0C">
        <w:t>r</w:t>
      </w:r>
      <w:r w:rsidR="408C9D29" w:rsidRPr="2AA1CA0C">
        <w:t xml:space="preserve"> identify as Aboriginal and Torres Strait Islander</w:t>
      </w:r>
      <w:r w:rsidR="2CC9E94F" w:rsidRPr="2AA1CA0C">
        <w:t xml:space="preserve"> in</w:t>
      </w:r>
      <w:r w:rsidR="2F63BB28" w:rsidRPr="2AA1CA0C">
        <w:t xml:space="preserve"> July 2023 and</w:t>
      </w:r>
      <w:r w:rsidR="2CC9E94F" w:rsidRPr="2AA1CA0C">
        <w:t xml:space="preserve"> November 2024 and did not recommend the proposed PBS listing</w:t>
      </w:r>
      <w:r w:rsidR="34D13A06" w:rsidRPr="2AA1CA0C">
        <w:t>.</w:t>
      </w:r>
      <w:r w:rsidR="090DFB7A" w:rsidRPr="2AA1CA0C">
        <w:t xml:space="preserve"> </w:t>
      </w:r>
    </w:p>
    <w:p w14:paraId="3CBC3A00" w14:textId="648FCFE2" w:rsidR="00DA2E66" w:rsidRPr="00B571E7" w:rsidRDefault="00DA2E66" w:rsidP="00C05DB4">
      <w:pPr>
        <w:pStyle w:val="ListParagraph"/>
        <w:numPr>
          <w:ilvl w:val="0"/>
          <w:numId w:val="21"/>
        </w:numPr>
        <w:rPr>
          <w:bCs/>
        </w:rPr>
      </w:pPr>
      <w:r w:rsidRPr="00B571E7">
        <w:rPr>
          <w:bCs/>
        </w:rPr>
        <w:t xml:space="preserve">Other pharmacotherapies available in Australia </w:t>
      </w:r>
      <w:r w:rsidR="00D15BFA" w:rsidRPr="00B571E7">
        <w:rPr>
          <w:bCs/>
        </w:rPr>
        <w:t>(</w:t>
      </w:r>
      <w:r w:rsidR="0077197B" w:rsidRPr="00B571E7">
        <w:rPr>
          <w:bCs/>
        </w:rPr>
        <w:t>ph</w:t>
      </w:r>
      <w:r w:rsidR="00D15BFA" w:rsidRPr="00B571E7">
        <w:rPr>
          <w:bCs/>
        </w:rPr>
        <w:t xml:space="preserve">entermine, </w:t>
      </w:r>
      <w:r w:rsidR="001446AF" w:rsidRPr="00B571E7">
        <w:rPr>
          <w:bCs/>
        </w:rPr>
        <w:t>t</w:t>
      </w:r>
      <w:r w:rsidR="00D15BFA" w:rsidRPr="00B571E7">
        <w:rPr>
          <w:bCs/>
        </w:rPr>
        <w:t xml:space="preserve">opiramate, </w:t>
      </w:r>
      <w:r w:rsidR="0081012B" w:rsidRPr="00B571E7">
        <w:rPr>
          <w:bCs/>
        </w:rPr>
        <w:t xml:space="preserve">liraglutide, </w:t>
      </w:r>
      <w:r w:rsidR="0077197B" w:rsidRPr="00B571E7">
        <w:rPr>
          <w:bCs/>
        </w:rPr>
        <w:t>naltrexone/bupropion</w:t>
      </w:r>
      <w:r w:rsidR="00D15BFA" w:rsidRPr="00B571E7">
        <w:rPr>
          <w:bCs/>
        </w:rPr>
        <w:t>)</w:t>
      </w:r>
      <w:r w:rsidRPr="00B571E7" w:rsidDel="00BC680B">
        <w:rPr>
          <w:bCs/>
        </w:rPr>
        <w:t xml:space="preserve"> </w:t>
      </w:r>
      <w:r w:rsidRPr="00B571E7">
        <w:rPr>
          <w:bCs/>
        </w:rPr>
        <w:t xml:space="preserve">are not </w:t>
      </w:r>
      <w:r w:rsidR="00D15BFA" w:rsidRPr="00B571E7">
        <w:rPr>
          <w:bCs/>
        </w:rPr>
        <w:t>PBS-listed</w:t>
      </w:r>
      <w:r w:rsidRPr="00B571E7">
        <w:rPr>
          <w:bCs/>
        </w:rPr>
        <w:t xml:space="preserve"> for treating obesity</w:t>
      </w:r>
      <w:r w:rsidR="00D15BFA" w:rsidRPr="00B571E7">
        <w:rPr>
          <w:bCs/>
        </w:rPr>
        <w:t>.</w:t>
      </w:r>
      <w:r w:rsidRPr="00B571E7">
        <w:rPr>
          <w:bCs/>
        </w:rPr>
        <w:t xml:space="preserve"> </w:t>
      </w:r>
    </w:p>
    <w:p w14:paraId="071A5966" w14:textId="637AAB75" w:rsidR="00422AAB" w:rsidRPr="00DA2E66" w:rsidRDefault="00544545" w:rsidP="007D18A3">
      <w:pPr>
        <w:rPr>
          <w:bCs/>
        </w:rPr>
      </w:pPr>
      <w:r>
        <w:rPr>
          <w:bCs/>
        </w:rPr>
        <w:t>ESC</w:t>
      </w:r>
      <w:r w:rsidR="00422AAB">
        <w:rPr>
          <w:bCs/>
        </w:rPr>
        <w:t xml:space="preserve"> noted that the ADAR has not included PASC’s </w:t>
      </w:r>
      <w:r w:rsidR="0077197B">
        <w:rPr>
          <w:bCs/>
        </w:rPr>
        <w:t xml:space="preserve">suggested </w:t>
      </w:r>
      <w:r w:rsidR="00422AAB">
        <w:rPr>
          <w:bCs/>
        </w:rPr>
        <w:t xml:space="preserve">requirement </w:t>
      </w:r>
      <w:r w:rsidR="0077197B">
        <w:rPr>
          <w:bCs/>
        </w:rPr>
        <w:t>for failure of pharmacotherapy</w:t>
      </w:r>
      <w:r w:rsidR="00422AAB">
        <w:rPr>
          <w:bCs/>
        </w:rPr>
        <w:t xml:space="preserve"> in the proposed MBS item descriptors.</w:t>
      </w:r>
    </w:p>
    <w:p w14:paraId="19A7FFD8" w14:textId="231708D1" w:rsidR="0386698F" w:rsidRPr="00CB0FFF" w:rsidRDefault="2E9217A6" w:rsidP="2AA1CA0C">
      <w:pPr>
        <w:rPr>
          <w:rFonts w:eastAsia="Franklin Gothic Book" w:cs="Franklin Gothic Book"/>
        </w:rPr>
      </w:pPr>
      <w:r w:rsidRPr="2AA1CA0C">
        <w:t xml:space="preserve">The Commentary </w:t>
      </w:r>
      <w:r w:rsidR="07F6F9DD" w:rsidRPr="2AA1CA0C">
        <w:t>noted that t</w:t>
      </w:r>
      <w:r w:rsidR="5709A95D" w:rsidRPr="2AA1CA0C">
        <w:t xml:space="preserve">he </w:t>
      </w:r>
      <w:r w:rsidR="462FF3CF" w:rsidRPr="2AA1CA0C">
        <w:t>Bariatric Surgery Registry annual report</w:t>
      </w:r>
      <w:r w:rsidR="0386698F" w:rsidRPr="2AA1CA0C">
        <w:rPr>
          <w:rStyle w:val="FootnoteReference"/>
        </w:rPr>
        <w:footnoteReference w:id="60"/>
      </w:r>
      <w:r w:rsidR="462FF3CF" w:rsidRPr="2AA1CA0C">
        <w:t xml:space="preserve"> </w:t>
      </w:r>
      <w:r w:rsidR="49991818" w:rsidRPr="2AA1CA0C">
        <w:t>indicated</w:t>
      </w:r>
      <w:r w:rsidR="7427F3A0" w:rsidRPr="2AA1CA0C">
        <w:t xml:space="preserve"> </w:t>
      </w:r>
      <w:r w:rsidR="462FF3CF" w:rsidRPr="2AA1CA0C">
        <w:t xml:space="preserve">that </w:t>
      </w:r>
      <w:r w:rsidR="462FF3CF" w:rsidRPr="2AA1CA0C">
        <w:rPr>
          <w:rFonts w:eastAsia="Franklin Gothic Book" w:cs="Franklin Gothic Book"/>
        </w:rPr>
        <w:t>in 2023</w:t>
      </w:r>
      <w:r w:rsidR="27CE19B7" w:rsidRPr="2AA1CA0C">
        <w:rPr>
          <w:rFonts w:eastAsia="Franklin Gothic Book" w:cs="Franklin Gothic Book"/>
        </w:rPr>
        <w:t xml:space="preserve"> most</w:t>
      </w:r>
      <w:r w:rsidR="462FF3CF" w:rsidRPr="2AA1CA0C">
        <w:rPr>
          <w:rFonts w:eastAsia="Franklin Gothic Book" w:cs="Franklin Gothic Book"/>
        </w:rPr>
        <w:t xml:space="preserve"> </w:t>
      </w:r>
      <w:r w:rsidR="3A3B901D" w:rsidRPr="2AA1CA0C">
        <w:rPr>
          <w:rFonts w:eastAsia="Franklin Gothic Book" w:cs="Franklin Gothic Book"/>
        </w:rPr>
        <w:t>primary,</w:t>
      </w:r>
      <w:r w:rsidR="462FF3CF" w:rsidRPr="2AA1CA0C">
        <w:rPr>
          <w:rFonts w:eastAsia="Franklin Gothic Book" w:cs="Franklin Gothic Book"/>
        </w:rPr>
        <w:t xml:space="preserve"> </w:t>
      </w:r>
      <w:r w:rsidR="4F5A0911" w:rsidRPr="2AA1CA0C">
        <w:rPr>
          <w:rFonts w:eastAsia="Franklin Gothic Book" w:cs="Franklin Gothic Book"/>
        </w:rPr>
        <w:t xml:space="preserve">and revision bariatric </w:t>
      </w:r>
      <w:r w:rsidR="462FF3CF" w:rsidRPr="2AA1CA0C">
        <w:rPr>
          <w:rFonts w:eastAsia="Franklin Gothic Book" w:cs="Franklin Gothic Book"/>
        </w:rPr>
        <w:t>procedures were privately funded</w:t>
      </w:r>
      <w:r w:rsidR="5FDDC01F" w:rsidRPr="2AA1CA0C">
        <w:rPr>
          <w:rFonts w:eastAsia="Franklin Gothic Book" w:cs="Franklin Gothic Book"/>
        </w:rPr>
        <w:t xml:space="preserve">. </w:t>
      </w:r>
      <w:r w:rsidR="60269EF4" w:rsidRPr="2AA1CA0C">
        <w:rPr>
          <w:rFonts w:eastAsia="Franklin Gothic Book" w:cs="Franklin Gothic Book"/>
        </w:rPr>
        <w:t>In</w:t>
      </w:r>
      <w:r w:rsidR="19D8C848" w:rsidRPr="2AA1CA0C">
        <w:rPr>
          <w:rFonts w:eastAsia="Franklin Gothic Book" w:cs="Franklin Gothic Book"/>
        </w:rPr>
        <w:t xml:space="preserve"> most cases </w:t>
      </w:r>
      <w:r w:rsidR="52DD9AC8" w:rsidRPr="2AA1CA0C">
        <w:rPr>
          <w:rFonts w:eastAsia="Franklin Gothic Book" w:cs="Franklin Gothic Book"/>
        </w:rPr>
        <w:t xml:space="preserve">treatment </w:t>
      </w:r>
      <w:r w:rsidR="63456D1B" w:rsidRPr="2AA1CA0C">
        <w:rPr>
          <w:rFonts w:eastAsia="Franklin Gothic Book" w:cs="Franklin Gothic Book"/>
        </w:rPr>
        <w:t xml:space="preserve">is likely to </w:t>
      </w:r>
      <w:r w:rsidR="7C47253B" w:rsidRPr="2AA1CA0C">
        <w:rPr>
          <w:rFonts w:eastAsia="Franklin Gothic Book" w:cs="Franklin Gothic Book"/>
        </w:rPr>
        <w:t xml:space="preserve">continue to </w:t>
      </w:r>
      <w:r w:rsidR="63456D1B" w:rsidRPr="2AA1CA0C">
        <w:rPr>
          <w:rFonts w:eastAsia="Franklin Gothic Book" w:cs="Franklin Gothic Book"/>
        </w:rPr>
        <w:t>be</w:t>
      </w:r>
      <w:r w:rsidR="798F6C13" w:rsidRPr="2AA1CA0C">
        <w:rPr>
          <w:rFonts w:eastAsia="Franklin Gothic Book" w:cs="Franklin Gothic Book"/>
        </w:rPr>
        <w:t xml:space="preserve"> via private routes with </w:t>
      </w:r>
      <w:r w:rsidR="57679C9E" w:rsidRPr="2AA1CA0C">
        <w:rPr>
          <w:rFonts w:eastAsia="Franklin Gothic Book" w:cs="Franklin Gothic Book"/>
        </w:rPr>
        <w:t>out-of-pocket</w:t>
      </w:r>
      <w:r w:rsidR="798F6C13" w:rsidRPr="2AA1CA0C">
        <w:rPr>
          <w:rFonts w:eastAsia="Franklin Gothic Book" w:cs="Franklin Gothic Book"/>
        </w:rPr>
        <w:t xml:space="preserve"> costs</w:t>
      </w:r>
      <w:r w:rsidR="0B010184" w:rsidRPr="2AA1CA0C">
        <w:rPr>
          <w:rFonts w:eastAsia="Franklin Gothic Book" w:cs="Franklin Gothic Book"/>
        </w:rPr>
        <w:t xml:space="preserve">, which may present a barrier to some patients, </w:t>
      </w:r>
      <w:r w:rsidR="7A2C85A0" w:rsidRPr="2AA1CA0C">
        <w:rPr>
          <w:rFonts w:eastAsia="Franklin Gothic Book" w:cs="Franklin Gothic Book"/>
        </w:rPr>
        <w:t>however</w:t>
      </w:r>
      <w:r w:rsidR="0B010184" w:rsidRPr="2AA1CA0C">
        <w:rPr>
          <w:rFonts w:eastAsia="Franklin Gothic Book" w:cs="Franklin Gothic Book"/>
        </w:rPr>
        <w:t xml:space="preserve"> there will be a cohort of patients who </w:t>
      </w:r>
      <w:r w:rsidR="401A6031" w:rsidRPr="2AA1CA0C">
        <w:rPr>
          <w:rFonts w:eastAsia="Franklin Gothic Book" w:cs="Franklin Gothic Book"/>
        </w:rPr>
        <w:t>can</w:t>
      </w:r>
      <w:r w:rsidR="69F53037" w:rsidRPr="2AA1CA0C">
        <w:rPr>
          <w:rFonts w:eastAsia="Franklin Gothic Book" w:cs="Franklin Gothic Book"/>
        </w:rPr>
        <w:t xml:space="preserve"> </w:t>
      </w:r>
      <w:r w:rsidR="401A6031" w:rsidRPr="2AA1CA0C">
        <w:rPr>
          <w:rFonts w:eastAsia="Franklin Gothic Book" w:cs="Franklin Gothic Book"/>
        </w:rPr>
        <w:t xml:space="preserve">and will </w:t>
      </w:r>
      <w:r w:rsidR="0B010184" w:rsidRPr="2AA1CA0C">
        <w:rPr>
          <w:rFonts w:eastAsia="Franklin Gothic Book" w:cs="Franklin Gothic Book"/>
        </w:rPr>
        <w:t>continue to privately fund care.</w:t>
      </w:r>
    </w:p>
    <w:p w14:paraId="01B2A9FA" w14:textId="3F93652F" w:rsidR="00772829" w:rsidRDefault="0016548B">
      <w:r w:rsidRPr="2AA1CA0C">
        <w:t xml:space="preserve">The impact of the proposed listing on the use of pharmacotherapies </w:t>
      </w:r>
      <w:r w:rsidR="00A83274" w:rsidRPr="2AA1CA0C">
        <w:t>is unclear.</w:t>
      </w:r>
      <w:r w:rsidR="00E76E83" w:rsidRPr="2AA1CA0C">
        <w:t xml:space="preserve"> Expert opinion included in the ADAR </w:t>
      </w:r>
      <w:r w:rsidR="00031AD7" w:rsidRPr="2AA1CA0C">
        <w:t xml:space="preserve">noted the dose-sparing effect of the procedures with pharmacotherapies when used in combination, suggesting some </w:t>
      </w:r>
      <w:r w:rsidR="0039243D" w:rsidRPr="2AA1CA0C">
        <w:t>patients</w:t>
      </w:r>
      <w:r w:rsidR="00031AD7" w:rsidRPr="2AA1CA0C">
        <w:t xml:space="preserve"> would benefit from both surgery and pharmacotherapy.</w:t>
      </w:r>
    </w:p>
    <w:p w14:paraId="7F132CFE" w14:textId="77777777" w:rsidR="00361335" w:rsidRPr="00A737D1" w:rsidRDefault="00361335" w:rsidP="00361335">
      <w:pPr>
        <w:pStyle w:val="Heading2"/>
        <w:numPr>
          <w:ilvl w:val="0"/>
          <w:numId w:val="26"/>
        </w:numPr>
        <w:ind w:hanging="720"/>
      </w:pPr>
      <w:bookmarkStart w:id="118" w:name="_Toc145678765"/>
      <w:bookmarkStart w:id="119" w:name="_Toc150172410"/>
      <w:bookmarkStart w:id="120" w:name="_Toc153462785"/>
      <w:r w:rsidRPr="003A793E">
        <w:t>Key issues from ESC to MSAC</w:t>
      </w:r>
    </w:p>
    <w:bookmarkEnd w:id="118"/>
    <w:bookmarkEnd w:id="119"/>
    <w:bookmarkEnd w:id="120"/>
    <w:p w14:paraId="6076C2FB" w14:textId="77777777" w:rsidR="007F1F22" w:rsidRDefault="007F1F22" w:rsidP="007F1F22">
      <w:pPr>
        <w:pStyle w:val="BoxName0"/>
      </w:pPr>
      <w:r w:rsidRPr="2AA1CA0C">
        <w:t>Main issues for MSAC consideration</w:t>
      </w:r>
    </w:p>
    <w:p w14:paraId="4722F1B2" w14:textId="77777777" w:rsidR="007F1F22" w:rsidRDefault="007F1F22" w:rsidP="007F1F22">
      <w:pPr>
        <w:pStyle w:val="BoxName0"/>
      </w:pPr>
      <w:r>
        <w:t>Clinical issues:</w:t>
      </w:r>
    </w:p>
    <w:p w14:paraId="229F23B1" w14:textId="77777777" w:rsidR="007F1F22" w:rsidRPr="00CD0D7F" w:rsidRDefault="007F1F22" w:rsidP="007F1F22">
      <w:pPr>
        <w:pStyle w:val="BoxName0"/>
        <w:rPr>
          <w:b w:val="0"/>
          <w:bCs w:val="0"/>
        </w:rPr>
      </w:pPr>
      <w:r w:rsidRPr="00CD0D7F">
        <w:rPr>
          <w:b w:val="0"/>
          <w:bCs w:val="0"/>
          <w:u w:val="single"/>
        </w:rPr>
        <w:t>PICO set 1</w:t>
      </w:r>
      <w:r>
        <w:rPr>
          <w:b w:val="0"/>
          <w:bCs w:val="0"/>
        </w:rPr>
        <w:t>:</w:t>
      </w:r>
      <w:r w:rsidRPr="00891087">
        <w:rPr>
          <w:rFonts w:eastAsiaTheme="minorHAnsi" w:cstheme="minorBidi"/>
          <w:b w:val="0"/>
          <w:bCs w:val="0"/>
          <w:color w:val="auto"/>
          <w:sz w:val="22"/>
          <w:szCs w:val="22"/>
          <w:lang w:eastAsia="en-US"/>
        </w:rPr>
        <w:t xml:space="preserve"> </w:t>
      </w:r>
      <w:r w:rsidRPr="00891087">
        <w:rPr>
          <w:b w:val="0"/>
          <w:bCs w:val="0"/>
        </w:rPr>
        <w:t>class I (BMI 30-34.99 kg/m²) or class II obesity (BMI 35–39.99 kg/m²)</w:t>
      </w:r>
      <w:r>
        <w:rPr>
          <w:b w:val="0"/>
          <w:bCs w:val="0"/>
        </w:rPr>
        <w:t xml:space="preserve"> after failing lifestyle modifications and/or pharmacotherapy</w:t>
      </w:r>
    </w:p>
    <w:p w14:paraId="4E28F19A" w14:textId="2B632C17" w:rsidR="007F1F22" w:rsidRPr="00CD0D7F" w:rsidRDefault="007F1F22" w:rsidP="007F1F22">
      <w:pPr>
        <w:pStyle w:val="BoxBullet"/>
        <w:rPr>
          <w:b/>
          <w:bCs/>
        </w:rPr>
      </w:pPr>
      <w:r>
        <w:t>ESC noted that the p</w:t>
      </w:r>
      <w:r w:rsidRPr="001077C1">
        <w:t xml:space="preserve">roposed use of </w:t>
      </w:r>
      <w:r>
        <w:t>endoscopic sleeve gastroplasty</w:t>
      </w:r>
      <w:r w:rsidRPr="001077C1">
        <w:t xml:space="preserve"> </w:t>
      </w:r>
      <w:r>
        <w:t>(</w:t>
      </w:r>
      <w:r w:rsidRPr="001077C1">
        <w:t>ESG</w:t>
      </w:r>
      <w:r>
        <w:t>)</w:t>
      </w:r>
      <w:r w:rsidRPr="001077C1">
        <w:t xml:space="preserve"> in patients with </w:t>
      </w:r>
      <w:r>
        <w:t xml:space="preserve">(a) </w:t>
      </w:r>
      <w:r w:rsidRPr="001077C1">
        <w:t xml:space="preserve">class I </w:t>
      </w:r>
      <w:r>
        <w:t xml:space="preserve">obesity, or (b) </w:t>
      </w:r>
      <w:r w:rsidRPr="001077C1">
        <w:t>class II obesity without comorbidities</w:t>
      </w:r>
      <w:r>
        <w:t>,</w:t>
      </w:r>
      <w:r w:rsidRPr="001077C1">
        <w:t xml:space="preserve"> do</w:t>
      </w:r>
      <w:r>
        <w:t>es</w:t>
      </w:r>
      <w:r w:rsidRPr="001077C1">
        <w:t xml:space="preserve"> not align with </w:t>
      </w:r>
      <w:r>
        <w:t>the</w:t>
      </w:r>
      <w:r w:rsidRPr="001077C1">
        <w:t xml:space="preserve"> NHMRC </w:t>
      </w:r>
      <w:r>
        <w:t>(</w:t>
      </w:r>
      <w:r w:rsidRPr="00CD0D7F">
        <w:t>2013</w:t>
      </w:r>
      <w:r>
        <w:t>) Clinical Practice Guidelines for the management of overweight and obesity</w:t>
      </w:r>
      <w:r>
        <w:rPr>
          <w:rStyle w:val="FootnoteReference"/>
        </w:rPr>
        <w:footnoteReference w:id="61"/>
      </w:r>
      <w:r w:rsidRPr="001077C1">
        <w:t xml:space="preserve"> </w:t>
      </w:r>
      <w:r>
        <w:t xml:space="preserve">but may align partially with new department-commissioned draft guidelines (November 2024) </w:t>
      </w:r>
      <w:r>
        <w:rPr>
          <w:rStyle w:val="FootnoteReference"/>
        </w:rPr>
        <w:footnoteReference w:id="62"/>
      </w:r>
      <w:r>
        <w:t xml:space="preserve"> currently undergoing public consultation (</w:t>
      </w:r>
      <w:r w:rsidR="00D001F9">
        <w:fldChar w:fldCharType="begin"/>
      </w:r>
      <w:r w:rsidR="00D001F9">
        <w:instrText xml:space="preserve"> REF _Ref191464716 \h </w:instrText>
      </w:r>
      <w:r w:rsidR="00D001F9">
        <w:fldChar w:fldCharType="separate"/>
      </w:r>
      <w:r w:rsidR="008F37D1" w:rsidRPr="00CA581C">
        <w:t xml:space="preserve">Table </w:t>
      </w:r>
      <w:r w:rsidR="008F37D1">
        <w:rPr>
          <w:noProof/>
        </w:rPr>
        <w:t>38</w:t>
      </w:r>
      <w:r w:rsidR="00D001F9">
        <w:fldChar w:fldCharType="end"/>
      </w:r>
      <w:r>
        <w:t xml:space="preserve">). </w:t>
      </w:r>
    </w:p>
    <w:p w14:paraId="13C9728C" w14:textId="77777777" w:rsidR="007F1F22" w:rsidRPr="00CD0D7F" w:rsidRDefault="007F1F22" w:rsidP="007F1F22">
      <w:pPr>
        <w:pStyle w:val="BoxBullet"/>
        <w:rPr>
          <w:b/>
          <w:bCs/>
        </w:rPr>
      </w:pPr>
      <w:r w:rsidRPr="00E736D8">
        <w:t xml:space="preserve">Comparative safety and effectiveness data was limited to </w:t>
      </w:r>
      <w:r>
        <w:t>1</w:t>
      </w:r>
      <w:r w:rsidRPr="00E736D8">
        <w:t xml:space="preserve"> year based on the MERIT trial.</w:t>
      </w:r>
      <w:r>
        <w:t xml:space="preserve"> ESC considered there is significant uncertainty in the long-term evidence for comparative effectiveness. F</w:t>
      </w:r>
      <w:r w:rsidRPr="2AA1CA0C">
        <w:t xml:space="preserve">ollow-up data beyond 12 months are limited, and the loss to follow-up is significant. </w:t>
      </w:r>
      <w:r>
        <w:t xml:space="preserve">The pre-ESC response presented a conference abstract which reported on a study with 10-year follow-up. ESC noted that conference abstracts </w:t>
      </w:r>
      <w:r w:rsidDel="00B6591F">
        <w:t xml:space="preserve">are </w:t>
      </w:r>
      <w:r>
        <w:t>not usually accepted as evidence by MSAC.</w:t>
      </w:r>
    </w:p>
    <w:p w14:paraId="323C10EB" w14:textId="77777777" w:rsidR="007F1F22" w:rsidRDefault="007F1F22" w:rsidP="007F1F22">
      <w:pPr>
        <w:pStyle w:val="BoxBullet"/>
      </w:pPr>
      <w:r>
        <w:t xml:space="preserve">Applicability of results from the MERIT trial to Australian clinical practice uncertain: ESC noted that the MERIT trial did not require study participants to have failed 12 months of both lifestyle modifications and pharmacotherapy. </w:t>
      </w:r>
      <w:r w:rsidRPr="001F1EA9">
        <w:t xml:space="preserve">However, </w:t>
      </w:r>
      <w:r>
        <w:t xml:space="preserve">previous PASC advice was for patients to have failed </w:t>
      </w:r>
      <w:r w:rsidRPr="001F1EA9">
        <w:t>12</w:t>
      </w:r>
      <w:r>
        <w:t xml:space="preserve"> </w:t>
      </w:r>
      <w:r w:rsidRPr="001F1EA9">
        <w:t>month</w:t>
      </w:r>
      <w:r>
        <w:t xml:space="preserve">s of </w:t>
      </w:r>
      <w:r w:rsidRPr="001F1EA9">
        <w:t xml:space="preserve">lifestyle modification and pharmacotherapy </w:t>
      </w:r>
      <w:r>
        <w:t xml:space="preserve">before bariatric surgery is </w:t>
      </w:r>
      <w:r w:rsidRPr="001F1EA9">
        <w:t>consider</w:t>
      </w:r>
      <w:r>
        <w:t>ed</w:t>
      </w:r>
      <w:r w:rsidRPr="001F1EA9">
        <w:t xml:space="preserve">.  </w:t>
      </w:r>
    </w:p>
    <w:p w14:paraId="4561D9B8" w14:textId="54C0023F" w:rsidR="007F1F22" w:rsidRDefault="007F1F22" w:rsidP="007F1F22">
      <w:pPr>
        <w:pStyle w:val="BoxBullet"/>
      </w:pPr>
      <w:r>
        <w:t>ESC noted the potential for equity issues to arise from the requirement to trial and fail treatment with pharmacotherapy as an eligibility criterion for ESG, given that there are no PBS listed medications for weight management. However, ESC also</w:t>
      </w:r>
      <w:r w:rsidRPr="00D64320">
        <w:t xml:space="preserve"> noted that </w:t>
      </w:r>
      <w:r>
        <w:t xml:space="preserve">several drugs, including </w:t>
      </w:r>
      <w:r w:rsidRPr="00D64320">
        <w:t>Glucagon-like peptide-1 (GLP-1) agonists</w:t>
      </w:r>
      <w:r>
        <w:t>,</w:t>
      </w:r>
      <w:r w:rsidRPr="00D64320">
        <w:t xml:space="preserve"> are </w:t>
      </w:r>
      <w:r>
        <w:t>TGA registered</w:t>
      </w:r>
      <w:r w:rsidRPr="00D64320">
        <w:t xml:space="preserve"> for chronic weight management and are used in clinical practice</w:t>
      </w:r>
      <w:r>
        <w:t xml:space="preserve"> in Australia, but they are not PBS listed for the indication of weight management</w:t>
      </w:r>
      <w:r w:rsidRPr="00D64320">
        <w:t>.</w:t>
      </w:r>
    </w:p>
    <w:p w14:paraId="55EA3338" w14:textId="77777777" w:rsidR="007F1F22" w:rsidRDefault="007F1F22" w:rsidP="007F1F22">
      <w:pPr>
        <w:pStyle w:val="BoxBullet"/>
        <w:numPr>
          <w:ilvl w:val="0"/>
          <w:numId w:val="0"/>
        </w:numPr>
        <w:ind w:left="357" w:hanging="357"/>
      </w:pPr>
      <w:r w:rsidRPr="00CD0D7F">
        <w:rPr>
          <w:u w:val="single"/>
        </w:rPr>
        <w:t>PICO set 2</w:t>
      </w:r>
      <w:r>
        <w:t>:</w:t>
      </w:r>
      <w:r w:rsidRPr="00567165">
        <w:t xml:space="preserve"> </w:t>
      </w:r>
      <w:r w:rsidRPr="00BA7EAB">
        <w:t xml:space="preserve">class II obesity (BMI 35-39.99 kg/m²) </w:t>
      </w:r>
      <w:r>
        <w:t xml:space="preserve">with comorbidities or </w:t>
      </w:r>
      <w:r w:rsidRPr="00567165">
        <w:t>class III obesity (BMI &gt;40 kg/m²)</w:t>
      </w:r>
      <w:r>
        <w:t xml:space="preserve"> eligible for bariatric surgery</w:t>
      </w:r>
    </w:p>
    <w:p w14:paraId="14BBE135" w14:textId="77777777" w:rsidR="007F1F22" w:rsidRPr="00FA4CBD" w:rsidRDefault="007F1F22" w:rsidP="007F1F22">
      <w:pPr>
        <w:pStyle w:val="BoxBullet"/>
        <w:rPr>
          <w:b/>
          <w:bCs/>
        </w:rPr>
      </w:pPr>
      <w:r>
        <w:t>ESC considered the inclusion of patients with class III obesity was outside the PASC-ratified PICO Confirmation and the inclusion of this PICO set in the current ADAR was not adequately justified. ESC noted that the MERIT trial excluded patients with class III obesity. The ADAR presented only single-arm studies, which included large losses to follow-up, to inform the comparative safety and effectiveness of ESG versus laparoscopic sleeve gastrectomy (LSG).</w:t>
      </w:r>
      <w:r w:rsidRPr="00CB3690">
        <w:t xml:space="preserve"> </w:t>
      </w:r>
      <w:r>
        <w:t>ESC</w:t>
      </w:r>
      <w:r w:rsidRPr="00CB3690">
        <w:t xml:space="preserve"> </w:t>
      </w:r>
      <w:r>
        <w:t>agreed with PASC that patients with class III obesity should be considered in a separate MSAC application.</w:t>
      </w:r>
    </w:p>
    <w:p w14:paraId="06BB7D62" w14:textId="350CBF8E" w:rsidR="007F1F22" w:rsidRDefault="007F1F22" w:rsidP="007F1F22">
      <w:pPr>
        <w:pStyle w:val="BoxBullet"/>
      </w:pPr>
      <w:r w:rsidRPr="2AA1CA0C">
        <w:t xml:space="preserve">The </w:t>
      </w:r>
      <w:r>
        <w:t xml:space="preserve">nominated </w:t>
      </w:r>
      <w:r w:rsidRPr="2AA1CA0C">
        <w:t xml:space="preserve">comparator for PICO set 2 is </w:t>
      </w:r>
      <w:r>
        <w:t>lap</w:t>
      </w:r>
      <w:r w:rsidR="00712905">
        <w:t>a</w:t>
      </w:r>
      <w:r>
        <w:t>roscopic sleeve gastrectomy (</w:t>
      </w:r>
      <w:r w:rsidRPr="2AA1CA0C">
        <w:t>LSG</w:t>
      </w:r>
      <w:r>
        <w:t>)</w:t>
      </w:r>
      <w:r w:rsidRPr="2AA1CA0C">
        <w:t xml:space="preserve"> only.</w:t>
      </w:r>
      <w:r w:rsidRPr="2AA1CA0C" w:rsidDel="00467064">
        <w:t xml:space="preserve"> </w:t>
      </w:r>
      <w:r>
        <w:t xml:space="preserve">ESC noted that </w:t>
      </w:r>
      <w:r w:rsidRPr="2AA1CA0C">
        <w:t xml:space="preserve">LSG does not represent the full spectrum of bariatric surgery procedures available on the MBS. </w:t>
      </w:r>
      <w:r>
        <w:t>According to registry data,</w:t>
      </w:r>
      <w:r w:rsidRPr="2AA1CA0C">
        <w:t xml:space="preserve"> LSG covers 80% of bariatric procedures performed in Australia </w:t>
      </w:r>
      <w:r>
        <w:t>and New Zealand. However, the registry includes</w:t>
      </w:r>
      <w:r w:rsidRPr="2AA1CA0C">
        <w:t xml:space="preserve"> procedures performed in </w:t>
      </w:r>
      <w:r>
        <w:t xml:space="preserve">public or </w:t>
      </w:r>
      <w:r w:rsidRPr="2AA1CA0C">
        <w:t xml:space="preserve">private </w:t>
      </w:r>
      <w:r>
        <w:t xml:space="preserve">hospitals but excludes procedures that are paid for entirely out-of-pocket by patients. Consequently, the profile of patients and procedures in the registry may not reflect the proposed eligible population for MBS funding. </w:t>
      </w:r>
    </w:p>
    <w:p w14:paraId="61C5C4E2" w14:textId="77777777" w:rsidR="007F1F22" w:rsidRPr="00FD71EA" w:rsidRDefault="007F1F22" w:rsidP="007F1F22">
      <w:pPr>
        <w:pStyle w:val="BoxBullet"/>
        <w:rPr>
          <w:b/>
          <w:bCs/>
        </w:rPr>
      </w:pPr>
      <w:r>
        <w:t>ESC did not consider the ADAR’s claim of non-inferiority of ESG to LSG to be supported based on the clinical evidence presented. ESC considered that the</w:t>
      </w:r>
      <w:r w:rsidRPr="2AA1CA0C">
        <w:t xml:space="preserve"> </w:t>
      </w:r>
      <w:r>
        <w:t>ADAR’s use of</w:t>
      </w:r>
      <w:r w:rsidRPr="2AA1CA0C">
        <w:t xml:space="preserve"> </w:t>
      </w:r>
      <w:r>
        <w:t xml:space="preserve">10% as the </w:t>
      </w:r>
      <w:r w:rsidRPr="2AA1CA0C">
        <w:t xml:space="preserve">non-inferiority margin </w:t>
      </w:r>
      <w:r>
        <w:t xml:space="preserve">for the </w:t>
      </w:r>
      <w:r w:rsidRPr="00CF3C92">
        <w:t xml:space="preserve">minimal clinically important difference </w:t>
      </w:r>
      <w:r>
        <w:t>(MCID) in % total body weight loss (%TBWL) was uncertain and not adequately substantiated, and noted that</w:t>
      </w:r>
      <w:r w:rsidDel="00847854">
        <w:t xml:space="preserve"> </w:t>
      </w:r>
      <w:r>
        <w:t>t</w:t>
      </w:r>
      <w:r w:rsidRPr="2AA1CA0C">
        <w:t xml:space="preserve">he </w:t>
      </w:r>
      <w:r>
        <w:t>lower 95%</w:t>
      </w:r>
      <w:r w:rsidRPr="2AA1CA0C">
        <w:t xml:space="preserve"> </w:t>
      </w:r>
      <w:r>
        <w:t>confidence interval (</w:t>
      </w:r>
      <w:r w:rsidRPr="2AA1CA0C">
        <w:t>CI</w:t>
      </w:r>
      <w:r>
        <w:t>)</w:t>
      </w:r>
      <w:r w:rsidRPr="2AA1CA0C">
        <w:t xml:space="preserve"> for</w:t>
      </w:r>
      <w:r>
        <w:t xml:space="preserve"> %TBWL at both 6 and 12 months exceeded the proposed 10% non-inferiority margin.</w:t>
      </w:r>
      <w:r w:rsidRPr="2AA1CA0C">
        <w:t xml:space="preserve"> </w:t>
      </w:r>
      <w:r>
        <w:t>ESC agreed with the commentary that the claimed non-inferiority of ESG and LSG in reducing total body weight was not supported by the evidence presented.</w:t>
      </w:r>
    </w:p>
    <w:p w14:paraId="7B1EF959" w14:textId="77777777" w:rsidR="007F1F22" w:rsidRDefault="007F1F22" w:rsidP="007F1F22">
      <w:pPr>
        <w:pStyle w:val="BoxHeading"/>
      </w:pPr>
      <w:r>
        <w:t>Economic issues:</w:t>
      </w:r>
    </w:p>
    <w:p w14:paraId="6E50D712" w14:textId="77777777" w:rsidR="007F1F22" w:rsidRDefault="007F1F22" w:rsidP="007F1F22">
      <w:pPr>
        <w:pStyle w:val="BoxBullet"/>
      </w:pPr>
      <w:r>
        <w:t>PICO set 1: Although</w:t>
      </w:r>
      <w:r w:rsidRPr="005F67EE">
        <w:t xml:space="preserve"> ESG combined with lifestyle modification appears cost-effective compared to lifestyle modification alone over the long term in the CUA, significant uncertainty in model assumptions </w:t>
      </w:r>
      <w:r>
        <w:t>(based on the limited clinical evidence)</w:t>
      </w:r>
      <w:r w:rsidRPr="005F67EE">
        <w:t xml:space="preserve"> – particularly concerning key adverse events and patient adherence – raises concerns about the reliability of these results.</w:t>
      </w:r>
    </w:p>
    <w:p w14:paraId="2E57C49A" w14:textId="77777777" w:rsidR="007F1F22" w:rsidRDefault="007F1F22" w:rsidP="007F1F22">
      <w:pPr>
        <w:pStyle w:val="BoxBullet"/>
      </w:pPr>
      <w:r>
        <w:t xml:space="preserve">PICO set 2: ESC agreed with the commentary that the cost minimisation analysis (CMA) presented in the ADAR was inappropriate due to the claim of non-inferiority not being supported. ESC also noted other flaws in the CMA including </w:t>
      </w:r>
      <w:r w:rsidRPr="2AA1CA0C">
        <w:t xml:space="preserve">the omission of key cost differences, and an inadequate time horizon </w:t>
      </w:r>
      <w:r>
        <w:t xml:space="preserve">(30 days) </w:t>
      </w:r>
      <w:r w:rsidRPr="2AA1CA0C">
        <w:t>that fails to capture treatment failures and adverse events.</w:t>
      </w:r>
    </w:p>
    <w:p w14:paraId="781E138B" w14:textId="77777777" w:rsidR="007F1F22" w:rsidRDefault="007F1F22" w:rsidP="007F1F22">
      <w:pPr>
        <w:pStyle w:val="BoxHeading"/>
      </w:pPr>
      <w:r>
        <w:t>Financial issues:</w:t>
      </w:r>
    </w:p>
    <w:p w14:paraId="34E0C644" w14:textId="77777777" w:rsidR="007F1F22" w:rsidRDefault="007F1F22" w:rsidP="007F1F22">
      <w:pPr>
        <w:pStyle w:val="BoxBullet"/>
      </w:pPr>
      <w:r>
        <w:t>ESC considered that the</w:t>
      </w:r>
      <w:r w:rsidRPr="2AA1CA0C">
        <w:t xml:space="preserve"> market share approach</w:t>
      </w:r>
      <w:r>
        <w:t xml:space="preserve"> used in the ADAR,</w:t>
      </w:r>
      <w:r w:rsidRPr="2AA1CA0C">
        <w:t xml:space="preserve"> based on MBS item 31575</w:t>
      </w:r>
      <w:r>
        <w:t xml:space="preserve"> (LSG), was</w:t>
      </w:r>
      <w:r w:rsidDel="00483150">
        <w:t xml:space="preserve"> </w:t>
      </w:r>
      <w:r w:rsidRPr="2AA1CA0C">
        <w:t>inappropriate</w:t>
      </w:r>
      <w:r>
        <w:t>.as</w:t>
      </w:r>
      <w:r w:rsidRPr="2AA1CA0C">
        <w:t xml:space="preserve"> ESG has</w:t>
      </w:r>
      <w:r w:rsidDel="005E23E3">
        <w:t xml:space="preserve"> </w:t>
      </w:r>
      <w:r w:rsidRPr="2AA1CA0C">
        <w:t xml:space="preserve">wider BMI eligibility </w:t>
      </w:r>
      <w:r>
        <w:t xml:space="preserve">criteria </w:t>
      </w:r>
      <w:r w:rsidRPr="2AA1CA0C">
        <w:t xml:space="preserve">and higher patient acceptance than other bariatric surgeries. </w:t>
      </w:r>
      <w:r>
        <w:t xml:space="preserve">Estimating </w:t>
      </w:r>
      <w:r w:rsidRPr="2AA1CA0C">
        <w:t xml:space="preserve">the market size </w:t>
      </w:r>
      <w:r>
        <w:t>based</w:t>
      </w:r>
      <w:r w:rsidRPr="2AA1CA0C">
        <w:t xml:space="preserve"> on </w:t>
      </w:r>
      <w:r>
        <w:t xml:space="preserve">the </w:t>
      </w:r>
      <w:r w:rsidRPr="2AA1CA0C">
        <w:t>u</w:t>
      </w:r>
      <w:r>
        <w:t xml:space="preserve">tilisation </w:t>
      </w:r>
      <w:r w:rsidRPr="2AA1CA0C">
        <w:t xml:space="preserve">of MBS item 20791 </w:t>
      </w:r>
      <w:r>
        <w:t>(anaesthesia item for bariatric surgery)</w:t>
      </w:r>
      <w:r w:rsidRPr="2AA1CA0C">
        <w:t xml:space="preserve"> </w:t>
      </w:r>
      <w:r>
        <w:t>results in an increase (36%) in budget impact, suggesting that the approach in the ADAR</w:t>
      </w:r>
      <w:r w:rsidRPr="2AA1CA0C">
        <w:t xml:space="preserve"> underestimat</w:t>
      </w:r>
      <w:r>
        <w:t>ed the budget impact of ESG</w:t>
      </w:r>
      <w:r w:rsidRPr="2AA1CA0C">
        <w:t>.</w:t>
      </w:r>
      <w:r>
        <w:t xml:space="preserve"> ESC also noted that increases in the size of the population over time were also underestimated by the ADAR. Overall, ESC considered the estimated net cost to the health budget of $56 million (at MBS 75% benefit) in Years 1- 5 highly uncertain.</w:t>
      </w:r>
    </w:p>
    <w:p w14:paraId="5AC5EAAF" w14:textId="77777777" w:rsidR="007F1F22" w:rsidRPr="00361335" w:rsidRDefault="007F1F22" w:rsidP="00361335">
      <w:pPr>
        <w:pStyle w:val="Heading3"/>
        <w:rPr>
          <w:b/>
          <w:bCs/>
        </w:rPr>
      </w:pPr>
      <w:r w:rsidRPr="00361335">
        <w:rPr>
          <w:b/>
          <w:bCs/>
        </w:rPr>
        <w:t>ESC discussion</w:t>
      </w:r>
    </w:p>
    <w:p w14:paraId="75C92FDC" w14:textId="77777777" w:rsidR="007F1F22" w:rsidRDefault="007F1F22" w:rsidP="007F1F22">
      <w:pPr>
        <w:spacing w:after="0"/>
      </w:pPr>
      <w:r>
        <w:t xml:space="preserve">ESC noted that the current application is a reapplication </w:t>
      </w:r>
      <w:r w:rsidDel="00BB78EA">
        <w:t xml:space="preserve">from Boston Scientific Pty Ltd </w:t>
      </w:r>
      <w:r w:rsidDel="00B0002D">
        <w:t>requesting</w:t>
      </w:r>
      <w:r>
        <w:t xml:space="preserve"> Medicare Benefits Schedule (MBS) listing of endoscopic sleeve gastroplasty (ESG) as a treatment for obesity. Specifically, the reapplication presented 2 PICO sets and requested an MBS item for each of the PICO sets:</w:t>
      </w:r>
    </w:p>
    <w:p w14:paraId="423E0787" w14:textId="77777777" w:rsidR="007F1F22" w:rsidRDefault="007F1F22" w:rsidP="00361335">
      <w:pPr>
        <w:pStyle w:val="ListParagraph"/>
        <w:numPr>
          <w:ilvl w:val="0"/>
          <w:numId w:val="25"/>
        </w:numPr>
        <w:ind w:left="714" w:hanging="357"/>
      </w:pPr>
      <w:r w:rsidRPr="00814561">
        <w:t xml:space="preserve">PICO set 1: </w:t>
      </w:r>
      <w:r>
        <w:t>P</w:t>
      </w:r>
      <w:r w:rsidRPr="0004297E">
        <w:t xml:space="preserve">atients aged 18 years </w:t>
      </w:r>
      <w:r>
        <w:t>and</w:t>
      </w:r>
      <w:r w:rsidRPr="0004297E">
        <w:t xml:space="preserve"> over with </w:t>
      </w:r>
      <w:r>
        <w:t>c</w:t>
      </w:r>
      <w:r w:rsidRPr="0004297E">
        <w:t xml:space="preserve">lass I </w:t>
      </w:r>
      <w:r w:rsidRPr="00646408">
        <w:t>(BMI 30-34.99 kg/m²)</w:t>
      </w:r>
      <w:r>
        <w:t xml:space="preserve"> </w:t>
      </w:r>
      <w:r w:rsidRPr="0004297E">
        <w:t xml:space="preserve">or </w:t>
      </w:r>
      <w:r>
        <w:t>c</w:t>
      </w:r>
      <w:r w:rsidRPr="0004297E">
        <w:t xml:space="preserve">lass II </w:t>
      </w:r>
      <w:r>
        <w:t>(</w:t>
      </w:r>
      <w:r w:rsidRPr="00542F33">
        <w:t>BMI 35-39.99 kg/m²)</w:t>
      </w:r>
      <w:r>
        <w:t xml:space="preserve"> </w:t>
      </w:r>
      <w:r w:rsidRPr="0004297E">
        <w:t>obesity</w:t>
      </w:r>
      <w:r>
        <w:t>, with or without comorbidities, and who have failed first-line (1L) and second-line (2L) weight loss therapies.</w:t>
      </w:r>
      <w:r>
        <w:rPr>
          <w:rStyle w:val="FootnoteReference"/>
        </w:rPr>
        <w:footnoteReference w:id="63"/>
      </w:r>
    </w:p>
    <w:p w14:paraId="60B3A294" w14:textId="77777777" w:rsidR="007F1F22" w:rsidRPr="00E45F2F" w:rsidRDefault="007F1F22" w:rsidP="00361335">
      <w:pPr>
        <w:pStyle w:val="ListParagraph"/>
        <w:numPr>
          <w:ilvl w:val="0"/>
          <w:numId w:val="25"/>
        </w:numPr>
      </w:pPr>
      <w:r w:rsidRPr="00F60C3B">
        <w:t xml:space="preserve">PICO set 2: </w:t>
      </w:r>
      <w:r>
        <w:t>P</w:t>
      </w:r>
      <w:r w:rsidRPr="00AA06DA">
        <w:t xml:space="preserve">atients aged 18 years and over with </w:t>
      </w:r>
      <w:r>
        <w:t>c</w:t>
      </w:r>
      <w:r w:rsidRPr="00AA06DA">
        <w:t xml:space="preserve">lass II </w:t>
      </w:r>
      <w:r>
        <w:t xml:space="preserve">obesity </w:t>
      </w:r>
      <w:bookmarkStart w:id="121" w:name="_Hlk191462113"/>
      <w:r w:rsidRPr="00AA06DA">
        <w:t xml:space="preserve">(BMI 35-39.99 kg/m²) </w:t>
      </w:r>
      <w:bookmarkEnd w:id="121"/>
      <w:r w:rsidRPr="00AA06DA">
        <w:t>with comorbidities</w:t>
      </w:r>
      <w:r>
        <w:t xml:space="preserve"> or class III obesity </w:t>
      </w:r>
      <w:r w:rsidRPr="00E725E0">
        <w:t xml:space="preserve">(BMI </w:t>
      </w:r>
      <w:r>
        <w:t>&gt;40</w:t>
      </w:r>
      <w:r w:rsidRPr="00E725E0">
        <w:t xml:space="preserve"> kg/m²) </w:t>
      </w:r>
      <w:r>
        <w:t>with or without comorbidities</w:t>
      </w:r>
      <w:r w:rsidRPr="00AA06DA">
        <w:t>,</w:t>
      </w:r>
      <w:r>
        <w:t xml:space="preserve"> and who are eligible and elect to have bariatric surgery. </w:t>
      </w:r>
    </w:p>
    <w:p w14:paraId="6670EE1E" w14:textId="77777777" w:rsidR="007F1F22" w:rsidRDefault="007F1F22" w:rsidP="007F1F22">
      <w:pPr>
        <w:pStyle w:val="Heading3"/>
      </w:pPr>
      <w:r>
        <w:t>Background</w:t>
      </w:r>
    </w:p>
    <w:p w14:paraId="156BD363" w14:textId="77777777" w:rsidR="007F1F22" w:rsidDel="00696FF3" w:rsidRDefault="007F1F22" w:rsidP="007F1F22">
      <w:r w:rsidRPr="2AA1CA0C">
        <w:t xml:space="preserve">ESC noted that MSAC </w:t>
      </w:r>
      <w:r>
        <w:t xml:space="preserve">first </w:t>
      </w:r>
      <w:r w:rsidRPr="2AA1CA0C">
        <w:t>considered th</w:t>
      </w:r>
      <w:r>
        <w:t>e</w:t>
      </w:r>
      <w:r w:rsidRPr="2AA1CA0C">
        <w:t xml:space="preserve"> application </w:t>
      </w:r>
      <w:r>
        <w:t>in</w:t>
      </w:r>
      <w:r w:rsidRPr="2AA1CA0C">
        <w:t xml:space="preserve"> November 2019. At the time, the application request</w:t>
      </w:r>
      <w:r>
        <w:t>ed</w:t>
      </w:r>
      <w:r w:rsidRPr="2AA1CA0C">
        <w:t xml:space="preserve"> MBS listing for </w:t>
      </w:r>
      <w:r>
        <w:t>ESG in patients</w:t>
      </w:r>
      <w:r w:rsidRPr="2AA1CA0C">
        <w:t xml:space="preserve"> with class I and II obesity with comorbidities who had failed </w:t>
      </w:r>
      <w:r>
        <w:t>first-line (1L)</w:t>
      </w:r>
      <w:r w:rsidRPr="2AA1CA0C">
        <w:t xml:space="preserve"> treatments such as lifestyle changes and </w:t>
      </w:r>
      <w:r>
        <w:t xml:space="preserve">second-line (2L) treatments such as </w:t>
      </w:r>
      <w:r w:rsidRPr="2AA1CA0C">
        <w:t xml:space="preserve">pharmacotherapy. MSAC did not support public funding </w:t>
      </w:r>
      <w:r>
        <w:t>for ESG</w:t>
      </w:r>
      <w:r w:rsidRPr="2AA1CA0C">
        <w:t xml:space="preserve">, </w:t>
      </w:r>
      <w:r>
        <w:t xml:space="preserve">as it </w:t>
      </w:r>
      <w:r w:rsidRPr="2AA1CA0C">
        <w:t xml:space="preserve">considered the evidence base </w:t>
      </w:r>
      <w:r>
        <w:t xml:space="preserve">presented </w:t>
      </w:r>
      <w:r w:rsidRPr="2AA1CA0C">
        <w:t>to be weak</w:t>
      </w:r>
      <w:r>
        <w:t>,</w:t>
      </w:r>
      <w:r w:rsidRPr="2AA1CA0C">
        <w:t xml:space="preserve"> with limited applicability to the proposed population</w:t>
      </w:r>
      <w:r>
        <w:t xml:space="preserve"> and highly uncertain comparative </w:t>
      </w:r>
      <w:r w:rsidRPr="2AA1CA0C">
        <w:t>safety</w:t>
      </w:r>
      <w:r>
        <w:t xml:space="preserve"> and</w:t>
      </w:r>
      <w:r w:rsidRPr="2AA1CA0C">
        <w:t xml:space="preserve"> clinical effectiveness </w:t>
      </w:r>
      <w:r>
        <w:t xml:space="preserve">particularly in the long term. MSAC considered that the impact of ESG on comorbidities was largely unknown and that all these uncertainties flowed onto the economic evaluation resulting in uncertain comparative </w:t>
      </w:r>
      <w:r w:rsidRPr="2AA1CA0C">
        <w:t>cost-effectiveness.</w:t>
      </w:r>
      <w:r>
        <w:t xml:space="preserve"> MSAC noted at the time that new evidence, including 2 randomised controlled trials evaluating the safety and effectiveness of ESG, was anticipated to be published within the following 3 years and that this evidence might address the uncertainties in the original application. </w:t>
      </w:r>
      <w:r w:rsidRPr="2AA1CA0C">
        <w:t>Following the completion of a pivotal randomised trial (MERIT), a reapplication was submitted and considered by PASC in December 2021.</w:t>
      </w:r>
    </w:p>
    <w:p w14:paraId="64993250" w14:textId="77777777" w:rsidR="007F1F22" w:rsidRDefault="007F1F22" w:rsidP="007F1F22">
      <w:pPr>
        <w:pStyle w:val="Heading3"/>
      </w:pPr>
      <w:r>
        <w:t xml:space="preserve">Proposed population </w:t>
      </w:r>
    </w:p>
    <w:p w14:paraId="090E59DE" w14:textId="10D0BCF9" w:rsidR="007F1F22" w:rsidRDefault="007F1F22" w:rsidP="00720B48">
      <w:r w:rsidRPr="0057784E">
        <w:t xml:space="preserve">ESC noted that the </w:t>
      </w:r>
      <w:r>
        <w:t xml:space="preserve">ADAR’s proposed population </w:t>
      </w:r>
      <w:r w:rsidRPr="0057784E">
        <w:t xml:space="preserve">differed from the </w:t>
      </w:r>
      <w:r>
        <w:t xml:space="preserve">proposed population considered by PASC in December 2021 and the original application considered by MSAC in </w:t>
      </w:r>
      <w:r w:rsidRPr="0057784E">
        <w:t xml:space="preserve">November 2019 </w:t>
      </w:r>
      <w:r>
        <w:t>(</w:t>
      </w:r>
      <w:r w:rsidR="00AD4E5D">
        <w:fldChar w:fldCharType="begin"/>
      </w:r>
      <w:r w:rsidR="00AD4E5D">
        <w:instrText xml:space="preserve"> REF _Ref191464716 \h </w:instrText>
      </w:r>
      <w:r w:rsidR="00AD4E5D">
        <w:fldChar w:fldCharType="separate"/>
      </w:r>
      <w:r w:rsidR="008F37D1" w:rsidRPr="00CA581C">
        <w:t xml:space="preserve">Table </w:t>
      </w:r>
      <w:r w:rsidR="008F37D1">
        <w:rPr>
          <w:noProof/>
        </w:rPr>
        <w:t>38</w:t>
      </w:r>
      <w:r w:rsidR="00AD4E5D">
        <w:fldChar w:fldCharType="end"/>
      </w:r>
      <w:r>
        <w:t>).</w:t>
      </w:r>
    </w:p>
    <w:p w14:paraId="069A4AE1" w14:textId="4CE30C38" w:rsidR="007F1F22" w:rsidRPr="00E875B3" w:rsidRDefault="007F1F22" w:rsidP="00515F6A">
      <w:pPr>
        <w:pStyle w:val="Caption"/>
        <w:keepLines/>
        <w:rPr>
          <w:i/>
        </w:rPr>
      </w:pPr>
      <w:bookmarkStart w:id="122" w:name="_Ref191464716"/>
      <w:r w:rsidRPr="00CA581C">
        <w:t xml:space="preserve">Table </w:t>
      </w:r>
      <w:r w:rsidR="001A4D71">
        <w:fldChar w:fldCharType="begin"/>
      </w:r>
      <w:r w:rsidR="001A4D71">
        <w:instrText xml:space="preserve"> SEQ Table \* ARABIC </w:instrText>
      </w:r>
      <w:r w:rsidR="001A4D71">
        <w:fldChar w:fldCharType="separate"/>
      </w:r>
      <w:r w:rsidR="008F37D1">
        <w:rPr>
          <w:noProof/>
        </w:rPr>
        <w:t>38</w:t>
      </w:r>
      <w:r w:rsidR="001A4D71">
        <w:rPr>
          <w:noProof/>
        </w:rPr>
        <w:fldChar w:fldCharType="end"/>
      </w:r>
      <w:bookmarkEnd w:id="122"/>
      <w:r w:rsidRPr="00E875B3">
        <w:rPr>
          <w:i/>
        </w:rPr>
        <w:t>:</w:t>
      </w:r>
      <w:r w:rsidRPr="00E875B3">
        <w:rPr>
          <w:i/>
        </w:rPr>
        <w:tab/>
        <w:t>Proposed eligibility criteria for ESG – ADAR vs. previous application</w:t>
      </w:r>
    </w:p>
    <w:tbl>
      <w:tblPr>
        <w:tblStyle w:val="TableGrid"/>
        <w:tblW w:w="5108" w:type="pct"/>
        <w:tblLayout w:type="fixed"/>
        <w:tblLook w:val="04A0" w:firstRow="1" w:lastRow="0" w:firstColumn="1" w:lastColumn="0" w:noHBand="0" w:noVBand="1"/>
      </w:tblPr>
      <w:tblGrid>
        <w:gridCol w:w="1558"/>
        <w:gridCol w:w="567"/>
        <w:gridCol w:w="2691"/>
        <w:gridCol w:w="2693"/>
        <w:gridCol w:w="1702"/>
      </w:tblGrid>
      <w:tr w:rsidR="007F1F22" w:rsidRPr="009C7105" w14:paraId="5A9D046F" w14:textId="77777777">
        <w:trPr>
          <w:trHeight w:val="998"/>
          <w:tblHeader/>
        </w:trPr>
        <w:tc>
          <w:tcPr>
            <w:tcW w:w="845" w:type="pct"/>
          </w:tcPr>
          <w:p w14:paraId="68375A2D" w14:textId="77777777" w:rsidR="007F1F22" w:rsidRPr="00BC2B52" w:rsidRDefault="007F1F22" w:rsidP="00515F6A">
            <w:pPr>
              <w:keepNext/>
              <w:keepLines/>
              <w:spacing w:before="40" w:after="40"/>
              <w:rPr>
                <w:rFonts w:ascii="Arial Narrow" w:hAnsi="Arial Narrow"/>
                <w:b/>
                <w:bCs/>
                <w:sz w:val="20"/>
                <w:szCs w:val="20"/>
              </w:rPr>
            </w:pPr>
          </w:p>
        </w:tc>
        <w:tc>
          <w:tcPr>
            <w:tcW w:w="1769" w:type="pct"/>
            <w:gridSpan w:val="2"/>
          </w:tcPr>
          <w:p w14:paraId="2E8B5248" w14:textId="77777777" w:rsidR="007F1F22" w:rsidRPr="00BC2B52" w:rsidRDefault="007F1F22" w:rsidP="00515F6A">
            <w:pPr>
              <w:keepNext/>
              <w:keepLines/>
              <w:spacing w:before="40" w:after="40"/>
              <w:rPr>
                <w:rFonts w:ascii="Arial Narrow" w:hAnsi="Arial Narrow"/>
                <w:b/>
                <w:bCs/>
                <w:sz w:val="20"/>
                <w:szCs w:val="20"/>
              </w:rPr>
            </w:pPr>
            <w:r w:rsidRPr="00BC2B52">
              <w:rPr>
                <w:rFonts w:ascii="Arial Narrow" w:hAnsi="Arial Narrow"/>
                <w:b/>
                <w:bCs/>
                <w:sz w:val="20"/>
                <w:szCs w:val="20"/>
              </w:rPr>
              <w:t xml:space="preserve">Current </w:t>
            </w:r>
            <w:r>
              <w:rPr>
                <w:rFonts w:ascii="Arial Narrow" w:hAnsi="Arial Narrow"/>
                <w:b/>
                <w:bCs/>
                <w:sz w:val="20"/>
                <w:szCs w:val="20"/>
              </w:rPr>
              <w:t>ADAR</w:t>
            </w:r>
            <w:r w:rsidRPr="00BC2B52">
              <w:rPr>
                <w:rFonts w:ascii="Arial Narrow" w:hAnsi="Arial Narrow"/>
                <w:b/>
                <w:bCs/>
                <w:sz w:val="20"/>
                <w:szCs w:val="20"/>
              </w:rPr>
              <w:t xml:space="preserve"> </w:t>
            </w:r>
            <w:r>
              <w:rPr>
                <w:rFonts w:ascii="Arial Narrow" w:hAnsi="Arial Narrow"/>
                <w:b/>
                <w:bCs/>
                <w:sz w:val="20"/>
                <w:szCs w:val="20"/>
              </w:rPr>
              <w:t>(MSAC 1555.1, April 2025 MSAC)</w:t>
            </w:r>
          </w:p>
        </w:tc>
        <w:tc>
          <w:tcPr>
            <w:tcW w:w="1462" w:type="pct"/>
            <w:tcBorders>
              <w:right w:val="double" w:sz="4" w:space="0" w:color="auto"/>
            </w:tcBorders>
          </w:tcPr>
          <w:p w14:paraId="31E05725" w14:textId="77777777" w:rsidR="007F1F22" w:rsidRPr="00B7361D" w:rsidRDefault="007F1F22" w:rsidP="00515F6A">
            <w:pPr>
              <w:keepNext/>
              <w:keepLines/>
              <w:spacing w:before="40" w:after="40"/>
              <w:rPr>
                <w:rFonts w:ascii="Arial Narrow" w:hAnsi="Arial Narrow"/>
                <w:b/>
                <w:bCs/>
                <w:sz w:val="20"/>
                <w:szCs w:val="20"/>
              </w:rPr>
            </w:pPr>
            <w:r>
              <w:rPr>
                <w:rFonts w:ascii="Arial Narrow" w:hAnsi="Arial Narrow"/>
                <w:b/>
                <w:bCs/>
                <w:sz w:val="20"/>
                <w:szCs w:val="20"/>
              </w:rPr>
              <w:t xml:space="preserve">Reapplication (MSAC 1555.1) considered by PASC in December 2021 </w:t>
            </w:r>
          </w:p>
        </w:tc>
        <w:tc>
          <w:tcPr>
            <w:tcW w:w="924" w:type="pct"/>
            <w:tcBorders>
              <w:left w:val="double" w:sz="4" w:space="0" w:color="auto"/>
            </w:tcBorders>
          </w:tcPr>
          <w:p w14:paraId="067BE8C2" w14:textId="77777777" w:rsidR="007F1F22" w:rsidRPr="00BC2B52" w:rsidRDefault="007F1F22" w:rsidP="00515F6A">
            <w:pPr>
              <w:keepNext/>
              <w:keepLines/>
              <w:spacing w:before="40" w:after="40"/>
              <w:rPr>
                <w:rFonts w:ascii="Arial Narrow" w:hAnsi="Arial Narrow"/>
                <w:b/>
                <w:bCs/>
                <w:sz w:val="20"/>
                <w:szCs w:val="20"/>
              </w:rPr>
            </w:pPr>
            <w:r w:rsidRPr="00BC2B52">
              <w:rPr>
                <w:rFonts w:ascii="Arial Narrow" w:hAnsi="Arial Narrow"/>
                <w:b/>
                <w:bCs/>
                <w:sz w:val="20"/>
                <w:szCs w:val="20"/>
              </w:rPr>
              <w:t>Previous application (MSAC 1555, November 2019 MSAC)</w:t>
            </w:r>
          </w:p>
        </w:tc>
      </w:tr>
      <w:tr w:rsidR="007F1F22" w:rsidRPr="004F571B" w14:paraId="1159D531" w14:textId="77777777">
        <w:tc>
          <w:tcPr>
            <w:tcW w:w="845" w:type="pct"/>
          </w:tcPr>
          <w:p w14:paraId="54C00BBC" w14:textId="77777777" w:rsidR="007F1F22" w:rsidRPr="00BC2B52" w:rsidRDefault="007F1F22" w:rsidP="00515F6A">
            <w:pPr>
              <w:keepNext/>
              <w:keepLines/>
              <w:spacing w:before="40" w:after="40"/>
              <w:rPr>
                <w:rFonts w:ascii="Arial Narrow" w:hAnsi="Arial Narrow"/>
                <w:sz w:val="20"/>
                <w:szCs w:val="20"/>
              </w:rPr>
            </w:pPr>
            <w:r>
              <w:rPr>
                <w:rFonts w:ascii="Arial Narrow" w:hAnsi="Arial Narrow"/>
                <w:sz w:val="20"/>
                <w:szCs w:val="20"/>
              </w:rPr>
              <w:t>Prior line(s) of treatment failure</w:t>
            </w:r>
          </w:p>
        </w:tc>
        <w:tc>
          <w:tcPr>
            <w:tcW w:w="1769" w:type="pct"/>
            <w:gridSpan w:val="2"/>
          </w:tcPr>
          <w:p w14:paraId="668F1D56" w14:textId="77777777" w:rsidR="007F1F22" w:rsidRPr="00BC2B52" w:rsidRDefault="007F1F22" w:rsidP="00515F6A">
            <w:pPr>
              <w:keepNext/>
              <w:keepLines/>
              <w:spacing w:before="40" w:after="40"/>
              <w:rPr>
                <w:rFonts w:ascii="Arial Narrow" w:hAnsi="Arial Narrow"/>
                <w:sz w:val="20"/>
                <w:szCs w:val="20"/>
              </w:rPr>
            </w:pPr>
            <w:r w:rsidRPr="00AF1336">
              <w:rPr>
                <w:rFonts w:ascii="Arial Narrow" w:hAnsi="Arial Narrow"/>
                <w:sz w:val="20"/>
                <w:szCs w:val="20"/>
              </w:rPr>
              <w:t>Failed ≥2L weight loss therapies (lifestyle intervention ± pharmacotherapy</w:t>
            </w:r>
            <w:r>
              <w:rPr>
                <w:rFonts w:ascii="Arial Narrow" w:hAnsi="Arial Narrow"/>
                <w:sz w:val="20"/>
                <w:szCs w:val="20"/>
              </w:rPr>
              <w:t>)</w:t>
            </w:r>
          </w:p>
        </w:tc>
        <w:tc>
          <w:tcPr>
            <w:tcW w:w="1462" w:type="pct"/>
            <w:tcBorders>
              <w:right w:val="double" w:sz="4" w:space="0" w:color="auto"/>
            </w:tcBorders>
          </w:tcPr>
          <w:p w14:paraId="1B65579E" w14:textId="77777777" w:rsidR="007F1F22" w:rsidRDefault="007F1F22" w:rsidP="00515F6A">
            <w:pPr>
              <w:keepNext/>
              <w:keepLines/>
              <w:spacing w:before="40" w:after="40"/>
              <w:rPr>
                <w:rFonts w:ascii="Arial Narrow" w:hAnsi="Arial Narrow"/>
                <w:sz w:val="20"/>
                <w:szCs w:val="20"/>
              </w:rPr>
            </w:pPr>
            <w:r>
              <w:rPr>
                <w:rFonts w:ascii="Arial Narrow" w:hAnsi="Arial Narrow"/>
                <w:sz w:val="20"/>
                <w:szCs w:val="20"/>
              </w:rPr>
              <w:t>F</w:t>
            </w:r>
            <w:r w:rsidRPr="00BC4E86">
              <w:rPr>
                <w:rFonts w:ascii="Arial Narrow" w:hAnsi="Arial Narrow"/>
                <w:sz w:val="20"/>
                <w:szCs w:val="20"/>
              </w:rPr>
              <w:t xml:space="preserve">ailed </w:t>
            </w:r>
            <w:r>
              <w:rPr>
                <w:rFonts w:ascii="Arial Narrow" w:hAnsi="Arial Narrow"/>
                <w:sz w:val="20"/>
                <w:szCs w:val="20"/>
              </w:rPr>
              <w:t>1L and 2L</w:t>
            </w:r>
            <w:r w:rsidRPr="00BC4E86">
              <w:rPr>
                <w:rFonts w:ascii="Arial Narrow" w:hAnsi="Arial Narrow"/>
                <w:sz w:val="20"/>
                <w:szCs w:val="20"/>
              </w:rPr>
              <w:t xml:space="preserve"> weight-loss therapies</w:t>
            </w:r>
            <w:r>
              <w:rPr>
                <w:rFonts w:ascii="Arial Narrow" w:hAnsi="Arial Narrow"/>
                <w:sz w:val="20"/>
                <w:szCs w:val="20"/>
              </w:rPr>
              <w:t>:</w:t>
            </w:r>
          </w:p>
          <w:p w14:paraId="19DF070B" w14:textId="77777777" w:rsidR="007F1F22" w:rsidRDefault="007F1F22" w:rsidP="00515F6A">
            <w:pPr>
              <w:keepNext/>
              <w:keepLines/>
              <w:spacing w:before="40" w:after="40"/>
              <w:rPr>
                <w:rFonts w:ascii="Arial Narrow" w:hAnsi="Arial Narrow"/>
                <w:sz w:val="20"/>
                <w:szCs w:val="20"/>
              </w:rPr>
            </w:pPr>
            <w:r>
              <w:rPr>
                <w:rFonts w:ascii="Arial Narrow" w:hAnsi="Arial Narrow"/>
                <w:sz w:val="20"/>
                <w:szCs w:val="20"/>
              </w:rPr>
              <w:t xml:space="preserve">1L: </w:t>
            </w:r>
            <w:r w:rsidRPr="009874C3">
              <w:rPr>
                <w:rFonts w:ascii="Arial Narrow" w:hAnsi="Arial Narrow"/>
                <w:sz w:val="20"/>
                <w:szCs w:val="20"/>
              </w:rPr>
              <w:t>lifestyle modification</w:t>
            </w:r>
          </w:p>
          <w:p w14:paraId="1C1DDEC8" w14:textId="77777777" w:rsidR="007F1F22" w:rsidRPr="003554A9" w:rsidRDefault="007F1F22" w:rsidP="00515F6A">
            <w:pPr>
              <w:keepNext/>
              <w:keepLines/>
              <w:spacing w:before="40" w:after="40"/>
              <w:rPr>
                <w:rFonts w:ascii="Arial Narrow" w:hAnsi="Arial Narrow"/>
                <w:sz w:val="20"/>
                <w:szCs w:val="20"/>
              </w:rPr>
            </w:pPr>
            <w:r>
              <w:rPr>
                <w:rFonts w:ascii="Arial Narrow" w:hAnsi="Arial Narrow"/>
                <w:sz w:val="20"/>
                <w:szCs w:val="20"/>
              </w:rPr>
              <w:t>2L: V</w:t>
            </w:r>
            <w:r w:rsidRPr="009874C3">
              <w:rPr>
                <w:rFonts w:ascii="Arial Narrow" w:hAnsi="Arial Narrow"/>
                <w:sz w:val="20"/>
                <w:szCs w:val="20"/>
              </w:rPr>
              <w:t>LED</w:t>
            </w:r>
            <w:r>
              <w:rPr>
                <w:rFonts w:ascii="Arial Narrow" w:hAnsi="Arial Narrow"/>
                <w:sz w:val="20"/>
                <w:szCs w:val="20"/>
              </w:rPr>
              <w:t xml:space="preserve"> alone, </w:t>
            </w:r>
            <w:r w:rsidRPr="009874C3">
              <w:rPr>
                <w:rFonts w:ascii="Arial Narrow" w:hAnsi="Arial Narrow"/>
                <w:sz w:val="20"/>
                <w:szCs w:val="20"/>
              </w:rPr>
              <w:t xml:space="preserve">pharmacotherapy </w:t>
            </w:r>
            <w:r>
              <w:rPr>
                <w:rFonts w:ascii="Arial Narrow" w:hAnsi="Arial Narrow"/>
                <w:sz w:val="20"/>
                <w:szCs w:val="20"/>
              </w:rPr>
              <w:t>alone or VLED and pharmacotherapy</w:t>
            </w:r>
          </w:p>
        </w:tc>
        <w:tc>
          <w:tcPr>
            <w:tcW w:w="924" w:type="pct"/>
            <w:tcBorders>
              <w:left w:val="double" w:sz="4" w:space="0" w:color="auto"/>
            </w:tcBorders>
          </w:tcPr>
          <w:p w14:paraId="40F85175" w14:textId="77777777" w:rsidR="007F1F22" w:rsidRPr="00BC2B52" w:rsidRDefault="007F1F22" w:rsidP="00515F6A">
            <w:pPr>
              <w:keepNext/>
              <w:keepLines/>
              <w:spacing w:before="40" w:after="40"/>
              <w:rPr>
                <w:rFonts w:ascii="Arial Narrow" w:hAnsi="Arial Narrow"/>
                <w:sz w:val="20"/>
                <w:szCs w:val="20"/>
                <w:vertAlign w:val="superscript"/>
              </w:rPr>
            </w:pPr>
            <w:r w:rsidRPr="003554A9">
              <w:rPr>
                <w:rFonts w:ascii="Arial Narrow" w:hAnsi="Arial Narrow"/>
                <w:sz w:val="20"/>
                <w:szCs w:val="20"/>
              </w:rPr>
              <w:t>Failed 1L weight-loss therapies</w:t>
            </w:r>
            <w:r>
              <w:rPr>
                <w:rFonts w:ascii="Arial Narrow" w:hAnsi="Arial Narrow"/>
                <w:sz w:val="20"/>
                <w:szCs w:val="20"/>
              </w:rPr>
              <w:t xml:space="preserve">, </w:t>
            </w:r>
            <w:r w:rsidRPr="00ED116B">
              <w:rPr>
                <w:rFonts w:ascii="Arial Narrow" w:hAnsi="Arial Narrow"/>
                <w:sz w:val="20"/>
                <w:szCs w:val="20"/>
              </w:rPr>
              <w:t xml:space="preserve">defined as an inability to achieve a minimum </w:t>
            </w:r>
            <w:r>
              <w:rPr>
                <w:rFonts w:ascii="Arial Narrow" w:hAnsi="Arial Narrow"/>
                <w:sz w:val="20"/>
                <w:szCs w:val="20"/>
              </w:rPr>
              <w:t>5%</w:t>
            </w:r>
            <w:r w:rsidRPr="00ED116B">
              <w:rPr>
                <w:rFonts w:ascii="Arial Narrow" w:hAnsi="Arial Narrow"/>
                <w:sz w:val="20"/>
                <w:szCs w:val="20"/>
              </w:rPr>
              <w:t xml:space="preserve"> weight loss within </w:t>
            </w:r>
            <w:r>
              <w:rPr>
                <w:rFonts w:ascii="Arial Narrow" w:hAnsi="Arial Narrow"/>
                <w:sz w:val="20"/>
                <w:szCs w:val="20"/>
              </w:rPr>
              <w:t>3</w:t>
            </w:r>
            <w:r w:rsidRPr="00ED116B">
              <w:rPr>
                <w:rFonts w:ascii="Arial Narrow" w:hAnsi="Arial Narrow"/>
                <w:sz w:val="20"/>
                <w:szCs w:val="20"/>
              </w:rPr>
              <w:t xml:space="preserve"> months</w:t>
            </w:r>
            <w:r>
              <w:rPr>
                <w:rFonts w:ascii="Arial Narrow" w:hAnsi="Arial Narrow"/>
                <w:sz w:val="20"/>
                <w:szCs w:val="20"/>
                <w:vertAlign w:val="superscript"/>
              </w:rPr>
              <w:t>b</w:t>
            </w:r>
          </w:p>
        </w:tc>
      </w:tr>
      <w:tr w:rsidR="007F1F22" w:rsidRPr="009C7105" w14:paraId="36BDEC2D" w14:textId="77777777">
        <w:tc>
          <w:tcPr>
            <w:tcW w:w="845" w:type="pct"/>
          </w:tcPr>
          <w:p w14:paraId="3E546A8E" w14:textId="77777777" w:rsidR="007F1F22" w:rsidRDefault="007F1F22" w:rsidP="00515F6A">
            <w:pPr>
              <w:keepNext/>
              <w:keepLines/>
              <w:spacing w:before="40" w:after="40"/>
              <w:rPr>
                <w:rFonts w:ascii="Arial Narrow" w:hAnsi="Arial Narrow"/>
                <w:sz w:val="20"/>
                <w:szCs w:val="20"/>
              </w:rPr>
            </w:pPr>
            <w:r>
              <w:rPr>
                <w:rFonts w:ascii="Arial Narrow" w:hAnsi="Arial Narrow"/>
                <w:sz w:val="20"/>
                <w:szCs w:val="20"/>
              </w:rPr>
              <w:t>Duration of treatment failure</w:t>
            </w:r>
          </w:p>
        </w:tc>
        <w:tc>
          <w:tcPr>
            <w:tcW w:w="1769" w:type="pct"/>
            <w:gridSpan w:val="2"/>
          </w:tcPr>
          <w:p w14:paraId="47889470" w14:textId="77777777" w:rsidR="007F1F22" w:rsidRDefault="007F1F22" w:rsidP="00515F6A">
            <w:pPr>
              <w:keepNext/>
              <w:keepLines/>
              <w:spacing w:before="40" w:after="40"/>
              <w:rPr>
                <w:rFonts w:ascii="Arial Narrow" w:hAnsi="Arial Narrow"/>
                <w:sz w:val="20"/>
                <w:szCs w:val="20"/>
              </w:rPr>
            </w:pPr>
            <w:r>
              <w:rPr>
                <w:rFonts w:ascii="Arial Narrow" w:hAnsi="Arial Narrow"/>
                <w:sz w:val="20"/>
                <w:szCs w:val="20"/>
              </w:rPr>
              <w:t>None proposed</w:t>
            </w:r>
          </w:p>
        </w:tc>
        <w:tc>
          <w:tcPr>
            <w:tcW w:w="1462" w:type="pct"/>
            <w:tcBorders>
              <w:right w:val="double" w:sz="4" w:space="0" w:color="auto"/>
            </w:tcBorders>
          </w:tcPr>
          <w:p w14:paraId="5DB37822" w14:textId="77777777" w:rsidR="007F1F22" w:rsidRPr="00AA719C" w:rsidRDefault="007F1F22" w:rsidP="00515F6A">
            <w:pPr>
              <w:keepNext/>
              <w:keepLines/>
              <w:spacing w:before="40" w:after="40"/>
              <w:rPr>
                <w:rFonts w:ascii="Arial Narrow" w:hAnsi="Arial Narrow"/>
                <w:sz w:val="20"/>
                <w:szCs w:val="20"/>
              </w:rPr>
            </w:pPr>
            <w:r w:rsidRPr="008521C2">
              <w:rPr>
                <w:rFonts w:ascii="Arial Narrow" w:hAnsi="Arial Narrow"/>
                <w:sz w:val="20"/>
                <w:szCs w:val="20"/>
              </w:rPr>
              <w:t>PASC advised that a 12-month time frame to define treatment-failure is more appropriate than 3 months</w:t>
            </w:r>
          </w:p>
        </w:tc>
        <w:tc>
          <w:tcPr>
            <w:tcW w:w="924" w:type="pct"/>
            <w:tcBorders>
              <w:left w:val="double" w:sz="4" w:space="0" w:color="auto"/>
            </w:tcBorders>
          </w:tcPr>
          <w:p w14:paraId="49149C53" w14:textId="77777777" w:rsidR="007F1F22" w:rsidRDefault="007F1F22" w:rsidP="00515F6A">
            <w:pPr>
              <w:keepNext/>
              <w:keepLines/>
              <w:spacing w:before="40" w:after="40"/>
              <w:rPr>
                <w:rFonts w:ascii="Arial Narrow" w:hAnsi="Arial Narrow"/>
                <w:sz w:val="20"/>
                <w:szCs w:val="20"/>
              </w:rPr>
            </w:pPr>
            <w:r>
              <w:rPr>
                <w:rFonts w:ascii="Arial Narrow" w:hAnsi="Arial Narrow"/>
                <w:sz w:val="20"/>
                <w:szCs w:val="20"/>
              </w:rPr>
              <w:t>3 months</w:t>
            </w:r>
          </w:p>
        </w:tc>
      </w:tr>
      <w:tr w:rsidR="007F1F22" w:rsidRPr="009C7105" w14:paraId="302EFC69" w14:textId="77777777">
        <w:tc>
          <w:tcPr>
            <w:tcW w:w="845" w:type="pct"/>
          </w:tcPr>
          <w:p w14:paraId="2F1A53E3" w14:textId="77777777" w:rsidR="007F1F22" w:rsidRPr="009C7105" w:rsidRDefault="007F1F22" w:rsidP="00515F6A">
            <w:pPr>
              <w:keepNext/>
              <w:keepLines/>
              <w:spacing w:before="40" w:after="40"/>
              <w:rPr>
                <w:rFonts w:ascii="Arial Narrow" w:hAnsi="Arial Narrow"/>
                <w:sz w:val="20"/>
                <w:szCs w:val="20"/>
              </w:rPr>
            </w:pPr>
            <w:r>
              <w:rPr>
                <w:rFonts w:ascii="Arial Narrow" w:hAnsi="Arial Narrow"/>
                <w:sz w:val="20"/>
                <w:szCs w:val="20"/>
              </w:rPr>
              <w:t>Failed pharmacotherapy</w:t>
            </w:r>
          </w:p>
        </w:tc>
        <w:tc>
          <w:tcPr>
            <w:tcW w:w="1769" w:type="pct"/>
            <w:gridSpan w:val="2"/>
          </w:tcPr>
          <w:p w14:paraId="201107A1" w14:textId="77777777" w:rsidR="007F1F22" w:rsidRPr="009C7105" w:rsidRDefault="007F1F22" w:rsidP="00515F6A">
            <w:pPr>
              <w:keepNext/>
              <w:keepLines/>
              <w:spacing w:before="40" w:after="40"/>
              <w:rPr>
                <w:rFonts w:ascii="Arial Narrow" w:hAnsi="Arial Narrow"/>
                <w:sz w:val="20"/>
                <w:szCs w:val="20"/>
              </w:rPr>
            </w:pPr>
            <w:r>
              <w:rPr>
                <w:rFonts w:ascii="Arial Narrow" w:hAnsi="Arial Narrow"/>
                <w:sz w:val="20"/>
                <w:szCs w:val="20"/>
              </w:rPr>
              <w:t>Not an essential criterion</w:t>
            </w:r>
          </w:p>
        </w:tc>
        <w:tc>
          <w:tcPr>
            <w:tcW w:w="1462" w:type="pct"/>
            <w:tcBorders>
              <w:right w:val="double" w:sz="4" w:space="0" w:color="auto"/>
            </w:tcBorders>
          </w:tcPr>
          <w:p w14:paraId="485E6F00" w14:textId="77777777" w:rsidR="007F1F22" w:rsidRDefault="007F1F22" w:rsidP="00515F6A">
            <w:pPr>
              <w:keepNext/>
              <w:keepLines/>
              <w:spacing w:before="40" w:after="40"/>
              <w:rPr>
                <w:rFonts w:ascii="Arial Narrow" w:hAnsi="Arial Narrow"/>
                <w:sz w:val="20"/>
                <w:szCs w:val="20"/>
              </w:rPr>
            </w:pPr>
            <w:r w:rsidRPr="00AA719C">
              <w:rPr>
                <w:rFonts w:ascii="Arial Narrow" w:hAnsi="Arial Narrow"/>
                <w:sz w:val="20"/>
                <w:szCs w:val="20"/>
              </w:rPr>
              <w:t>PASC advised that individuals need to have failed both VLED and pharmacotherapy to be eligible</w:t>
            </w:r>
            <w:r>
              <w:rPr>
                <w:rFonts w:ascii="Arial Narrow" w:hAnsi="Arial Narrow"/>
                <w:sz w:val="20"/>
                <w:szCs w:val="20"/>
              </w:rPr>
              <w:t>.</w:t>
            </w:r>
          </w:p>
        </w:tc>
        <w:tc>
          <w:tcPr>
            <w:tcW w:w="924" w:type="pct"/>
            <w:tcBorders>
              <w:left w:val="double" w:sz="4" w:space="0" w:color="auto"/>
            </w:tcBorders>
          </w:tcPr>
          <w:p w14:paraId="69D51FB9" w14:textId="77777777" w:rsidR="007F1F22" w:rsidRPr="009C7105" w:rsidRDefault="007F1F22" w:rsidP="00515F6A">
            <w:pPr>
              <w:keepNext/>
              <w:keepLines/>
              <w:spacing w:before="40" w:after="40"/>
              <w:rPr>
                <w:rFonts w:ascii="Arial Narrow" w:hAnsi="Arial Narrow"/>
                <w:sz w:val="20"/>
                <w:szCs w:val="20"/>
              </w:rPr>
            </w:pPr>
            <w:r>
              <w:rPr>
                <w:rFonts w:ascii="Arial Narrow" w:hAnsi="Arial Narrow"/>
                <w:sz w:val="20"/>
                <w:szCs w:val="20"/>
              </w:rPr>
              <w:t>N</w:t>
            </w:r>
            <w:r w:rsidRPr="00DA4248">
              <w:rPr>
                <w:rFonts w:ascii="Arial Narrow" w:hAnsi="Arial Narrow"/>
                <w:sz w:val="20"/>
                <w:szCs w:val="20"/>
              </w:rPr>
              <w:t>ot an essential criterion</w:t>
            </w:r>
          </w:p>
        </w:tc>
      </w:tr>
      <w:tr w:rsidR="007F1F22" w:rsidRPr="004F571B" w14:paraId="49A3D48D" w14:textId="77777777">
        <w:trPr>
          <w:trHeight w:val="227"/>
        </w:trPr>
        <w:tc>
          <w:tcPr>
            <w:tcW w:w="845" w:type="pct"/>
            <w:vMerge w:val="restart"/>
          </w:tcPr>
          <w:p w14:paraId="159619D2" w14:textId="77777777" w:rsidR="007F1F22" w:rsidRPr="00BC2B52" w:rsidRDefault="007F1F22" w:rsidP="00515F6A">
            <w:pPr>
              <w:keepNext/>
              <w:keepLines/>
              <w:spacing w:before="40" w:after="40"/>
              <w:rPr>
                <w:rFonts w:ascii="Arial Narrow" w:hAnsi="Arial Narrow"/>
                <w:sz w:val="20"/>
                <w:szCs w:val="20"/>
              </w:rPr>
            </w:pPr>
            <w:r>
              <w:rPr>
                <w:rFonts w:ascii="Arial Narrow" w:hAnsi="Arial Narrow"/>
                <w:sz w:val="20"/>
                <w:szCs w:val="20"/>
              </w:rPr>
              <w:t>Bariatric surgery as a treatment option</w:t>
            </w:r>
          </w:p>
        </w:tc>
        <w:tc>
          <w:tcPr>
            <w:tcW w:w="308" w:type="pct"/>
            <w:vMerge w:val="restart"/>
            <w:textDirection w:val="btLr"/>
            <w:vAlign w:val="center"/>
          </w:tcPr>
          <w:p w14:paraId="3A694051" w14:textId="77777777" w:rsidR="007F1F22" w:rsidRPr="00616D82" w:rsidRDefault="007F1F22" w:rsidP="00515F6A">
            <w:pPr>
              <w:keepNext/>
              <w:keepLines/>
              <w:spacing w:before="40" w:after="40"/>
              <w:ind w:left="113" w:right="113"/>
              <w:jc w:val="center"/>
              <w:rPr>
                <w:rFonts w:ascii="Arial Narrow" w:hAnsi="Arial Narrow"/>
                <w:sz w:val="20"/>
                <w:szCs w:val="20"/>
              </w:rPr>
            </w:pPr>
            <w:r>
              <w:rPr>
                <w:rFonts w:ascii="Arial Narrow" w:hAnsi="Arial Narrow"/>
                <w:sz w:val="20"/>
                <w:szCs w:val="20"/>
              </w:rPr>
              <w:t>PICO set 1</w:t>
            </w:r>
          </w:p>
        </w:tc>
        <w:tc>
          <w:tcPr>
            <w:tcW w:w="1461" w:type="pct"/>
          </w:tcPr>
          <w:p w14:paraId="72D531A6" w14:textId="77777777" w:rsidR="007F1F22" w:rsidRPr="00BC2B52" w:rsidRDefault="007F1F22" w:rsidP="00515F6A">
            <w:pPr>
              <w:keepNext/>
              <w:keepLines/>
              <w:spacing w:before="40" w:after="40"/>
              <w:rPr>
                <w:rFonts w:ascii="Arial Narrow" w:hAnsi="Arial Narrow"/>
                <w:sz w:val="20"/>
                <w:szCs w:val="20"/>
              </w:rPr>
            </w:pPr>
            <w:r>
              <w:rPr>
                <w:rFonts w:ascii="Arial Narrow" w:hAnsi="Arial Narrow"/>
                <w:sz w:val="20"/>
                <w:szCs w:val="20"/>
              </w:rPr>
              <w:t>Class I obesity with or without comorbidities: bariatric surgery is not a treatment option</w:t>
            </w:r>
          </w:p>
        </w:tc>
        <w:tc>
          <w:tcPr>
            <w:tcW w:w="1462" w:type="pct"/>
            <w:vMerge w:val="restart"/>
            <w:tcBorders>
              <w:right w:val="double" w:sz="4" w:space="0" w:color="auto"/>
            </w:tcBorders>
          </w:tcPr>
          <w:p w14:paraId="77DE9F6B" w14:textId="77777777" w:rsidR="007F1F22" w:rsidRDefault="007F1F22" w:rsidP="00515F6A">
            <w:pPr>
              <w:keepNext/>
              <w:keepLines/>
              <w:spacing w:before="40" w:after="40"/>
              <w:rPr>
                <w:rFonts w:ascii="Arial Narrow" w:hAnsi="Arial Narrow"/>
                <w:sz w:val="20"/>
                <w:szCs w:val="20"/>
              </w:rPr>
            </w:pPr>
            <w:r>
              <w:rPr>
                <w:rFonts w:ascii="Arial Narrow" w:hAnsi="Arial Narrow"/>
                <w:sz w:val="20"/>
                <w:szCs w:val="20"/>
              </w:rPr>
              <w:t>N</w:t>
            </w:r>
            <w:r w:rsidRPr="000D4B22">
              <w:rPr>
                <w:rFonts w:ascii="Arial Narrow" w:hAnsi="Arial Narrow"/>
                <w:sz w:val="20"/>
                <w:szCs w:val="20"/>
              </w:rPr>
              <w:t>ot suitable for bariatric surgery</w:t>
            </w:r>
            <w:r>
              <w:rPr>
                <w:rFonts w:ascii="Arial Narrow" w:hAnsi="Arial Narrow"/>
                <w:sz w:val="20"/>
                <w:szCs w:val="20"/>
                <w:vertAlign w:val="superscript"/>
              </w:rPr>
              <w:t>a</w:t>
            </w:r>
          </w:p>
          <w:p w14:paraId="3296BE4A" w14:textId="77777777" w:rsidR="007F1F22" w:rsidRDefault="007F1F22" w:rsidP="00515F6A">
            <w:pPr>
              <w:keepNext/>
              <w:keepLines/>
              <w:spacing w:before="40" w:after="40"/>
              <w:rPr>
                <w:rFonts w:ascii="Arial Narrow" w:hAnsi="Arial Narrow"/>
                <w:sz w:val="20"/>
                <w:szCs w:val="20"/>
              </w:rPr>
            </w:pPr>
          </w:p>
          <w:p w14:paraId="5C0EDE72" w14:textId="77777777" w:rsidR="007F1F22" w:rsidRPr="000372D2" w:rsidRDefault="007F1F22" w:rsidP="00515F6A">
            <w:pPr>
              <w:keepNext/>
              <w:keepLines/>
              <w:spacing w:before="40" w:after="40"/>
              <w:rPr>
                <w:rFonts w:ascii="Arial Narrow" w:hAnsi="Arial Narrow"/>
                <w:sz w:val="20"/>
                <w:szCs w:val="20"/>
              </w:rPr>
            </w:pPr>
            <w:r w:rsidRPr="00A51BBD">
              <w:rPr>
                <w:rFonts w:ascii="Arial Narrow" w:hAnsi="Arial Narrow"/>
                <w:sz w:val="20"/>
                <w:szCs w:val="20"/>
              </w:rPr>
              <w:t>PASC considered the contraindications appear the same for ESG vs. bariatric surgery and thus considered it was unclear whether there is a patient population with a medical condition that would render patients ineligible for bariatric surgery but eligible for ESG.</w:t>
            </w:r>
          </w:p>
        </w:tc>
        <w:tc>
          <w:tcPr>
            <w:tcW w:w="924" w:type="pct"/>
            <w:vMerge w:val="restart"/>
            <w:tcBorders>
              <w:left w:val="double" w:sz="4" w:space="0" w:color="auto"/>
            </w:tcBorders>
          </w:tcPr>
          <w:p w14:paraId="417892C8" w14:textId="77777777" w:rsidR="007F1F22" w:rsidRPr="00BC2B52" w:rsidRDefault="007F1F22" w:rsidP="00515F6A">
            <w:pPr>
              <w:keepNext/>
              <w:keepLines/>
              <w:spacing w:before="40" w:after="40"/>
              <w:rPr>
                <w:rFonts w:ascii="Arial Narrow" w:hAnsi="Arial Narrow"/>
                <w:sz w:val="20"/>
                <w:szCs w:val="20"/>
              </w:rPr>
            </w:pPr>
            <w:r>
              <w:rPr>
                <w:rFonts w:ascii="Arial Narrow" w:hAnsi="Arial Narrow"/>
                <w:sz w:val="20"/>
                <w:szCs w:val="20"/>
              </w:rPr>
              <w:t>No</w:t>
            </w:r>
            <w:r w:rsidRPr="004E601D">
              <w:rPr>
                <w:rFonts w:ascii="Arial Narrow" w:hAnsi="Arial Narrow"/>
                <w:sz w:val="20"/>
                <w:szCs w:val="20"/>
              </w:rPr>
              <w:t>t suitable for bariatric surgery</w:t>
            </w:r>
          </w:p>
        </w:tc>
      </w:tr>
      <w:tr w:rsidR="007F1F22" w:rsidRPr="004F571B" w14:paraId="27EB040F" w14:textId="77777777">
        <w:trPr>
          <w:trHeight w:val="225"/>
        </w:trPr>
        <w:tc>
          <w:tcPr>
            <w:tcW w:w="845" w:type="pct"/>
            <w:vMerge/>
          </w:tcPr>
          <w:p w14:paraId="2D1E1385" w14:textId="77777777" w:rsidR="007F1F22" w:rsidRDefault="007F1F22" w:rsidP="00515F6A">
            <w:pPr>
              <w:keepNext/>
              <w:keepLines/>
              <w:spacing w:before="40" w:after="40"/>
              <w:rPr>
                <w:rFonts w:ascii="Arial Narrow" w:hAnsi="Arial Narrow"/>
                <w:sz w:val="20"/>
                <w:szCs w:val="20"/>
              </w:rPr>
            </w:pPr>
          </w:p>
        </w:tc>
        <w:tc>
          <w:tcPr>
            <w:tcW w:w="308" w:type="pct"/>
            <w:vMerge/>
            <w:vAlign w:val="center"/>
          </w:tcPr>
          <w:p w14:paraId="75DF972D" w14:textId="77777777" w:rsidR="007F1F22" w:rsidRDefault="007F1F22" w:rsidP="00515F6A">
            <w:pPr>
              <w:keepNext/>
              <w:keepLines/>
              <w:spacing w:before="40" w:after="40"/>
              <w:jc w:val="center"/>
              <w:rPr>
                <w:rFonts w:ascii="Arial Narrow" w:hAnsi="Arial Narrow"/>
                <w:sz w:val="20"/>
                <w:szCs w:val="20"/>
              </w:rPr>
            </w:pPr>
          </w:p>
        </w:tc>
        <w:tc>
          <w:tcPr>
            <w:tcW w:w="1461" w:type="pct"/>
          </w:tcPr>
          <w:p w14:paraId="1DB78C97" w14:textId="77777777" w:rsidR="007F1F22" w:rsidRDefault="007F1F22" w:rsidP="00515F6A">
            <w:pPr>
              <w:keepNext/>
              <w:keepLines/>
              <w:spacing w:before="40" w:after="40"/>
              <w:rPr>
                <w:rFonts w:ascii="Arial Narrow" w:hAnsi="Arial Narrow"/>
                <w:sz w:val="20"/>
                <w:szCs w:val="20"/>
              </w:rPr>
            </w:pPr>
            <w:r>
              <w:rPr>
                <w:rFonts w:ascii="Arial Narrow" w:hAnsi="Arial Narrow"/>
                <w:sz w:val="20"/>
                <w:szCs w:val="20"/>
              </w:rPr>
              <w:t>Class II obesity without comorbidities: bariatric surgery is not a treatment option</w:t>
            </w:r>
          </w:p>
        </w:tc>
        <w:tc>
          <w:tcPr>
            <w:tcW w:w="1462" w:type="pct"/>
            <w:vMerge/>
            <w:tcBorders>
              <w:right w:val="double" w:sz="4" w:space="0" w:color="auto"/>
            </w:tcBorders>
          </w:tcPr>
          <w:p w14:paraId="25993E6B" w14:textId="77777777" w:rsidR="007F1F22" w:rsidRDefault="007F1F22" w:rsidP="00515F6A">
            <w:pPr>
              <w:keepNext/>
              <w:keepLines/>
              <w:spacing w:before="40" w:after="40"/>
              <w:rPr>
                <w:rFonts w:ascii="Arial Narrow" w:hAnsi="Arial Narrow"/>
                <w:sz w:val="20"/>
                <w:szCs w:val="20"/>
              </w:rPr>
            </w:pPr>
          </w:p>
        </w:tc>
        <w:tc>
          <w:tcPr>
            <w:tcW w:w="924" w:type="pct"/>
            <w:vMerge/>
            <w:tcBorders>
              <w:left w:val="double" w:sz="4" w:space="0" w:color="auto"/>
            </w:tcBorders>
          </w:tcPr>
          <w:p w14:paraId="02FC663E" w14:textId="77777777" w:rsidR="007F1F22" w:rsidRDefault="007F1F22" w:rsidP="00515F6A">
            <w:pPr>
              <w:keepNext/>
              <w:keepLines/>
              <w:spacing w:before="40" w:after="40"/>
              <w:rPr>
                <w:rFonts w:ascii="Arial Narrow" w:hAnsi="Arial Narrow"/>
                <w:sz w:val="20"/>
                <w:szCs w:val="20"/>
              </w:rPr>
            </w:pPr>
          </w:p>
        </w:tc>
      </w:tr>
      <w:tr w:rsidR="007F1F22" w:rsidRPr="004F571B" w14:paraId="4C75B306" w14:textId="77777777">
        <w:trPr>
          <w:trHeight w:val="225"/>
        </w:trPr>
        <w:tc>
          <w:tcPr>
            <w:tcW w:w="845" w:type="pct"/>
            <w:vMerge/>
          </w:tcPr>
          <w:p w14:paraId="7E077B61" w14:textId="77777777" w:rsidR="007F1F22" w:rsidRDefault="007F1F22" w:rsidP="00515F6A">
            <w:pPr>
              <w:keepNext/>
              <w:keepLines/>
              <w:spacing w:before="40" w:after="40"/>
              <w:rPr>
                <w:rFonts w:ascii="Arial Narrow" w:hAnsi="Arial Narrow"/>
                <w:sz w:val="20"/>
                <w:szCs w:val="20"/>
              </w:rPr>
            </w:pPr>
          </w:p>
        </w:tc>
        <w:tc>
          <w:tcPr>
            <w:tcW w:w="308" w:type="pct"/>
            <w:vMerge/>
            <w:vAlign w:val="center"/>
          </w:tcPr>
          <w:p w14:paraId="00153779" w14:textId="77777777" w:rsidR="007F1F22" w:rsidRDefault="007F1F22" w:rsidP="00515F6A">
            <w:pPr>
              <w:keepNext/>
              <w:keepLines/>
              <w:spacing w:before="40" w:after="40"/>
              <w:jc w:val="center"/>
              <w:rPr>
                <w:rFonts w:ascii="Arial Narrow" w:hAnsi="Arial Narrow"/>
                <w:sz w:val="20"/>
                <w:szCs w:val="20"/>
              </w:rPr>
            </w:pPr>
          </w:p>
        </w:tc>
        <w:tc>
          <w:tcPr>
            <w:tcW w:w="1461" w:type="pct"/>
          </w:tcPr>
          <w:p w14:paraId="48FDBA8E" w14:textId="77777777" w:rsidR="007F1F22" w:rsidRDefault="007F1F22" w:rsidP="00515F6A">
            <w:pPr>
              <w:keepNext/>
              <w:keepLines/>
              <w:spacing w:before="40" w:after="40"/>
              <w:rPr>
                <w:rFonts w:ascii="Arial Narrow" w:hAnsi="Arial Narrow"/>
                <w:sz w:val="20"/>
                <w:szCs w:val="20"/>
              </w:rPr>
            </w:pPr>
            <w:r>
              <w:rPr>
                <w:rFonts w:ascii="Arial Narrow" w:hAnsi="Arial Narrow"/>
                <w:sz w:val="20"/>
                <w:szCs w:val="20"/>
              </w:rPr>
              <w:t>Class II obesity with comorbidities: eligible but elect not to receive bariatric surgery (due to fears of risks of surgery and recovery time)</w:t>
            </w:r>
          </w:p>
        </w:tc>
        <w:tc>
          <w:tcPr>
            <w:tcW w:w="1462" w:type="pct"/>
            <w:vMerge/>
            <w:tcBorders>
              <w:right w:val="double" w:sz="4" w:space="0" w:color="auto"/>
            </w:tcBorders>
          </w:tcPr>
          <w:p w14:paraId="48EAA9C3" w14:textId="77777777" w:rsidR="007F1F22" w:rsidRDefault="007F1F22" w:rsidP="00515F6A">
            <w:pPr>
              <w:keepNext/>
              <w:keepLines/>
              <w:spacing w:before="40" w:after="40"/>
              <w:rPr>
                <w:rFonts w:ascii="Arial Narrow" w:hAnsi="Arial Narrow"/>
                <w:sz w:val="20"/>
                <w:szCs w:val="20"/>
              </w:rPr>
            </w:pPr>
          </w:p>
        </w:tc>
        <w:tc>
          <w:tcPr>
            <w:tcW w:w="924" w:type="pct"/>
            <w:vMerge/>
            <w:tcBorders>
              <w:left w:val="double" w:sz="4" w:space="0" w:color="auto"/>
            </w:tcBorders>
          </w:tcPr>
          <w:p w14:paraId="6D7F6C96" w14:textId="77777777" w:rsidR="007F1F22" w:rsidRDefault="007F1F22" w:rsidP="00515F6A">
            <w:pPr>
              <w:keepNext/>
              <w:keepLines/>
              <w:spacing w:before="40" w:after="40"/>
              <w:rPr>
                <w:rFonts w:ascii="Arial Narrow" w:hAnsi="Arial Narrow"/>
                <w:sz w:val="20"/>
                <w:szCs w:val="20"/>
              </w:rPr>
            </w:pPr>
          </w:p>
        </w:tc>
      </w:tr>
      <w:tr w:rsidR="007F1F22" w:rsidRPr="004F571B" w14:paraId="7A5987A2" w14:textId="77777777">
        <w:trPr>
          <w:trHeight w:val="225"/>
        </w:trPr>
        <w:tc>
          <w:tcPr>
            <w:tcW w:w="845" w:type="pct"/>
            <w:vMerge/>
          </w:tcPr>
          <w:p w14:paraId="5A61C2D2" w14:textId="77777777" w:rsidR="007F1F22" w:rsidRDefault="007F1F22" w:rsidP="00515F6A">
            <w:pPr>
              <w:keepNext/>
              <w:keepLines/>
              <w:spacing w:before="40" w:after="40"/>
              <w:rPr>
                <w:rFonts w:ascii="Arial Narrow" w:hAnsi="Arial Narrow"/>
                <w:sz w:val="20"/>
                <w:szCs w:val="20"/>
              </w:rPr>
            </w:pPr>
          </w:p>
        </w:tc>
        <w:tc>
          <w:tcPr>
            <w:tcW w:w="308" w:type="pct"/>
            <w:vMerge w:val="restart"/>
            <w:textDirection w:val="btLr"/>
            <w:vAlign w:val="center"/>
          </w:tcPr>
          <w:p w14:paraId="737BE3BA" w14:textId="77777777" w:rsidR="007F1F22" w:rsidRDefault="007F1F22" w:rsidP="00515F6A">
            <w:pPr>
              <w:keepNext/>
              <w:keepLines/>
              <w:spacing w:before="40" w:after="40"/>
              <w:ind w:left="113" w:right="113"/>
              <w:jc w:val="center"/>
              <w:rPr>
                <w:rFonts w:ascii="Arial Narrow" w:hAnsi="Arial Narrow"/>
                <w:sz w:val="20"/>
                <w:szCs w:val="20"/>
              </w:rPr>
            </w:pPr>
            <w:r>
              <w:rPr>
                <w:rFonts w:ascii="Arial Narrow" w:hAnsi="Arial Narrow"/>
                <w:sz w:val="20"/>
                <w:szCs w:val="20"/>
              </w:rPr>
              <w:t>PICO set 2</w:t>
            </w:r>
          </w:p>
        </w:tc>
        <w:tc>
          <w:tcPr>
            <w:tcW w:w="1461" w:type="pct"/>
          </w:tcPr>
          <w:p w14:paraId="72DC56EB" w14:textId="77777777" w:rsidR="007F1F22" w:rsidRDefault="007F1F22" w:rsidP="00515F6A">
            <w:pPr>
              <w:keepNext/>
              <w:keepLines/>
              <w:spacing w:before="40" w:after="40"/>
              <w:rPr>
                <w:rFonts w:ascii="Arial Narrow" w:hAnsi="Arial Narrow"/>
                <w:sz w:val="20"/>
                <w:szCs w:val="20"/>
              </w:rPr>
            </w:pPr>
            <w:r w:rsidRPr="00C07801">
              <w:rPr>
                <w:rFonts w:ascii="Arial Narrow" w:hAnsi="Arial Narrow"/>
                <w:sz w:val="20"/>
                <w:szCs w:val="20"/>
              </w:rPr>
              <w:t xml:space="preserve">Class II obesity with comorbidities: eligible </w:t>
            </w:r>
            <w:r>
              <w:rPr>
                <w:rFonts w:ascii="Arial Narrow" w:hAnsi="Arial Narrow"/>
                <w:sz w:val="20"/>
                <w:szCs w:val="20"/>
              </w:rPr>
              <w:t>and</w:t>
            </w:r>
            <w:r w:rsidRPr="00C07801">
              <w:rPr>
                <w:rFonts w:ascii="Arial Narrow" w:hAnsi="Arial Narrow"/>
                <w:sz w:val="20"/>
                <w:szCs w:val="20"/>
              </w:rPr>
              <w:t xml:space="preserve"> elect </w:t>
            </w:r>
            <w:r>
              <w:rPr>
                <w:rFonts w:ascii="Arial Narrow" w:hAnsi="Arial Narrow"/>
                <w:sz w:val="20"/>
                <w:szCs w:val="20"/>
              </w:rPr>
              <w:t>to receive bariatric surgery</w:t>
            </w:r>
          </w:p>
        </w:tc>
        <w:tc>
          <w:tcPr>
            <w:tcW w:w="1462" w:type="pct"/>
            <w:vMerge/>
            <w:tcBorders>
              <w:right w:val="double" w:sz="4" w:space="0" w:color="auto"/>
            </w:tcBorders>
          </w:tcPr>
          <w:p w14:paraId="09FF7B6C" w14:textId="77777777" w:rsidR="007F1F22" w:rsidRDefault="007F1F22" w:rsidP="00515F6A">
            <w:pPr>
              <w:keepNext/>
              <w:keepLines/>
              <w:spacing w:before="40" w:after="40"/>
              <w:rPr>
                <w:rFonts w:ascii="Arial Narrow" w:hAnsi="Arial Narrow"/>
                <w:sz w:val="20"/>
                <w:szCs w:val="20"/>
              </w:rPr>
            </w:pPr>
          </w:p>
        </w:tc>
        <w:tc>
          <w:tcPr>
            <w:tcW w:w="924" w:type="pct"/>
            <w:vMerge/>
            <w:tcBorders>
              <w:left w:val="double" w:sz="4" w:space="0" w:color="auto"/>
            </w:tcBorders>
          </w:tcPr>
          <w:p w14:paraId="292E9010" w14:textId="77777777" w:rsidR="007F1F22" w:rsidRDefault="007F1F22" w:rsidP="00515F6A">
            <w:pPr>
              <w:keepNext/>
              <w:keepLines/>
              <w:spacing w:before="40" w:after="40"/>
              <w:rPr>
                <w:rFonts w:ascii="Arial Narrow" w:hAnsi="Arial Narrow"/>
                <w:sz w:val="20"/>
                <w:szCs w:val="20"/>
              </w:rPr>
            </w:pPr>
          </w:p>
        </w:tc>
      </w:tr>
      <w:tr w:rsidR="007F1F22" w:rsidRPr="004F571B" w14:paraId="2E014666" w14:textId="77777777">
        <w:trPr>
          <w:trHeight w:val="225"/>
        </w:trPr>
        <w:tc>
          <w:tcPr>
            <w:tcW w:w="845" w:type="pct"/>
            <w:vMerge/>
          </w:tcPr>
          <w:p w14:paraId="57B5392D" w14:textId="77777777" w:rsidR="007F1F22" w:rsidRDefault="007F1F22" w:rsidP="00515F6A">
            <w:pPr>
              <w:keepNext/>
              <w:keepLines/>
              <w:spacing w:before="40" w:after="40"/>
              <w:rPr>
                <w:rFonts w:ascii="Arial Narrow" w:hAnsi="Arial Narrow"/>
                <w:sz w:val="20"/>
                <w:szCs w:val="20"/>
              </w:rPr>
            </w:pPr>
          </w:p>
        </w:tc>
        <w:tc>
          <w:tcPr>
            <w:tcW w:w="308" w:type="pct"/>
            <w:vMerge/>
          </w:tcPr>
          <w:p w14:paraId="5E5F5FC4" w14:textId="77777777" w:rsidR="007F1F22" w:rsidRDefault="007F1F22" w:rsidP="00515F6A">
            <w:pPr>
              <w:keepNext/>
              <w:keepLines/>
              <w:spacing w:before="40" w:after="40"/>
              <w:rPr>
                <w:rFonts w:ascii="Arial Narrow" w:hAnsi="Arial Narrow"/>
                <w:sz w:val="20"/>
                <w:szCs w:val="20"/>
              </w:rPr>
            </w:pPr>
          </w:p>
        </w:tc>
        <w:tc>
          <w:tcPr>
            <w:tcW w:w="1461" w:type="pct"/>
          </w:tcPr>
          <w:p w14:paraId="0BE9DC0A" w14:textId="77777777" w:rsidR="007F1F22" w:rsidRDefault="007F1F22" w:rsidP="00515F6A">
            <w:pPr>
              <w:keepNext/>
              <w:keepLines/>
              <w:spacing w:before="40" w:after="40"/>
              <w:rPr>
                <w:rFonts w:ascii="Arial Narrow" w:hAnsi="Arial Narrow"/>
                <w:sz w:val="20"/>
                <w:szCs w:val="20"/>
              </w:rPr>
            </w:pPr>
            <w:r>
              <w:rPr>
                <w:rFonts w:ascii="Arial Narrow" w:hAnsi="Arial Narrow"/>
                <w:sz w:val="20"/>
                <w:szCs w:val="20"/>
              </w:rPr>
              <w:t>Class III obesity: eligible and elect to receive bariatric surgery</w:t>
            </w:r>
          </w:p>
        </w:tc>
        <w:tc>
          <w:tcPr>
            <w:tcW w:w="1462" w:type="pct"/>
            <w:tcBorders>
              <w:right w:val="double" w:sz="4" w:space="0" w:color="auto"/>
            </w:tcBorders>
          </w:tcPr>
          <w:p w14:paraId="25AB2C73" w14:textId="77777777" w:rsidR="007F1F22" w:rsidRDefault="007F1F22" w:rsidP="00515F6A">
            <w:pPr>
              <w:keepNext/>
              <w:keepLines/>
              <w:spacing w:before="40" w:after="40"/>
              <w:rPr>
                <w:rFonts w:ascii="Arial Narrow" w:hAnsi="Arial Narrow"/>
                <w:sz w:val="20"/>
                <w:szCs w:val="20"/>
              </w:rPr>
            </w:pPr>
            <w:r>
              <w:rPr>
                <w:rFonts w:ascii="Arial Narrow" w:hAnsi="Arial Narrow"/>
                <w:sz w:val="20"/>
                <w:szCs w:val="20"/>
              </w:rPr>
              <w:t>PASC considered this patient group out of scope</w:t>
            </w:r>
          </w:p>
        </w:tc>
        <w:tc>
          <w:tcPr>
            <w:tcW w:w="924" w:type="pct"/>
            <w:tcBorders>
              <w:left w:val="double" w:sz="4" w:space="0" w:color="auto"/>
            </w:tcBorders>
          </w:tcPr>
          <w:p w14:paraId="32D4EFD3" w14:textId="77777777" w:rsidR="007F1F22" w:rsidRDefault="007F1F22" w:rsidP="00515F6A">
            <w:pPr>
              <w:keepNext/>
              <w:keepLines/>
              <w:spacing w:before="40" w:after="40"/>
              <w:rPr>
                <w:rFonts w:ascii="Arial Narrow" w:hAnsi="Arial Narrow"/>
                <w:sz w:val="20"/>
                <w:szCs w:val="20"/>
              </w:rPr>
            </w:pPr>
            <w:r>
              <w:rPr>
                <w:rFonts w:ascii="Arial Narrow" w:hAnsi="Arial Narrow"/>
                <w:sz w:val="20"/>
                <w:szCs w:val="20"/>
              </w:rPr>
              <w:t>Not applicable</w:t>
            </w:r>
          </w:p>
        </w:tc>
      </w:tr>
    </w:tbl>
    <w:p w14:paraId="01F67B3E" w14:textId="77777777" w:rsidR="007F1F22" w:rsidRDefault="007F1F22" w:rsidP="00515F6A">
      <w:pPr>
        <w:pStyle w:val="TableFigureFooter"/>
        <w:keepNext/>
        <w:keepLines/>
      </w:pPr>
      <w:r>
        <w:t xml:space="preserve">Source: </w:t>
      </w:r>
      <w:r w:rsidRPr="00CD0D7F">
        <w:rPr>
          <w:i/>
        </w:rPr>
        <w:t xml:space="preserve">table compiled by the department post-ESC to </w:t>
      </w:r>
      <w:r>
        <w:rPr>
          <w:i/>
          <w:iCs/>
        </w:rPr>
        <w:t xml:space="preserve">facilitate reading based </w:t>
      </w:r>
      <w:r w:rsidRPr="00516610">
        <w:rPr>
          <w:i/>
          <w:iCs/>
        </w:rPr>
        <w:t>on the ADAR,</w:t>
      </w:r>
      <w:r w:rsidRPr="00516610">
        <w:rPr>
          <w:i/>
        </w:rPr>
        <w:t xml:space="preserve"> </w:t>
      </w:r>
      <w:r w:rsidRPr="00CD0D7F">
        <w:rPr>
          <w:i/>
        </w:rPr>
        <w:t>PSD for MSAC application 1555</w:t>
      </w:r>
      <w:r>
        <w:rPr>
          <w:i/>
          <w:iCs/>
        </w:rPr>
        <w:t xml:space="preserve"> (</w:t>
      </w:r>
      <w:r w:rsidRPr="00CD0D7F">
        <w:rPr>
          <w:i/>
        </w:rPr>
        <w:t>November 2019 MSAC meeting</w:t>
      </w:r>
      <w:r>
        <w:rPr>
          <w:i/>
          <w:iCs/>
        </w:rPr>
        <w:t>)</w:t>
      </w:r>
      <w:r w:rsidRPr="00CD0D7F">
        <w:rPr>
          <w:i/>
          <w:iCs/>
        </w:rPr>
        <w:t xml:space="preserve"> and the</w:t>
      </w:r>
      <w:r w:rsidRPr="00CD0D7F">
        <w:rPr>
          <w:i/>
        </w:rPr>
        <w:t xml:space="preserve"> Ratified PICO Confirmation</w:t>
      </w:r>
      <w:r>
        <w:rPr>
          <w:i/>
          <w:iCs/>
        </w:rPr>
        <w:t xml:space="preserve"> for</w:t>
      </w:r>
      <w:r w:rsidRPr="00CD0D7F">
        <w:rPr>
          <w:i/>
        </w:rPr>
        <w:t xml:space="preserve"> MSAC application 1555.1 (December 2021 PASC meeting).</w:t>
      </w:r>
      <w:r>
        <w:t xml:space="preserve"> </w:t>
      </w:r>
    </w:p>
    <w:p w14:paraId="67E2B83C" w14:textId="77777777" w:rsidR="007F1F22" w:rsidRDefault="007F1F22" w:rsidP="00515F6A">
      <w:pPr>
        <w:pStyle w:val="TableFigureFooter"/>
        <w:keepNext/>
        <w:keepLines/>
      </w:pPr>
      <w:r>
        <w:t xml:space="preserve">1L = first-line; 2L = second-line; ESC = endoscopic sleeve gastroplasty; PASC = PICO Advisory Subcommittee; VLED = </w:t>
      </w:r>
      <w:r w:rsidRPr="005C21E5">
        <w:t>very-low energy diet</w:t>
      </w:r>
      <w:r>
        <w:t>.</w:t>
      </w:r>
    </w:p>
    <w:p w14:paraId="7FC2D746" w14:textId="77777777" w:rsidR="007F1F22" w:rsidRDefault="007F1F22" w:rsidP="00515F6A">
      <w:pPr>
        <w:pStyle w:val="TableFigureFooter"/>
        <w:keepNext/>
        <w:keepLines/>
      </w:pPr>
      <w:r>
        <w:rPr>
          <w:vertAlign w:val="superscript"/>
        </w:rPr>
        <w:t xml:space="preserve">a </w:t>
      </w:r>
      <w:r w:rsidRPr="00BC2B52">
        <w:t>Patients who are ‘not suitable for bariatric surgery’ are those who are not eligible or are contraindicated for bariatric surgical procedures. The</w:t>
      </w:r>
      <w:r>
        <w:t xml:space="preserve"> </w:t>
      </w:r>
      <w:r w:rsidRPr="00BC2B52">
        <w:t>definition also includes patients who are eligible for bariatric surgery but who would not consider or have refused to undergo the procedure(s).</w:t>
      </w:r>
    </w:p>
    <w:p w14:paraId="70C98479" w14:textId="77777777" w:rsidR="007F1F22" w:rsidRDefault="007F1F22" w:rsidP="00515F6A">
      <w:pPr>
        <w:pStyle w:val="TableFigureFooter"/>
        <w:keepNext/>
        <w:keepLines/>
      </w:pPr>
      <w:r>
        <w:rPr>
          <w:vertAlign w:val="superscript"/>
        </w:rPr>
        <w:t xml:space="preserve">b </w:t>
      </w:r>
      <w:r w:rsidRPr="00BC2B52">
        <w:t>The definition was derived from the National Health and Medical Research Council (NHMRC) guidelines on obesity, which suggest a weight loss of 5% reduces health risks by lowering blood pressure and reducing the risk of, or delaying the progression of, type 2 diabetes</w:t>
      </w:r>
      <w:r>
        <w:t>.</w:t>
      </w:r>
    </w:p>
    <w:p w14:paraId="7DEC1375" w14:textId="77777777" w:rsidR="007F1F22" w:rsidRDefault="007F1F22" w:rsidP="007F1F22">
      <w:pPr>
        <w:spacing w:after="0"/>
      </w:pPr>
      <w:r w:rsidRPr="00BC2B52">
        <w:rPr>
          <w:u w:val="single"/>
        </w:rPr>
        <w:t>PICO set 1</w:t>
      </w:r>
      <w:r>
        <w:t xml:space="preserve">: </w:t>
      </w:r>
      <w:r w:rsidRPr="000A4B24">
        <w:t>Patients aged 18 years and over with class I (BMI 30-34.99 kg/m²) or class II (BMI 35-39.99 kg/m²) obesity, with or without comorbidities, and who have failed 1L and 2L weight loss therapies</w:t>
      </w:r>
      <w:r>
        <w:t>.</w:t>
      </w:r>
    </w:p>
    <w:p w14:paraId="64B3794C" w14:textId="77777777" w:rsidR="007F1F22" w:rsidRDefault="007F1F22" w:rsidP="007F1F22">
      <w:r>
        <w:t xml:space="preserve">ESC noted </w:t>
      </w:r>
      <w:r w:rsidRPr="2AA1CA0C">
        <w:t>PASC advi</w:t>
      </w:r>
      <w:r>
        <w:t>ce</w:t>
      </w:r>
      <w:r w:rsidRPr="2AA1CA0C">
        <w:t xml:space="preserve"> that the population </w:t>
      </w:r>
      <w:r>
        <w:t xml:space="preserve">for patients receiving ESG should </w:t>
      </w:r>
      <w:r w:rsidRPr="2AA1CA0C">
        <w:t xml:space="preserve">align with </w:t>
      </w:r>
      <w:r>
        <w:t xml:space="preserve">the </w:t>
      </w:r>
      <w:r w:rsidRPr="2AA1CA0C">
        <w:t xml:space="preserve">2013 </w:t>
      </w:r>
      <w:r w:rsidRPr="00CD0D7F">
        <w:t>Clinical practice guidelines for the management of overweight and obesity</w:t>
      </w:r>
      <w:r w:rsidRPr="2AA1CA0C">
        <w:t xml:space="preserve"> from the National Health and Medical Research Council (NHMRC).</w:t>
      </w:r>
      <w:r>
        <w:rPr>
          <w:rStyle w:val="FootnoteReference"/>
        </w:rPr>
        <w:footnoteReference w:id="64"/>
      </w:r>
      <w:r>
        <w:t xml:space="preserve"> ESC noted that the NHMRC (2013) guidelines (Recommendation 13) recommend that only patients with BMI&gt;40 </w:t>
      </w:r>
      <w:r w:rsidRPr="2AA1CA0C">
        <w:t>kg/m</w:t>
      </w:r>
      <w:r w:rsidRPr="00AF03BC">
        <w:rPr>
          <w:vertAlign w:val="superscript"/>
        </w:rPr>
        <w:t>2</w:t>
      </w:r>
      <w:r>
        <w:t xml:space="preserve"> or BMI&gt;35 </w:t>
      </w:r>
      <w:r w:rsidRPr="2AA1CA0C">
        <w:t>kg/m</w:t>
      </w:r>
      <w:r w:rsidRPr="00AF03BC">
        <w:rPr>
          <w:vertAlign w:val="superscript"/>
        </w:rPr>
        <w:t>2</w:t>
      </w:r>
      <w:r>
        <w:t xml:space="preserve"> with comorbidities that may improve with weight loss should be considered for bariatric surgery, taking into account the individual situation. </w:t>
      </w:r>
      <w:r w:rsidRPr="2AA1CA0C">
        <w:t xml:space="preserve">ESC </w:t>
      </w:r>
      <w:r>
        <w:t>noted that the NHMRC guidelines were from 2013 and that the NHMRC publication policy is that all documents be reviewed after 5 years and approval re-issued. If this does not occur, NHMRC approval for the guidelines is withdrawn, noting that NHMRC publications more than 10 years old are advised to be rescinded.</w:t>
      </w:r>
      <w:r>
        <w:rPr>
          <w:rStyle w:val="FootnoteReference"/>
        </w:rPr>
        <w:footnoteReference w:id="65"/>
      </w:r>
      <w:r>
        <w:t xml:space="preserve"> ESC noted that new draft guidelines (November 2024) commissioned by the Department of Health and Aged Care are currently undergoing public consultation.</w:t>
      </w:r>
      <w:r>
        <w:rPr>
          <w:rStyle w:val="FootnoteReference"/>
        </w:rPr>
        <w:footnoteReference w:id="66"/>
      </w:r>
      <w:r>
        <w:t xml:space="preserve">  ESC considered that whilst the 2013 NHMRC guidelines are the most recently published Australian guidelines, the draft recommendations in the yet-to-be published DOHAC guidelines are relevant for MSAC consideration. </w:t>
      </w:r>
    </w:p>
    <w:p w14:paraId="544133F2" w14:textId="77777777" w:rsidR="007F1F22" w:rsidRDefault="007F1F22" w:rsidP="007F1F22">
      <w:r>
        <w:t xml:space="preserve">ESC noted that PASC had advised that to access ESG, patients should </w:t>
      </w:r>
      <w:r w:rsidRPr="2AA1CA0C">
        <w:t xml:space="preserve">have </w:t>
      </w:r>
      <w:r>
        <w:t>previously failed</w:t>
      </w:r>
      <w:r w:rsidRPr="2AA1CA0C">
        <w:t xml:space="preserve"> 12 months of both lifestyle modifications and pharmacotherapy</w:t>
      </w:r>
      <w:r>
        <w:t>. ESC noted that</w:t>
      </w:r>
      <w:r w:rsidRPr="2AA1CA0C">
        <w:t xml:space="preserve"> the pre-ESC response </w:t>
      </w:r>
      <w:r>
        <w:t>reported that expert input did not see a need to propose a timeline for failed therapy, as</w:t>
      </w:r>
      <w:r w:rsidRPr="2AA1CA0C">
        <w:t xml:space="preserve"> most patients would have tried and failed many weight loss options before seeking ESG. The </w:t>
      </w:r>
      <w:r>
        <w:t>pre-ESC response</w:t>
      </w:r>
      <w:r w:rsidRPr="2AA1CA0C">
        <w:t xml:space="preserve"> </w:t>
      </w:r>
      <w:r>
        <w:t>further stated</w:t>
      </w:r>
      <w:r w:rsidRPr="2AA1CA0C">
        <w:t xml:space="preserve"> that no</w:t>
      </w:r>
      <w:r>
        <w:t xml:space="preserve"> </w:t>
      </w:r>
      <w:r w:rsidRPr="2AA1CA0C">
        <w:t>pharmacotherapy</w:t>
      </w:r>
      <w:r>
        <w:t xml:space="preserve"> for</w:t>
      </w:r>
      <w:r w:rsidRPr="2AA1CA0C">
        <w:t xml:space="preserve"> weight-loss is </w:t>
      </w:r>
      <w:r>
        <w:t>currently</w:t>
      </w:r>
      <w:r w:rsidRPr="2AA1CA0C">
        <w:t xml:space="preserve"> </w:t>
      </w:r>
      <w:r>
        <w:t xml:space="preserve">PBS </w:t>
      </w:r>
      <w:r w:rsidRPr="2AA1CA0C">
        <w:t>funded so requiring failure on pharmacotherapy</w:t>
      </w:r>
      <w:r>
        <w:t xml:space="preserve"> as an eligibility criterion to access ESG </w:t>
      </w:r>
      <w:r w:rsidRPr="2AA1CA0C">
        <w:t>treatment w</w:t>
      </w:r>
      <w:r>
        <w:t>ould</w:t>
      </w:r>
      <w:r w:rsidRPr="2AA1CA0C">
        <w:t xml:space="preserve"> introduce equity issues. </w:t>
      </w:r>
      <w:r>
        <w:t>ESC noted that currently o</w:t>
      </w:r>
      <w:r w:rsidRPr="00A32D23">
        <w:t>ne</w:t>
      </w:r>
      <w:r>
        <w:t xml:space="preserve"> </w:t>
      </w:r>
      <w:r w:rsidRPr="00A32D23">
        <w:t>pharmacotherapy (orlistat) specifically intended for weight loss is listed on the Repatriation</w:t>
      </w:r>
      <w:r>
        <w:t xml:space="preserve"> </w:t>
      </w:r>
      <w:r w:rsidRPr="00A32D23">
        <w:t>Pharmaceutical Benefits Scheme (RPBS)</w:t>
      </w:r>
      <w:r>
        <w:t xml:space="preserve"> only</w:t>
      </w:r>
      <w:r w:rsidRPr="00A32D23">
        <w:t xml:space="preserve">. </w:t>
      </w:r>
      <w:r>
        <w:t>ESC noted that in addition to several other drugs, two GLP-1 receptor agonists</w:t>
      </w:r>
      <w:r w:rsidRPr="00A32D23">
        <w:t xml:space="preserve"> (tirzepatide</w:t>
      </w:r>
      <w:r>
        <w:t xml:space="preserve"> and liraglutide</w:t>
      </w:r>
      <w:r>
        <w:rPr>
          <w:rStyle w:val="FootnoteReference"/>
        </w:rPr>
        <w:footnoteReference w:id="67"/>
      </w:r>
      <w:r w:rsidRPr="00A32D23">
        <w:t xml:space="preserve">) are TGA-registered </w:t>
      </w:r>
      <w:r>
        <w:t xml:space="preserve">(but not PBS-listed) </w:t>
      </w:r>
      <w:r w:rsidRPr="00A32D23">
        <w:t>for chronic weight management</w:t>
      </w:r>
      <w:r>
        <w:t xml:space="preserve"> in patients with BMI ≥30 kg/m</w:t>
      </w:r>
      <w:r w:rsidRPr="00E875B3">
        <w:rPr>
          <w:vertAlign w:val="superscript"/>
        </w:rPr>
        <w:t>2</w:t>
      </w:r>
      <w:r>
        <w:t xml:space="preserve"> or in patients with BMI 27 kg/m</w:t>
      </w:r>
      <w:r w:rsidRPr="00E875B3">
        <w:rPr>
          <w:vertAlign w:val="superscript"/>
        </w:rPr>
        <w:t>2</w:t>
      </w:r>
      <w:r>
        <w:t xml:space="preserve"> to &lt;30kg/m</w:t>
      </w:r>
      <w:r w:rsidRPr="00E875B3">
        <w:rPr>
          <w:vertAlign w:val="superscript"/>
        </w:rPr>
        <w:t>2</w:t>
      </w:r>
      <w:r w:rsidRPr="00A32D23">
        <w:t xml:space="preserve"> </w:t>
      </w:r>
      <w:r>
        <w:t xml:space="preserve">who have comorbidities. ESC noted that another GLP-1 receptor agonist, semaglutide, is TGA-registered and listed as a second line agent as an authority prescription on the PBS for the indication of type 2 diabetes (T2DM) only, which may be of benefit to patients with obesity who have T2DM as a comorbid condition but it is not indicated for patients with obesity without T2DM. Semaglutide is also TGA-registered </w:t>
      </w:r>
      <w:r w:rsidRPr="00ED3405">
        <w:t>for patients with obesity (BMI &gt;30</w:t>
      </w:r>
      <w:r>
        <w:t>,</w:t>
      </w:r>
      <w:r w:rsidRPr="00ED3405">
        <w:t xml:space="preserve"> or 27 to &lt; 30</w:t>
      </w:r>
      <w:r>
        <w:t>)</w:t>
      </w:r>
      <w:r w:rsidRPr="00ED3405">
        <w:t xml:space="preserve"> with at least one comorbidity</w:t>
      </w:r>
      <w:r>
        <w:t>, however it is not PBS listed for this indication.</w:t>
      </w:r>
    </w:p>
    <w:p w14:paraId="6472B4DC" w14:textId="77777777" w:rsidR="007F1F22" w:rsidRDefault="007F1F22" w:rsidP="007F1F22">
      <w:pPr>
        <w:spacing w:after="0"/>
      </w:pPr>
      <w:r w:rsidRPr="00BC2B52">
        <w:rPr>
          <w:u w:val="single"/>
        </w:rPr>
        <w:t xml:space="preserve">PICO set </w:t>
      </w:r>
      <w:r>
        <w:rPr>
          <w:u w:val="single"/>
        </w:rPr>
        <w:t>2</w:t>
      </w:r>
      <w:r>
        <w:t xml:space="preserve">: </w:t>
      </w:r>
      <w:r w:rsidRPr="009337EB">
        <w:t>Patients aged 18 years and over with class II obesity (BMI 35-39.99 kg/m²) with comorbidities or class III obesity (BMI &gt;40 kg/m²) with or without comorbidities, and who are eligible and elect to have bariatric surgery.</w:t>
      </w:r>
    </w:p>
    <w:p w14:paraId="1F9155FB" w14:textId="6E9B8A9F" w:rsidR="007F1F22" w:rsidRDefault="007F1F22" w:rsidP="007F1F22">
      <w:r>
        <w:t xml:space="preserve">ESC noted that </w:t>
      </w:r>
      <w:r w:rsidRPr="004C5ADF">
        <w:t xml:space="preserve">PICO set 2 included </w:t>
      </w:r>
      <w:r>
        <w:t>two subgroups of patients (</w:t>
      </w:r>
      <w:r w:rsidR="00A55FD8">
        <w:fldChar w:fldCharType="begin"/>
      </w:r>
      <w:r w:rsidR="00A55FD8">
        <w:instrText xml:space="preserve"> REF _Ref191464716 \h </w:instrText>
      </w:r>
      <w:r w:rsidR="00A55FD8">
        <w:fldChar w:fldCharType="separate"/>
      </w:r>
      <w:r w:rsidR="008F37D1" w:rsidRPr="00CA581C">
        <w:t xml:space="preserve">Table </w:t>
      </w:r>
      <w:r w:rsidR="008F37D1">
        <w:rPr>
          <w:noProof/>
        </w:rPr>
        <w:t>38</w:t>
      </w:r>
      <w:r w:rsidR="00A55FD8">
        <w:fldChar w:fldCharType="end"/>
      </w:r>
      <w:r>
        <w:t>):</w:t>
      </w:r>
    </w:p>
    <w:p w14:paraId="259C53E7" w14:textId="77777777" w:rsidR="007F1F22" w:rsidRDefault="007F1F22" w:rsidP="007F1F22">
      <w:r>
        <w:t>Subgroup 1: Patients with class II obesity, with comorbidities. ESC noted that the target population are those who are eligible for but do not elect to have bariatric surgery.</w:t>
      </w:r>
    </w:p>
    <w:p w14:paraId="794B96F6" w14:textId="77777777" w:rsidR="007F1F22" w:rsidRDefault="007F1F22" w:rsidP="007F1F22">
      <w:r>
        <w:t>Subgroup 2: P</w:t>
      </w:r>
      <w:r w:rsidRPr="004C5ADF">
        <w:t>atients with class III obesity (BMI ≥40 kg/m²)</w:t>
      </w:r>
      <w:r>
        <w:t xml:space="preserve"> with or without comorbidities. ESC noted that </w:t>
      </w:r>
      <w:r w:rsidRPr="2AA1CA0C">
        <w:t>PASC</w:t>
      </w:r>
      <w:r>
        <w:t xml:space="preserve"> had</w:t>
      </w:r>
      <w:r w:rsidRPr="2AA1CA0C">
        <w:t xml:space="preserve"> advi</w:t>
      </w:r>
      <w:r>
        <w:t>sed</w:t>
      </w:r>
      <w:r w:rsidRPr="2AA1CA0C">
        <w:t xml:space="preserve"> that </w:t>
      </w:r>
      <w:r>
        <w:t xml:space="preserve">this patient group was out of scope for assessment and that </w:t>
      </w:r>
      <w:r w:rsidRPr="2AA1CA0C">
        <w:t xml:space="preserve">a separate application would be </w:t>
      </w:r>
      <w:r>
        <w:t>required</w:t>
      </w:r>
      <w:r w:rsidRPr="2AA1CA0C">
        <w:t xml:space="preserve">, </w:t>
      </w:r>
      <w:r>
        <w:t xml:space="preserve">as </w:t>
      </w:r>
      <w:r w:rsidRPr="2AA1CA0C">
        <w:t xml:space="preserve">the </w:t>
      </w:r>
      <w:r>
        <w:t xml:space="preserve">pivotal </w:t>
      </w:r>
      <w:r w:rsidRPr="2AA1CA0C">
        <w:t xml:space="preserve">MERIT </w:t>
      </w:r>
      <w:r>
        <w:t xml:space="preserve">trial excluded </w:t>
      </w:r>
      <w:r w:rsidRPr="2AA1CA0C">
        <w:t>patients with BMI &gt;40 kg/m</w:t>
      </w:r>
      <w:r w:rsidRPr="00AF03BC">
        <w:rPr>
          <w:vertAlign w:val="superscript"/>
        </w:rPr>
        <w:t>2</w:t>
      </w:r>
      <w:r>
        <w:t>. ESC noted that the original application considered by MSAC in November 2019 did not include this patient group.</w:t>
      </w:r>
    </w:p>
    <w:p w14:paraId="63EB5799" w14:textId="77777777" w:rsidR="007F1F22" w:rsidRDefault="007F1F22" w:rsidP="007F1F22">
      <w:r>
        <w:t xml:space="preserve">ESC noted that the ADAR included patients with class III obesity, </w:t>
      </w:r>
      <w:r w:rsidRPr="2AA1CA0C">
        <w:t>as part of PICO set 2</w:t>
      </w:r>
      <w:r>
        <w:t>. The submission cited expert opinion advising that there should not be an upper BMI limit to the patient population but rather the MBS listing should align with the TGA indication</w:t>
      </w:r>
      <w:r>
        <w:rPr>
          <w:rStyle w:val="FootnoteReference"/>
        </w:rPr>
        <w:footnoteReference w:id="68"/>
      </w:r>
      <w:r>
        <w:t xml:space="preserve"> for the device to avoid treatment restriction</w:t>
      </w:r>
      <w:r w:rsidRPr="2AA1CA0C">
        <w:t xml:space="preserve">. </w:t>
      </w:r>
      <w:r>
        <w:t xml:space="preserve">ESC noted that the ADAR considered PICO set 2 as </w:t>
      </w:r>
      <w:r w:rsidRPr="2AA1CA0C">
        <w:t xml:space="preserve">an </w:t>
      </w:r>
      <w:r>
        <w:t>‘</w:t>
      </w:r>
      <w:r w:rsidRPr="2AA1CA0C">
        <w:t>extension of the PICO previously considered by PASC</w:t>
      </w:r>
      <w:r>
        <w:t xml:space="preserve"> with the same outcomes and comparator and does not require specific consideration by PASC’</w:t>
      </w:r>
      <w:r w:rsidRPr="2AA1CA0C">
        <w:t>. Additionally, the pre-ESC response state</w:t>
      </w:r>
      <w:r>
        <w:t>d</w:t>
      </w:r>
      <w:r w:rsidRPr="2AA1CA0C">
        <w:t xml:space="preserve"> that clinicians support including </w:t>
      </w:r>
      <w:r>
        <w:t xml:space="preserve">this </w:t>
      </w:r>
      <w:r w:rsidRPr="2AA1CA0C">
        <w:t>patient</w:t>
      </w:r>
      <w:r>
        <w:t xml:space="preserve"> group</w:t>
      </w:r>
      <w:r w:rsidRPr="2AA1CA0C">
        <w:t xml:space="preserve"> due to the increased risk of morbidity with LSG and suggest</w:t>
      </w:r>
      <w:r>
        <w:t>ed</w:t>
      </w:r>
      <w:r w:rsidRPr="2AA1CA0C">
        <w:t xml:space="preserve"> that restricting ESG to patients with lower BMI would be inequitable. </w:t>
      </w:r>
    </w:p>
    <w:p w14:paraId="568C68B7" w14:textId="77777777" w:rsidR="007F1F22" w:rsidRDefault="007F1F22" w:rsidP="007F1F22">
      <w:r>
        <w:t xml:space="preserve">ESC considered that there was not reasonable justification to include the </w:t>
      </w:r>
      <w:r w:rsidRPr="2AA1CA0C">
        <w:t>BMI &gt;40 kg/m</w:t>
      </w:r>
      <w:r w:rsidRPr="2AA1CA0C">
        <w:rPr>
          <w:vertAlign w:val="superscript"/>
        </w:rPr>
        <w:t>2</w:t>
      </w:r>
      <w:r>
        <w:t xml:space="preserve"> population given their exclusion in the MERIT trial and the weak level of evidence the ADAR presented for this population. ESC agreed with PASC that this population should be the subject of a separate application to MSAC</w:t>
      </w:r>
      <w:r w:rsidRPr="2AA1CA0C">
        <w:t>.</w:t>
      </w:r>
      <w:r>
        <w:t xml:space="preserve"> </w:t>
      </w:r>
    </w:p>
    <w:p w14:paraId="639A100A" w14:textId="70F936AB" w:rsidR="007F1F22" w:rsidRDefault="007F1F22" w:rsidP="007F1F22">
      <w:r w:rsidRPr="2AA1CA0C">
        <w:t xml:space="preserve">ESC </w:t>
      </w:r>
      <w:r>
        <w:t>also noted</w:t>
      </w:r>
      <w:r w:rsidRPr="2AA1CA0C">
        <w:t xml:space="preserve"> that the population </w:t>
      </w:r>
      <w:r>
        <w:t>specified for ESG was described as patients “</w:t>
      </w:r>
      <w:r w:rsidRPr="00E41BC7">
        <w:t>who would be eligible to receive a bariatric procedure</w:t>
      </w:r>
      <w:r>
        <w:t>.” However, the proposed MBS item descriptor for class III obesity included patients</w:t>
      </w:r>
      <w:r w:rsidRPr="2AA1CA0C">
        <w:t xml:space="preserve"> </w:t>
      </w:r>
      <w:r>
        <w:t>“</w:t>
      </w:r>
      <w:r w:rsidRPr="2AA1CA0C">
        <w:t>un</w:t>
      </w:r>
      <w:r>
        <w:t>suitable for</w:t>
      </w:r>
      <w:r w:rsidRPr="2AA1CA0C">
        <w:t xml:space="preserve"> or unable to undergo bariatric surgery</w:t>
      </w:r>
      <w:r>
        <w:t>” (</w:t>
      </w:r>
      <w:r>
        <w:fldChar w:fldCharType="begin"/>
      </w:r>
      <w:r>
        <w:instrText xml:space="preserve"> REF _Ref184203220 \h </w:instrText>
      </w:r>
      <w:r>
        <w:fldChar w:fldCharType="separate"/>
      </w:r>
      <w:r w:rsidR="008F37D1" w:rsidRPr="2AA1CA0C">
        <w:t>Table </w:t>
      </w:r>
      <w:r w:rsidR="008F37D1">
        <w:rPr>
          <w:noProof/>
        </w:rPr>
        <w:t>3</w:t>
      </w:r>
      <w:r>
        <w:fldChar w:fldCharType="end"/>
      </w:r>
      <w:r>
        <w:t xml:space="preserve">). ESC noted that current MBS items for bariatric surgery include guidance on eligibility criteria in explanatory note </w:t>
      </w:r>
      <w:r w:rsidRPr="00CD0D7F">
        <w:t>TN.8.29</w:t>
      </w:r>
      <w:r>
        <w:t>.</w:t>
      </w:r>
      <w:r>
        <w:rPr>
          <w:rStyle w:val="FootnoteReference"/>
        </w:rPr>
        <w:footnoteReference w:id="69"/>
      </w:r>
      <w:r>
        <w:t xml:space="preserve"> ESC considered that the population who would be unable to receive bariatric surgery, as outlined in the explanatory note, but able to receive ESG was unclear. </w:t>
      </w:r>
    </w:p>
    <w:p w14:paraId="28664E7D" w14:textId="77777777" w:rsidR="007F1F22" w:rsidRDefault="007F1F22" w:rsidP="007F1F22">
      <w:r w:rsidRPr="2AA1CA0C" w:rsidDel="00696FF3">
        <w:t xml:space="preserve">ESC </w:t>
      </w:r>
      <w:r>
        <w:t xml:space="preserve">further </w:t>
      </w:r>
      <w:r w:rsidRPr="2AA1CA0C" w:rsidDel="00696FF3">
        <w:t xml:space="preserve">noted that </w:t>
      </w:r>
      <w:r>
        <w:t>the Lancet Commission on Obesity</w:t>
      </w:r>
      <w:r>
        <w:rPr>
          <w:rStyle w:val="FootnoteReference"/>
        </w:rPr>
        <w:footnoteReference w:id="70"/>
      </w:r>
      <w:r>
        <w:t xml:space="preserve"> have</w:t>
      </w:r>
      <w:r w:rsidRPr="2AA1CA0C" w:rsidDel="00696FF3">
        <w:t xml:space="preserve"> </w:t>
      </w:r>
      <w:r>
        <w:t xml:space="preserve">recently </w:t>
      </w:r>
      <w:r w:rsidRPr="2AA1CA0C" w:rsidDel="00696FF3">
        <w:t>propos</w:t>
      </w:r>
      <w:r>
        <w:t>ed</w:t>
      </w:r>
      <w:r w:rsidRPr="2AA1CA0C" w:rsidDel="00696FF3">
        <w:t xml:space="preserve"> </w:t>
      </w:r>
      <w:r>
        <w:t>changing how obesity is defined, proposing that diagnosis incorporates other measures of obesity, such as waist circumference, and signs and symptoms of reduced organ function due to obesity, rather than relying on BMI alone</w:t>
      </w:r>
      <w:r w:rsidRPr="2AA1CA0C" w:rsidDel="00696FF3">
        <w:t xml:space="preserve">. </w:t>
      </w:r>
    </w:p>
    <w:p w14:paraId="77DDD8BD" w14:textId="77777777" w:rsidR="007F1F22" w:rsidRDefault="007F1F22" w:rsidP="007F1F22">
      <w:pPr>
        <w:pStyle w:val="Heading3"/>
      </w:pPr>
      <w:r>
        <w:t>Proposed comparator and clinical algorithm</w:t>
      </w:r>
    </w:p>
    <w:p w14:paraId="14D0C7DE" w14:textId="77777777" w:rsidR="007F1F22" w:rsidRDefault="007F1F22" w:rsidP="007F1F22">
      <w:r>
        <w:t xml:space="preserve">ESC noted that lifestyle modifications alone was the comparator for PICO set 1. ESC considered that this was an appropriate comparator. ESC noted PASC advice that if pharmaceutical treatments were to be considered as comparators for ESG, then the cost-effectiveness for these therapies would need to be established first as this has not been determined by the PBAC. </w:t>
      </w:r>
    </w:p>
    <w:p w14:paraId="28905735" w14:textId="77777777" w:rsidR="007F1F22" w:rsidRPr="007A5D30" w:rsidRDefault="007F1F22" w:rsidP="007F1F22">
      <w:r>
        <w:t>ESC discussed</w:t>
      </w:r>
      <w:r w:rsidRPr="2AA1CA0C">
        <w:t xml:space="preserve"> the comparator for PICO set 2,</w:t>
      </w:r>
      <w:r>
        <w:t xml:space="preserve"> which the ADAR proposed as LSG.</w:t>
      </w:r>
      <w:r w:rsidRPr="2AA1CA0C">
        <w:t xml:space="preserve"> ESC noted that </w:t>
      </w:r>
      <w:r>
        <w:t xml:space="preserve">only </w:t>
      </w:r>
      <w:r w:rsidRPr="2AA1CA0C">
        <w:t>80% of bariatric procedures in Australia are LSG, based on the Bariatric Surgery Registry</w:t>
      </w:r>
      <w:r w:rsidRPr="2AA1CA0C" w:rsidDel="00352631">
        <w:t xml:space="preserve"> </w:t>
      </w:r>
      <w:r w:rsidRPr="2AA1CA0C">
        <w:t>data</w:t>
      </w:r>
      <w:r>
        <w:t>, which collates data across public and private hospitals in Australia and New Zealand</w:t>
      </w:r>
      <w:r w:rsidRPr="2AA1CA0C">
        <w:t>.</w:t>
      </w:r>
      <w:r>
        <w:rPr>
          <w:rStyle w:val="FootnoteReference"/>
        </w:rPr>
        <w:footnoteReference w:id="71"/>
      </w:r>
      <w:r>
        <w:t xml:space="preserve"> </w:t>
      </w:r>
      <w:r w:rsidRPr="2AA1CA0C">
        <w:t>However, ESC questioned if the registry is reflective of the patients who will likely access this procedure in Australia, as 95% of procedures in Australia are privately funded. ESC considered whether a mixed comparator (including sleeve gastrectomy and laparoscopic adjustable gastric banding)</w:t>
      </w:r>
      <w:r>
        <w:t xml:space="preserve"> may address the remaining 20% of bariatric surgeries which are not accounted for when using LSG as a sole comparator.</w:t>
      </w:r>
      <w:r w:rsidRPr="2AA1CA0C">
        <w:t xml:space="preserve"> ESC considered that uptake for ESG will likely be higher than expected</w:t>
      </w:r>
      <w:r>
        <w:t xml:space="preserve"> due to the potential for patients to preference ESG over other bariatric surgeries</w:t>
      </w:r>
      <w:r w:rsidRPr="2AA1CA0C">
        <w:t>.</w:t>
      </w:r>
      <w:r>
        <w:t xml:space="preserve"> </w:t>
      </w:r>
    </w:p>
    <w:p w14:paraId="446E51A3" w14:textId="77777777" w:rsidR="007F1F22" w:rsidRDefault="007F1F22" w:rsidP="007F1F22">
      <w:r w:rsidRPr="2AA1CA0C">
        <w:t>ESC noted that the proposed clinical management algorithm does not include patients with BMI &gt;40 kg/m</w:t>
      </w:r>
      <w:r w:rsidRPr="2AA1CA0C">
        <w:rPr>
          <w:vertAlign w:val="superscript"/>
        </w:rPr>
        <w:t>2</w:t>
      </w:r>
      <w:r w:rsidRPr="2AA1CA0C">
        <w:t xml:space="preserve">, even though these patients are included in PICO set 2. ESC considered that this discrepancy </w:t>
      </w:r>
      <w:r>
        <w:t xml:space="preserve">requires </w:t>
      </w:r>
      <w:r w:rsidRPr="2AA1CA0C">
        <w:t>clarification from the applicant. ESC also noted that the clinical management algorithm did not consider patients with BMI &gt;50 kg/m</w:t>
      </w:r>
      <w:r w:rsidRPr="2AA1CA0C">
        <w:rPr>
          <w:vertAlign w:val="superscript"/>
        </w:rPr>
        <w:t>2</w:t>
      </w:r>
      <w:r w:rsidRPr="2AA1CA0C">
        <w:t xml:space="preserve">, </w:t>
      </w:r>
      <w:r>
        <w:t>noting that the TGA indication for the device restricts its use to patients with a BMI between 30 and 50 kg/m</w:t>
      </w:r>
      <w:r w:rsidRPr="00E875B3">
        <w:rPr>
          <w:vertAlign w:val="superscript"/>
        </w:rPr>
        <w:t>2</w:t>
      </w:r>
      <w:r w:rsidRPr="2AA1CA0C">
        <w:t xml:space="preserve">. The clinical management algorithm also includes revision ESG, </w:t>
      </w:r>
      <w:r>
        <w:t>however</w:t>
      </w:r>
      <w:r w:rsidRPr="2AA1CA0C">
        <w:t xml:space="preserve"> a separate MBS item for revisions </w:t>
      </w:r>
      <w:r>
        <w:t xml:space="preserve">has </w:t>
      </w:r>
      <w:r w:rsidRPr="2AA1CA0C">
        <w:t xml:space="preserve">not </w:t>
      </w:r>
      <w:r>
        <w:t>been</w:t>
      </w:r>
      <w:r w:rsidRPr="2AA1CA0C">
        <w:t xml:space="preserve"> proposed</w:t>
      </w:r>
      <w:r>
        <w:t xml:space="preserve"> by the applicant</w:t>
      </w:r>
      <w:r w:rsidRPr="2AA1CA0C">
        <w:t>.</w:t>
      </w:r>
    </w:p>
    <w:p w14:paraId="573EBBB2" w14:textId="77777777" w:rsidR="007F1F22" w:rsidRPr="007A5D30" w:rsidRDefault="007F1F22" w:rsidP="007F1F22">
      <w:r w:rsidRPr="2AA1CA0C">
        <w:t xml:space="preserve">ESC </w:t>
      </w:r>
      <w:r>
        <w:t>noted the pre-ESC response which stated that while rare, reversal of ESG is a quick and easy procedure</w:t>
      </w:r>
      <w:r w:rsidRPr="2AA1CA0C">
        <w:t>.</w:t>
      </w:r>
      <w:r>
        <w:t xml:space="preserve"> However, ESC disagreed with this position and supported previous MSAC advice that the procedure is only reversible for a short period of time following the initial procedure.</w:t>
      </w:r>
      <w:r w:rsidRPr="2AA1CA0C">
        <w:t xml:space="preserve"> </w:t>
      </w:r>
    </w:p>
    <w:p w14:paraId="1CB38192" w14:textId="77777777" w:rsidR="007F1F22" w:rsidRPr="00413999" w:rsidRDefault="007F1F22" w:rsidP="007F1F22">
      <w:pPr>
        <w:pStyle w:val="Heading3"/>
      </w:pPr>
      <w:r>
        <w:t>Consultation feedback</w:t>
      </w:r>
    </w:p>
    <w:p w14:paraId="2D7E72B7" w14:textId="77777777" w:rsidR="007F1F22" w:rsidRDefault="007F1F22" w:rsidP="007F1F22">
      <w:r w:rsidRPr="2AA1CA0C">
        <w:t xml:space="preserve">ESC considered that there are several issues that could affect consumers, including uncertain safety and efficacy for both class I and II obesity groups, especially people with comorbidities. ESC also considered that it would be valuable for consumers to know the likelihood of the treatment failing, especially as they would have </w:t>
      </w:r>
      <w:r>
        <w:t xml:space="preserve">likely </w:t>
      </w:r>
      <w:r w:rsidRPr="2AA1CA0C">
        <w:t xml:space="preserve">already failed other treatments. Patients may also have additional costs, such as for pharmaceuticals and special diets. ESC considered that </w:t>
      </w:r>
      <w:r>
        <w:t>to gauge quality of life outcomes around ESG</w:t>
      </w:r>
      <w:r w:rsidRPr="2AA1CA0C">
        <w:t xml:space="preserve"> it may be useful to </w:t>
      </w:r>
      <w:r>
        <w:t>search the literature for</w:t>
      </w:r>
      <w:r w:rsidRPr="2AA1CA0C">
        <w:t xml:space="preserve"> a decision regret scale, </w:t>
      </w:r>
      <w:r>
        <w:t>noting similar data were collected</w:t>
      </w:r>
      <w:r w:rsidRPr="2AA1CA0C">
        <w:t xml:space="preserve"> for gastric banding</w:t>
      </w:r>
      <w:r>
        <w:t>:</w:t>
      </w:r>
      <w:r w:rsidRPr="004F1A58">
        <w:t xml:space="preserve"> </w:t>
      </w:r>
      <w:r>
        <w:t xml:space="preserve">a </w:t>
      </w:r>
      <w:r w:rsidRPr="008F5867">
        <w:t>recent systematic review concluded that up to 19.5% of patients experienced regret following bariatric surgery</w:t>
      </w:r>
      <w:r>
        <w:t>.</w:t>
      </w:r>
      <w:r>
        <w:rPr>
          <w:rStyle w:val="FootnoteReference"/>
        </w:rPr>
        <w:footnoteReference w:id="72"/>
      </w:r>
      <w:r>
        <w:t xml:space="preserve"> A post-ESC analysis did not find any studies which discussed patient regret associated with ESG. </w:t>
      </w:r>
    </w:p>
    <w:p w14:paraId="6703A48E" w14:textId="77777777" w:rsidR="007F1F22" w:rsidRDefault="007F1F22" w:rsidP="007F1F22">
      <w:r w:rsidRPr="2AA1CA0C">
        <w:t xml:space="preserve">ESC noted the feedback from Private Healthcare Australia </w:t>
      </w:r>
      <w:r>
        <w:t>was</w:t>
      </w:r>
      <w:r w:rsidRPr="2AA1CA0C">
        <w:t xml:space="preserve"> unsupportive of the application.</w:t>
      </w:r>
      <w:r w:rsidRPr="0018294A">
        <w:t xml:space="preserve"> </w:t>
      </w:r>
      <w:r>
        <w:t>The feedback notes</w:t>
      </w:r>
      <w:r w:rsidRPr="2AA1CA0C">
        <w:t xml:space="preserve"> </w:t>
      </w:r>
      <w:r>
        <w:t xml:space="preserve">that </w:t>
      </w:r>
      <w:r w:rsidRPr="2AA1CA0C">
        <w:t>there are new weight loss medications</w:t>
      </w:r>
      <w:r>
        <w:t xml:space="preserve"> available to patients in the lower obesity classes</w:t>
      </w:r>
      <w:r w:rsidRPr="2AA1CA0C">
        <w:t xml:space="preserve"> </w:t>
      </w:r>
      <w:r>
        <w:t xml:space="preserve">as an early line treatment </w:t>
      </w:r>
      <w:r w:rsidRPr="2AA1CA0C">
        <w:t>that may lower the risks</w:t>
      </w:r>
      <w:r>
        <w:t xml:space="preserve"> associated with a high BMI (</w:t>
      </w:r>
      <w:r w:rsidRPr="2AA1CA0C">
        <w:t>increase</w:t>
      </w:r>
      <w:r>
        <w:t xml:space="preserve">d </w:t>
      </w:r>
      <w:r w:rsidRPr="2AA1CA0C">
        <w:t>risk of hernias, joint replacements and cardiac conditions</w:t>
      </w:r>
      <w:r>
        <w:t xml:space="preserve">) </w:t>
      </w:r>
      <w:r w:rsidRPr="2AA1CA0C">
        <w:t xml:space="preserve">and remove the need for </w:t>
      </w:r>
      <w:r>
        <w:t>bariatric</w:t>
      </w:r>
      <w:r w:rsidRPr="2AA1CA0C">
        <w:t xml:space="preserve"> </w:t>
      </w:r>
      <w:r>
        <w:t>procedures</w:t>
      </w:r>
      <w:r w:rsidRPr="2AA1CA0C">
        <w:t xml:space="preserve">. </w:t>
      </w:r>
      <w:r>
        <w:t>The feedback</w:t>
      </w:r>
      <w:r w:rsidRPr="2AA1CA0C">
        <w:t xml:space="preserve"> </w:t>
      </w:r>
      <w:r>
        <w:t>states</w:t>
      </w:r>
      <w:r w:rsidRPr="2AA1CA0C">
        <w:t xml:space="preserve"> that private health insurance </w:t>
      </w:r>
      <w:r>
        <w:t>funds</w:t>
      </w:r>
      <w:r w:rsidRPr="2AA1CA0C">
        <w:t xml:space="preserve"> approximately 22,000 surgical bariatric procedures each year. The feedback also</w:t>
      </w:r>
      <w:r w:rsidRPr="2AA1CA0C" w:rsidDel="002F1357">
        <w:t xml:space="preserve"> </w:t>
      </w:r>
      <w:r>
        <w:t>claims</w:t>
      </w:r>
      <w:r w:rsidRPr="2AA1CA0C">
        <w:t xml:space="preserve"> that surgeons performing the procedure </w:t>
      </w:r>
      <w:r>
        <w:t>may</w:t>
      </w:r>
      <w:r w:rsidRPr="2AA1CA0C">
        <w:t xml:space="preserve"> not provide appropriate psychological and allied healthcare support to patients.</w:t>
      </w:r>
    </w:p>
    <w:p w14:paraId="11CCBFC5" w14:textId="77777777" w:rsidR="007F1F22" w:rsidRPr="00E83C40" w:rsidRDefault="007F1F22" w:rsidP="007F1F22">
      <w:pPr>
        <w:pStyle w:val="Heading3"/>
      </w:pPr>
      <w:r>
        <w:t>Clinical claim</w:t>
      </w:r>
    </w:p>
    <w:p w14:paraId="76E5966B" w14:textId="77777777" w:rsidR="007F1F22" w:rsidRPr="00F33A3C" w:rsidRDefault="007F1F22" w:rsidP="007F1F22">
      <w:pPr>
        <w:pStyle w:val="NormalBeforeBullet0"/>
      </w:pPr>
      <w:r w:rsidRPr="00F33A3C">
        <w:t>ESC noted that the clinical claims are as follows:</w:t>
      </w:r>
    </w:p>
    <w:p w14:paraId="60C88D5E" w14:textId="77777777" w:rsidR="007F1F22" w:rsidRPr="00CD0D7F" w:rsidRDefault="007F1F22" w:rsidP="007F1F22">
      <w:pPr>
        <w:pStyle w:val="Bullet"/>
        <w:spacing w:before="0"/>
        <w:rPr>
          <w:rFonts w:ascii="Franklin Gothic Book" w:hAnsi="Franklin Gothic Book"/>
        </w:rPr>
      </w:pPr>
      <w:r w:rsidRPr="00CD0D7F">
        <w:rPr>
          <w:rFonts w:ascii="Franklin Gothic Book" w:hAnsi="Franklin Gothic Book"/>
          <w:u w:val="single"/>
        </w:rPr>
        <w:t>PICO Set 1</w:t>
      </w:r>
      <w:r w:rsidRPr="00F33A3C">
        <w:rPr>
          <w:rFonts w:ascii="Franklin Gothic Book" w:hAnsi="Franklin Gothic Book"/>
        </w:rPr>
        <w:t xml:space="preserve">: </w:t>
      </w:r>
      <w:r w:rsidRPr="00CD0D7F">
        <w:rPr>
          <w:rFonts w:ascii="Franklin Gothic Book" w:hAnsi="Franklin Gothic Book"/>
        </w:rPr>
        <w:t xml:space="preserve">Compared with lifestyle modifications only, ESG has superior efficacy for the primary endpoint of percentage total body weight loss (%TBWL), inferior short-term safety (as the comparator is no intervention) and non-inferior long-term safety. </w:t>
      </w:r>
    </w:p>
    <w:p w14:paraId="08E42ACA" w14:textId="77777777" w:rsidR="007F1F22" w:rsidRPr="00F33A3C" w:rsidRDefault="007F1F22" w:rsidP="007F1F22">
      <w:pPr>
        <w:pStyle w:val="Bullet"/>
        <w:spacing w:before="0"/>
        <w:rPr>
          <w:rFonts w:ascii="Franklin Gothic Book" w:hAnsi="Franklin Gothic Book"/>
        </w:rPr>
      </w:pPr>
      <w:r w:rsidRPr="00CD0D7F">
        <w:rPr>
          <w:rFonts w:ascii="Franklin Gothic Book" w:hAnsi="Franklin Gothic Book"/>
          <w:u w:val="single"/>
        </w:rPr>
        <w:t>PICO Set 2:</w:t>
      </w:r>
      <w:r w:rsidRPr="00CD0D7F">
        <w:rPr>
          <w:rFonts w:ascii="Franklin Gothic Book" w:hAnsi="Franklin Gothic Book"/>
        </w:rPr>
        <w:t xml:space="preserve"> Compared with bariatric surgery, ESG has non-inferior effectiveness and superior safety.</w:t>
      </w:r>
      <w:r w:rsidRPr="00F33A3C">
        <w:rPr>
          <w:rFonts w:ascii="Franklin Gothic Book" w:hAnsi="Franklin Gothic Book"/>
        </w:rPr>
        <w:t xml:space="preserve"> </w:t>
      </w:r>
    </w:p>
    <w:p w14:paraId="344A407B" w14:textId="77777777" w:rsidR="007F1F22" w:rsidRPr="00CD0D7F" w:rsidRDefault="007F1F22" w:rsidP="007F1F22">
      <w:r w:rsidRPr="00CD0D7F">
        <w:t>For PICO set 1, ESC noted that the resubmission ADAR presents new direct evidence from the MERIT trial with 1- and 2-year follow-up data, along with 14 additional single arm studies as supportive evidence. ESC noted that the MERIT trial is largely applicable to the proposed population for PICO set 1. However, it is unclear if patients had completed 12 months of treatment failure in the MERIT study, as previous therapy failure was not required as a part of the selection process. Additionally, ESC noted the issues in the MERIT trial include underestimation of patient age and sex (by 5.5 years) and an under-representation of males (by 8.9%).</w:t>
      </w:r>
      <w:r>
        <w:t xml:space="preserve"> </w:t>
      </w:r>
      <w:r w:rsidRPr="00CD0D7F">
        <w:t xml:space="preserve">  </w:t>
      </w:r>
    </w:p>
    <w:p w14:paraId="1F9871E6" w14:textId="77777777" w:rsidR="007F1F22" w:rsidRDefault="007F1F22" w:rsidP="007F1F22">
      <w:pPr>
        <w:pStyle w:val="Heading3"/>
      </w:pPr>
      <w:r>
        <w:t>Comparative Safety</w:t>
      </w:r>
    </w:p>
    <w:p w14:paraId="36563569" w14:textId="77777777" w:rsidR="007F1F22" w:rsidRPr="00BC2B52" w:rsidRDefault="007F1F22" w:rsidP="007F1F22">
      <w:pPr>
        <w:rPr>
          <w:b/>
          <w:bCs/>
        </w:rPr>
      </w:pPr>
      <w:r w:rsidRPr="00BC2B52">
        <w:rPr>
          <w:b/>
          <w:bCs/>
        </w:rPr>
        <w:t xml:space="preserve">PICO set </w:t>
      </w:r>
      <w:r>
        <w:rPr>
          <w:b/>
          <w:bCs/>
        </w:rPr>
        <w:t>1</w:t>
      </w:r>
    </w:p>
    <w:p w14:paraId="244BC11B" w14:textId="77777777" w:rsidR="007F1F22" w:rsidRDefault="007F1F22" w:rsidP="007F1F22">
      <w:r w:rsidRPr="2AA1CA0C">
        <w:t xml:space="preserve">Regarding safety, ESC noted </w:t>
      </w:r>
      <w:r>
        <w:t>that s</w:t>
      </w:r>
      <w:r w:rsidRPr="2AA1CA0C">
        <w:t xml:space="preserve">hort-term safety </w:t>
      </w:r>
      <w:r>
        <w:t xml:space="preserve">of the intervention </w:t>
      </w:r>
      <w:r w:rsidRPr="2AA1CA0C">
        <w:t xml:space="preserve">is inherently inferior to current standard of care, which involves no active </w:t>
      </w:r>
      <w:r>
        <w:t xml:space="preserve">surgical </w:t>
      </w:r>
      <w:r w:rsidRPr="2AA1CA0C">
        <w:t>intervention</w:t>
      </w:r>
      <w:r>
        <w:t xml:space="preserve">, and considered that </w:t>
      </w:r>
      <w:r w:rsidRPr="2AA1CA0C">
        <w:t xml:space="preserve">the inferior safety claim </w:t>
      </w:r>
      <w:r>
        <w:t>was</w:t>
      </w:r>
      <w:r w:rsidRPr="2AA1CA0C">
        <w:t xml:space="preserve"> appropriate</w:t>
      </w:r>
      <w:r>
        <w:t>.</w:t>
      </w:r>
      <w:r w:rsidRPr="2AA1CA0C">
        <w:t xml:space="preserve"> </w:t>
      </w:r>
      <w:r>
        <w:t>ESC noted that in the MERIT trial n</w:t>
      </w:r>
      <w:r w:rsidRPr="2AA1CA0C">
        <w:t>o serious adverse events (AEs) were reported for the lifestyle modification group, while 2% of ESG patients had a device- or procedure-related serious AE and 92% of ESG patients reported some type of procedure-related AE (66% were ‘accommodative’ GI symptoms such as nausea, vomiting or stomach upset). Long-term (5-year) safety evidence from one single-arm, uncontrolled cohort study</w:t>
      </w:r>
      <w:r>
        <w:t>, which had</w:t>
      </w:r>
      <w:r w:rsidRPr="2AA1CA0C">
        <w:t xml:space="preserve"> a high rate of loss to follow-up</w:t>
      </w:r>
      <w:r>
        <w:t>,</w:t>
      </w:r>
      <w:r w:rsidRPr="2AA1CA0C">
        <w:t xml:space="preserve"> showed that 1.3% of ESG patients reported moderate AEs, with one leading to surgery reversal.</w:t>
      </w:r>
      <w:r>
        <w:t xml:space="preserve"> ESC considered that there may be a risk of bias due to the high rates </w:t>
      </w:r>
      <w:r w:rsidRPr="2AA1CA0C">
        <w:t>of loss to follow-up</w:t>
      </w:r>
      <w:r>
        <w:t xml:space="preserve"> within the studies presented. ESC also noted the lack of evidence provided over the long-term, with most studies showing only 1 year of outcome data and only 1 study providing up to 5 years of data.</w:t>
      </w:r>
      <w:r w:rsidRPr="2AA1CA0C">
        <w:t xml:space="preserve"> ESC considered that further long-term studies are required</w:t>
      </w:r>
      <w:r>
        <w:t xml:space="preserve"> to provide more certainty around ESG safety and considered the claim of non-inferior long-term safety to be uncertain. ESC noted that in the pre-ESC response the applicant provided an a</w:t>
      </w:r>
      <w:r w:rsidRPr="2AA1CA0C">
        <w:t xml:space="preserve">dditional longer-term </w:t>
      </w:r>
      <w:r>
        <w:t xml:space="preserve">10-year </w:t>
      </w:r>
      <w:r w:rsidRPr="2AA1CA0C">
        <w:t>follow-up</w:t>
      </w:r>
      <w:r>
        <w:t xml:space="preserve"> study.</w:t>
      </w:r>
      <w:r>
        <w:rPr>
          <w:rStyle w:val="FootnoteReference"/>
        </w:rPr>
        <w:footnoteReference w:id="73"/>
      </w:r>
      <w:r>
        <w:t xml:space="preserve"> Post-ESC, the commentary noted that the study is a conference abstract which are not usually accepted as evidence by MSAC and under the MSAC Guidelines “would only be accepted as evidence under exceptional circumstances”.</w:t>
      </w:r>
      <w:r>
        <w:rPr>
          <w:rStyle w:val="FootnoteReference"/>
        </w:rPr>
        <w:footnoteReference w:id="74"/>
      </w:r>
      <w:r>
        <w:t xml:space="preserve"> The commentary noted that the BMI of the study population ranged across both PICO sets and allowed ESG in patients with a lower BMI of &gt;27 kg/m</w:t>
      </w:r>
      <w:r w:rsidRPr="00CD0D7F">
        <w:rPr>
          <w:vertAlign w:val="superscript"/>
        </w:rPr>
        <w:t>2</w:t>
      </w:r>
      <w:r>
        <w:t xml:space="preserve"> if the patient had comorbidities and BMI &gt;30 kg/m</w:t>
      </w:r>
      <w:r w:rsidRPr="00CD0D7F">
        <w:rPr>
          <w:vertAlign w:val="superscript"/>
        </w:rPr>
        <w:t>2</w:t>
      </w:r>
      <w:r>
        <w:t xml:space="preserve"> in patients without comorbidities. The commentary found the study had limitations in the generalisability to the population in this application, and had a large loss to follow up (38.2%), which also raised concerns about the maturity of the 10 year data.</w:t>
      </w:r>
    </w:p>
    <w:p w14:paraId="093BF8FC" w14:textId="77777777" w:rsidR="007F1F22" w:rsidRPr="00BC2B52" w:rsidRDefault="007F1F22" w:rsidP="007F1F22">
      <w:pPr>
        <w:rPr>
          <w:b/>
          <w:bCs/>
        </w:rPr>
      </w:pPr>
      <w:r w:rsidRPr="00BC2B52">
        <w:rPr>
          <w:b/>
          <w:bCs/>
        </w:rPr>
        <w:t xml:space="preserve">PICO set </w:t>
      </w:r>
      <w:r>
        <w:rPr>
          <w:b/>
          <w:bCs/>
        </w:rPr>
        <w:t>2</w:t>
      </w:r>
    </w:p>
    <w:p w14:paraId="5CCB9CA8" w14:textId="77777777" w:rsidR="007F1F22" w:rsidRPr="00413999" w:rsidRDefault="007F1F22" w:rsidP="007F1F22">
      <w:r w:rsidRPr="2AA1CA0C">
        <w:t>For PICO set 2, ESC noted that 9 non-randomised controlled studies (non-RCTs) were included to demonstrate the safety of ESG vs LSG</w:t>
      </w:r>
      <w:r>
        <w:t>, with one study providing data for</w:t>
      </w:r>
      <w:r w:rsidRPr="2AA1CA0C">
        <w:t xml:space="preserve"> up to 3 years. </w:t>
      </w:r>
      <w:r>
        <w:t>ESC noted t</w:t>
      </w:r>
      <w:r w:rsidRPr="2AA1CA0C">
        <w:t xml:space="preserve">his evidence showed a </w:t>
      </w:r>
      <w:r>
        <w:t xml:space="preserve">non-statistically significant </w:t>
      </w:r>
      <w:r w:rsidRPr="2AA1CA0C">
        <w:t xml:space="preserve">lower rate of severe AEs for the ESG group compared with LSG. </w:t>
      </w:r>
      <w:r>
        <w:t>ESC noted that e</w:t>
      </w:r>
      <w:r w:rsidRPr="2AA1CA0C">
        <w:t>xcluding studies with a high risk of bias, the results demonstrated a more favourable safety profile for ESG compared to LSG</w:t>
      </w:r>
      <w:r>
        <w:t xml:space="preserve">, however results were still statistically </w:t>
      </w:r>
      <w:r w:rsidRPr="2AA1CA0C">
        <w:t xml:space="preserve">non-significant. </w:t>
      </w:r>
      <w:r>
        <w:t>ESC did however note that i</w:t>
      </w:r>
      <w:r w:rsidRPr="2AA1CA0C">
        <w:t>n 2 studies, higher rates of gastro-oesophageal reflux disease (GORD) were identified in LSG patients than in ESG patients. ESC considered that</w:t>
      </w:r>
      <w:r>
        <w:t xml:space="preserve"> although there may be some safety benefits to ESG, there was not sufficient </w:t>
      </w:r>
      <w:r w:rsidRPr="2AA1CA0C">
        <w:t>evidence</w:t>
      </w:r>
      <w:r>
        <w:t xml:space="preserve"> presented in the submission</w:t>
      </w:r>
      <w:r w:rsidRPr="2AA1CA0C">
        <w:t xml:space="preserve"> </w:t>
      </w:r>
      <w:r>
        <w:t>to</w:t>
      </w:r>
      <w:r w:rsidRPr="2AA1CA0C">
        <w:t xml:space="preserve"> support the clinical claim of ESG having superior safety to LSG. ESC also had concerns about the appropriateness of using LSG-only as a comparator</w:t>
      </w:r>
      <w:r>
        <w:t xml:space="preserve"> in terms of safety, as no data was presented to compare safety between ESG and non LSG bariatric surgery</w:t>
      </w:r>
      <w:r w:rsidRPr="2AA1CA0C">
        <w:t>.</w:t>
      </w:r>
      <w:r>
        <w:t xml:space="preserve"> ESC noted that the submission did not separate the two subgroups within PICO set 2 (patients with class II obesity with comorbidities and patients with a </w:t>
      </w:r>
      <w:r w:rsidRPr="004C5ADF">
        <w:t>BMI ≥40 kg/m²)</w:t>
      </w:r>
      <w:r>
        <w:t xml:space="preserve"> when evaluating comparative safety to LSG. ESC considered that these subgroups, particularly those with a </w:t>
      </w:r>
      <w:r w:rsidRPr="004C5ADF">
        <w:t>BMI ≥40 kg/m²</w:t>
      </w:r>
      <w:r>
        <w:t>, may have differing safety outcomes following ESG. ESC considered that further analysis should be done to split the population based on the evidence provided in the submission, to show if there were differing safety outcomes. Post-ESC analysis completed by the commentary determined that due to the studies provided including groups of participants with overlapping BMI classes, and a lack of stratification of obesity classes within those studies, this analysis was not able to be conducted.</w:t>
      </w:r>
    </w:p>
    <w:p w14:paraId="0A45D351" w14:textId="77777777" w:rsidR="007F1F22" w:rsidRDefault="007F1F22" w:rsidP="007F1F22">
      <w:pPr>
        <w:pStyle w:val="Heading3"/>
      </w:pPr>
      <w:r>
        <w:t>Comparative effectiveness</w:t>
      </w:r>
    </w:p>
    <w:p w14:paraId="33C88EB0" w14:textId="77777777" w:rsidR="007F1F22" w:rsidRPr="00BC2B52" w:rsidRDefault="007F1F22" w:rsidP="007F1F22">
      <w:pPr>
        <w:rPr>
          <w:b/>
          <w:bCs/>
        </w:rPr>
      </w:pPr>
      <w:r w:rsidRPr="00BC2B52">
        <w:rPr>
          <w:b/>
          <w:bCs/>
        </w:rPr>
        <w:t>PICO set 1</w:t>
      </w:r>
    </w:p>
    <w:p w14:paraId="3016BB9F" w14:textId="77777777" w:rsidR="007F1F22" w:rsidRDefault="007F1F22" w:rsidP="007F1F22">
      <w:r>
        <w:t xml:space="preserve">For PICO set 1, </w:t>
      </w:r>
      <w:r w:rsidRPr="2AA1CA0C">
        <w:t>ESC noted that comparative evidence from the MERIT trial appears to support effectiveness of ESG at 12 months compared with lifestyle modifications.</w:t>
      </w:r>
      <w:r>
        <w:t xml:space="preserve"> ESC noted that the single arm studies also supported the clinical claim in the short term, h</w:t>
      </w:r>
      <w:r w:rsidRPr="2AA1CA0C">
        <w:t>owever</w:t>
      </w:r>
      <w:r>
        <w:t xml:space="preserve">, </w:t>
      </w:r>
      <w:r w:rsidRPr="2AA1CA0C">
        <w:t xml:space="preserve">ESC considered that </w:t>
      </w:r>
      <w:r>
        <w:t xml:space="preserve">there is a potential for bias within the studies as </w:t>
      </w:r>
      <w:r w:rsidRPr="2AA1CA0C">
        <w:t xml:space="preserve">higher BMI </w:t>
      </w:r>
      <w:r>
        <w:t xml:space="preserve">patients may lose more weight than patients with lower BMI, which could lead to an </w:t>
      </w:r>
      <w:r w:rsidRPr="2AA1CA0C">
        <w:t>overestimat</w:t>
      </w:r>
      <w:r>
        <w:t>ion</w:t>
      </w:r>
      <w:r w:rsidRPr="2AA1CA0C">
        <w:t xml:space="preserve"> </w:t>
      </w:r>
      <w:r>
        <w:t xml:space="preserve">of </w:t>
      </w:r>
      <w:r w:rsidRPr="00B63039">
        <w:t>%TBWL</w:t>
      </w:r>
      <w:r>
        <w:t>. ESC noted that evidence for</w:t>
      </w:r>
      <w:r w:rsidRPr="2AA1CA0C">
        <w:t xml:space="preserve"> long-term clinical effectiveness (&gt;12 months) </w:t>
      </w:r>
      <w:r>
        <w:t>was</w:t>
      </w:r>
      <w:r w:rsidRPr="2AA1CA0C">
        <w:t xml:space="preserve"> from single-arm, uncontrolled cohort studies with high rates of loss to follow-up. ESC considered </w:t>
      </w:r>
      <w:r>
        <w:t>that this long-term outcome data is uncertain, as patients who have more benefit from treatment and follow the lifestyle changes are also more likely to stay in the study, thus creating potential for bias within the evidence</w:t>
      </w:r>
      <w:r w:rsidRPr="2AA1CA0C">
        <w:t xml:space="preserve">. For weight-related comorbidities, ESC </w:t>
      </w:r>
      <w:r>
        <w:t>noted</w:t>
      </w:r>
      <w:r w:rsidRPr="2AA1CA0C">
        <w:t xml:space="preserve"> that the evidence suggested significant improvements in type 2 diabetes, but the </w:t>
      </w:r>
      <w:r>
        <w:t xml:space="preserve">specific </w:t>
      </w:r>
      <w:r w:rsidRPr="2AA1CA0C">
        <w:t xml:space="preserve">outcomes measures used </w:t>
      </w:r>
      <w:r>
        <w:t xml:space="preserve">to support this claim </w:t>
      </w:r>
      <w:r w:rsidRPr="2AA1CA0C">
        <w:t>are not reported in the MERIT study.</w:t>
      </w:r>
    </w:p>
    <w:p w14:paraId="732899C0" w14:textId="77777777" w:rsidR="007F1F22" w:rsidRPr="00BC2B52" w:rsidRDefault="007F1F22" w:rsidP="007F1F22">
      <w:pPr>
        <w:rPr>
          <w:b/>
          <w:bCs/>
        </w:rPr>
      </w:pPr>
      <w:r w:rsidRPr="00BC2B52">
        <w:rPr>
          <w:b/>
          <w:bCs/>
        </w:rPr>
        <w:t xml:space="preserve">PICO set </w:t>
      </w:r>
      <w:r>
        <w:rPr>
          <w:b/>
          <w:bCs/>
        </w:rPr>
        <w:t>2</w:t>
      </w:r>
    </w:p>
    <w:p w14:paraId="779F5687" w14:textId="77777777" w:rsidR="007F1F22" w:rsidRDefault="007F1F22" w:rsidP="007F1F22">
      <w:r w:rsidRPr="2AA1CA0C">
        <w:t>For PICO set 2, ESC noted that the results from meta-analyses comparing ESG to LSG for the primary outcome, %TBWL, did not support non-inferior effectiveness at 12 months. ESC noted that the evidence for weight loss for PICO set 2 relied on the dataset for PICO set 1</w:t>
      </w:r>
      <w:r>
        <w:t xml:space="preserve"> and thus also carried the potential risk of bias as already discussed</w:t>
      </w:r>
      <w:r w:rsidRPr="2AA1CA0C">
        <w:t>.</w:t>
      </w:r>
      <w:r>
        <w:t xml:space="preserve"> </w:t>
      </w:r>
      <w:r w:rsidRPr="2AA1CA0C">
        <w:t>The</w:t>
      </w:r>
      <w:r>
        <w:t xml:space="preserve"> confidence interval</w:t>
      </w:r>
      <w:r w:rsidRPr="2AA1CA0C">
        <w:t xml:space="preserve"> </w:t>
      </w:r>
      <w:r>
        <w:t>(CI)</w:t>
      </w:r>
      <w:r w:rsidRPr="2AA1CA0C">
        <w:t xml:space="preserve"> for pooled effect</w:t>
      </w:r>
      <w:r>
        <w:t>iveness</w:t>
      </w:r>
      <w:r w:rsidRPr="2AA1CA0C">
        <w:t xml:space="preserve"> overlaps the 10% minimal clinically important difference for non-inferiority (–9.95; 95% CI –10.70, –9.19). ESC noted that a non-inferiority margin of 10% was set by the applicant, who stated that the margin was supported by clinicians and included in one publication</w:t>
      </w:r>
      <w:r>
        <w:t>.</w:t>
      </w:r>
      <w:r>
        <w:rPr>
          <w:rStyle w:val="FootnoteReference"/>
        </w:rPr>
        <w:footnoteReference w:id="75"/>
      </w:r>
      <w:r w:rsidRPr="2AA1CA0C">
        <w:t xml:space="preserve"> However, ESC considered the basis on which this margin was set to be unclear and noted that the </w:t>
      </w:r>
      <w:r>
        <w:t>commentary</w:t>
      </w:r>
      <w:r w:rsidRPr="2AA1CA0C">
        <w:t xml:space="preserve"> suggests that LSG is superior to ESG for weight loss. ESC also considered that the durability of weight loss is uncertain, with </w:t>
      </w:r>
      <w:r>
        <w:t xml:space="preserve">the only long-term evidence coming from </w:t>
      </w:r>
      <w:r w:rsidRPr="2AA1CA0C">
        <w:t xml:space="preserve">one non-RCT with a moderate risk of bias reporting non-inferior efficacy based on %TBWL (–4.8; 95% CI –8.7, </w:t>
      </w:r>
      <w:r>
        <w:t>+</w:t>
      </w:r>
      <w:r w:rsidRPr="2AA1CA0C">
        <w:t xml:space="preserve">1.5) at 36 months. Overall, ESC </w:t>
      </w:r>
      <w:r>
        <w:t>considered</w:t>
      </w:r>
      <w:r w:rsidRPr="2AA1CA0C">
        <w:t xml:space="preserve"> the claim of </w:t>
      </w:r>
      <w:r>
        <w:t xml:space="preserve">ESG </w:t>
      </w:r>
      <w:r w:rsidRPr="2AA1CA0C">
        <w:t>non-inferiority to LSG</w:t>
      </w:r>
      <w:r>
        <w:t xml:space="preserve"> was uncertain.</w:t>
      </w:r>
      <w:r w:rsidRPr="2AA1CA0C">
        <w:t xml:space="preserve"> Additionally, ESC </w:t>
      </w:r>
      <w:r>
        <w:t xml:space="preserve">again had </w:t>
      </w:r>
      <w:r w:rsidRPr="2AA1CA0C">
        <w:t>concerns about the appropriateness of LSG-only as a comparator.</w:t>
      </w:r>
    </w:p>
    <w:p w14:paraId="36C77BF2" w14:textId="77777777" w:rsidR="007F1F22" w:rsidRDefault="007F1F22" w:rsidP="007F1F22">
      <w:r w:rsidRPr="2AA1CA0C">
        <w:t xml:space="preserve">ESC noted that health-related quality of life (HRQoL) is reported for both PICO sets. For PICO set 1, </w:t>
      </w:r>
      <w:r>
        <w:t xml:space="preserve">ESC noted that </w:t>
      </w:r>
      <w:r w:rsidRPr="2AA1CA0C">
        <w:t xml:space="preserve">the MERIT trial reported that HRQoL was significantly higher for ESG compared with lifestyle modifications, including improvements in various domains in the 36-item Short Form Health Survey (SF36) (including physical function, role limitations due to physical health or emotional problems, energy/fatigue, social functioning, pain and general health). For PICO set 2, HRQoL was reported in 2 non-randomised observational studies using the Impact of Weight on Quality of Life-Lite (IWQOL-Lite) measure. </w:t>
      </w:r>
      <w:r>
        <w:t>ESC noted that t</w:t>
      </w:r>
      <w:r w:rsidRPr="2AA1CA0C">
        <w:t xml:space="preserve">here was </w:t>
      </w:r>
      <w:r>
        <w:t xml:space="preserve">a </w:t>
      </w:r>
      <w:r w:rsidRPr="2AA1CA0C">
        <w:t>non-statistically significant improvement for the ESG group and statistically significant improvement for the LSG group.</w:t>
      </w:r>
      <w:r>
        <w:t xml:space="preserve"> ESC considered that patients who had undergone ESG had significant improvement in HRQOL compared to lifestyle modification (PICO set 1) but did not experience improvement when compared to LSG (PICO set 2).</w:t>
      </w:r>
    </w:p>
    <w:p w14:paraId="1DEAB2FB" w14:textId="77777777" w:rsidR="007F1F22" w:rsidRDefault="007F1F22" w:rsidP="007F1F22">
      <w:pPr>
        <w:pStyle w:val="Heading3"/>
      </w:pPr>
      <w:r>
        <w:t xml:space="preserve">Comparative cost-effectiveness </w:t>
      </w:r>
    </w:p>
    <w:p w14:paraId="4FE10646" w14:textId="77777777" w:rsidR="007F1F22" w:rsidRPr="00BC2B52" w:rsidRDefault="007F1F22" w:rsidP="007F1F22">
      <w:pPr>
        <w:rPr>
          <w:b/>
          <w:bCs/>
        </w:rPr>
      </w:pPr>
      <w:r w:rsidRPr="00BC2B52">
        <w:rPr>
          <w:b/>
          <w:bCs/>
        </w:rPr>
        <w:t>PICO set 1</w:t>
      </w:r>
    </w:p>
    <w:p w14:paraId="06BA8306" w14:textId="77777777" w:rsidR="007F1F22" w:rsidRDefault="007F1F22" w:rsidP="007F1F22">
      <w:r w:rsidRPr="2AA1CA0C">
        <w:t xml:space="preserve">ESC noted that </w:t>
      </w:r>
      <w:r>
        <w:t xml:space="preserve">the ADAR presented </w:t>
      </w:r>
      <w:r w:rsidRPr="2AA1CA0C">
        <w:t xml:space="preserve">a cost-utility analysis (CUA) </w:t>
      </w:r>
      <w:r>
        <w:t xml:space="preserve">for PICO set 1, </w:t>
      </w:r>
      <w:r w:rsidRPr="2AA1CA0C">
        <w:t xml:space="preserve">based on </w:t>
      </w:r>
      <w:r>
        <w:t>a</w:t>
      </w:r>
      <w:r w:rsidRPr="2AA1CA0C">
        <w:t xml:space="preserve"> clinical claim of </w:t>
      </w:r>
      <w:r>
        <w:t xml:space="preserve">superiority of </w:t>
      </w:r>
      <w:r w:rsidRPr="2AA1CA0C">
        <w:t xml:space="preserve">ESG and lifestyle modification </w:t>
      </w:r>
      <w:r>
        <w:t>over</w:t>
      </w:r>
      <w:r w:rsidRPr="2AA1CA0C">
        <w:t xml:space="preserve"> lifestyle modification only. ESC considered </w:t>
      </w:r>
      <w:r>
        <w:t>the use of</w:t>
      </w:r>
      <w:r w:rsidRPr="2AA1CA0C">
        <w:t xml:space="preserve"> CUA to be appropriate. ESC noted that the economic evaluation purported to </w:t>
      </w:r>
      <w:r>
        <w:t xml:space="preserve">compare </w:t>
      </w:r>
      <w:r w:rsidRPr="2AA1CA0C">
        <w:t>ESG with lifestyle modification</w:t>
      </w:r>
      <w:r>
        <w:t xml:space="preserve"> versus lifestyle modification alone. ESC noted that in the ESG group, </w:t>
      </w:r>
      <w:r w:rsidRPr="003B7D1B">
        <w:t>patients receive more intensive lifestyle modification</w:t>
      </w:r>
      <w:r>
        <w:t>,</w:t>
      </w:r>
      <w:r>
        <w:rPr>
          <w:rStyle w:val="FootnoteReference"/>
        </w:rPr>
        <w:footnoteReference w:id="76"/>
      </w:r>
      <w:r w:rsidRPr="003B7D1B">
        <w:t xml:space="preserve"> </w:t>
      </w:r>
      <w:r>
        <w:t xml:space="preserve">incurring costs associated with more frequent visits with dietetics and specialist appointments </w:t>
      </w:r>
      <w:r w:rsidRPr="003B7D1B">
        <w:t xml:space="preserve">in the first year </w:t>
      </w:r>
      <w:r>
        <w:t>after ESG</w:t>
      </w:r>
      <w:r w:rsidRPr="2AA1CA0C">
        <w:t>.</w:t>
      </w:r>
      <w:r>
        <w:t xml:space="preserve"> From second year onwards, the same lifestyle modifications were applied to both ESG and control group. </w:t>
      </w:r>
    </w:p>
    <w:p w14:paraId="3C413D9E" w14:textId="77777777" w:rsidR="007F1F22" w:rsidRDefault="007F1F22" w:rsidP="007F1F22">
      <w:r w:rsidRPr="2AA1CA0C">
        <w:t xml:space="preserve">ESC noted that </w:t>
      </w:r>
      <w:r>
        <w:t xml:space="preserve">the ADAR presented a 5-state Markov model with a 40-year time horizon. ESC agreed with the commentary that it was appropriate, noting the time horizon of 40 years was preferable to the 2-year MERIT trial duration as it better captured the long-term costs and benefits. </w:t>
      </w:r>
      <w:r w:rsidRPr="2AA1CA0C">
        <w:t xml:space="preserve">ESC considered that there </w:t>
      </w:r>
      <w:r>
        <w:t>were</w:t>
      </w:r>
      <w:r w:rsidRPr="2AA1CA0C">
        <w:t xml:space="preserve"> no major structural issues with the economic model.</w:t>
      </w:r>
    </w:p>
    <w:p w14:paraId="2DE5B855" w14:textId="77777777" w:rsidR="007F1F22" w:rsidRDefault="007F1F22" w:rsidP="007F1F22">
      <w:r w:rsidRPr="2AA1CA0C">
        <w:t xml:space="preserve">ESC </w:t>
      </w:r>
      <w:r>
        <w:t xml:space="preserve">shared the commentary’s concern that uncertainties from the MERIT trial data and the appropriateness of the use of non-Australian data (e.g., literature-based utilities) to inform the model would affect </w:t>
      </w:r>
      <w:r w:rsidRPr="2AA1CA0C">
        <w:t>the validity of model inputs and the</w:t>
      </w:r>
      <w:r>
        <w:t xml:space="preserve"> applicability of results </w:t>
      </w:r>
      <w:r w:rsidRPr="2AA1CA0C">
        <w:t xml:space="preserve">to the Australian setting. </w:t>
      </w:r>
      <w:r>
        <w:t xml:space="preserve">ESC again noted the issues in the MERIT trial including </w:t>
      </w:r>
      <w:r w:rsidRPr="2AA1CA0C">
        <w:t xml:space="preserve">underestimation of </w:t>
      </w:r>
      <w:r>
        <w:t xml:space="preserve">patient </w:t>
      </w:r>
      <w:r w:rsidRPr="2AA1CA0C">
        <w:t>age</w:t>
      </w:r>
      <w:r>
        <w:t xml:space="preserve"> and sex</w:t>
      </w:r>
      <w:r w:rsidRPr="2AA1CA0C">
        <w:t>.</w:t>
      </w:r>
      <w:r>
        <w:t xml:space="preserve"> In addition, ESC agreed with the commentary that</w:t>
      </w:r>
      <w:r w:rsidRPr="2AA1CA0C">
        <w:t xml:space="preserve"> some AEs </w:t>
      </w:r>
      <w:r>
        <w:t>we</w:t>
      </w:r>
      <w:r w:rsidRPr="2AA1CA0C">
        <w:t xml:space="preserve">re under-reported. </w:t>
      </w:r>
    </w:p>
    <w:p w14:paraId="60DD57DD" w14:textId="77777777" w:rsidR="007F1F22" w:rsidRDefault="007F1F22" w:rsidP="007F1F22">
      <w:r w:rsidRPr="2AA1CA0C">
        <w:t xml:space="preserve">ESC noted that </w:t>
      </w:r>
      <w:r>
        <w:t>h</w:t>
      </w:r>
      <w:r w:rsidRPr="000C063D">
        <w:t>ealth state allocation</w:t>
      </w:r>
      <w:r>
        <w:t xml:space="preserve"> was based on</w:t>
      </w:r>
      <w:r w:rsidRPr="000C063D">
        <w:t xml:space="preserve"> individual patient data from the MERIT trial for first 2 years for ESG and 1 year for lifestyle modification</w:t>
      </w:r>
      <w:r>
        <w:t xml:space="preserve">. From years 3-5, the ADAR assumed that </w:t>
      </w:r>
      <w:r w:rsidRPr="00413423">
        <w:t>80% remain in same health state as at end of year 2; 20% regress to baseline BMI; 100% remain in the higher obesity class for those who gain weight during first 2 years</w:t>
      </w:r>
      <w:r>
        <w:t xml:space="preserve">. From 5 years onward, the ADAR assumed that patients would remain in the same health state as at end of year 5. ESC considered using MERIT trial data reasonable due to lack of published evidence on transition probabilities but agreed with the commentary that the ADAR’s conversion of patient-level MERIT trial data to transition probabilities was not transparent. </w:t>
      </w:r>
    </w:p>
    <w:p w14:paraId="2680A1F6" w14:textId="77777777" w:rsidR="007F1F22" w:rsidRDefault="007F1F22" w:rsidP="007F1F22">
      <w:r>
        <w:t xml:space="preserve">ESC considered that while the assumptions on extrapolations were appropriate for the short term, the assumptions on the long-term effectiveness and durability of treatment effect for ESG was uncertain, as treatment effectiveness beyond </w:t>
      </w:r>
      <w:r w:rsidRPr="2AA1CA0C">
        <w:t>5 years had not been presented</w:t>
      </w:r>
      <w:r>
        <w:t>. ESC considered the assumptions of treatment effect beyond 5 years over-simplified. In addition</w:t>
      </w:r>
      <w:r w:rsidRPr="2AA1CA0C">
        <w:t xml:space="preserve">, </w:t>
      </w:r>
      <w:r>
        <w:t xml:space="preserve">data from </w:t>
      </w:r>
      <w:r w:rsidRPr="2AA1CA0C">
        <w:t>Sharaiha et al. 202</w:t>
      </w:r>
      <w:r>
        <w:t>1</w:t>
      </w:r>
      <w:r w:rsidRPr="2AA1CA0C">
        <w:t xml:space="preserve"> had </w:t>
      </w:r>
      <w:r>
        <w:t xml:space="preserve">not </w:t>
      </w:r>
      <w:r w:rsidRPr="2AA1CA0C">
        <w:t>been appropriately applied in the model</w:t>
      </w:r>
      <w:r>
        <w:t>, as it relies on data from the United States which may not be applicable to an Australian population</w:t>
      </w:r>
      <w:r w:rsidRPr="2AA1CA0C">
        <w:t>.</w:t>
      </w:r>
      <w:r>
        <w:t xml:space="preserve"> </w:t>
      </w:r>
    </w:p>
    <w:p w14:paraId="2FD22AB1" w14:textId="77777777" w:rsidR="007F1F22" w:rsidRDefault="007F1F22" w:rsidP="007F1F22">
      <w:r>
        <w:t>ESC considered that the ADAR had not addressed the issue of treatment failure which remained a key issue for the reapplication. ESC noted that the ADAR applied a one-off revision cost at 2 years and agreed with the commentary that revision costs had not been captured accurately in the economic model. ESC also noted that t</w:t>
      </w:r>
      <w:r w:rsidRPr="2AA1CA0C">
        <w:t>he rate of progression to more invasive surgery is uncertain.</w:t>
      </w:r>
      <w:r>
        <w:t xml:space="preserve"> </w:t>
      </w:r>
    </w:p>
    <w:p w14:paraId="2CBC975A" w14:textId="77777777" w:rsidR="007F1F22" w:rsidRDefault="007F1F22" w:rsidP="007F1F22">
      <w:r>
        <w:t>ESC noted that, over a 40-year time horizon, the base case incremental cost-effectiveness ratio (ICER) for the class I obesity cohort was $7,554 per quality-adjusted life year (QALY) gained. This increased to $12,591/QALY gained for the class II obesity cohort.</w:t>
      </w:r>
    </w:p>
    <w:p w14:paraId="5A07235F" w14:textId="77777777" w:rsidR="007F1F22" w:rsidRDefault="007F1F22" w:rsidP="007F1F22">
      <w:r>
        <w:t>ESC discussed</w:t>
      </w:r>
      <w:r w:rsidRPr="2AA1CA0C">
        <w:t xml:space="preserve"> the model validation</w:t>
      </w:r>
      <w:r>
        <w:t>.</w:t>
      </w:r>
      <w:r w:rsidRPr="2AA1CA0C">
        <w:t xml:space="preserve"> ESC noted that the model traces show expected trends, with patients undergoing ESG generally transitioning to lower weight states while those undergoing lifestyle modification remain at risk of increasing their weight. </w:t>
      </w:r>
      <w:r>
        <w:t>ESC considered that w</w:t>
      </w:r>
      <w:r w:rsidRPr="2AA1CA0C">
        <w:t>hile these trends align with clinical expectations, the transition probabilities' accuracy and potential biases</w:t>
      </w:r>
      <w:r>
        <w:t xml:space="preserve">, </w:t>
      </w:r>
      <w:r w:rsidRPr="2AA1CA0C">
        <w:t>such as overly optimistic ESG outcomes or a pessimistic lifestyle modification assumption</w:t>
      </w:r>
      <w:r>
        <w:t xml:space="preserve">, </w:t>
      </w:r>
      <w:r w:rsidRPr="2AA1CA0C">
        <w:t>remain unclear.</w:t>
      </w:r>
    </w:p>
    <w:p w14:paraId="5EE4DEE2" w14:textId="7EF57178" w:rsidR="007F1F22" w:rsidRDefault="007F1F22" w:rsidP="007F1F22">
      <w:r>
        <w:t>ESC noted that results from s</w:t>
      </w:r>
      <w:r w:rsidRPr="008C04A9">
        <w:t xml:space="preserve">ensitivity analyses </w:t>
      </w:r>
      <w:r>
        <w:t>showed that t</w:t>
      </w:r>
      <w:r w:rsidRPr="008C04A9">
        <w:t xml:space="preserve">he key factors influencing the ICER </w:t>
      </w:r>
      <w:r>
        <w:t>we</w:t>
      </w:r>
      <w:r w:rsidRPr="008C04A9">
        <w:t>re the time horizon and costing perspective for obesity class</w:t>
      </w:r>
      <w:r>
        <w:rPr>
          <w:lang w:val="en-US"/>
        </w:rPr>
        <w:t> I,</w:t>
      </w:r>
      <w:r w:rsidRPr="008C04A9">
        <w:t xml:space="preserve"> and the time horizon for obesity class</w:t>
      </w:r>
      <w:r>
        <w:t> II</w:t>
      </w:r>
      <w:r w:rsidRPr="008C04A9">
        <w:t xml:space="preserve">. </w:t>
      </w:r>
      <w:r>
        <w:t>ESC noted that assuming a reintervention rate of 30% at 2 years resulted in a 67.6% and 77.8% change from the base case for class I and II obesity, respectively.</w:t>
      </w:r>
      <w:r w:rsidRPr="00BC4B03">
        <w:t xml:space="preserve"> </w:t>
      </w:r>
      <w:r>
        <w:t xml:space="preserve">ESC requested additional sensitivity analysis on revision/reintervention rates beyond 2 years. Results are presented in </w:t>
      </w:r>
      <w:r>
        <w:fldChar w:fldCharType="begin"/>
      </w:r>
      <w:r>
        <w:instrText xml:space="preserve"> REF _Ref191552147 \h </w:instrText>
      </w:r>
      <w:r>
        <w:fldChar w:fldCharType="separate"/>
      </w:r>
      <w:r w:rsidR="008F37D1">
        <w:t xml:space="preserve">Table </w:t>
      </w:r>
      <w:r w:rsidR="008F37D1">
        <w:rPr>
          <w:noProof/>
        </w:rPr>
        <w:t>27</w:t>
      </w:r>
      <w:r>
        <w:fldChar w:fldCharType="end"/>
      </w:r>
      <w:r>
        <w:t xml:space="preserve">. The assessment group cautioned the interpretation of the results from </w:t>
      </w:r>
      <w:r w:rsidRPr="00A844D0">
        <w:t>the</w:t>
      </w:r>
      <w:r>
        <w:t xml:space="preserve"> additional</w:t>
      </w:r>
      <w:r w:rsidRPr="00A844D0">
        <w:t xml:space="preserve"> </w:t>
      </w:r>
      <w:r>
        <w:t xml:space="preserve">one-way </w:t>
      </w:r>
      <w:r w:rsidRPr="00A844D0">
        <w:t xml:space="preserve">sensitivity analyses </w:t>
      </w:r>
      <w:r>
        <w:t xml:space="preserve">(SAs) which explored alternative revision/reintervention rates, using arbitrary assumptions, on the </w:t>
      </w:r>
      <w:r w:rsidRPr="00A844D0">
        <w:t>accumulation of treatment costs</w:t>
      </w:r>
      <w:r>
        <w:t xml:space="preserve"> only</w:t>
      </w:r>
      <w:r w:rsidRPr="00A844D0">
        <w:t xml:space="preserve">. </w:t>
      </w:r>
      <w:r>
        <w:t xml:space="preserve">The additional SAs did not consider any impact of revision/reintervention rates on </w:t>
      </w:r>
      <w:r w:rsidRPr="00A844D0">
        <w:t xml:space="preserve">weight loss </w:t>
      </w:r>
      <w:r>
        <w:t>or</w:t>
      </w:r>
      <w:r w:rsidRPr="00A844D0">
        <w:t xml:space="preserve"> gain over the longer term</w:t>
      </w:r>
      <w:r>
        <w:t xml:space="preserve">, </w:t>
      </w:r>
      <w:r w:rsidRPr="00A844D0">
        <w:t>which remains a key uncertainty</w:t>
      </w:r>
      <w:r>
        <w:t xml:space="preserve">, nor </w:t>
      </w:r>
      <w:r w:rsidRPr="00A844D0">
        <w:t xml:space="preserve">account for patients who </w:t>
      </w:r>
      <w:r>
        <w:t xml:space="preserve">may </w:t>
      </w:r>
      <w:r w:rsidRPr="00A844D0">
        <w:t>convert to other forms of bariatric surgery</w:t>
      </w:r>
      <w:r>
        <w:t xml:space="preserve"> downstream.</w:t>
      </w:r>
    </w:p>
    <w:p w14:paraId="0D47691C" w14:textId="77777777" w:rsidR="007F1F22" w:rsidRDefault="007F1F22" w:rsidP="007F1F22">
      <w:r w:rsidRPr="00BC2B52">
        <w:rPr>
          <w:b/>
          <w:bCs/>
        </w:rPr>
        <w:t>PICO set</w:t>
      </w:r>
      <w:r>
        <w:rPr>
          <w:b/>
          <w:bCs/>
        </w:rPr>
        <w:t xml:space="preserve"> 2</w:t>
      </w:r>
    </w:p>
    <w:p w14:paraId="079804F5" w14:textId="77777777" w:rsidR="007F1F22" w:rsidRDefault="007F1F22" w:rsidP="007F1F22">
      <w:r>
        <w:t xml:space="preserve">ESC noted that the ADAR presented a cost-minimisation analysis (CMA) for PICO set 2 based on a clinical claim of non-inferiority of ESG as versus LSG. ESC agreed with the commentary that this was inappropriate, as the clinical claim was not supported by the evidence presented. In addition, </w:t>
      </w:r>
      <w:r w:rsidRPr="007E4260">
        <w:t>ESC advised that the cost-effectiveness of LSG in patients with BMI &gt;40 kg/m</w:t>
      </w:r>
      <w:r w:rsidRPr="007E4260">
        <w:rPr>
          <w:vertAlign w:val="superscript"/>
        </w:rPr>
        <w:t>2</w:t>
      </w:r>
      <w:r w:rsidRPr="007E4260">
        <w:t xml:space="preserve"> needs to be established before establishing any incremental benefits with ESG.</w:t>
      </w:r>
    </w:p>
    <w:p w14:paraId="6E02DDCE" w14:textId="77777777" w:rsidR="007F1F22" w:rsidRDefault="007F1F22" w:rsidP="007F1F22">
      <w:r>
        <w:t>ESC noted that, when comparing the raw costs of ESG and LSG in the base case, the ADAR estimated that ESG would result in a cost-saving of $5,658.15 despite much greater device costs than LSG. The estimated cost-savings were mainly from much lower hospital cost.</w:t>
      </w:r>
    </w:p>
    <w:p w14:paraId="7F040784" w14:textId="77777777" w:rsidR="007F1F22" w:rsidRDefault="007F1F22" w:rsidP="007F1F22">
      <w:r w:rsidRPr="2AA1CA0C">
        <w:t xml:space="preserve">ESC noted that hospital costs and the time horizon </w:t>
      </w:r>
      <w:r>
        <w:t>(30 days) were</w:t>
      </w:r>
      <w:r w:rsidRPr="2AA1CA0C">
        <w:t xml:space="preserve"> the main drivers of the model. </w:t>
      </w:r>
      <w:r>
        <w:t xml:space="preserve">ESC noted the short time horizon excluded costs of treatment failures, revisions, and severe adverse events, which ESC considered would undermine the robustness of the CMA. </w:t>
      </w:r>
    </w:p>
    <w:p w14:paraId="58A15181" w14:textId="1AF5499B" w:rsidR="007F1F22" w:rsidRDefault="007F1F22" w:rsidP="007F1F22">
      <w:r w:rsidRPr="2AA1CA0C">
        <w:t xml:space="preserve">ESC noted that inclusion of AE costs </w:t>
      </w:r>
      <w:r>
        <w:t>in the CMA</w:t>
      </w:r>
      <w:r w:rsidRPr="2AA1CA0C">
        <w:t xml:space="preserve"> ha</w:t>
      </w:r>
      <w:r>
        <w:t>d</w:t>
      </w:r>
      <w:r w:rsidRPr="2AA1CA0C">
        <w:t xml:space="preserve"> a moderate impact (11% change from the base case). </w:t>
      </w:r>
      <w:r>
        <w:t>ESC noted</w:t>
      </w:r>
      <w:r w:rsidRPr="2AA1CA0C">
        <w:t xml:space="preserve"> the pre-ESC response </w:t>
      </w:r>
      <w:r>
        <w:t>provided a sensitivity analysis which</w:t>
      </w:r>
      <w:r w:rsidRPr="2AA1CA0C">
        <w:t xml:space="preserve"> extended the time horizon from 30 days to 12 months, </w:t>
      </w:r>
      <w:r>
        <w:t>included costs for conversions, revisions, and retightening’s as well as adding in readmissions from AEs. ESC noted that in this sensitivity analysis</w:t>
      </w:r>
      <w:r w:rsidRPr="2AA1CA0C">
        <w:t xml:space="preserve"> ESG was still associated with</w:t>
      </w:r>
      <w:r>
        <w:t xml:space="preserve"> </w:t>
      </w:r>
      <w:r w:rsidRPr="2AA1CA0C">
        <w:t>cost</w:t>
      </w:r>
      <w:r>
        <w:t>-</w:t>
      </w:r>
      <w:r w:rsidRPr="2AA1CA0C">
        <w:t>savings ($4,888.24)</w:t>
      </w:r>
      <w:r>
        <w:t>. ESC reviewed the calculations the details of which the applicant provided post-ESC at ESC’s request (</w:t>
      </w:r>
      <w:r>
        <w:fldChar w:fldCharType="begin"/>
      </w:r>
      <w:r>
        <w:instrText xml:space="preserve"> REF _Ref191573949 \h </w:instrText>
      </w:r>
      <w:r>
        <w:fldChar w:fldCharType="separate"/>
      </w:r>
      <w:r w:rsidR="008F37D1">
        <w:t xml:space="preserve">Table </w:t>
      </w:r>
      <w:r w:rsidR="008F37D1">
        <w:rPr>
          <w:noProof/>
        </w:rPr>
        <w:t>33</w:t>
      </w:r>
      <w:r>
        <w:fldChar w:fldCharType="end"/>
      </w:r>
      <w:r>
        <w:t xml:space="preserve">) and considered the sensitivity analysis acceptable. </w:t>
      </w:r>
    </w:p>
    <w:p w14:paraId="3FC0BA20" w14:textId="77777777" w:rsidR="007F1F22" w:rsidRDefault="007F1F22" w:rsidP="007F1F22">
      <w:pPr>
        <w:pStyle w:val="Heading3"/>
      </w:pPr>
      <w:r>
        <w:t>Financial implications</w:t>
      </w:r>
    </w:p>
    <w:p w14:paraId="5FB1258E" w14:textId="77777777" w:rsidR="007F1F22" w:rsidRDefault="007F1F22" w:rsidP="007F1F22">
      <w:r w:rsidRPr="2AA1CA0C">
        <w:t xml:space="preserve">ESC noted that the financial impact </w:t>
      </w:r>
      <w:r>
        <w:t xml:space="preserve">for both PICO sets </w:t>
      </w:r>
      <w:r w:rsidRPr="2AA1CA0C">
        <w:t xml:space="preserve">was estimated using a market share approach based on usage of </w:t>
      </w:r>
      <w:r w:rsidRPr="00CD0D7F">
        <w:t>MBS item 31575</w:t>
      </w:r>
      <w:r>
        <w:t xml:space="preserve"> for sleeve gastrectomy in a patient with clinically severe obesity</w:t>
      </w:r>
      <w:r w:rsidRPr="2AA1CA0C">
        <w:t xml:space="preserve">. </w:t>
      </w:r>
      <w:r>
        <w:t>ESC noted that this differed from the epidemiological approach used in the original application.</w:t>
      </w:r>
      <w:r w:rsidRPr="2AA1CA0C">
        <w:t xml:space="preserve"> </w:t>
      </w:r>
    </w:p>
    <w:p w14:paraId="29FAA0D0" w14:textId="2E5D4002" w:rsidR="007F1F22" w:rsidRDefault="007F1F22" w:rsidP="007F1F22">
      <w:r>
        <w:t xml:space="preserve">ESC noted that the ADAR estimated the number of procedures for ESG to </w:t>
      </w:r>
      <w:r w:rsidRPr="00712905">
        <w:t xml:space="preserve">be </w:t>
      </w:r>
      <w:r w:rsidR="00712905" w:rsidRPr="00712905">
        <w:rPr>
          <w:b/>
          <w:bCs/>
        </w:rPr>
        <w:t>redacted</w:t>
      </w:r>
      <w:r w:rsidR="00712905" w:rsidRPr="00712905">
        <w:t xml:space="preserve"> </w:t>
      </w:r>
      <w:r w:rsidRPr="00712905">
        <w:t>in</w:t>
      </w:r>
      <w:r>
        <w:t xml:space="preserve"> year 1, rising </w:t>
      </w:r>
      <w:r w:rsidRPr="00712905">
        <w:t xml:space="preserve">to </w:t>
      </w:r>
      <w:r w:rsidR="00712905" w:rsidRPr="00712905">
        <w:rPr>
          <w:b/>
          <w:bCs/>
        </w:rPr>
        <w:t>redacted</w:t>
      </w:r>
      <w:r w:rsidR="00712905" w:rsidRPr="00712905">
        <w:t xml:space="preserve"> </w:t>
      </w:r>
      <w:r w:rsidRPr="00712905">
        <w:t>in</w:t>
      </w:r>
      <w:r>
        <w:t xml:space="preserve"> year 5 of listing. ESC also noted that the ADAR assumed that ESG would substitute for a number of LSG procedures:</w:t>
      </w:r>
      <w:r w:rsidDel="002F36BD">
        <w:t xml:space="preserve"> </w:t>
      </w:r>
      <w:r w:rsidR="00712905" w:rsidRPr="00712905">
        <w:rPr>
          <w:b/>
          <w:bCs/>
        </w:rPr>
        <w:t>redacted</w:t>
      </w:r>
      <w:r w:rsidRPr="00712905" w:rsidDel="00FB0423">
        <w:t xml:space="preserve"> </w:t>
      </w:r>
      <w:r w:rsidRPr="00712905">
        <w:t>in year</w:t>
      </w:r>
      <w:r>
        <w:t xml:space="preserve"> 1, rising </w:t>
      </w:r>
      <w:r w:rsidRPr="00712905">
        <w:t xml:space="preserve">to </w:t>
      </w:r>
      <w:r w:rsidR="00712905" w:rsidRPr="00712905">
        <w:rPr>
          <w:b/>
          <w:bCs/>
        </w:rPr>
        <w:t>redacted</w:t>
      </w:r>
      <w:r w:rsidR="00712905" w:rsidRPr="00712905">
        <w:t xml:space="preserve"> </w:t>
      </w:r>
      <w:r w:rsidRPr="00712905">
        <w:t>in</w:t>
      </w:r>
      <w:r>
        <w:t xml:space="preserve"> year 5.</w:t>
      </w:r>
      <w:r w:rsidRPr="2AA1CA0C">
        <w:t xml:space="preserve"> </w:t>
      </w:r>
    </w:p>
    <w:p w14:paraId="0EF81871" w14:textId="2525C53F" w:rsidR="007F1F22" w:rsidRDefault="007F1F22" w:rsidP="007F1F22">
      <w:r w:rsidRPr="2AA1CA0C">
        <w:t xml:space="preserve">ESC considered </w:t>
      </w:r>
      <w:r>
        <w:t>using MBS item 31575 as a proxy in estimating the market size</w:t>
      </w:r>
      <w:r w:rsidRPr="2AA1CA0C">
        <w:t xml:space="preserve"> to be inappropriate as it </w:t>
      </w:r>
      <w:r>
        <w:t xml:space="preserve">may not reflect the entire population who will be eligible to receive ESG. </w:t>
      </w:r>
      <w:r w:rsidRPr="2AA1CA0C">
        <w:t xml:space="preserve">ESG has </w:t>
      </w:r>
      <w:r>
        <w:t xml:space="preserve">proposed </w:t>
      </w:r>
      <w:r w:rsidRPr="2AA1CA0C">
        <w:t xml:space="preserve">wider BMI eligibility and higher patient acceptance than other surgeries (10–20% for ESG vs </w:t>
      </w:r>
      <w:r w:rsidR="00712905" w:rsidRPr="00712905">
        <w:rPr>
          <w:b/>
          <w:bCs/>
        </w:rPr>
        <w:t>redacted</w:t>
      </w:r>
      <w:r w:rsidRPr="00712905">
        <w:t>%</w:t>
      </w:r>
      <w:r w:rsidRPr="2AA1CA0C">
        <w:t xml:space="preserve"> for bariatric surgery)</w:t>
      </w:r>
      <w:r>
        <w:t xml:space="preserve">. As such, ESC considered the use of item 31575 </w:t>
      </w:r>
      <w:r w:rsidRPr="2AA1CA0C">
        <w:t>results in</w:t>
      </w:r>
      <w:r>
        <w:t xml:space="preserve"> a potential</w:t>
      </w:r>
      <w:r w:rsidRPr="2AA1CA0C">
        <w:t xml:space="preserve"> underestimation of the market size and, therefore, the net cost. </w:t>
      </w:r>
    </w:p>
    <w:p w14:paraId="5ECE6876" w14:textId="77777777" w:rsidR="007F1F22" w:rsidRDefault="007F1F22" w:rsidP="007F1F22">
      <w:r w:rsidRPr="2AA1CA0C">
        <w:t>ESC also considered that market growth is likely underestimated</w:t>
      </w:r>
      <w:r>
        <w:t xml:space="preserve"> for the same reasons and that there is potential leakage of BMI &gt;40 kg/m</w:t>
      </w:r>
      <w:r>
        <w:rPr>
          <w:vertAlign w:val="superscript"/>
        </w:rPr>
        <w:t>2</w:t>
      </w:r>
      <w:r>
        <w:t xml:space="preserve"> patients who are unwilling to undergo full bariatric surgery</w:t>
      </w:r>
      <w:r w:rsidRPr="2AA1CA0C">
        <w:t xml:space="preserve">. </w:t>
      </w:r>
      <w:r>
        <w:t>ESC noted that the TGA indication for the device includes patients with BMI 30-50 kg/m</w:t>
      </w:r>
      <w:r w:rsidRPr="00E875B3">
        <w:rPr>
          <w:vertAlign w:val="superscript"/>
        </w:rPr>
        <w:t>2</w:t>
      </w:r>
      <w:r>
        <w:rPr>
          <w:vertAlign w:val="superscript"/>
        </w:rPr>
        <w:t xml:space="preserve"> </w:t>
      </w:r>
      <w:r>
        <w:t>and therefore considered leakage in the &gt;50kg/m</w:t>
      </w:r>
      <w:r w:rsidRPr="00E875B3">
        <w:rPr>
          <w:vertAlign w:val="superscript"/>
        </w:rPr>
        <w:t>2</w:t>
      </w:r>
      <w:r>
        <w:t xml:space="preserve"> patient group is unlikely.</w:t>
      </w:r>
    </w:p>
    <w:p w14:paraId="2F8A66A9" w14:textId="77777777" w:rsidR="007F1F22" w:rsidRDefault="007F1F22" w:rsidP="007F1F22">
      <w:r>
        <w:t>ESC noted the total cost of ESG procedures to the MBS to be $2.1 million in year 1 rising to $4.5 million in year 5 at 75% benefit. ESC noted</w:t>
      </w:r>
      <w:r w:rsidRPr="2AA1CA0C">
        <w:t xml:space="preserve"> </w:t>
      </w:r>
      <w:r>
        <w:t>that t</w:t>
      </w:r>
      <w:r w:rsidRPr="2AA1CA0C">
        <w:t>he total health budget impact (sum of the net MBS, hospital and Prescribed List costs)</w:t>
      </w:r>
      <w:r>
        <w:t xml:space="preserve"> was </w:t>
      </w:r>
      <w:r w:rsidRPr="2AA1CA0C">
        <w:t>an estimated $</w:t>
      </w:r>
      <w:r>
        <w:t>5.8</w:t>
      </w:r>
      <w:r w:rsidRPr="2AA1CA0C">
        <w:t> million in year 1</w:t>
      </w:r>
      <w:r>
        <w:t>, rising</w:t>
      </w:r>
      <w:r w:rsidRPr="2AA1CA0C">
        <w:t xml:space="preserve"> to $</w:t>
      </w:r>
      <w:r>
        <w:t>19.1</w:t>
      </w:r>
      <w:r w:rsidRPr="2AA1CA0C">
        <w:t> million in year </w:t>
      </w:r>
      <w:r>
        <w:t>5</w:t>
      </w:r>
      <w:r w:rsidRPr="2AA1CA0C">
        <w:t xml:space="preserve"> </w:t>
      </w:r>
      <w:r>
        <w:t>at 75</w:t>
      </w:r>
      <w:r w:rsidRPr="2AA1CA0C">
        <w:t>% benefit</w:t>
      </w:r>
      <w:r>
        <w:t>, with a total impact of $56 million over the 5 years</w:t>
      </w:r>
      <w:r w:rsidRPr="2AA1CA0C">
        <w:t xml:space="preserve">. ESC </w:t>
      </w:r>
      <w:r>
        <w:t>considered that</w:t>
      </w:r>
      <w:r w:rsidRPr="2AA1CA0C">
        <w:t xml:space="preserve"> supply </w:t>
      </w:r>
      <w:r>
        <w:t>of providers</w:t>
      </w:r>
      <w:r w:rsidRPr="2AA1CA0C">
        <w:t xml:space="preserve"> should also be factored in when estimating uptake.</w:t>
      </w:r>
    </w:p>
    <w:p w14:paraId="6B913B88" w14:textId="58004019" w:rsidR="007F1F22" w:rsidRDefault="007F1F22" w:rsidP="007F1F22">
      <w:r>
        <w:t>ESC considered the utilisation data of ESG proposed in the submission to be uncertain. ESC noted t</w:t>
      </w:r>
      <w:r w:rsidRPr="2AA1CA0C">
        <w:t xml:space="preserve">he </w:t>
      </w:r>
      <w:r>
        <w:t>commentary’s sensitivity analysis which</w:t>
      </w:r>
      <w:r w:rsidRPr="2AA1CA0C">
        <w:t xml:space="preserve"> used </w:t>
      </w:r>
      <w:r w:rsidRPr="00B037FC">
        <w:t>MBS item 20791</w:t>
      </w:r>
      <w:r w:rsidRPr="2AA1CA0C">
        <w:t xml:space="preserve">, which is an anaesthesia item used for all bariatric surgeries, to estimate the market size for the proposed intervention. </w:t>
      </w:r>
      <w:r>
        <w:t>ESC noted that t</w:t>
      </w:r>
      <w:r w:rsidRPr="2AA1CA0C">
        <w:t xml:space="preserve">his </w:t>
      </w:r>
      <w:r>
        <w:t>showed</w:t>
      </w:r>
      <w:r w:rsidRPr="2AA1CA0C">
        <w:t xml:space="preserve"> in a </w:t>
      </w:r>
      <w:r>
        <w:t xml:space="preserve">potential </w:t>
      </w:r>
      <w:r w:rsidRPr="2AA1CA0C">
        <w:t xml:space="preserve">36% underestimation in the </w:t>
      </w:r>
      <w:r>
        <w:t xml:space="preserve">base case </w:t>
      </w:r>
      <w:r w:rsidRPr="2AA1CA0C">
        <w:t xml:space="preserve">financial impact. </w:t>
      </w:r>
      <w:r>
        <w:t xml:space="preserve">ESC considered </w:t>
      </w:r>
      <w:r w:rsidRPr="002D73A9">
        <w:t>that MBS item 20791</w:t>
      </w:r>
      <w:r w:rsidRPr="2AA1CA0C">
        <w:t xml:space="preserve"> </w:t>
      </w:r>
      <w:r>
        <w:t>was the more appropriate item for determining market share. Post-ESC analysis using</w:t>
      </w:r>
      <w:r w:rsidRPr="2AA1CA0C">
        <w:t xml:space="preserve"> </w:t>
      </w:r>
      <w:r>
        <w:t xml:space="preserve">utilisation of item 20791 is show in </w:t>
      </w:r>
      <w:r>
        <w:fldChar w:fldCharType="begin"/>
      </w:r>
      <w:r>
        <w:instrText xml:space="preserve"> REF _Ref191569181 \h </w:instrText>
      </w:r>
      <w:r>
        <w:fldChar w:fldCharType="separate"/>
      </w:r>
      <w:r w:rsidR="008F37D1">
        <w:t xml:space="preserve">Table </w:t>
      </w:r>
      <w:r w:rsidR="008F37D1">
        <w:rPr>
          <w:noProof/>
        </w:rPr>
        <w:t>36</w:t>
      </w:r>
      <w:r>
        <w:fldChar w:fldCharType="end"/>
      </w:r>
      <w:r>
        <w:t xml:space="preserve">. </w:t>
      </w:r>
    </w:p>
    <w:p w14:paraId="3DA5BDF4" w14:textId="6E94A2B0" w:rsidR="007F1F22" w:rsidRDefault="007F1F22" w:rsidP="007F1F22">
      <w:r>
        <w:t xml:space="preserve">ESC noted that the MBS item used to cost anaesthesia for ESG was item 23035, which only provides for 31 to 45 minutes of anaesthesia time. ESC noted that the ESG procedure can take between 60-90 minutes, ESC therefore requested additional sensitivity analyses using different MBS anaesthesia items to gauge the financial and economic impact. Post-ESC the commentary has completed analysis using items 23045, 23055, and 23065. The results are shown in </w:t>
      </w:r>
      <w:r>
        <w:fldChar w:fldCharType="begin"/>
      </w:r>
      <w:r>
        <w:instrText xml:space="preserve"> REF _Ref191574135 \h </w:instrText>
      </w:r>
      <w:r>
        <w:fldChar w:fldCharType="separate"/>
      </w:r>
      <w:r w:rsidR="008F37D1">
        <w:t xml:space="preserve">Table </w:t>
      </w:r>
      <w:r w:rsidR="008F37D1">
        <w:rPr>
          <w:noProof/>
        </w:rPr>
        <w:t>28</w:t>
      </w:r>
      <w:r>
        <w:fldChar w:fldCharType="end"/>
      </w:r>
      <w:r>
        <w:t xml:space="preserve"> and </w:t>
      </w:r>
      <w:r>
        <w:fldChar w:fldCharType="begin"/>
      </w:r>
      <w:r>
        <w:instrText xml:space="preserve"> REF _Ref191569150 \h </w:instrText>
      </w:r>
      <w:r>
        <w:fldChar w:fldCharType="separate"/>
      </w:r>
      <w:r w:rsidR="008F37D1">
        <w:t xml:space="preserve">Table </w:t>
      </w:r>
      <w:r w:rsidR="008F37D1">
        <w:rPr>
          <w:noProof/>
        </w:rPr>
        <w:t>37</w:t>
      </w:r>
      <w:r>
        <w:fldChar w:fldCharType="end"/>
      </w:r>
      <w:r>
        <w:t xml:space="preserve"> below.</w:t>
      </w:r>
    </w:p>
    <w:p w14:paraId="1A7502B3" w14:textId="77777777" w:rsidR="007F1F22" w:rsidRDefault="007F1F22" w:rsidP="007F1F22">
      <w:r w:rsidRPr="2AA1CA0C">
        <w:t xml:space="preserve">Additionally, </w:t>
      </w:r>
      <w:r>
        <w:t xml:space="preserve">ESC noted </w:t>
      </w:r>
      <w:r w:rsidRPr="2AA1CA0C">
        <w:t xml:space="preserve">the cost of ESG repairs and revisions are </w:t>
      </w:r>
      <w:r>
        <w:t>not included in the financial model</w:t>
      </w:r>
      <w:r w:rsidRPr="2AA1CA0C">
        <w:t>.</w:t>
      </w:r>
      <w:r>
        <w:t xml:space="preserve"> ESC also noted that private health costs were not presented in the model. ESC considered that the applicant should provide a full analysis including revision and private health costs to inform MSAC decision-making. </w:t>
      </w:r>
    </w:p>
    <w:p w14:paraId="15F54454" w14:textId="77777777" w:rsidR="007F1F22" w:rsidRPr="007A5D30" w:rsidRDefault="007F1F22" w:rsidP="007F1F22">
      <w:pPr>
        <w:pStyle w:val="Heading3"/>
      </w:pPr>
      <w:r>
        <w:t>Proposed MBS listing</w:t>
      </w:r>
    </w:p>
    <w:p w14:paraId="7D4AFFF0" w14:textId="3B15AD31" w:rsidR="007F1F22" w:rsidRDefault="007F1F22" w:rsidP="007F1F22">
      <w:r w:rsidRPr="2AA1CA0C">
        <w:t>ESC noted that the applicant proposed 2 MBS item descriptors based on obesity level</w:t>
      </w:r>
      <w:r>
        <w:t xml:space="preserve">, one for class I or II obesity and the other for class III obesity as noted in </w:t>
      </w:r>
      <w:r>
        <w:fldChar w:fldCharType="begin"/>
      </w:r>
      <w:r>
        <w:instrText xml:space="preserve"> REF _Ref69481033 \h </w:instrText>
      </w:r>
      <w:r>
        <w:fldChar w:fldCharType="separate"/>
      </w:r>
      <w:r w:rsidR="008F37D1" w:rsidRPr="2AA1CA0C">
        <w:t>Table </w:t>
      </w:r>
      <w:r w:rsidR="008F37D1">
        <w:rPr>
          <w:noProof/>
        </w:rPr>
        <w:t>2</w:t>
      </w:r>
      <w:r>
        <w:fldChar w:fldCharType="end"/>
      </w:r>
      <w:r>
        <w:t xml:space="preserve"> and </w:t>
      </w:r>
      <w:r>
        <w:fldChar w:fldCharType="begin"/>
      </w:r>
      <w:r>
        <w:instrText xml:space="preserve"> REF _Ref184203220 \h </w:instrText>
      </w:r>
      <w:r>
        <w:fldChar w:fldCharType="separate"/>
      </w:r>
      <w:r w:rsidR="008F37D1" w:rsidRPr="2AA1CA0C">
        <w:t>Table </w:t>
      </w:r>
      <w:r w:rsidR="008F37D1">
        <w:rPr>
          <w:noProof/>
        </w:rPr>
        <w:t>3</w:t>
      </w:r>
      <w:r>
        <w:fldChar w:fldCharType="end"/>
      </w:r>
      <w:r>
        <w:t xml:space="preserve">. </w:t>
      </w:r>
    </w:p>
    <w:p w14:paraId="41498795" w14:textId="77777777" w:rsidR="007F1F22" w:rsidRDefault="007F1F22" w:rsidP="007F1F22">
      <w:r>
        <w:t xml:space="preserve">ESC noted that each proposed item is applicable once per 24-month period to cover revisions. ESC noted that PASC considered that a separate MBS item would be needed to cover post-ESG </w:t>
      </w:r>
      <w:r w:rsidRPr="2AA1CA0C">
        <w:t xml:space="preserve">revision. </w:t>
      </w:r>
    </w:p>
    <w:p w14:paraId="3CE34076" w14:textId="77777777" w:rsidR="007F1F22" w:rsidRDefault="007F1F22" w:rsidP="007F1F22">
      <w:r>
        <w:lastRenderedPageBreak/>
        <w:t xml:space="preserve">The ADAR implies that revision or removal of ESG could be covered by </w:t>
      </w:r>
      <w:hyperlink r:id="rId15">
        <w:r>
          <w:t>MBS item 30478</w:t>
        </w:r>
      </w:hyperlink>
      <w:r>
        <w:t xml:space="preserve"> (gastroscopic removal of foreign body), but the pre-ESC response acknowledges that the creation of a separate revision item could help with monitoring usage. ESC noted the Department’s advice that item 30478, as it currently stands, would not be appropriate given it would need to cover reversal and / or converting to a different procedure and the population of item 30478 is not consistent with the population proposed in this application. Due to this, ESC considered that MBS item 30478 was not appropriate to cover post-ESG revision and agreed with PASC’s suggestion that should public funding for ESG be supported, a post-ESG revision should be funded under a separate, newly created MBS </w:t>
      </w:r>
      <w:r w:rsidRPr="2AA1CA0C">
        <w:t xml:space="preserve">item. ESC </w:t>
      </w:r>
      <w:r>
        <w:t xml:space="preserve">questioned the </w:t>
      </w:r>
      <w:r w:rsidRPr="2AA1CA0C">
        <w:t xml:space="preserve">24-month </w:t>
      </w:r>
      <w:r>
        <w:t xml:space="preserve">restriction between procedures and noted that there may be a need for future surgery and revision if treatment is ineffective. </w:t>
      </w:r>
    </w:p>
    <w:p w14:paraId="752CC6D5" w14:textId="77777777" w:rsidR="007F1F22" w:rsidRDefault="007F1F22" w:rsidP="007F1F22">
      <w:r>
        <w:t>ESC considered that</w:t>
      </w:r>
      <w:r w:rsidRPr="2AA1CA0C">
        <w:t xml:space="preserve"> the descriptor </w:t>
      </w:r>
      <w:r>
        <w:t>should</w:t>
      </w:r>
      <w:r w:rsidRPr="2AA1CA0C">
        <w:t xml:space="preserve"> </w:t>
      </w:r>
      <w:r>
        <w:t xml:space="preserve">align with current clinical management guidelines and with already existing MBS requirements as set out in explanatory note TN.8.29. As such, ESC considered that the proposed descriptors should specify the need for </w:t>
      </w:r>
      <w:r w:rsidRPr="2AA1CA0C">
        <w:t xml:space="preserve">prior failure of </w:t>
      </w:r>
      <w:r>
        <w:t xml:space="preserve">non-surgical </w:t>
      </w:r>
      <w:r w:rsidRPr="2AA1CA0C">
        <w:t>treatment</w:t>
      </w:r>
      <w:r>
        <w:t xml:space="preserve"> (including pharmacotherapy) for 12 months and </w:t>
      </w:r>
      <w:r w:rsidRPr="2AA1CA0C">
        <w:t>a requirement for comorbidities</w:t>
      </w:r>
      <w:r>
        <w:t xml:space="preserve"> for the PICO set 1 population.</w:t>
      </w:r>
    </w:p>
    <w:p w14:paraId="51D4BCA8" w14:textId="77777777" w:rsidR="007F1F22" w:rsidRDefault="007F1F22" w:rsidP="007F1F22">
      <w:r>
        <w:t>ESC noted that the proposed MBS fee was the same as the current MBS fee for</w:t>
      </w:r>
      <w:r w:rsidDel="00B11E81">
        <w:t xml:space="preserve"> the </w:t>
      </w:r>
      <w:r>
        <w:t>LSG bariatric surgery item (31575). ESC noted that the procedures take a differing surgical route and may have different durations. ESC considered that there was little justification for why the fee provided was identical to item 31575 and that the applicant should provide more justification to support the proposed fee. ESC noted this service would likely be classified as a Type A procedure for private health insurance purposes.</w:t>
      </w:r>
    </w:p>
    <w:p w14:paraId="69566CCB" w14:textId="77777777" w:rsidR="007F1F22" w:rsidRDefault="007F1F22" w:rsidP="007F1F22">
      <w:r>
        <w:t>ESC noted that the clinical evidence provided is limited to ESG using OverStitch™, an endoscopic suturing device that is the applicant’s proprietary system. However, the proposed MBS item descriptors are generic.</w:t>
      </w:r>
    </w:p>
    <w:p w14:paraId="3BCA6FFA" w14:textId="77777777" w:rsidR="00361335" w:rsidRPr="00A737D1" w:rsidRDefault="00361335" w:rsidP="00361335">
      <w:pPr>
        <w:pStyle w:val="Heading2"/>
        <w:numPr>
          <w:ilvl w:val="0"/>
          <w:numId w:val="26"/>
        </w:numPr>
        <w:ind w:hanging="720"/>
      </w:pPr>
      <w:bookmarkStart w:id="123" w:name="_Hlk193984667"/>
      <w:r w:rsidRPr="003A793E">
        <w:t>Applicant comments on MSAC’s Public Summary Document</w:t>
      </w:r>
    </w:p>
    <w:p w14:paraId="6036A575" w14:textId="1CCEA5A2" w:rsidR="00361335" w:rsidRPr="00CE3C9C" w:rsidRDefault="008D5C23" w:rsidP="00361335">
      <w:pPr>
        <w:spacing w:after="240"/>
        <w:rPr>
          <w:color w:val="000000" w:themeColor="text1"/>
        </w:rPr>
      </w:pPr>
      <w:r w:rsidRPr="00CE3C9C">
        <w:rPr>
          <w:color w:val="000000" w:themeColor="text1"/>
        </w:rPr>
        <w:t>The applicant would like to thank the MSAC, the Secretariat, and the Contracted HTA group for all their work and the consideration of our application. We are naturally disappointed with the outcome and believe that ESG is an attractive minimally invasive endoscopic alternative to surgery that expands the therapeutic benefits of effective obesity interventions targeting the GI tract to patients who do not qualify for or wish to pursue bariatric surgery. The evidence in this field is maturing, and we will take MSAC’s advice under consideration and will plan a resubmission at a later date.</w:t>
      </w:r>
    </w:p>
    <w:p w14:paraId="2B7658F7" w14:textId="77777777" w:rsidR="00361335" w:rsidRPr="00A737D1" w:rsidRDefault="00361335" w:rsidP="00361335">
      <w:pPr>
        <w:pStyle w:val="Heading2"/>
        <w:numPr>
          <w:ilvl w:val="0"/>
          <w:numId w:val="26"/>
        </w:numPr>
        <w:ind w:hanging="720"/>
      </w:pPr>
      <w:r w:rsidRPr="003A793E">
        <w:t>Further information on MSAC</w:t>
      </w:r>
    </w:p>
    <w:p w14:paraId="763FBEF0" w14:textId="77777777" w:rsidR="00361335" w:rsidRPr="00A737D1" w:rsidRDefault="00361335" w:rsidP="00361335">
      <w:pPr>
        <w:pStyle w:val="BodyText"/>
        <w:rPr>
          <w:b/>
          <w:bCs/>
          <w:i/>
          <w:iCs/>
        </w:rPr>
      </w:pPr>
      <w:r w:rsidRPr="00F309FA">
        <w:rPr>
          <w:bCs/>
          <w:iCs/>
        </w:rPr>
        <w:t xml:space="preserve">MSAC Terms of Reference and other information are available on the MSAC Website: </w:t>
      </w:r>
      <w:hyperlink r:id="rId16" w:tooltip="Link to the MSAC website" w:history="1">
        <w:r w:rsidRPr="000D2098">
          <w:rPr>
            <w:rStyle w:val="Hyperlink"/>
            <w:iCs/>
            <w:color w:val="007BB8"/>
          </w:rPr>
          <w:t>visit the MSAC website</w:t>
        </w:r>
      </w:hyperlink>
      <w:bookmarkEnd w:id="123"/>
    </w:p>
    <w:sectPr w:rsidR="00361335" w:rsidRPr="00A737D1" w:rsidSect="004961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BA919" w14:textId="77777777" w:rsidR="00CF6428" w:rsidRDefault="00CF6428" w:rsidP="00B62DF2">
      <w:pPr>
        <w:spacing w:after="0" w:line="240" w:lineRule="auto"/>
      </w:pPr>
      <w:r>
        <w:separator/>
      </w:r>
    </w:p>
  </w:endnote>
  <w:endnote w:type="continuationSeparator" w:id="0">
    <w:p w14:paraId="6BDA1262" w14:textId="77777777" w:rsidR="00CF6428" w:rsidRDefault="00CF6428" w:rsidP="00B62DF2">
      <w:pPr>
        <w:spacing w:after="0" w:line="240" w:lineRule="auto"/>
      </w:pPr>
      <w:r>
        <w:continuationSeparator/>
      </w:r>
    </w:p>
  </w:endnote>
  <w:endnote w:type="continuationNotice" w:id="1">
    <w:p w14:paraId="2B68C900" w14:textId="77777777" w:rsidR="00CF6428" w:rsidRDefault="00CF642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Franklin Gothic">
    <w:altName w:val="Cambria"/>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4F7E7" w14:textId="77777777" w:rsidR="00B90003" w:rsidRDefault="00B90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6236669"/>
      <w:docPartObj>
        <w:docPartGallery w:val="Page Numbers (Bottom of Page)"/>
        <w:docPartUnique/>
      </w:docPartObj>
    </w:sdtPr>
    <w:sdtEndPr>
      <w:rPr>
        <w:noProof/>
      </w:rPr>
    </w:sdtEndPr>
    <w:sdtContent>
      <w:p w14:paraId="1F233A52" w14:textId="188BAD62" w:rsidR="0084200B" w:rsidRDefault="008420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49FC4" w14:textId="77777777" w:rsidR="00B90003" w:rsidRDefault="00B90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72A73" w14:textId="77777777" w:rsidR="00CF6428" w:rsidRDefault="00CF6428" w:rsidP="00B62DF2">
      <w:pPr>
        <w:spacing w:after="0" w:line="240" w:lineRule="auto"/>
      </w:pPr>
      <w:r>
        <w:separator/>
      </w:r>
    </w:p>
  </w:footnote>
  <w:footnote w:type="continuationSeparator" w:id="0">
    <w:p w14:paraId="7CE447A5" w14:textId="77777777" w:rsidR="00CF6428" w:rsidRDefault="00CF6428" w:rsidP="00B62DF2">
      <w:pPr>
        <w:spacing w:after="0" w:line="240" w:lineRule="auto"/>
      </w:pPr>
      <w:r>
        <w:continuationSeparator/>
      </w:r>
    </w:p>
  </w:footnote>
  <w:footnote w:type="continuationNotice" w:id="1">
    <w:p w14:paraId="23937C66" w14:textId="77777777" w:rsidR="00CF6428" w:rsidRDefault="00CF6428">
      <w:pPr>
        <w:spacing w:before="0" w:after="0" w:line="240" w:lineRule="auto"/>
      </w:pPr>
    </w:p>
  </w:footnote>
  <w:footnote w:id="2">
    <w:p w14:paraId="4F11B511" w14:textId="7C182463" w:rsidR="009A4360" w:rsidRDefault="009A4360" w:rsidP="00DA5D57">
      <w:pPr>
        <w:pStyle w:val="TableFigureFooter"/>
      </w:pPr>
      <w:r>
        <w:rPr>
          <w:rStyle w:val="FootnoteReference"/>
        </w:rPr>
        <w:footnoteRef/>
      </w:r>
      <w:r>
        <w:t xml:space="preserve"> O</w:t>
      </w:r>
      <w:r w:rsidRPr="009A4360">
        <w:t>ne pharmacotherapy (orlistat) specifically intended for weight loss is listed on the Repatriation Pharmaceutical Benefits Scheme (RPBS)</w:t>
      </w:r>
      <w:r>
        <w:t>.</w:t>
      </w:r>
    </w:p>
  </w:footnote>
  <w:footnote w:id="3">
    <w:p w14:paraId="24B6BF14" w14:textId="4E66455A" w:rsidR="00E16BC2" w:rsidRDefault="00E16BC2" w:rsidP="00103686">
      <w:pPr>
        <w:pStyle w:val="TableFigureFooter"/>
      </w:pPr>
      <w:r>
        <w:rPr>
          <w:rStyle w:val="FootnoteReference"/>
        </w:rPr>
        <w:footnoteRef/>
      </w:r>
      <w:r>
        <w:t xml:space="preserve"> </w:t>
      </w:r>
      <w:r w:rsidRPr="00E16BC2">
        <w:t xml:space="preserve"> Australian Obesity Management Algorithm 2024. Available from: </w:t>
      </w:r>
      <w:r w:rsidRPr="00AE36DD">
        <w:t>https://www.diabetessociety.com.au/guideline/obesity/</w:t>
      </w:r>
    </w:p>
  </w:footnote>
  <w:footnote w:id="4">
    <w:p w14:paraId="630F4EBE" w14:textId="4D5C3A9B" w:rsidR="00E77B79" w:rsidRDefault="00E77B79" w:rsidP="00103686">
      <w:pPr>
        <w:pStyle w:val="TableFigureFooter"/>
      </w:pPr>
      <w:r>
        <w:rPr>
          <w:rStyle w:val="FootnoteReference"/>
        </w:rPr>
        <w:footnoteRef/>
      </w:r>
      <w:r>
        <w:t xml:space="preserve"> </w:t>
      </w:r>
      <w:r w:rsidR="00D638FB" w:rsidRPr="00D638FB">
        <w:t xml:space="preserve">Dayyeh BKA, et al. IFSO Bariatric Endoscopy Committee Evidence-Based Review and Position Statement on Endoscopic Sleeve Gastroplasty for Obesity Management. </w:t>
      </w:r>
      <w:r w:rsidR="00D638FB" w:rsidRPr="00FB1B39">
        <w:rPr>
          <w:i/>
          <w:iCs/>
        </w:rPr>
        <w:t>Obes Surg</w:t>
      </w:r>
      <w:r w:rsidR="00D638FB" w:rsidRPr="00D638FB">
        <w:t>. 2024;34(12):4318-48.</w:t>
      </w:r>
    </w:p>
  </w:footnote>
  <w:footnote w:id="5">
    <w:p w14:paraId="2C26341C" w14:textId="5F417AE3" w:rsidR="00D42BC2" w:rsidRDefault="00D42BC2" w:rsidP="00FB1B39">
      <w:pPr>
        <w:pStyle w:val="TableFigureFooter"/>
      </w:pPr>
      <w:r>
        <w:rPr>
          <w:rStyle w:val="FootnoteReference"/>
        </w:rPr>
        <w:footnoteRef/>
      </w:r>
      <w:r>
        <w:t xml:space="preserve"> </w:t>
      </w:r>
      <w:r w:rsidR="00AE0495" w:rsidRPr="00AE0495">
        <w:t xml:space="preserve">Zoumpou T, Fleishman A, Jones DB, Wee CC. Decision regret up to 6 years after sleeve gastrectomy. </w:t>
      </w:r>
      <w:r w:rsidR="00AE0495" w:rsidRPr="00FB1B39">
        <w:rPr>
          <w:i/>
          <w:iCs/>
        </w:rPr>
        <w:t>Surg Endosc</w:t>
      </w:r>
      <w:r w:rsidR="00AE0495" w:rsidRPr="00AE0495">
        <w:t>. 2023 Dec;37(12):9381-9392. doi: 10.1007/s00464-023-10364-8. Epub 2023 Aug 31.</w:t>
      </w:r>
    </w:p>
  </w:footnote>
  <w:footnote w:id="6">
    <w:p w14:paraId="4B69977F" w14:textId="1DEE64C2" w:rsidR="00FE3022" w:rsidRDefault="00FE3022" w:rsidP="00FB1B39">
      <w:pPr>
        <w:pStyle w:val="TableFigureFooter"/>
      </w:pPr>
      <w:r>
        <w:rPr>
          <w:rStyle w:val="FootnoteReference"/>
        </w:rPr>
        <w:footnoteRef/>
      </w:r>
      <w:r>
        <w:t xml:space="preserve"> </w:t>
      </w:r>
      <w:r w:rsidR="00007568" w:rsidRPr="00007568">
        <w:t xml:space="preserve">Wee CC, Fleishman A, McCarthy AC, Hess DT, Apovian C, Jones DB. Decision Regret up to 4 Years After Gastric Bypass and Gastric Banding. </w:t>
      </w:r>
      <w:r w:rsidR="00007568" w:rsidRPr="00FB1B39">
        <w:rPr>
          <w:i/>
          <w:iCs/>
        </w:rPr>
        <w:t>Obes Surg</w:t>
      </w:r>
      <w:r w:rsidR="00007568" w:rsidRPr="00007568">
        <w:t>. 2019 May;29(5):1624-1631. doi: 10.1007/s11695-019-03772-0.</w:t>
      </w:r>
    </w:p>
  </w:footnote>
  <w:footnote w:id="7">
    <w:p w14:paraId="15B4127F" w14:textId="68FAAB01" w:rsidR="009E1BF1" w:rsidRPr="009254A6" w:rsidRDefault="009E1BF1" w:rsidP="00103686">
      <w:pPr>
        <w:pStyle w:val="TableFigureFooter"/>
      </w:pPr>
      <w:r>
        <w:rPr>
          <w:rStyle w:val="FootnoteReference"/>
        </w:rPr>
        <w:footnoteRef/>
      </w:r>
      <w:r>
        <w:t xml:space="preserve"> Lahooti et al. (2024), ‘</w:t>
      </w:r>
      <w:r w:rsidR="00FD5A48" w:rsidRPr="00AE36DD">
        <w:t>Ten-year outcomes of endoscopic sleeve gastroplasty for the treatment of obesity</w:t>
      </w:r>
      <w:r>
        <w:t xml:space="preserve">’ [conference abstract], </w:t>
      </w:r>
      <w:r>
        <w:rPr>
          <w:i/>
          <w:iCs/>
        </w:rPr>
        <w:t>The American Journal of Gastroenterology</w:t>
      </w:r>
      <w:r>
        <w:t>, 119(10S):S1473–4, doi:</w:t>
      </w:r>
      <w:r w:rsidRPr="00B54E8D">
        <w:t>10.14309/01.ajg.0001037620.30740.d4</w:t>
      </w:r>
      <w:r>
        <w:t>.</w:t>
      </w:r>
    </w:p>
  </w:footnote>
  <w:footnote w:id="8">
    <w:p w14:paraId="7203702B" w14:textId="56602290" w:rsidR="00A026C7" w:rsidRDefault="00A026C7" w:rsidP="0078610C">
      <w:pPr>
        <w:pStyle w:val="TableFigureFooter"/>
      </w:pPr>
      <w:r>
        <w:rPr>
          <w:rStyle w:val="FootnoteReference"/>
        </w:rPr>
        <w:footnoteRef/>
      </w:r>
      <w:r>
        <w:t xml:space="preserve"> Carr</w:t>
      </w:r>
      <w:r w:rsidR="00843E31">
        <w:t xml:space="preserve">, et al. (2022), </w:t>
      </w:r>
      <w:r w:rsidR="00843E31" w:rsidRPr="00843E31">
        <w:t>Efficacy and safety of endoscopic sleeve gastroplasty and laparoscopic sleeve gastrectomy with 12+ months of adjuvant multidisciplinary support</w:t>
      </w:r>
      <w:r w:rsidR="00A22292">
        <w:t xml:space="preserve">, </w:t>
      </w:r>
      <w:r w:rsidR="00A22292" w:rsidRPr="00AE36DD">
        <w:rPr>
          <w:i/>
          <w:iCs/>
        </w:rPr>
        <w:t>BMC primary care</w:t>
      </w:r>
      <w:r w:rsidR="00A22292" w:rsidRPr="00A22292">
        <w:t>, 23(1), 26. https://doi.org/10.1186/s12875-022-01629-7</w:t>
      </w:r>
    </w:p>
  </w:footnote>
  <w:footnote w:id="9">
    <w:p w14:paraId="12D27B6C" w14:textId="35C75955" w:rsidR="00E97B51" w:rsidRDefault="00E97B51" w:rsidP="00EA283C">
      <w:pPr>
        <w:pStyle w:val="TableFigureFooter"/>
      </w:pPr>
      <w:r>
        <w:rPr>
          <w:rStyle w:val="FootnoteReference"/>
        </w:rPr>
        <w:footnoteRef/>
      </w:r>
      <w:r>
        <w:t xml:space="preserve"> </w:t>
      </w:r>
      <w:r w:rsidRPr="00E97B51">
        <w:t xml:space="preserve">Tahrani AA, Morton J. Benefits of weight loss of 10% or more in patients with overweight or obesity: A review. </w:t>
      </w:r>
      <w:r w:rsidRPr="00EA283C">
        <w:rPr>
          <w:i/>
          <w:iCs/>
        </w:rPr>
        <w:t>Obesity</w:t>
      </w:r>
      <w:r w:rsidRPr="00E97B51">
        <w:t xml:space="preserve"> (Silver Spring). 2022 Apr;30(4):802-840. doi: 10.1002/oby.23371.</w:t>
      </w:r>
    </w:p>
  </w:footnote>
  <w:footnote w:id="10">
    <w:p w14:paraId="3DFF67A2" w14:textId="070D1674" w:rsidR="00F73FDD" w:rsidRDefault="00F73FDD" w:rsidP="00EA283C">
      <w:pPr>
        <w:pStyle w:val="TableFigureFooter"/>
      </w:pPr>
      <w:r>
        <w:rPr>
          <w:rStyle w:val="FootnoteReference"/>
        </w:rPr>
        <w:footnoteRef/>
      </w:r>
      <w:r>
        <w:t xml:space="preserve"> </w:t>
      </w:r>
      <w:r w:rsidRPr="00F73FDD">
        <w:t xml:space="preserve">Warkentin LM, Majumdar SR, Johnson JA, </w:t>
      </w:r>
      <w:r>
        <w:t>et</w:t>
      </w:r>
      <w:r w:rsidR="00E1444B">
        <w:t xml:space="preserve"> al. </w:t>
      </w:r>
      <w:r w:rsidRPr="00F73FDD">
        <w:t xml:space="preserve">Weight loss required by the severely obese to achieve clinically important differences in health-related quality of life: two-year prospective cohort study. </w:t>
      </w:r>
      <w:r w:rsidRPr="00EA283C">
        <w:rPr>
          <w:i/>
          <w:iCs/>
        </w:rPr>
        <w:t>BMC Med</w:t>
      </w:r>
      <w:r w:rsidRPr="00F73FDD">
        <w:t>. 2014 Oct 15;12:175. doi: 10.1186/s12916-014-0175-5.</w:t>
      </w:r>
    </w:p>
  </w:footnote>
  <w:footnote w:id="11">
    <w:p w14:paraId="75EEE751" w14:textId="678D0AC3" w:rsidR="0043267A" w:rsidRDefault="0043267A" w:rsidP="0078610C">
      <w:pPr>
        <w:pStyle w:val="TableFigureFooter"/>
      </w:pPr>
      <w:r>
        <w:rPr>
          <w:rStyle w:val="FootnoteReference"/>
        </w:rPr>
        <w:footnoteRef/>
      </w:r>
      <w:r>
        <w:t xml:space="preserve"> </w:t>
      </w:r>
      <w:r w:rsidRPr="0043267A">
        <w:t xml:space="preserve">Medicare Benefits Schedule </w:t>
      </w:r>
      <w:r w:rsidR="005665EC">
        <w:t>–</w:t>
      </w:r>
      <w:r w:rsidRPr="0043267A">
        <w:t xml:space="preserve"> </w:t>
      </w:r>
      <w:r w:rsidR="005665EC">
        <w:t>Item 31575</w:t>
      </w:r>
      <w:r w:rsidRPr="0043267A">
        <w:t xml:space="preserve">, MBS Online, Australian Government, Department of Health and Aged care, </w:t>
      </w:r>
      <w:r w:rsidR="005665EC" w:rsidRPr="005665EC">
        <w:t>https://www9.health.gov.au/mbs/fullDisplay.cfm?type=item&amp;q=31575&amp;qt=item&amp;criteria=31575</w:t>
      </w:r>
    </w:p>
  </w:footnote>
  <w:footnote w:id="12">
    <w:p w14:paraId="34A9453B" w14:textId="63166006" w:rsidR="005665EC" w:rsidRDefault="005665EC" w:rsidP="0078610C">
      <w:pPr>
        <w:pStyle w:val="TableFigureFooter"/>
      </w:pPr>
      <w:r>
        <w:rPr>
          <w:rStyle w:val="FootnoteReference"/>
        </w:rPr>
        <w:footnoteRef/>
      </w:r>
      <w:r>
        <w:t xml:space="preserve"> </w:t>
      </w:r>
      <w:r w:rsidRPr="0043267A">
        <w:t xml:space="preserve">Medicare Benefits Schedule </w:t>
      </w:r>
      <w:r>
        <w:t>–</w:t>
      </w:r>
      <w:r w:rsidRPr="0043267A">
        <w:t xml:space="preserve"> </w:t>
      </w:r>
      <w:r>
        <w:t xml:space="preserve">Item </w:t>
      </w:r>
      <w:r w:rsidR="00717B16">
        <w:t>23035</w:t>
      </w:r>
      <w:r w:rsidRPr="0043267A">
        <w:t xml:space="preserve">, MBS Online, Australian Government, Department of Health and Aged care, </w:t>
      </w:r>
      <w:r w:rsidR="00717B16" w:rsidRPr="00717B16">
        <w:t>https://www9.health.gov.au/mbs/fullDisplay.cfm?type=item&amp;q=23035&amp;qt=item&amp;criteria=23035</w:t>
      </w:r>
    </w:p>
  </w:footnote>
  <w:footnote w:id="13">
    <w:p w14:paraId="48C049FD" w14:textId="48FE529C" w:rsidR="006134BC" w:rsidRDefault="006134BC" w:rsidP="0078610C">
      <w:pPr>
        <w:pStyle w:val="TableFigureFooter"/>
      </w:pPr>
      <w:r>
        <w:rPr>
          <w:rStyle w:val="FootnoteReference"/>
        </w:rPr>
        <w:footnoteRef/>
      </w:r>
      <w:r>
        <w:t xml:space="preserve"> A</w:t>
      </w:r>
      <w:r w:rsidRPr="006134BC">
        <w:t>ge-standardised rate 31.1% of adults living with obesity</w:t>
      </w:r>
      <w:r>
        <w:t xml:space="preserve"> in </w:t>
      </w:r>
      <w:r w:rsidR="00726C58">
        <w:t>2022 (</w:t>
      </w:r>
      <w:r w:rsidR="00DB5FAB">
        <w:t xml:space="preserve">Figure 3, </w:t>
      </w:r>
      <w:r w:rsidR="0058462A">
        <w:t xml:space="preserve">Overweight and obesity, AIHW, web-report, last updated: 17 June </w:t>
      </w:r>
      <w:r w:rsidR="006F55BE">
        <w:t xml:space="preserve">2024) [available: </w:t>
      </w:r>
      <w:r w:rsidR="006F55BE" w:rsidRPr="006F55BE">
        <w:t>https://www.aihw.gov.au/reports/overweight-obesity/overweight-and-obesity/contents/summary</w:t>
      </w:r>
      <w:r w:rsidR="006F55BE">
        <w:t>]</w:t>
      </w:r>
      <w:r w:rsidR="002C5C11">
        <w:t>.</w:t>
      </w:r>
    </w:p>
  </w:footnote>
  <w:footnote w:id="14">
    <w:p w14:paraId="45DD88C9" w14:textId="1C4D3079" w:rsidR="00717B16" w:rsidRDefault="00717B16" w:rsidP="0078610C">
      <w:pPr>
        <w:pStyle w:val="TableFigureFooter"/>
      </w:pPr>
      <w:r>
        <w:rPr>
          <w:rStyle w:val="FootnoteReference"/>
        </w:rPr>
        <w:footnoteRef/>
      </w:r>
      <w:r>
        <w:t xml:space="preserve"> </w:t>
      </w:r>
      <w:r w:rsidRPr="0043267A">
        <w:t xml:space="preserve">Medicare Benefits Schedule </w:t>
      </w:r>
      <w:r>
        <w:t>–</w:t>
      </w:r>
      <w:r w:rsidRPr="0043267A">
        <w:t xml:space="preserve"> </w:t>
      </w:r>
      <w:r>
        <w:t>Item 20791</w:t>
      </w:r>
      <w:r w:rsidRPr="0043267A">
        <w:t xml:space="preserve">, MBS Online, Australian Government, Department of Health and Aged care, </w:t>
      </w:r>
      <w:r w:rsidR="00836E02" w:rsidRPr="00836E02">
        <w:t>https://www9.health.gov.au/mbs/fullDisplay.cfm?type=item&amp;q=20791&amp;qt=item&amp;criteria=20791</w:t>
      </w:r>
    </w:p>
  </w:footnote>
  <w:footnote w:id="15">
    <w:p w14:paraId="389B8876" w14:textId="69598DC0" w:rsidR="00E676B3" w:rsidRPr="00E676B3" w:rsidRDefault="00E676B3" w:rsidP="00D76EFB">
      <w:pPr>
        <w:pStyle w:val="TableFigureFooter"/>
        <w:rPr>
          <w:lang w:val="en-US"/>
        </w:rPr>
      </w:pPr>
      <w:r>
        <w:rPr>
          <w:rStyle w:val="FootnoteReference"/>
        </w:rPr>
        <w:footnoteRef/>
      </w:r>
      <w:r>
        <w:t xml:space="preserve"> </w:t>
      </w:r>
      <w:r w:rsidRPr="00E676B3">
        <w:t xml:space="preserve">Medical Services Advisory Committee 2019, 'Public Summary Document: Application No. 1555 – Endoscopic Sleeve Gastroplasty (ESG) for the treatment of patients with </w:t>
      </w:r>
      <w:r w:rsidR="005053B7">
        <w:t>c</w:t>
      </w:r>
      <w:r w:rsidRPr="00E676B3">
        <w:t xml:space="preserve">lass I and </w:t>
      </w:r>
      <w:r w:rsidR="005053B7">
        <w:t>c</w:t>
      </w:r>
      <w:r w:rsidRPr="00E676B3">
        <w:t xml:space="preserve">lass II obesity with comorbidities who have failed first-time treatments', viewed 4 Dec 2024, </w:t>
      </w:r>
      <w:r w:rsidR="005F24B0" w:rsidRPr="005F24B0">
        <w:t>http://www.msac.gov.au/internet/msac/publishing.nsf/Content/15C072BAEE7A6F9CCA258330001AB3F7/$File/1555%20-%20Final%20PSD_redacted.pdf</w:t>
      </w:r>
      <w:r w:rsidRPr="00E676B3">
        <w:t>.</w:t>
      </w:r>
      <w:r>
        <w:t xml:space="preserve"> </w:t>
      </w:r>
    </w:p>
  </w:footnote>
  <w:footnote w:id="16">
    <w:p w14:paraId="669E9380" w14:textId="01A65B52" w:rsidR="00C3682B" w:rsidRPr="00C71FDD" w:rsidRDefault="00C3682B" w:rsidP="00D76EFB">
      <w:pPr>
        <w:pStyle w:val="TableFigureFooter"/>
        <w:rPr>
          <w:lang w:val="en-US"/>
        </w:rPr>
      </w:pPr>
      <w:r>
        <w:rPr>
          <w:rStyle w:val="FootnoteReference"/>
        </w:rPr>
        <w:footnoteRef/>
      </w:r>
      <w:r>
        <w:t xml:space="preserve"> </w:t>
      </w:r>
      <w:r w:rsidRPr="00C71FDD">
        <w:t xml:space="preserve">Therapeutic Goods Administration 2024, 'Boston Scientific Pty Ltd - Apollo ESG NXT System - Suture/needle passer, single-use (461292)', viewed 4 Dec 2024, </w:t>
      </w:r>
      <w:r w:rsidRPr="00F03270">
        <w:t>https://www.tga.gov.au/resources/artg/461292</w:t>
      </w:r>
      <w:r w:rsidRPr="00C71FDD">
        <w:t>.</w:t>
      </w:r>
      <w:r>
        <w:t xml:space="preserve"> </w:t>
      </w:r>
    </w:p>
  </w:footnote>
  <w:footnote w:id="17">
    <w:p w14:paraId="12B6EAD1" w14:textId="561A6D63" w:rsidR="0072210B" w:rsidRPr="00115CA8" w:rsidRDefault="0072210B" w:rsidP="00E140D5">
      <w:pPr>
        <w:pStyle w:val="TableFigureFooter"/>
        <w:rPr>
          <w:lang w:val="en-US"/>
        </w:rPr>
      </w:pPr>
      <w:r>
        <w:rPr>
          <w:rStyle w:val="FootnoteReference"/>
        </w:rPr>
        <w:footnoteRef/>
      </w:r>
      <w:r>
        <w:t xml:space="preserve"> </w:t>
      </w:r>
      <w:r w:rsidR="006B55E5" w:rsidRPr="006B55E5">
        <w:t xml:space="preserve">The BMI Clinic. Endoscopic Sleeve Gastroplasty (ESG) Common Questions (FAQs) n.d. [Available from: </w:t>
      </w:r>
      <w:r w:rsidR="00C43AC9" w:rsidRPr="00F03270">
        <w:t>https://bmiclinic.com.au/endoscopic-sleeve-gastroplasty-faq/.viewed</w:t>
      </w:r>
      <w:r w:rsidR="00C43AC9">
        <w:t xml:space="preserve"> 7 Jan 2024</w:t>
      </w:r>
    </w:p>
  </w:footnote>
  <w:footnote w:id="18">
    <w:p w14:paraId="63D06361" w14:textId="0F8F2682" w:rsidR="00B546C1" w:rsidRPr="0032082B" w:rsidRDefault="00B546C1" w:rsidP="00E140D5">
      <w:pPr>
        <w:pStyle w:val="TableFigureFooter"/>
      </w:pPr>
      <w:r>
        <w:rPr>
          <w:rStyle w:val="FootnoteReference"/>
        </w:rPr>
        <w:footnoteRef/>
      </w:r>
      <w:r>
        <w:t xml:space="preserve"> </w:t>
      </w:r>
      <w:r w:rsidR="00AE6272" w:rsidRPr="003D4ED2">
        <w:t xml:space="preserve">Department of Health 2021, 'MSAC Application 1555.1: Endoscopic sleeve gastroplasty for the treatment of patients with </w:t>
      </w:r>
      <w:r w:rsidR="00AE6272">
        <w:t>c</w:t>
      </w:r>
      <w:r w:rsidR="00AE6272" w:rsidRPr="003D4ED2">
        <w:t xml:space="preserve">Class I and II obesity with/without comorbidities who have failed first-line (lifestyle modification) and second-line (VLED/pharmacotherapy) treatments. Ratified PICO Confirmation.', viewed 4 Dec 2024, </w:t>
      </w:r>
      <w:r w:rsidR="00AE6272" w:rsidRPr="005B49AB">
        <w:t>http://www.msac.gov.au/internet/msac/publishing.nsf/Content/2256889BB5AB7382CA258737000463E1/$File/1555.1%20Ratified%20PICO.pdf</w:t>
      </w:r>
      <w:r w:rsidR="00AE6272" w:rsidRPr="003D4ED2">
        <w:t>.</w:t>
      </w:r>
    </w:p>
  </w:footnote>
  <w:footnote w:id="19">
    <w:p w14:paraId="28E6DA44" w14:textId="65BFD210" w:rsidR="00F9478B" w:rsidRPr="00F9478B" w:rsidRDefault="00F9478B" w:rsidP="00D76EFB">
      <w:pPr>
        <w:pStyle w:val="TableFigureFooter"/>
        <w:rPr>
          <w:lang w:val="en-US"/>
        </w:rPr>
      </w:pPr>
      <w:r>
        <w:rPr>
          <w:rStyle w:val="FootnoteReference"/>
        </w:rPr>
        <w:footnoteRef/>
      </w:r>
      <w:r w:rsidR="006E6038" w:rsidRPr="006E6038">
        <w:rPr>
          <w:lang w:val="en-US"/>
        </w:rPr>
        <w:t>National Health and Medical Research Council. Clinical practice guidelines for the management of overweight and obesity in adults, adolescents and children in Australia2013. Available from: https://www.nhmrc.gov.au/sites/default/files/documents/reports/clinical%20guidelines/n57-obesity-guidelines-.pdf.</w:t>
      </w:r>
    </w:p>
  </w:footnote>
  <w:footnote w:id="20">
    <w:p w14:paraId="6D55A683" w14:textId="7F1F000A" w:rsidR="00F9478B" w:rsidRPr="00F9478B" w:rsidRDefault="00F9478B" w:rsidP="00D76EFB">
      <w:pPr>
        <w:pStyle w:val="TableFigureFooter"/>
        <w:rPr>
          <w:lang w:val="en-US"/>
        </w:rPr>
      </w:pPr>
      <w:r>
        <w:rPr>
          <w:rStyle w:val="FootnoteReference"/>
        </w:rPr>
        <w:footnoteRef/>
      </w:r>
      <w:r>
        <w:t xml:space="preserve"> </w:t>
      </w:r>
      <w:r w:rsidRPr="00F9478B">
        <w:t xml:space="preserve">School of Translational Medicine Monash University 2024, The Bariatric Surgery Registry Annual Report </w:t>
      </w:r>
      <w:r w:rsidR="0097439F">
        <w:t xml:space="preserve">– </w:t>
      </w:r>
      <w:r w:rsidRPr="00F9478B">
        <w:t xml:space="preserve">2023, viewed 4 Dec 2024, </w:t>
      </w:r>
      <w:r w:rsidRPr="005B49AB">
        <w:t>https://www.monash.edu/__data/assets/pdf_file/0007/3757876/Bariatric_Surgery_Registry_-Annual_Report_2023.pdf</w:t>
      </w:r>
      <w:r>
        <w:t xml:space="preserve"> </w:t>
      </w:r>
    </w:p>
  </w:footnote>
  <w:footnote w:id="21">
    <w:p w14:paraId="17339176" w14:textId="07B36F18" w:rsidR="009A49B6" w:rsidRPr="009A49B6" w:rsidRDefault="009A49B6" w:rsidP="00D76EFB">
      <w:pPr>
        <w:pStyle w:val="TableFigureFooter"/>
        <w:rPr>
          <w:lang w:val="en-US"/>
        </w:rPr>
      </w:pPr>
      <w:r>
        <w:rPr>
          <w:rStyle w:val="FootnoteReference"/>
        </w:rPr>
        <w:footnoteRef/>
      </w:r>
      <w:r>
        <w:t xml:space="preserve"> </w:t>
      </w:r>
      <w:r w:rsidRPr="009A49B6">
        <w:t xml:space="preserve">Abu Dayyeh, BK, Bazerbachi, F, Vargas, EJ, Sharaiha, RZ, Thompson, CC, Thaemert, BC, Teixeira, AF, Chapman, CG, Kumbhari, V, Ujiki, MB, Ahrens, J, Day, C, Acosta, AJ, Badurdeen, D, Buttar, NS, Clark, MM, Eaton, L, Ghanem, O, Grothe, K, Jirapinyo, P, Kellogg, T, Klein, CL, Mundi, M, Storm, AC, Rivera, AR, Wilson, TD, Galvao Neto, M, Zundel, N &amp; Wilson, EB 2022, 'Endoscopic sleeve gastroplasty for treatment of class 1 and 2 obesity (MERIT): a prospective, multicentre, randomised trial', </w:t>
      </w:r>
      <w:r w:rsidRPr="009A49B6">
        <w:rPr>
          <w:i/>
          <w:iCs/>
        </w:rPr>
        <w:t>The Lancet</w:t>
      </w:r>
      <w:r w:rsidRPr="009A49B6">
        <w:t>, vol. 400, no. 10350, pp. 441-51.</w:t>
      </w:r>
    </w:p>
  </w:footnote>
  <w:footnote w:id="22">
    <w:p w14:paraId="42A7D997" w14:textId="7DD3301F" w:rsidR="000B1DC9" w:rsidRPr="000B1DC9" w:rsidRDefault="000B1DC9" w:rsidP="00D76EFB">
      <w:pPr>
        <w:pStyle w:val="TableFigureFooter"/>
        <w:rPr>
          <w:lang w:val="en-US"/>
        </w:rPr>
      </w:pPr>
      <w:r>
        <w:rPr>
          <w:rStyle w:val="FootnoteReference"/>
        </w:rPr>
        <w:footnoteRef/>
      </w:r>
      <w:r>
        <w:t xml:space="preserve"> </w:t>
      </w:r>
      <w:r w:rsidRPr="000B1DC9">
        <w:t xml:space="preserve">Abu Dayyeh, BK, Acosta, A, Camilleri, M, Mundi, MS, Rajan, E, Topazian, MD &amp; Gostout, CJ 2017, 'Endoscopic Sleeve Gastroplasty Alters Gastric Physiology and Induces Loss of Body Weight in Obese Individuals', </w:t>
      </w:r>
      <w:r w:rsidRPr="000B1DC9">
        <w:rPr>
          <w:i/>
          <w:iCs/>
        </w:rPr>
        <w:t>Clin Gastroenterol Hepatol</w:t>
      </w:r>
      <w:r w:rsidRPr="000B1DC9">
        <w:t>, vol. 15, no. 1, pp. 37-43.e1.</w:t>
      </w:r>
    </w:p>
  </w:footnote>
  <w:footnote w:id="23">
    <w:p w14:paraId="401350F9" w14:textId="1D64D1CD" w:rsidR="000B1DC9" w:rsidRPr="000B1DC9" w:rsidRDefault="000B1DC9" w:rsidP="00D76EFB">
      <w:pPr>
        <w:pStyle w:val="TableFigureFooter"/>
        <w:rPr>
          <w:lang w:val="en-US"/>
        </w:rPr>
      </w:pPr>
      <w:r>
        <w:rPr>
          <w:rStyle w:val="FootnoteReference"/>
        </w:rPr>
        <w:footnoteRef/>
      </w:r>
      <w:r>
        <w:t xml:space="preserve"> </w:t>
      </w:r>
      <w:r w:rsidRPr="000B1DC9">
        <w:t xml:space="preserve">Lopez-Nava, G, Galvão, MP, Bautista-Castaño, I, Fernandez-Corbelle, JP, Trell, M &amp; Lopez, N 2017, 'ENDOSCOPIC SLEEVE GASTROPLASTY FOR OBESITY TREATMENT: TWO YEARS OF EXPERIENCE', </w:t>
      </w:r>
      <w:r w:rsidRPr="000B1DC9">
        <w:rPr>
          <w:i/>
          <w:iCs/>
        </w:rPr>
        <w:t>Arq Bras Cir Dig</w:t>
      </w:r>
      <w:r w:rsidRPr="000B1DC9">
        <w:t>, vol. 30, no. 1, pp. 18-20.</w:t>
      </w:r>
    </w:p>
  </w:footnote>
  <w:footnote w:id="24">
    <w:p w14:paraId="754D445C" w14:textId="7897AEF9" w:rsidR="00267310" w:rsidRPr="00267310" w:rsidRDefault="00267310" w:rsidP="00D76EFB">
      <w:pPr>
        <w:pStyle w:val="TableFigureFooter"/>
        <w:rPr>
          <w:lang w:val="en-US"/>
        </w:rPr>
      </w:pPr>
      <w:r>
        <w:rPr>
          <w:rStyle w:val="FootnoteReference"/>
        </w:rPr>
        <w:footnoteRef/>
      </w:r>
      <w:r>
        <w:t xml:space="preserve"> </w:t>
      </w:r>
      <w:r w:rsidRPr="00267310">
        <w:t xml:space="preserve">Saumoy, M, Schneider, Y, Zhou, XK, Shukla, A, Kahaleh, M, Aronne, L &amp; Sharaiha, RZ 2018, 'A single-operator learning curve analysis for the endoscopic sleeve gastroplasty', </w:t>
      </w:r>
      <w:r w:rsidRPr="00267310">
        <w:rPr>
          <w:i/>
          <w:iCs/>
        </w:rPr>
        <w:t>Gastrointest Endosc</w:t>
      </w:r>
      <w:r w:rsidRPr="00267310">
        <w:t>, vol. 87, no. 2, pp. 442-7.</w:t>
      </w:r>
    </w:p>
  </w:footnote>
  <w:footnote w:id="25">
    <w:p w14:paraId="08B724FF" w14:textId="4DC55583" w:rsidR="00267310" w:rsidRPr="00267310" w:rsidRDefault="00267310" w:rsidP="00D76EFB">
      <w:pPr>
        <w:pStyle w:val="TableFigureFooter"/>
        <w:rPr>
          <w:lang w:val="en-US"/>
        </w:rPr>
      </w:pPr>
      <w:r>
        <w:rPr>
          <w:rStyle w:val="FootnoteReference"/>
        </w:rPr>
        <w:footnoteRef/>
      </w:r>
      <w:r>
        <w:t xml:space="preserve"> </w:t>
      </w:r>
      <w:r w:rsidRPr="00267310">
        <w:t xml:space="preserve">Kumar, N, Abu Dayyeh, BK, Lopez-Nava Breviere, G, Galvao Neto, MP, Sahdala, NP, Shaikh, SN, Hawes, RH, Gostout, CJ, Goenka, MK, Orillac, JR, Alvarado, A, Jirapinyo, P, Zundel, N &amp; Thompson, CC 2018, 'Endoscopic sutured gastroplasty: procedure evolution from first-in-man cases through current technique', </w:t>
      </w:r>
      <w:r w:rsidRPr="00267310">
        <w:rPr>
          <w:i/>
          <w:iCs/>
        </w:rPr>
        <w:t>Surg Endosc</w:t>
      </w:r>
      <w:r w:rsidRPr="00267310">
        <w:t>, vol. 32, no. 4, pp. 2159-64.</w:t>
      </w:r>
    </w:p>
  </w:footnote>
  <w:footnote w:id="26">
    <w:p w14:paraId="03251BE4" w14:textId="31789158" w:rsidR="0029295E" w:rsidRPr="0029295E" w:rsidRDefault="0029295E" w:rsidP="00D76EFB">
      <w:pPr>
        <w:pStyle w:val="TableFigureFooter"/>
        <w:rPr>
          <w:lang w:val="en-US"/>
        </w:rPr>
      </w:pPr>
      <w:r>
        <w:rPr>
          <w:rStyle w:val="FootnoteReference"/>
        </w:rPr>
        <w:footnoteRef/>
      </w:r>
      <w:r>
        <w:t xml:space="preserve"> </w:t>
      </w:r>
      <w:r w:rsidRPr="0029295E">
        <w:t xml:space="preserve">Sartoretto, A, Sui, Z, Hill, C, Dunlap, M, Rivera, AR, Khashab, MA, Kalloo, AN, Fayad, L, Cheskin, LJ, Marinos, G, Wilson, E &amp; Kumbhari, V 2018, 'Endoscopic Sleeve Gastroplasty (ESG) Is a Reproducible and Effective Endoscopic Bariatric Therapy Suitable for Widespread Clinical Adoption: a Large, International Multicenter Study', </w:t>
      </w:r>
      <w:r w:rsidRPr="0029295E">
        <w:rPr>
          <w:i/>
          <w:iCs/>
        </w:rPr>
        <w:t>Obesity Surgery</w:t>
      </w:r>
      <w:r w:rsidRPr="0029295E">
        <w:t>, vol. 28, no. 7, pp. 1812-21.</w:t>
      </w:r>
    </w:p>
  </w:footnote>
  <w:footnote w:id="27">
    <w:p w14:paraId="774139C3" w14:textId="23021BE1" w:rsidR="001448A4" w:rsidRPr="001448A4" w:rsidRDefault="001448A4" w:rsidP="00D76EFB">
      <w:pPr>
        <w:pStyle w:val="TableFigureFooter"/>
        <w:rPr>
          <w:lang w:val="en-US"/>
        </w:rPr>
      </w:pPr>
      <w:r>
        <w:rPr>
          <w:rStyle w:val="FootnoteReference"/>
        </w:rPr>
        <w:footnoteRef/>
      </w:r>
      <w:r>
        <w:t xml:space="preserve"> </w:t>
      </w:r>
      <w:r w:rsidRPr="001448A4">
        <w:t xml:space="preserve">Graus Morales, J, Crespo Pérez, L, Marques, A, Marín Arribas, B, Bravo Arribas, R, Ramo, E, Escalada, C, Arribas, C &amp; Himpens, J 2018, 'Modified endoscopic gastroplasty for the treatment of obesity', </w:t>
      </w:r>
      <w:r w:rsidRPr="001448A4">
        <w:rPr>
          <w:i/>
          <w:iCs/>
        </w:rPr>
        <w:t>Surg Endosc</w:t>
      </w:r>
      <w:r w:rsidRPr="001448A4">
        <w:t>, vol. 32, no. 9, pp. 3936-42.</w:t>
      </w:r>
    </w:p>
  </w:footnote>
  <w:footnote w:id="28">
    <w:p w14:paraId="537DC729" w14:textId="145D1AA3" w:rsidR="001448A4" w:rsidRPr="00E10FD7" w:rsidRDefault="001448A4" w:rsidP="00D76EFB">
      <w:pPr>
        <w:pStyle w:val="TableFigureFooter"/>
      </w:pPr>
      <w:r>
        <w:rPr>
          <w:rStyle w:val="FootnoteReference"/>
        </w:rPr>
        <w:footnoteRef/>
      </w:r>
      <w:r>
        <w:t xml:space="preserve"> </w:t>
      </w:r>
      <w:r w:rsidRPr="001448A4">
        <w:t xml:space="preserve">Alqahtani, A, Al-Darwish, A, Mahmoud, AE, Alqahtani, YA &amp; Elahmedi, M 2019, 'Short-term outcomes of endoscopic sleeve gastroplasty in 1000 consecutive patients', </w:t>
      </w:r>
      <w:r w:rsidRPr="001448A4">
        <w:rPr>
          <w:i/>
          <w:iCs/>
        </w:rPr>
        <w:t>Gastrointest Endosc</w:t>
      </w:r>
      <w:r w:rsidRPr="001448A4">
        <w:t>, vol. 89, no. 6, pp. 1132-8.</w:t>
      </w:r>
    </w:p>
  </w:footnote>
  <w:footnote w:id="29">
    <w:p w14:paraId="7BF46FA6" w14:textId="686BA6A6" w:rsidR="00E10FD7" w:rsidRPr="00E10FD7" w:rsidRDefault="00E10FD7" w:rsidP="00D76EFB">
      <w:pPr>
        <w:pStyle w:val="TableFigureFooter"/>
        <w:rPr>
          <w:lang w:val="en-US"/>
        </w:rPr>
      </w:pPr>
      <w:r>
        <w:rPr>
          <w:rStyle w:val="FootnoteReference"/>
        </w:rPr>
        <w:footnoteRef/>
      </w:r>
      <w:r>
        <w:t xml:space="preserve"> </w:t>
      </w:r>
      <w:r w:rsidRPr="00E10FD7">
        <w:t xml:space="preserve">Barrichello, S, Hourneaux de Moura, DT, Hourneaux de Moura, EG, Jirapinyo, P, Hoff, AC, Fittipaldi-Fernandez, RJ, Baretta, G, Felício Lima, JH, Usuy, EN, de Almeida, LS, Ramos, FM, Matz, F, Galvão Neto, MDP &amp; Thompson, CC 2019, 'Endoscopic sleeve gastroplasty in the management of overweight and obesity: an international multicenter study', </w:t>
      </w:r>
      <w:r w:rsidRPr="00E10FD7">
        <w:rPr>
          <w:i/>
          <w:iCs/>
        </w:rPr>
        <w:t>Gastrointest Endosc</w:t>
      </w:r>
      <w:r w:rsidRPr="00E10FD7">
        <w:t>, vol. 90, no. 5, pp. 770-80.</w:t>
      </w:r>
    </w:p>
  </w:footnote>
  <w:footnote w:id="30">
    <w:p w14:paraId="7E2B6243" w14:textId="5EAC4469" w:rsidR="0023164A" w:rsidRPr="0023164A" w:rsidRDefault="0023164A" w:rsidP="00D76EFB">
      <w:pPr>
        <w:pStyle w:val="TableFigureFooter"/>
        <w:rPr>
          <w:lang w:val="en-US"/>
        </w:rPr>
      </w:pPr>
      <w:r>
        <w:rPr>
          <w:rStyle w:val="FootnoteReference"/>
        </w:rPr>
        <w:footnoteRef/>
      </w:r>
      <w:r>
        <w:t xml:space="preserve"> </w:t>
      </w:r>
      <w:r w:rsidRPr="0023164A">
        <w:t xml:space="preserve">Espinet Coll, E, Vila Lolo, C, Díaz Galán, P, Gómez Valero, JA, Bacchiddu, S, Quintana Tomás, C, Irigoyen, D, Gunnard, K &amp; Juan-Creix Comamala, A 2019, 'Bariatric and metabolic endoscopy in the handling of fatty liver disease. A new emerging approach?', </w:t>
      </w:r>
      <w:r w:rsidRPr="0023164A">
        <w:rPr>
          <w:i/>
          <w:iCs/>
        </w:rPr>
        <w:t>Revista Española de Enfermedades Digestivas</w:t>
      </w:r>
      <w:r w:rsidRPr="0023164A">
        <w:t>, vol. 111, no. 4, pp. 283-93.</w:t>
      </w:r>
    </w:p>
  </w:footnote>
  <w:footnote w:id="31">
    <w:p w14:paraId="60881931" w14:textId="242C1CC7" w:rsidR="0023164A" w:rsidRPr="0023164A" w:rsidRDefault="0023164A" w:rsidP="00D76EFB">
      <w:pPr>
        <w:pStyle w:val="TableFigureFooter"/>
        <w:rPr>
          <w:lang w:val="en-US"/>
        </w:rPr>
      </w:pPr>
      <w:r>
        <w:rPr>
          <w:rStyle w:val="FootnoteReference"/>
        </w:rPr>
        <w:footnoteRef/>
      </w:r>
      <w:r>
        <w:t xml:space="preserve"> </w:t>
      </w:r>
      <w:r w:rsidRPr="0023164A">
        <w:t xml:space="preserve">Bhandari, M, Jain, S, Mathur, W, Kosta, S, Neto, MG, Brunaldi, VO &amp; Fobi, M 2020, 'Endoscopic sleeve gastroplasty is an effective and safe minimally invasive approach for treatment of obesity: First Indian experience', </w:t>
      </w:r>
      <w:r w:rsidRPr="0023164A">
        <w:rPr>
          <w:i/>
          <w:iCs/>
        </w:rPr>
        <w:t>Digestive Endoscopy</w:t>
      </w:r>
      <w:r w:rsidRPr="0023164A">
        <w:t>, vol. 32, no. 4, pp. 541-6.</w:t>
      </w:r>
    </w:p>
  </w:footnote>
  <w:footnote w:id="32">
    <w:p w14:paraId="1C843EFA" w14:textId="2ADEEF03" w:rsidR="00156942" w:rsidRPr="00156942" w:rsidRDefault="00156942" w:rsidP="00D76EFB">
      <w:pPr>
        <w:pStyle w:val="TableFigureFooter"/>
        <w:rPr>
          <w:lang w:val="en-US"/>
        </w:rPr>
      </w:pPr>
      <w:r>
        <w:rPr>
          <w:rStyle w:val="FootnoteReference"/>
        </w:rPr>
        <w:footnoteRef/>
      </w:r>
      <w:r>
        <w:t xml:space="preserve"> </w:t>
      </w:r>
      <w:r w:rsidRPr="00156942">
        <w:t xml:space="preserve">de Miranda Neto, AA, de Moura, DTH, Ribeiro, IB, Khan, A, Singh, S, da Ponte Neto, AM, Madruga Neto, AC, do Monte Junior, ES, Tustumi, F, Bernardo, WM &amp; de Moura, EGH 2020, 'Efficacy and Safety of Endoscopic Sleeve Gastroplasty at Mid Term in the Management of Overweight and Obese Patients: a Systematic Review and Meta-Analysis', </w:t>
      </w:r>
      <w:r w:rsidRPr="00156942">
        <w:rPr>
          <w:i/>
          <w:iCs/>
        </w:rPr>
        <w:t>Obes Surg</w:t>
      </w:r>
      <w:r w:rsidRPr="00156942">
        <w:t>, vol. 30, no. 5, pp. 1971-87.</w:t>
      </w:r>
    </w:p>
  </w:footnote>
  <w:footnote w:id="33">
    <w:p w14:paraId="4FF5C32D" w14:textId="7118F6C9" w:rsidR="009638AC" w:rsidRPr="009638AC" w:rsidRDefault="009638AC" w:rsidP="00D76EFB">
      <w:pPr>
        <w:pStyle w:val="TableFigureFooter"/>
        <w:rPr>
          <w:lang w:val="en-US"/>
        </w:rPr>
      </w:pPr>
      <w:r>
        <w:rPr>
          <w:rStyle w:val="FootnoteReference"/>
        </w:rPr>
        <w:footnoteRef/>
      </w:r>
      <w:r>
        <w:t xml:space="preserve"> </w:t>
      </w:r>
      <w:r w:rsidRPr="009638AC">
        <w:t xml:space="preserve">Sharaiha, RZ, Hajifathalian, K, Kumar, R, Saunders, K, Mehta, A, Ang, B, Skaf, D, Shah, S, Herr, A, Igel, L, Dawod, Q, Dawod, E, Sampath, K, Carr-Locke, D, Brown, R, Cohen, D, Dannenberg, AJ, Mahadev, S, Shukla, A &amp; Aronne, LJ 2021, 'Five-Year Outcomes of Endoscopic Sleeve Gastroplasty for the Treatment of Obesity', </w:t>
      </w:r>
      <w:r w:rsidRPr="009638AC">
        <w:rPr>
          <w:i/>
          <w:iCs/>
        </w:rPr>
        <w:t>Clinical Gastroenterology and Hepatology</w:t>
      </w:r>
      <w:r w:rsidRPr="009638AC">
        <w:t>, vol. 19, no. 5, pp. 1051-7.e2.</w:t>
      </w:r>
    </w:p>
  </w:footnote>
  <w:footnote w:id="34">
    <w:p w14:paraId="26AA10DB" w14:textId="1E1E0752" w:rsidR="009638AC" w:rsidRPr="00771A79" w:rsidRDefault="009638AC" w:rsidP="00D76EFB">
      <w:pPr>
        <w:pStyle w:val="TableFigureFooter"/>
      </w:pPr>
      <w:r>
        <w:rPr>
          <w:rStyle w:val="FootnoteReference"/>
        </w:rPr>
        <w:footnoteRef/>
      </w:r>
      <w:r>
        <w:t xml:space="preserve"> </w:t>
      </w:r>
      <w:r w:rsidRPr="009638AC">
        <w:t xml:space="preserve">Bhandari, M, Kosta, S, Reddy, M, Mathur, W, Neto, MG &amp; Bhandari, M 2022, 'Four-year outcomes for endoscopic sleeve gastroplasty from a single centre in India', </w:t>
      </w:r>
      <w:r w:rsidRPr="009638AC">
        <w:rPr>
          <w:i/>
          <w:iCs/>
        </w:rPr>
        <w:t>J Minim Access Surg</w:t>
      </w:r>
      <w:r w:rsidRPr="009638AC">
        <w:t>, vol. 19, no. 1, pp. 101-6.</w:t>
      </w:r>
    </w:p>
  </w:footnote>
  <w:footnote w:id="35">
    <w:p w14:paraId="69D86473" w14:textId="4765BED4" w:rsidR="00771A79" w:rsidRPr="00771A79" w:rsidRDefault="00771A79" w:rsidP="00D76EFB">
      <w:pPr>
        <w:pStyle w:val="TableFigureFooter"/>
      </w:pPr>
      <w:r>
        <w:rPr>
          <w:rStyle w:val="FootnoteReference"/>
        </w:rPr>
        <w:footnoteRef/>
      </w:r>
      <w:r>
        <w:t xml:space="preserve"> </w:t>
      </w:r>
      <w:r w:rsidRPr="00771A79">
        <w:t xml:space="preserve">Frey, S, Sejor, E, Cougard, PA, Benamran, D &amp; Sebbag, H 2024, 'From Early to Mid-Term Results of Endoscopic Sleeve Gastroplasty: A Retrospective Analysis of a Bariatric Center', </w:t>
      </w:r>
      <w:r w:rsidRPr="00771A79">
        <w:rPr>
          <w:i/>
          <w:iCs/>
        </w:rPr>
        <w:t>Obes Surg</w:t>
      </w:r>
      <w:r w:rsidRPr="00771A79">
        <w:t>, vol. 34, no. 7, pp. 2537-45.</w:t>
      </w:r>
    </w:p>
  </w:footnote>
  <w:footnote w:id="36">
    <w:p w14:paraId="257C7FD6" w14:textId="12D4DAE6" w:rsidR="00C4042E" w:rsidRPr="00C4042E" w:rsidRDefault="00C4042E" w:rsidP="00D76EFB">
      <w:pPr>
        <w:pStyle w:val="TableFigureFooter"/>
        <w:rPr>
          <w:lang w:val="en-US"/>
        </w:rPr>
      </w:pPr>
      <w:r>
        <w:rPr>
          <w:rStyle w:val="FootnoteReference"/>
        </w:rPr>
        <w:footnoteRef/>
      </w:r>
      <w:r>
        <w:t xml:space="preserve"> </w:t>
      </w:r>
      <w:r w:rsidRPr="00C4042E">
        <w:t xml:space="preserve">Alqahtani, AR, Elahmedi, M, Aldarwish, A, Abdurabu, HY &amp; Alqahtani, S 2022, 'Endoscopic gastroplasty versus laparoscopic sleeve gastrectomy: a noninferiority propensity score-matched comparative study', </w:t>
      </w:r>
      <w:r w:rsidRPr="00C4042E">
        <w:rPr>
          <w:i/>
          <w:iCs/>
        </w:rPr>
        <w:t>Gastrointest Endosc</w:t>
      </w:r>
      <w:r w:rsidRPr="00C4042E">
        <w:t>, vol. 96, no. 1, pp. 44-50.</w:t>
      </w:r>
    </w:p>
  </w:footnote>
  <w:footnote w:id="37">
    <w:p w14:paraId="3B858B4A" w14:textId="25E1F9B0" w:rsidR="00337F85" w:rsidRPr="00337F85" w:rsidRDefault="00337F85" w:rsidP="00D76EFB">
      <w:pPr>
        <w:pStyle w:val="TableFigureFooter"/>
        <w:rPr>
          <w:lang w:val="en-US"/>
        </w:rPr>
      </w:pPr>
      <w:r>
        <w:rPr>
          <w:rStyle w:val="FootnoteReference"/>
        </w:rPr>
        <w:footnoteRef/>
      </w:r>
      <w:r>
        <w:t xml:space="preserve"> </w:t>
      </w:r>
      <w:r w:rsidRPr="00337F85">
        <w:t xml:space="preserve">Carr, P, Keighley, T, Petocz, P, Blumfield, M, Rich, GG, Cohen, F, Soni, A, Maimone, IR, Fayet-Moore, F, Isenring, E &amp; Marshall, S 2022, 'Efficacy and safety of endoscopic sleeve gastroplasty and laparoscopic sleeve gastrectomy with 12+ months of adjuvant multidisciplinary support', </w:t>
      </w:r>
      <w:r w:rsidRPr="00337F85">
        <w:rPr>
          <w:i/>
          <w:iCs/>
        </w:rPr>
        <w:t>BMC Primary Care</w:t>
      </w:r>
      <w:r w:rsidRPr="00337F85">
        <w:t>, vol. 23, no. 1, p. 26.</w:t>
      </w:r>
    </w:p>
  </w:footnote>
  <w:footnote w:id="38">
    <w:p w14:paraId="4903A09D" w14:textId="4075F98F" w:rsidR="00931BEA" w:rsidRPr="00742ACD" w:rsidRDefault="00931BEA" w:rsidP="00D76EFB">
      <w:pPr>
        <w:pStyle w:val="TableFigureFooter"/>
      </w:pPr>
      <w:r>
        <w:rPr>
          <w:rStyle w:val="FootnoteReference"/>
        </w:rPr>
        <w:footnoteRef/>
      </w:r>
      <w:r>
        <w:t xml:space="preserve"> </w:t>
      </w:r>
      <w:r w:rsidRPr="00931BEA">
        <w:t xml:space="preserve">Fayad, L, Adam, A, Schweitzer, M, Cheskin, LJ, Ajayi, T, Dunlap, M, Badurdeen, DS, Hill, C, Paranji, N, Lalezari, S, Kalloo, AN, Khashab, MA &amp; Kumbhari, V 2019, 'Endoscopic sleeve gastroplasty versus laparoscopic sleeve gastrectomy: a case-matched study', </w:t>
      </w:r>
      <w:r w:rsidRPr="00931BEA">
        <w:rPr>
          <w:i/>
          <w:iCs/>
        </w:rPr>
        <w:t>Gastrointest Endosc</w:t>
      </w:r>
      <w:r w:rsidRPr="00931BEA">
        <w:t>, vol. 89, no. 4, pp. 782-8.</w:t>
      </w:r>
    </w:p>
  </w:footnote>
  <w:footnote w:id="39">
    <w:p w14:paraId="54CE8946" w14:textId="205AFEEC" w:rsidR="00742ACD" w:rsidRPr="00742ACD" w:rsidRDefault="00742ACD" w:rsidP="00D76EFB">
      <w:pPr>
        <w:pStyle w:val="TableFigureFooter"/>
        <w:rPr>
          <w:lang w:val="en-US"/>
        </w:rPr>
      </w:pPr>
      <w:r>
        <w:rPr>
          <w:rStyle w:val="FootnoteReference"/>
        </w:rPr>
        <w:footnoteRef/>
      </w:r>
      <w:r>
        <w:t xml:space="preserve"> </w:t>
      </w:r>
      <w:r w:rsidRPr="00742ACD">
        <w:t xml:space="preserve">Fiorillo, C, Quero, G, Vix, M, Guerriero, L, Pizzicannella, M, Lapergola, A, D'Urso, A, Swanstrom, L, Mutter, D, Dallemagne, B &amp; Perretta, S 2020, '6-Month Gastrointestinal Quality of Life (QoL) Results after Endoscopic Sleeve Gastroplasty and Laparoscopic Sleeve Gastrectomy: A Propensity Score Analysis', </w:t>
      </w:r>
      <w:r w:rsidRPr="00742ACD">
        <w:rPr>
          <w:i/>
          <w:iCs/>
        </w:rPr>
        <w:t>Obes Surg</w:t>
      </w:r>
      <w:r w:rsidRPr="00742ACD">
        <w:t>, vol. 30, no. 5, pp. 1944-51.</w:t>
      </w:r>
    </w:p>
  </w:footnote>
  <w:footnote w:id="40">
    <w:p w14:paraId="06E76677" w14:textId="520F9D79" w:rsidR="00D6729F" w:rsidRPr="00D6729F" w:rsidRDefault="00D6729F" w:rsidP="00D76EFB">
      <w:pPr>
        <w:pStyle w:val="TableFigureFooter"/>
        <w:rPr>
          <w:lang w:val="en-US"/>
        </w:rPr>
      </w:pPr>
      <w:r>
        <w:rPr>
          <w:rStyle w:val="FootnoteReference"/>
        </w:rPr>
        <w:footnoteRef/>
      </w:r>
      <w:r>
        <w:t xml:space="preserve"> </w:t>
      </w:r>
      <w:r w:rsidRPr="00D6729F">
        <w:t xml:space="preserve">Lopez-Nava, G, Negi, A, Bautista-Castaño, I, Rubio, MA &amp; Asokkumar, R 2020, 'Gut and Metabolic Hormones Changes After Endoscopic Sleeve Gastroplasty (ESG) Vs. Laparoscopic Sleeve Gastrectomy (LSG)', </w:t>
      </w:r>
      <w:r w:rsidRPr="00D6729F">
        <w:rPr>
          <w:i/>
          <w:iCs/>
        </w:rPr>
        <w:t>Obes Surg</w:t>
      </w:r>
      <w:r w:rsidRPr="00D6729F">
        <w:t>, vol. 30, no. 7, pp. 2642-51.</w:t>
      </w:r>
    </w:p>
  </w:footnote>
  <w:footnote w:id="41">
    <w:p w14:paraId="0FBFB467" w14:textId="78DF791F" w:rsidR="00D6729F" w:rsidRPr="00D6729F" w:rsidRDefault="00D6729F" w:rsidP="00D76EFB">
      <w:pPr>
        <w:pStyle w:val="TableFigureFooter"/>
        <w:rPr>
          <w:lang w:val="en-US"/>
        </w:rPr>
      </w:pPr>
      <w:r>
        <w:rPr>
          <w:rStyle w:val="FootnoteReference"/>
        </w:rPr>
        <w:footnoteRef/>
      </w:r>
      <w:r>
        <w:t xml:space="preserve"> </w:t>
      </w:r>
      <w:r w:rsidRPr="00D6729F">
        <w:t xml:space="preserve">Lopez-Nava, G, Asokkumar, R, Bautista-Castaño, I, Laster, J, Negi, A, Fook-Chong, S, Nebreda Duran, J, Espinett Coll, E, Gebelli, JP &amp; Garcia Ruiz de Gordejuela, A 2021, 'Endoscopic sleeve gastroplasty, laparoscopic sleeve gastrectomy, and laparoscopic greater curve plication: do they differ at 2 years?', </w:t>
      </w:r>
      <w:r w:rsidRPr="00D6729F">
        <w:rPr>
          <w:i/>
          <w:iCs/>
        </w:rPr>
        <w:t>Endoscopy</w:t>
      </w:r>
      <w:r w:rsidRPr="00D6729F">
        <w:t>, vol. 53, no. 3, pp. 235-43.</w:t>
      </w:r>
    </w:p>
  </w:footnote>
  <w:footnote w:id="42">
    <w:p w14:paraId="00E78277" w14:textId="39B460F8" w:rsidR="001C30D0" w:rsidRPr="001C30D0" w:rsidRDefault="001C30D0" w:rsidP="00D76EFB">
      <w:pPr>
        <w:pStyle w:val="TableFigureFooter"/>
        <w:rPr>
          <w:lang w:val="en-US"/>
        </w:rPr>
      </w:pPr>
      <w:r>
        <w:rPr>
          <w:rStyle w:val="FootnoteReference"/>
        </w:rPr>
        <w:footnoteRef/>
      </w:r>
      <w:r>
        <w:t xml:space="preserve"> </w:t>
      </w:r>
      <w:r w:rsidRPr="001C30D0">
        <w:t xml:space="preserve">Novikov, AA, Afaneh, C, Saumoy, M, Parra, V, Shukla, A, Dakin, GF, Pomp, A, Dawod, E, Shah, S, Aronne, LJ &amp; Sharaiha, RZ 2018, 'Endoscopic Sleeve Gastroplasty, Laparoscopic Sleeve Gastrectomy, and Laparoscopic Band for Weight Loss: How Do They Compare?', </w:t>
      </w:r>
      <w:r w:rsidRPr="001C30D0">
        <w:rPr>
          <w:i/>
          <w:iCs/>
        </w:rPr>
        <w:t>J Gastrointest Surg</w:t>
      </w:r>
      <w:r w:rsidRPr="001C30D0">
        <w:t>, vol. 22, no. 2, pp. 267-73.</w:t>
      </w:r>
    </w:p>
  </w:footnote>
  <w:footnote w:id="43">
    <w:p w14:paraId="2073536A" w14:textId="5D545D36" w:rsidR="00F57C96" w:rsidRPr="00115CA8" w:rsidRDefault="00F57C96" w:rsidP="00D76EFB">
      <w:pPr>
        <w:pStyle w:val="TableFigureFooter"/>
        <w:rPr>
          <w:i/>
        </w:rPr>
      </w:pPr>
      <w:r>
        <w:rPr>
          <w:rStyle w:val="FootnoteReference"/>
        </w:rPr>
        <w:footnoteRef/>
      </w:r>
      <w:r>
        <w:t xml:space="preserve"> </w:t>
      </w:r>
      <w:r w:rsidRPr="00F57C96">
        <w:t xml:space="preserve">Gudur, AR, Geng, CX, Kshatri, S, Martin, D, Haug, R, Radlinski, M, Lei, Y, Buerlein, RCD, Strand, DS, Sauer, BG, Shami, VM, Hallowell, P, Schirmer, B, Wang, AY &amp; Podboy, A 2023a, 'Comparison of endoscopic sleeve gastroplasty versus surgical sleeve gastrectomy: a Metabolic and Bariatric Surgery Accreditation and Quality Improvement Program database analysis', </w:t>
      </w:r>
      <w:r w:rsidRPr="00F57C96">
        <w:rPr>
          <w:i/>
          <w:iCs/>
        </w:rPr>
        <w:t>Gastrointest Endosc</w:t>
      </w:r>
      <w:r w:rsidRPr="00F57C96">
        <w:t xml:space="preserve">, </w:t>
      </w:r>
      <w:r w:rsidRPr="00115CA8">
        <w:rPr>
          <w:i/>
        </w:rPr>
        <w:t>vol. 97, no. 1, pp. 11-21.e4.</w:t>
      </w:r>
    </w:p>
  </w:footnote>
  <w:footnote w:id="44">
    <w:p w14:paraId="6F1EF2A2" w14:textId="4D1914BA" w:rsidR="003014A4" w:rsidRPr="00115CA8" w:rsidRDefault="003014A4" w:rsidP="00115CA8">
      <w:pPr>
        <w:pStyle w:val="TableFigureFooter"/>
        <w:rPr>
          <w:i/>
        </w:rPr>
      </w:pPr>
      <w:r w:rsidRPr="00115CA8">
        <w:rPr>
          <w:i/>
        </w:rPr>
        <w:footnoteRef/>
      </w:r>
      <w:r w:rsidRPr="00115CA8">
        <w:rPr>
          <w:i/>
        </w:rPr>
        <w:t xml:space="preserve"> </w:t>
      </w:r>
      <w:r w:rsidR="000055C6" w:rsidRPr="00115CA8">
        <w:rPr>
          <w:i/>
        </w:rPr>
        <w:t>Gudur AR, Geng C, Mannava A, Buerlein RCD, Strand DS, Sauer BG, et al. Early safety of endoscopic sleeve gastroplasty in super obesity (body mass index &gt; 50). Surgery for Obesity and Related Diseases. 2024.</w:t>
      </w:r>
    </w:p>
  </w:footnote>
  <w:footnote w:id="45">
    <w:p w14:paraId="5CDDAC15" w14:textId="41B20B4E" w:rsidR="0052642F" w:rsidRPr="00D76EFB" w:rsidRDefault="0052642F" w:rsidP="00CB0FFF">
      <w:pPr>
        <w:pStyle w:val="TableFigureFooter"/>
        <w:rPr>
          <w:lang w:val="en-US"/>
        </w:rPr>
      </w:pPr>
      <w:r>
        <w:rPr>
          <w:rStyle w:val="FootnoteReference"/>
        </w:rPr>
        <w:footnoteRef/>
      </w:r>
      <w:r>
        <w:t xml:space="preserve"> </w:t>
      </w:r>
      <w:r w:rsidR="00CC3EF4" w:rsidRPr="00CC3EF4">
        <w:t>El-Hadi M, Birch DW, Gill RS, Karmali S. The effect of bariatric surgery on gastroesophageal reflux disease. Can J Surg. 2014;57(2):139-44.</w:t>
      </w:r>
    </w:p>
  </w:footnote>
  <w:footnote w:id="46">
    <w:p w14:paraId="2CE2E147" w14:textId="59E511F2" w:rsidR="0052642F" w:rsidRPr="00D76EFB" w:rsidRDefault="0052642F" w:rsidP="00CB0FFF">
      <w:pPr>
        <w:pStyle w:val="TableFigureFooter"/>
        <w:rPr>
          <w:lang w:val="en-US"/>
        </w:rPr>
      </w:pPr>
      <w:r>
        <w:rPr>
          <w:rStyle w:val="FootnoteReference"/>
        </w:rPr>
        <w:footnoteRef/>
      </w:r>
      <w:r w:rsidR="00CC3EF4">
        <w:t xml:space="preserve"> </w:t>
      </w:r>
      <w:r w:rsidR="00C309BF" w:rsidRPr="00C309BF">
        <w:t>Wölnerhanssen BK, Meyer-Gerspach AC, Nussbaumer R, Sauter M, Thumshirn M, Bueter M, et al. Prospective clinical cohort study: low incidence of Barrett esophagus but high rate of reflux disease at 5-year follow-up after sleeve gastrectomy versus Roux-en-Y gastric bypass. Surgery for Obesity and Related Diseases. 2023;19(7):707-15.</w:t>
      </w:r>
    </w:p>
  </w:footnote>
  <w:footnote w:id="47">
    <w:p w14:paraId="3E091AEF" w14:textId="46FC5072" w:rsidR="00682E37" w:rsidRPr="00D76EFB" w:rsidRDefault="00682E37" w:rsidP="00CB0FFF">
      <w:pPr>
        <w:pStyle w:val="TableFigureFooter"/>
        <w:rPr>
          <w:lang w:val="en-US"/>
        </w:rPr>
      </w:pPr>
      <w:r>
        <w:rPr>
          <w:rStyle w:val="FootnoteReference"/>
        </w:rPr>
        <w:footnoteRef/>
      </w:r>
      <w:r>
        <w:t xml:space="preserve"> </w:t>
      </w:r>
      <w:r w:rsidR="00CE122B" w:rsidRPr="00CE122B">
        <w:t>Bariatric Surgery Registry. Bariatric Surgery Registry 2022 Annual Report. Melbourne, Victoria: Central Clinical School, Monash University; 2023. Report No. 10.</w:t>
      </w:r>
    </w:p>
  </w:footnote>
  <w:footnote w:id="48">
    <w:p w14:paraId="286AEAFB" w14:textId="0ADFFF56" w:rsidR="003041BD" w:rsidRDefault="003041BD" w:rsidP="006367D4">
      <w:pPr>
        <w:pStyle w:val="TableFigureFooter"/>
      </w:pPr>
      <w:r>
        <w:rPr>
          <w:rStyle w:val="FootnoteReference"/>
        </w:rPr>
        <w:footnoteRef/>
      </w:r>
      <w:r>
        <w:t xml:space="preserve"> </w:t>
      </w:r>
      <w:r w:rsidRPr="003041BD">
        <w:t>The ADAR reported that the more intensive lifestyle modification incorporated liquid diet in the first week following the procedure, a “pureed” diet in the subsequent week, a “mechanically altered soft diet” in the following week, before transitioning to a regular texture diet by the end of the fifth week. Following the immediate phase after the procedure, patients require a high-protein diet, coupled with supervised strength training to overcome the loss in muscle strength after the surgery. The rationale was to accommodate the dietary changes required to ensure optimal effectiveness of ESG.</w:t>
      </w:r>
    </w:p>
  </w:footnote>
  <w:footnote w:id="49">
    <w:p w14:paraId="515747AA" w14:textId="3183BF7D" w:rsidR="008153FF" w:rsidRPr="008153FF" w:rsidRDefault="008153FF" w:rsidP="00D76EFB">
      <w:pPr>
        <w:pStyle w:val="TableFigureFooter"/>
        <w:rPr>
          <w:lang w:val="en-US"/>
        </w:rPr>
      </w:pPr>
      <w:r>
        <w:rPr>
          <w:rStyle w:val="FootnoteReference"/>
        </w:rPr>
        <w:footnoteRef/>
      </w:r>
      <w:r>
        <w:t xml:space="preserve"> </w:t>
      </w:r>
      <w:r w:rsidRPr="008153FF">
        <w:t xml:space="preserve">Alhayo, S &amp; Devadas, M 2019, 'Laparoscopic sleeve gastrectomy following multiple failed endoscopic sleeve gastroplasties', </w:t>
      </w:r>
      <w:r w:rsidRPr="008153FF">
        <w:rPr>
          <w:i/>
          <w:iCs/>
        </w:rPr>
        <w:t>J Surg Case Rep</w:t>
      </w:r>
      <w:r w:rsidRPr="008153FF">
        <w:t>, vol. 2019, no. 12, p. rjz315.</w:t>
      </w:r>
    </w:p>
  </w:footnote>
  <w:footnote w:id="50">
    <w:p w14:paraId="62D4C98B" w14:textId="00D74FC0" w:rsidR="004A708C" w:rsidRPr="004A708C" w:rsidRDefault="004A708C" w:rsidP="00D76EFB">
      <w:pPr>
        <w:pStyle w:val="TableFigureFooter"/>
        <w:rPr>
          <w:lang w:val="en-US"/>
        </w:rPr>
      </w:pPr>
      <w:r>
        <w:rPr>
          <w:rStyle w:val="FootnoteReference"/>
        </w:rPr>
        <w:footnoteRef/>
      </w:r>
      <w:r>
        <w:t xml:space="preserve"> </w:t>
      </w:r>
      <w:r w:rsidR="00FC3F85" w:rsidRPr="009546BA">
        <w:t xml:space="preserve">Kelly, J, Menon, V, O’Neill, F, Elliot, L, Combe, E, Drinkwater, W, Abbott, S &amp; Hayee, B 2023, 'UK cost-effectiveness analysis of endoscopic sleeve gastroplasty versus lifestyle modification alone for adults with class II obesity', </w:t>
      </w:r>
      <w:r w:rsidR="00FC3F85" w:rsidRPr="009546BA">
        <w:rPr>
          <w:i/>
          <w:iCs/>
        </w:rPr>
        <w:t>International Journal of Obesity</w:t>
      </w:r>
      <w:r w:rsidR="00FC3F85" w:rsidRPr="009546BA">
        <w:t>, vol. 47, no. 11, pp. 1161-70.</w:t>
      </w:r>
    </w:p>
  </w:footnote>
  <w:footnote w:id="51">
    <w:p w14:paraId="77205A87" w14:textId="1882D334" w:rsidR="00FF3B09" w:rsidRPr="00115CA8" w:rsidRDefault="00FF3B09" w:rsidP="00115CA8">
      <w:pPr>
        <w:pStyle w:val="TableFigureFooter"/>
        <w:rPr>
          <w:lang w:val="en-GB"/>
        </w:rPr>
      </w:pPr>
      <w:r>
        <w:rPr>
          <w:rStyle w:val="FootnoteReference"/>
        </w:rPr>
        <w:footnoteRef/>
      </w:r>
      <w:r>
        <w:t xml:space="preserve"> </w:t>
      </w:r>
      <w:r w:rsidR="00C123FC" w:rsidRPr="000C144A">
        <w:rPr>
          <w:lang w:val="en-GB"/>
        </w:rPr>
        <w:t xml:space="preserve">Hedjoudje, A, Abu Dayyeh, BK, Cheskin, LJ, Adam, A, Neto, MG, Badurdeen, D, Morales, JG, Sartoretto, A, Nava, GL, Vargas, E, Sui, Z, Fayad, L, Farha, J, Khashab, MA, Kalloo, AN, Alqahtani, AR, Thompson, CC &amp; Kumbhari, V 2020, 'Efficacy and Safety of Endoscopic Sleeve Gastroplasty: A Systematic Review and Meta-Analysis', </w:t>
      </w:r>
      <w:r w:rsidR="00C123FC" w:rsidRPr="000C144A">
        <w:rPr>
          <w:i/>
          <w:iCs/>
          <w:lang w:val="en-GB"/>
        </w:rPr>
        <w:t>Clin Gastroenterol Hepatol</w:t>
      </w:r>
      <w:r w:rsidR="00C123FC" w:rsidRPr="000C144A">
        <w:rPr>
          <w:lang w:val="en-GB"/>
        </w:rPr>
        <w:t>, vol. 18, no. 5, pp. 1043-53.e4.</w:t>
      </w:r>
    </w:p>
  </w:footnote>
  <w:footnote w:id="52">
    <w:p w14:paraId="362270AB" w14:textId="5C4A912A" w:rsidR="00137CCA" w:rsidRPr="00072CDB" w:rsidRDefault="00137CCA" w:rsidP="00D76EFB">
      <w:pPr>
        <w:pStyle w:val="TableFigureFooter"/>
        <w:rPr>
          <w:lang w:val="en-GB"/>
        </w:rPr>
      </w:pPr>
      <w:r>
        <w:rPr>
          <w:rStyle w:val="FootnoteReference"/>
        </w:rPr>
        <w:footnoteRef/>
      </w:r>
      <w:r>
        <w:t xml:space="preserve"> </w:t>
      </w:r>
      <w:r w:rsidR="00240548" w:rsidRPr="00240548">
        <w:rPr>
          <w:lang w:val="en-GB"/>
        </w:rPr>
        <w:t xml:space="preserve">Li, P, Ma, B, Gong, S, Zhang, X &amp; Li, W 2020, 'Efficacy and safety of endoscopic sleeve gastroplasty for obesity patients: a meta-analysis', </w:t>
      </w:r>
      <w:r w:rsidR="00240548" w:rsidRPr="00240548">
        <w:rPr>
          <w:i/>
          <w:iCs/>
          <w:lang w:val="en-GB"/>
        </w:rPr>
        <w:t>Surgical Endoscopy</w:t>
      </w:r>
      <w:r w:rsidR="00240548" w:rsidRPr="00240548">
        <w:rPr>
          <w:lang w:val="en-GB"/>
        </w:rPr>
        <w:t>, vol. 34, no. 3, pp. 1253-60.</w:t>
      </w:r>
    </w:p>
  </w:footnote>
  <w:footnote w:id="53">
    <w:p w14:paraId="1259E065" w14:textId="7A913844" w:rsidR="007E6D84" w:rsidRPr="00072CDB" w:rsidRDefault="00072CDB" w:rsidP="00D76EFB">
      <w:pPr>
        <w:pStyle w:val="TableFigureFooter"/>
        <w:rPr>
          <w:lang w:val="en-GB"/>
        </w:rPr>
      </w:pPr>
      <w:r>
        <w:rPr>
          <w:rStyle w:val="FootnoteReference"/>
        </w:rPr>
        <w:footnoteRef/>
      </w:r>
      <w:r>
        <w:t xml:space="preserve"> </w:t>
      </w:r>
      <w:r w:rsidRPr="00072CDB">
        <w:rPr>
          <w:lang w:val="en-GB"/>
        </w:rPr>
        <w:t xml:space="preserve">Yoon, JY &amp; Arau, RT 2021, 'The efficacy and safety of endoscopic sleeve gastroplasty as an alternative to laparoscopic sleeve gastrectomy', </w:t>
      </w:r>
      <w:r w:rsidRPr="00072CDB">
        <w:rPr>
          <w:i/>
          <w:iCs/>
          <w:lang w:val="en-GB"/>
        </w:rPr>
        <w:t>Clinical Endoscopy</w:t>
      </w:r>
      <w:r w:rsidRPr="00072CDB">
        <w:rPr>
          <w:lang w:val="en-GB"/>
        </w:rPr>
        <w:t>, vol. 54, no. 1, pp. 17-24.</w:t>
      </w:r>
    </w:p>
  </w:footnote>
  <w:footnote w:id="54">
    <w:p w14:paraId="506E3E66" w14:textId="11015C92" w:rsidR="005B6742" w:rsidRPr="005B6742" w:rsidRDefault="005B6742" w:rsidP="00D76EFB">
      <w:pPr>
        <w:pStyle w:val="TableFigureFooter"/>
        <w:rPr>
          <w:lang w:val="en-US"/>
        </w:rPr>
      </w:pPr>
      <w:r>
        <w:rPr>
          <w:rStyle w:val="FootnoteReference"/>
        </w:rPr>
        <w:footnoteRef/>
      </w:r>
      <w:r>
        <w:t xml:space="preserve"> </w:t>
      </w:r>
      <w:r w:rsidRPr="005B6742">
        <w:t xml:space="preserve">Carrello, J, Hayes, A, Baur, LA &amp; Lung, T 2023, 'Potential cost-effectiveness of e-health interventions for treating overweight and obesity in Australian adolescents', </w:t>
      </w:r>
      <w:r w:rsidRPr="005B6742">
        <w:rPr>
          <w:i/>
          <w:iCs/>
        </w:rPr>
        <w:t>Pediatric Obesity</w:t>
      </w:r>
      <w:r w:rsidRPr="005B6742">
        <w:t>, vol. 18, no. 4, p. e13003.</w:t>
      </w:r>
    </w:p>
  </w:footnote>
  <w:footnote w:id="55">
    <w:p w14:paraId="7017E462" w14:textId="5C92A867" w:rsidR="005B6742" w:rsidRPr="005B6742" w:rsidRDefault="005B6742" w:rsidP="00D76EFB">
      <w:pPr>
        <w:pStyle w:val="TableFigureFooter"/>
        <w:rPr>
          <w:lang w:val="en-US"/>
        </w:rPr>
      </w:pPr>
      <w:r>
        <w:rPr>
          <w:rStyle w:val="FootnoteReference"/>
        </w:rPr>
        <w:footnoteRef/>
      </w:r>
      <w:r>
        <w:t xml:space="preserve"> </w:t>
      </w:r>
      <w:r w:rsidRPr="005B6742">
        <w:t xml:space="preserve">Ngo, PJ, Wade, S, Banks, E, Karikios, DJ, Canfell, K &amp; Weber, MF 2022, 'Large-Scale Population-Based Surveys Linked to Administrative Health Databases as a Source of Data on Health Utilities in Australia', </w:t>
      </w:r>
      <w:r w:rsidRPr="005B6742">
        <w:rPr>
          <w:i/>
          <w:iCs/>
        </w:rPr>
        <w:t>Value in Health</w:t>
      </w:r>
      <w:r w:rsidRPr="005B6742">
        <w:t>, vol. 25, no. 9, pp. 1634-43.</w:t>
      </w:r>
    </w:p>
  </w:footnote>
  <w:footnote w:id="56">
    <w:p w14:paraId="3E0EBD4C" w14:textId="04BD81AB" w:rsidR="007E0CF6" w:rsidRPr="007E0CF6" w:rsidRDefault="007E0CF6" w:rsidP="00D76EFB">
      <w:pPr>
        <w:pStyle w:val="TableFigureFooter"/>
        <w:rPr>
          <w:lang w:val="en-US"/>
        </w:rPr>
      </w:pPr>
      <w:r>
        <w:rPr>
          <w:rStyle w:val="FootnoteReference"/>
        </w:rPr>
        <w:footnoteRef/>
      </w:r>
      <w:r>
        <w:t xml:space="preserve"> </w:t>
      </w:r>
      <w:r w:rsidRPr="007E0CF6">
        <w:t xml:space="preserve">Lee, CMY, Goode, B, Nørtoft, E, Shaw, JE, Magliano, DJ &amp; Colagiuri, S 2018, 'The cost of diabetes and obesity in Australia', </w:t>
      </w:r>
      <w:r w:rsidRPr="007E0CF6">
        <w:rPr>
          <w:i/>
          <w:iCs/>
        </w:rPr>
        <w:t>Journal of Medical Economics</w:t>
      </w:r>
      <w:r w:rsidRPr="007E0CF6">
        <w:t>, vol. 21, no. 10, pp. 1001-5.</w:t>
      </w:r>
    </w:p>
  </w:footnote>
  <w:footnote w:id="57">
    <w:p w14:paraId="5EB4E99A" w14:textId="77777777" w:rsidR="002B2A2D" w:rsidRPr="002F4002" w:rsidRDefault="002B2A2D" w:rsidP="00D76EFB">
      <w:pPr>
        <w:pStyle w:val="TableFigureFooter"/>
        <w:rPr>
          <w:lang w:val="en-US"/>
        </w:rPr>
      </w:pPr>
      <w:r>
        <w:rPr>
          <w:rStyle w:val="FootnoteReference"/>
        </w:rPr>
        <w:footnoteRef/>
      </w:r>
      <w:r>
        <w:t xml:space="preserve"> </w:t>
      </w:r>
      <w:r w:rsidRPr="002F4002">
        <w:t xml:space="preserve">Shah-Khan, S, Hadi, Y, Zitun, M, Krishnan, A, Thakkar, S &amp; Singh, S 2023, 'Redo endoscopic sleeve gastroplasty', </w:t>
      </w:r>
      <w:r w:rsidRPr="002F4002">
        <w:rPr>
          <w:i/>
          <w:iCs/>
        </w:rPr>
        <w:t>Endoscopy</w:t>
      </w:r>
      <w:r w:rsidRPr="002F4002">
        <w:t>, vol. 55, no. S 01, pp. E349-e50.</w:t>
      </w:r>
    </w:p>
  </w:footnote>
  <w:footnote w:id="58">
    <w:p w14:paraId="3E61FD8D" w14:textId="4A8FF96C" w:rsidR="00F84812" w:rsidRPr="00F84812" w:rsidRDefault="00F84812" w:rsidP="00D76EFB">
      <w:pPr>
        <w:pStyle w:val="TableFigureFooter"/>
        <w:rPr>
          <w:lang w:val="en-US"/>
        </w:rPr>
      </w:pPr>
      <w:r>
        <w:rPr>
          <w:rStyle w:val="FootnoteReference"/>
        </w:rPr>
        <w:footnoteRef/>
      </w:r>
      <w:r>
        <w:t xml:space="preserve"> </w:t>
      </w:r>
      <w:r w:rsidRPr="00F84812">
        <w:t xml:space="preserve">Saumoy, M, Gandhi, D, Buller, S, Patel, S, Schneider, Y, Cote, G, Kochman, ML, Thiruvengadam, NR &amp; Sharaiha, RZ 2023, 'Cost-effectiveness of endoscopic, surgical and pharmacological obesity therapies: a microsimulation and threshold analyses', </w:t>
      </w:r>
      <w:r w:rsidRPr="00F84812">
        <w:rPr>
          <w:i/>
          <w:iCs/>
        </w:rPr>
        <w:t>Gut</w:t>
      </w:r>
      <w:r w:rsidRPr="00F84812">
        <w:t>, vol. 72, no. 12, pp. 2250-9.</w:t>
      </w:r>
    </w:p>
  </w:footnote>
  <w:footnote w:id="59">
    <w:p w14:paraId="22A71008" w14:textId="6891DBE9" w:rsidR="00EA597F" w:rsidRPr="00EA597F" w:rsidRDefault="00EA597F" w:rsidP="00D76EFB">
      <w:pPr>
        <w:pStyle w:val="TableFigureFooter"/>
        <w:rPr>
          <w:lang w:val="en-US"/>
        </w:rPr>
      </w:pPr>
      <w:r>
        <w:rPr>
          <w:rStyle w:val="FootnoteReference"/>
        </w:rPr>
        <w:footnoteRef/>
      </w:r>
      <w:r>
        <w:t xml:space="preserve"> </w:t>
      </w:r>
      <w:r w:rsidRPr="00EA597F">
        <w:t xml:space="preserve">Haseeb, M, Chhatwal, J, Xiao, J, Jirapinyo, P &amp; Thompson, CC 2024, 'Semaglutide vs Endoscopic Sleeve Gastroplasty for Weight Loss', </w:t>
      </w:r>
      <w:r w:rsidRPr="00EA597F">
        <w:rPr>
          <w:i/>
          <w:iCs/>
        </w:rPr>
        <w:t>JAMA Network Open</w:t>
      </w:r>
      <w:r w:rsidRPr="00EA597F">
        <w:t>, vol. 7, no. 4, pp. e246221-e.</w:t>
      </w:r>
    </w:p>
  </w:footnote>
  <w:footnote w:id="60">
    <w:p w14:paraId="020AB95E" w14:textId="27D7BF91" w:rsidR="4AAD4D39" w:rsidRDefault="4AAD4D39" w:rsidP="4AAD4D39">
      <w:pPr>
        <w:pStyle w:val="TableFigureFooter"/>
        <w:rPr>
          <w:lang w:val="en-US"/>
        </w:rPr>
      </w:pPr>
      <w:r w:rsidRPr="4AAD4D39">
        <w:rPr>
          <w:rStyle w:val="FootnoteReference"/>
        </w:rPr>
        <w:footnoteRef/>
      </w:r>
      <w:r w:rsidR="56493273">
        <w:t xml:space="preserve">School of Translational Medicine Monash University 2024, The Bariatric Surgery Registry Annual Report – 2023, viewed 4 Dec 2024, </w:t>
      </w:r>
      <w:r w:rsidR="56493273" w:rsidRPr="005B49AB">
        <w:t>https://www.monash.edu/__data/assets/pdf_file/0007/3757876/Bariatric_Surgery_Registry_-Annual_Report_2023.pdf</w:t>
      </w:r>
      <w:r w:rsidR="56493273">
        <w:t xml:space="preserve"> </w:t>
      </w:r>
    </w:p>
  </w:footnote>
  <w:footnote w:id="61">
    <w:p w14:paraId="339899F0" w14:textId="77777777" w:rsidR="007F1F22" w:rsidRDefault="007F1F22" w:rsidP="007F1F22">
      <w:pPr>
        <w:pStyle w:val="TableFigureFooter"/>
      </w:pPr>
      <w:r>
        <w:rPr>
          <w:rStyle w:val="FootnoteReference"/>
        </w:rPr>
        <w:footnoteRef/>
      </w:r>
      <w:r>
        <w:t xml:space="preserve"> For adults with BMI ≥ 30 kg/m</w:t>
      </w:r>
      <w:r w:rsidRPr="006F51E3">
        <w:rPr>
          <w:vertAlign w:val="superscript"/>
        </w:rPr>
        <w:t>2</w:t>
      </w:r>
      <w:r>
        <w:rPr>
          <w:vertAlign w:val="superscript"/>
        </w:rPr>
        <w:t xml:space="preserve"> </w:t>
      </w:r>
      <w:r w:rsidRPr="006F51E3">
        <w:t>or</w:t>
      </w:r>
      <w:r>
        <w:t xml:space="preserve"> adults with BMI ≥ 27 kg/m</w:t>
      </w:r>
      <w:r w:rsidRPr="006F51E3">
        <w:rPr>
          <w:vertAlign w:val="superscript"/>
        </w:rPr>
        <w:t>2</w:t>
      </w:r>
      <w:r>
        <w:t xml:space="preserve"> and comorbidities, orlistat may be considered as an adjunct to lifestyle interventions, taking into account the individual situation (Recommendation 12, NMHRC 2013 Guidelines).</w:t>
      </w:r>
      <w:r>
        <w:rPr>
          <w:vertAlign w:val="superscript"/>
        </w:rPr>
        <w:t xml:space="preserve"> </w:t>
      </w:r>
      <w:r>
        <w:t>For adults with BMI &gt; 40 kg/m2 or adults with BMI &gt; 35 kg/m2 and comorbidities that may improve with weight loss, bariatric surgery may be considered, taking into account the individual situation (Recommendation 13, NHMRC 2013 Guidelines).</w:t>
      </w:r>
    </w:p>
  </w:footnote>
  <w:footnote w:id="62">
    <w:p w14:paraId="00565F23" w14:textId="737F46FD" w:rsidR="007F1F22" w:rsidRDefault="007F1F22" w:rsidP="007F1F22">
      <w:pPr>
        <w:pStyle w:val="TableFigureFooter"/>
      </w:pPr>
      <w:r>
        <w:rPr>
          <w:rStyle w:val="FootnoteReference"/>
        </w:rPr>
        <w:footnoteRef/>
      </w:r>
      <w:r>
        <w:t xml:space="preserve"> </w:t>
      </w:r>
      <w:r w:rsidRPr="004E61C3">
        <w:rPr>
          <w:i/>
          <w:iCs/>
        </w:rPr>
        <w:t>Clinical practice guidelines for the management of Overweight and Obesity in Adults, Adolescents and Children in Australia, Draft Recommendations</w:t>
      </w:r>
      <w:r>
        <w:t xml:space="preserve">, October 2024, Australian Government, Department of Health and Aged Care (available: </w:t>
      </w:r>
      <w:r w:rsidR="00836E02" w:rsidRPr="00AE36DD">
        <w:t>https://www.deakin.edu.au/__data/assets/pdf_file/0005/2856299/Draft-Guidelines-Guideines-Recommendation-Summary.pdf</w:t>
      </w:r>
      <w:r>
        <w:t>).</w:t>
      </w:r>
    </w:p>
  </w:footnote>
  <w:footnote w:id="63">
    <w:p w14:paraId="0C8C781E" w14:textId="77777777" w:rsidR="007F1F22" w:rsidRDefault="007F1F22" w:rsidP="007F1F22">
      <w:pPr>
        <w:pStyle w:val="TableFigureFooter"/>
      </w:pPr>
      <w:r>
        <w:rPr>
          <w:rStyle w:val="FootnoteReference"/>
        </w:rPr>
        <w:footnoteRef/>
      </w:r>
      <w:r>
        <w:t xml:space="preserve"> </w:t>
      </w:r>
      <w:r w:rsidRPr="006F6202">
        <w:t>1L: lifestyle modification; 2L: very low energy diet (VLED) ± pharmacotherapy</w:t>
      </w:r>
      <w:r>
        <w:t xml:space="preserve"> (p3, Ratified PICO Confirmation, November 2021 PASC meeting).</w:t>
      </w:r>
    </w:p>
  </w:footnote>
  <w:footnote w:id="64">
    <w:p w14:paraId="03E8C56F" w14:textId="77777777" w:rsidR="007F1F22" w:rsidRDefault="007F1F22" w:rsidP="007F1F22">
      <w:pPr>
        <w:pStyle w:val="TableFigureFooter"/>
      </w:pPr>
      <w:r>
        <w:rPr>
          <w:rStyle w:val="FootnoteReference"/>
        </w:rPr>
        <w:footnoteRef/>
      </w:r>
      <w:r w:rsidRPr="009B1AA5">
        <w:t>Clinical Practice Guidelines for the management of overweight and obesity</w:t>
      </w:r>
      <w:r>
        <w:t xml:space="preserve"> 2013, Australian Government, National Health and Medical Research Council, </w:t>
      </w:r>
      <w:r w:rsidRPr="00BD20AE">
        <w:t>https://www.nhmrc.gov.au/about-us/publications/clinical-practice-guidelines-management-overweight-and-obesity#block-views-block-file-attachments-content-block-1</w:t>
      </w:r>
    </w:p>
  </w:footnote>
  <w:footnote w:id="65">
    <w:p w14:paraId="13EAED76" w14:textId="77777777" w:rsidR="007F1F22" w:rsidRDefault="007F1F22" w:rsidP="007F1F22">
      <w:pPr>
        <w:pStyle w:val="TableFigureFooter"/>
      </w:pPr>
      <w:r>
        <w:rPr>
          <w:rStyle w:val="FootnoteReference"/>
        </w:rPr>
        <w:footnoteRef/>
      </w:r>
      <w:r>
        <w:t xml:space="preserve"> Guidelines for Guidelines, Australian Government, National Health and Medical Research Council, </w:t>
      </w:r>
      <w:r w:rsidRPr="00983C2C">
        <w:t>https://www.nhmrc.gov.au/guidelinesforguidelines/updating#toc__261</w:t>
      </w:r>
    </w:p>
  </w:footnote>
  <w:footnote w:id="66">
    <w:p w14:paraId="36A490A7" w14:textId="77777777" w:rsidR="007F1F22" w:rsidRDefault="007F1F22" w:rsidP="007F1F22">
      <w:pPr>
        <w:pStyle w:val="TableFigureFooter"/>
      </w:pPr>
      <w:r>
        <w:rPr>
          <w:rStyle w:val="FootnoteReference"/>
        </w:rPr>
        <w:footnoteRef/>
      </w:r>
      <w:r>
        <w:t xml:space="preserve"> Clinical practice guidelines for the management of Overweight and Obesity in Adults, Adolescents and Children in Australia, Full Guidelines October 2024, Australian Government, Department of Health and Aged Care, </w:t>
      </w:r>
      <w:r w:rsidRPr="00CC31B1">
        <w:t>https://www.deakin.edu.au/__data/assets/pdf_file/0004/2856298/Draft-Guidelines-Full-Guidelines.pdf</w:t>
      </w:r>
    </w:p>
  </w:footnote>
  <w:footnote w:id="67">
    <w:p w14:paraId="624E1FDF" w14:textId="77777777" w:rsidR="007F1F22" w:rsidRDefault="007F1F22" w:rsidP="007F1F22">
      <w:pPr>
        <w:pStyle w:val="TableFigureFooter"/>
      </w:pPr>
      <w:r>
        <w:rPr>
          <w:rStyle w:val="FootnoteReference"/>
        </w:rPr>
        <w:footnoteRef/>
      </w:r>
      <w:r>
        <w:t xml:space="preserve"> Note that tirpezatide and liraglutide are TGA-registered for patients with BMI greater than or equal to 30kg/m</w:t>
      </w:r>
      <w:r w:rsidRPr="00E875B3">
        <w:rPr>
          <w:vertAlign w:val="superscript"/>
        </w:rPr>
        <w:t>2</w:t>
      </w:r>
      <w:r>
        <w:t xml:space="preserve"> or greater than or equal to 27kg/m</w:t>
      </w:r>
      <w:r w:rsidRPr="00E875B3">
        <w:rPr>
          <w:vertAlign w:val="superscript"/>
        </w:rPr>
        <w:t>2</w:t>
      </w:r>
      <w:r>
        <w:t xml:space="preserve"> to &lt;30kg/m</w:t>
      </w:r>
      <w:r w:rsidRPr="00E875B3">
        <w:rPr>
          <w:vertAlign w:val="superscript"/>
        </w:rPr>
        <w:t>2</w:t>
      </w:r>
      <w:r>
        <w:t xml:space="preserve"> in the presence of at least one comorbidity such as dysglycaemia (pre-diabetes and T2Dm), hypertension, dyslipidaemia or obstructive sleep apnoea.  </w:t>
      </w:r>
    </w:p>
  </w:footnote>
  <w:footnote w:id="68">
    <w:p w14:paraId="6A29999B" w14:textId="74D33AE3" w:rsidR="007F1F22" w:rsidRDefault="007F1F22" w:rsidP="00364426">
      <w:pPr>
        <w:pStyle w:val="TableFigureFooter"/>
      </w:pPr>
      <w:r>
        <w:rPr>
          <w:rStyle w:val="FootnoteReference"/>
        </w:rPr>
        <w:footnoteRef/>
      </w:r>
      <w:r>
        <w:t xml:space="preserve"> </w:t>
      </w:r>
      <w:r w:rsidRPr="001B0EE3">
        <w:t>The TGA indication for the device is limited to adult patients with BMI between 30-50 kg/m</w:t>
      </w:r>
      <w:r w:rsidRPr="001B0EE3">
        <w:rPr>
          <w:vertAlign w:val="superscript"/>
        </w:rPr>
        <w:t>2</w:t>
      </w:r>
      <w:r w:rsidRPr="001B0EE3">
        <w:t xml:space="preserve">, </w:t>
      </w:r>
      <w:r w:rsidR="00836E02" w:rsidRPr="00AE36DD">
        <w:t>https://www.tga.gov.au/resources/artg/461292</w:t>
      </w:r>
      <w:r>
        <w:t xml:space="preserve"> </w:t>
      </w:r>
    </w:p>
  </w:footnote>
  <w:footnote w:id="69">
    <w:p w14:paraId="58F6C937" w14:textId="668714B8" w:rsidR="007F1F22" w:rsidRDefault="007F1F22" w:rsidP="007F1F22">
      <w:pPr>
        <w:pStyle w:val="TableFigureFooter"/>
      </w:pPr>
      <w:r>
        <w:rPr>
          <w:rStyle w:val="FootnoteReference"/>
        </w:rPr>
        <w:footnoteRef/>
      </w:r>
      <w:r>
        <w:t xml:space="preserve"> </w:t>
      </w:r>
      <w:r w:rsidRPr="00135940">
        <w:t>Medicare Benefits Schedule - Note TN.8.29</w:t>
      </w:r>
      <w:r>
        <w:t xml:space="preserve">, MBS Online, Australian Government, Department of Health and Aged care, </w:t>
      </w:r>
      <w:r w:rsidR="00836E02" w:rsidRPr="00AE36DD">
        <w:t>https://www9.health.gov.au/mbs/fullDisplay.cfm?type=note&amp;qt=NoteID&amp;q=TN.8.29</w:t>
      </w:r>
      <w:r>
        <w:t xml:space="preserve"> </w:t>
      </w:r>
    </w:p>
  </w:footnote>
  <w:footnote w:id="70">
    <w:p w14:paraId="0E923121" w14:textId="6732B33A" w:rsidR="007F1F22" w:rsidRDefault="007F1F22" w:rsidP="007F1F22">
      <w:pPr>
        <w:pStyle w:val="TableFigureFooter"/>
      </w:pPr>
      <w:r>
        <w:rPr>
          <w:rStyle w:val="FootnoteReference"/>
        </w:rPr>
        <w:footnoteRef/>
      </w:r>
      <w:r>
        <w:t xml:space="preserve"> </w:t>
      </w:r>
      <w:r w:rsidRPr="004E4FFA">
        <w:t>Rubino, F., Cummings, D. E., Eckel, R. H., Cohen, R. V., Wilding, J. P. H., Brown, W. A., Stanford, F. C., Batterham, R. L., Farooqi, I. S., Farpour-Lambert, N. J., le Roux, C. W., Sattar, N., Baur, L. A., Morrison, K. M., Misra, A., Kadowaki, T., Tham, K. W., Sumithran, P., Garvey, W. T., … Mingrone, G. (2025). Definition and diagnostic criteria of clinical obesity. </w:t>
      </w:r>
      <w:r w:rsidRPr="004E4FFA">
        <w:rPr>
          <w:i/>
          <w:iCs/>
        </w:rPr>
        <w:t>The Lancet. Diabetes &amp; Endocrinology</w:t>
      </w:r>
      <w:r w:rsidRPr="004E4FFA">
        <w:t xml:space="preserve">. </w:t>
      </w:r>
      <w:r w:rsidR="00836E02" w:rsidRPr="00AE36DD">
        <w:t>https://doi.org/10.1016/S2213-8587(24)00316-4</w:t>
      </w:r>
      <w:r>
        <w:t xml:space="preserve"> </w:t>
      </w:r>
    </w:p>
  </w:footnote>
  <w:footnote w:id="71">
    <w:p w14:paraId="197372EB" w14:textId="1F12B6DA" w:rsidR="007F1F22" w:rsidRDefault="007F1F22" w:rsidP="007F1F22">
      <w:pPr>
        <w:pStyle w:val="TableFigureFooter"/>
      </w:pPr>
      <w:r>
        <w:rPr>
          <w:rStyle w:val="FootnoteReference"/>
        </w:rPr>
        <w:footnoteRef/>
      </w:r>
      <w:r>
        <w:t xml:space="preserve"> Bariatric Surgery Registry; Medicine, Nursing, and Health Sciences; Monash University (available: </w:t>
      </w:r>
      <w:r w:rsidR="00836E02" w:rsidRPr="00AE36DD">
        <w:t>https://www.monash.edu/medicine/translational/research/registries/bariatric#:~:text=The%20primary%20aim%20of%20the%20Bariatric%20Surgery%20Registry,It%20is%20predominantly%20a%20quality%20and%20safety%20registry</w:t>
      </w:r>
      <w:r>
        <w:t>)</w:t>
      </w:r>
      <w:r w:rsidRPr="001C15E3">
        <w:t>.</w:t>
      </w:r>
    </w:p>
  </w:footnote>
  <w:footnote w:id="72">
    <w:p w14:paraId="7D0C501F" w14:textId="77777777" w:rsidR="007F1F22" w:rsidRDefault="007F1F22" w:rsidP="007F1F22">
      <w:pPr>
        <w:pStyle w:val="TableFigureFooter"/>
      </w:pPr>
      <w:r>
        <w:rPr>
          <w:rStyle w:val="FootnoteReference"/>
        </w:rPr>
        <w:footnoteRef/>
      </w:r>
      <w:r>
        <w:t xml:space="preserve"> </w:t>
      </w:r>
      <w:r w:rsidRPr="00F4055B">
        <w:t xml:space="preserve">Thornton, SM, Edalatpour, A &amp; Gast, KM 2024, 'A systematic review of patient regret after surgery- A common phenomenon in many specialties but rare within gender-affirmation surgery', </w:t>
      </w:r>
      <w:r w:rsidRPr="00F4055B">
        <w:rPr>
          <w:i/>
          <w:iCs/>
        </w:rPr>
        <w:t>American Journal of Surgery</w:t>
      </w:r>
      <w:r w:rsidRPr="00F4055B">
        <w:t>, vol. 234, pp. 68-73.</w:t>
      </w:r>
    </w:p>
  </w:footnote>
  <w:footnote w:id="73">
    <w:p w14:paraId="5C6AC2A6" w14:textId="77777777" w:rsidR="007F1F22" w:rsidRDefault="007F1F22" w:rsidP="007F1F22">
      <w:pPr>
        <w:pStyle w:val="TableFigureFooter"/>
      </w:pPr>
      <w:r>
        <w:rPr>
          <w:rStyle w:val="FootnoteReference"/>
        </w:rPr>
        <w:footnoteRef/>
      </w:r>
      <w:r>
        <w:t xml:space="preserve"> </w:t>
      </w:r>
      <w:r w:rsidRPr="00A60215">
        <w:t>Lahooti, A., Rizvi, A., Baig, M. U., Akagbosu, C., Mahadev, S., Sampath, K., Carr-Locke, D. L., Aronne, L., Shukla, A., Johnson, K. E., Herr, A., Newberry, C., Kumar, S., &amp; Sharaiha, R. (2024). S2063 Ten-Year Outcomes of Endoscopic Sleeve Gastroplasty for the Treatment of Obesity. </w:t>
      </w:r>
      <w:r w:rsidRPr="00A60215">
        <w:rPr>
          <w:i/>
          <w:iCs/>
        </w:rPr>
        <w:t>The American Journal of Gastroenterology</w:t>
      </w:r>
      <w:r w:rsidRPr="00A60215">
        <w:t>, </w:t>
      </w:r>
      <w:r w:rsidRPr="00A60215">
        <w:rPr>
          <w:i/>
          <w:iCs/>
        </w:rPr>
        <w:t>119</w:t>
      </w:r>
      <w:r w:rsidRPr="00A60215">
        <w:t>(10S), S1473–S1474. https://doi.org/10.14309/01.ajg.0001037620.30740.d4</w:t>
      </w:r>
    </w:p>
  </w:footnote>
  <w:footnote w:id="74">
    <w:p w14:paraId="06BA5138" w14:textId="2BFD898F" w:rsidR="007F1F22" w:rsidRDefault="007F1F22" w:rsidP="007F1F22">
      <w:pPr>
        <w:pStyle w:val="TableFigureFooter"/>
      </w:pPr>
      <w:r>
        <w:rPr>
          <w:rStyle w:val="FootnoteReference"/>
        </w:rPr>
        <w:footnoteRef/>
      </w:r>
      <w:r>
        <w:t xml:space="preserve"> </w:t>
      </w:r>
      <w:r w:rsidRPr="0008331A">
        <w:rPr>
          <w:i/>
          <w:iCs/>
        </w:rPr>
        <w:t>Guidelines for preparing assessments for the Medical Services Advisory Committee</w:t>
      </w:r>
      <w:r>
        <w:t>, Version 1.0, May 2021,</w:t>
      </w:r>
      <w:r w:rsidRPr="00BC6167">
        <w:t xml:space="preserve"> </w:t>
      </w:r>
      <w:r>
        <w:t xml:space="preserve">Page 241, Medical Services Advisory Committee (available: </w:t>
      </w:r>
      <w:r w:rsidR="00836E02" w:rsidRPr="00AE36DD">
        <w:t>https://www.msac.gov.au/sites/default/files/2024-10/guidelines-for-preparing-assessments-for-msac.pdf</w:t>
      </w:r>
      <w:r>
        <w:t xml:space="preserve">). </w:t>
      </w:r>
    </w:p>
  </w:footnote>
  <w:footnote w:id="75">
    <w:p w14:paraId="34CA8EF0" w14:textId="77777777" w:rsidR="007F1F22" w:rsidRDefault="007F1F22" w:rsidP="007F1F22">
      <w:pPr>
        <w:pStyle w:val="TableFigureFooter"/>
      </w:pPr>
      <w:r>
        <w:rPr>
          <w:rStyle w:val="FootnoteReference"/>
        </w:rPr>
        <w:footnoteRef/>
      </w:r>
      <w:r>
        <w:t xml:space="preserve"> </w:t>
      </w:r>
      <w:r w:rsidRPr="0019052B">
        <w:t xml:space="preserve">Alqahtani, A. R., M. Elahmedi, A. Aldarwish, H. Y. Abdurabu and S. Alqahtani (2022). "Endoscopic gastroplasty versus laparoscopic sleeve gastrectomy: a noninferiority propensity score-matched comparative study." </w:t>
      </w:r>
      <w:r w:rsidRPr="0008331A">
        <w:rPr>
          <w:i/>
          <w:iCs/>
        </w:rPr>
        <w:t>Gastrointest Endosc</w:t>
      </w:r>
      <w:r w:rsidRPr="0019052B">
        <w:t xml:space="preserve"> 96(1): 44-50.</w:t>
      </w:r>
    </w:p>
  </w:footnote>
  <w:footnote w:id="76">
    <w:p w14:paraId="59DA4C80" w14:textId="77777777" w:rsidR="007F1F22" w:rsidRDefault="007F1F22" w:rsidP="007F1F22">
      <w:pPr>
        <w:pStyle w:val="TableFigureFooter"/>
      </w:pPr>
      <w:r>
        <w:rPr>
          <w:rStyle w:val="FootnoteReference"/>
        </w:rPr>
        <w:footnoteRef/>
      </w:r>
      <w:r>
        <w:t xml:space="preserve"> The ADAR reported that the more intensive lifestyle modification incorporated </w:t>
      </w:r>
      <w:r w:rsidRPr="00463CFF">
        <w:t>liquid diet in the first week following the procedure, a “pureed” diet in the subsequent week, a “mechanically altered soft diet” in the following week, before transitioning to a regular texture diet by the end of the fifth week. Following the immediate phase after the procedure, patients require a high-protein diet, coupled with supervised strength training to overcome the loss in muscle strength after the surgery</w:t>
      </w:r>
      <w:r>
        <w:t xml:space="preserve">. The rationale was </w:t>
      </w:r>
      <w:r w:rsidRPr="00D3166D">
        <w:t>to accommodate the dietary changes required to ensure optimal effectiveness of ESG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1413D39" w14:paraId="0BC23415" w14:textId="77777777" w:rsidTr="007D18A3">
      <w:trPr>
        <w:trHeight w:val="300"/>
      </w:trPr>
      <w:tc>
        <w:tcPr>
          <w:tcW w:w="3005" w:type="dxa"/>
        </w:tcPr>
        <w:p w14:paraId="524B95C2" w14:textId="4F87D82C" w:rsidR="11413D39" w:rsidRDefault="11413D39" w:rsidP="007D18A3">
          <w:pPr>
            <w:pStyle w:val="Header"/>
            <w:ind w:left="-115"/>
          </w:pPr>
        </w:p>
      </w:tc>
      <w:tc>
        <w:tcPr>
          <w:tcW w:w="3005" w:type="dxa"/>
        </w:tcPr>
        <w:p w14:paraId="0CBB4573" w14:textId="091C5600" w:rsidR="11413D39" w:rsidRDefault="11413D39" w:rsidP="007D18A3">
          <w:pPr>
            <w:pStyle w:val="Header"/>
            <w:jc w:val="center"/>
          </w:pPr>
        </w:p>
      </w:tc>
      <w:tc>
        <w:tcPr>
          <w:tcW w:w="3005" w:type="dxa"/>
        </w:tcPr>
        <w:p w14:paraId="67F0935C" w14:textId="06876E45" w:rsidR="11413D39" w:rsidRDefault="11413D39" w:rsidP="007D18A3">
          <w:pPr>
            <w:pStyle w:val="Header"/>
            <w:ind w:right="-115"/>
            <w:jc w:val="right"/>
          </w:pPr>
        </w:p>
      </w:tc>
    </w:tr>
  </w:tbl>
  <w:p w14:paraId="339C4C5D" w14:textId="562F1FFC" w:rsidR="00A56502" w:rsidRDefault="00A56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9EF25" w14:textId="77777777" w:rsidR="00B90003" w:rsidRDefault="00B900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8A888" w14:textId="77777777" w:rsidR="00B90003" w:rsidRDefault="00B90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29DB"/>
    <w:multiLevelType w:val="multilevel"/>
    <w:tmpl w:val="FBE08872"/>
    <w:lvl w:ilvl="0">
      <w:start w:val="1"/>
      <w:numFmt w:val="bullet"/>
      <w:lvlText w:val=""/>
      <w:lvlJc w:val="left"/>
      <w:pPr>
        <w:tabs>
          <w:tab w:val="num" w:pos="1050"/>
        </w:tabs>
        <w:ind w:left="1050" w:hanging="360"/>
      </w:pPr>
      <w:rPr>
        <w:rFonts w:ascii="Symbol" w:hAnsi="Symbol" w:hint="default"/>
        <w:sz w:val="20"/>
      </w:rPr>
    </w:lvl>
    <w:lvl w:ilvl="1">
      <w:start w:val="10"/>
      <w:numFmt w:val="bullet"/>
      <w:lvlText w:val="-"/>
      <w:lvlJc w:val="left"/>
      <w:pPr>
        <w:ind w:left="1770" w:hanging="360"/>
      </w:pPr>
      <w:rPr>
        <w:rFonts w:ascii="Arial Narrow" w:eastAsia="Times New Roman" w:hAnsi="Arial Narrow" w:cs="Tahoma" w:hint="default"/>
      </w:rPr>
    </w:lvl>
    <w:lvl w:ilvl="2" w:tentative="1">
      <w:start w:val="1"/>
      <w:numFmt w:val="bullet"/>
      <w:lvlText w:val=""/>
      <w:lvlJc w:val="left"/>
      <w:pPr>
        <w:tabs>
          <w:tab w:val="num" w:pos="2490"/>
        </w:tabs>
        <w:ind w:left="2490" w:hanging="360"/>
      </w:pPr>
      <w:rPr>
        <w:rFonts w:ascii="Symbol" w:hAnsi="Symbol" w:hint="default"/>
        <w:sz w:val="20"/>
      </w:rPr>
    </w:lvl>
    <w:lvl w:ilvl="3" w:tentative="1">
      <w:start w:val="1"/>
      <w:numFmt w:val="bullet"/>
      <w:lvlText w:val=""/>
      <w:lvlJc w:val="left"/>
      <w:pPr>
        <w:tabs>
          <w:tab w:val="num" w:pos="3210"/>
        </w:tabs>
        <w:ind w:left="3210" w:hanging="360"/>
      </w:pPr>
      <w:rPr>
        <w:rFonts w:ascii="Symbol" w:hAnsi="Symbol" w:hint="default"/>
        <w:sz w:val="20"/>
      </w:rPr>
    </w:lvl>
    <w:lvl w:ilvl="4" w:tentative="1">
      <w:start w:val="1"/>
      <w:numFmt w:val="bullet"/>
      <w:lvlText w:val=""/>
      <w:lvlJc w:val="left"/>
      <w:pPr>
        <w:tabs>
          <w:tab w:val="num" w:pos="3930"/>
        </w:tabs>
        <w:ind w:left="3930" w:hanging="360"/>
      </w:pPr>
      <w:rPr>
        <w:rFonts w:ascii="Symbol" w:hAnsi="Symbol" w:hint="default"/>
        <w:sz w:val="20"/>
      </w:rPr>
    </w:lvl>
    <w:lvl w:ilvl="5" w:tentative="1">
      <w:start w:val="1"/>
      <w:numFmt w:val="bullet"/>
      <w:lvlText w:val=""/>
      <w:lvlJc w:val="left"/>
      <w:pPr>
        <w:tabs>
          <w:tab w:val="num" w:pos="4650"/>
        </w:tabs>
        <w:ind w:left="4650" w:hanging="360"/>
      </w:pPr>
      <w:rPr>
        <w:rFonts w:ascii="Symbol" w:hAnsi="Symbol" w:hint="default"/>
        <w:sz w:val="20"/>
      </w:rPr>
    </w:lvl>
    <w:lvl w:ilvl="6" w:tentative="1">
      <w:start w:val="1"/>
      <w:numFmt w:val="bullet"/>
      <w:lvlText w:val=""/>
      <w:lvlJc w:val="left"/>
      <w:pPr>
        <w:tabs>
          <w:tab w:val="num" w:pos="5370"/>
        </w:tabs>
        <w:ind w:left="5370" w:hanging="360"/>
      </w:pPr>
      <w:rPr>
        <w:rFonts w:ascii="Symbol" w:hAnsi="Symbol" w:hint="default"/>
        <w:sz w:val="20"/>
      </w:rPr>
    </w:lvl>
    <w:lvl w:ilvl="7" w:tentative="1">
      <w:start w:val="1"/>
      <w:numFmt w:val="bullet"/>
      <w:lvlText w:val=""/>
      <w:lvlJc w:val="left"/>
      <w:pPr>
        <w:tabs>
          <w:tab w:val="num" w:pos="6090"/>
        </w:tabs>
        <w:ind w:left="6090" w:hanging="360"/>
      </w:pPr>
      <w:rPr>
        <w:rFonts w:ascii="Symbol" w:hAnsi="Symbol" w:hint="default"/>
        <w:sz w:val="20"/>
      </w:rPr>
    </w:lvl>
    <w:lvl w:ilvl="8" w:tentative="1">
      <w:start w:val="1"/>
      <w:numFmt w:val="bullet"/>
      <w:lvlText w:val=""/>
      <w:lvlJc w:val="left"/>
      <w:pPr>
        <w:tabs>
          <w:tab w:val="num" w:pos="6810"/>
        </w:tabs>
        <w:ind w:left="6810" w:hanging="360"/>
      </w:pPr>
      <w:rPr>
        <w:rFonts w:ascii="Symbol" w:hAnsi="Symbol" w:hint="default"/>
        <w:sz w:val="20"/>
      </w:rPr>
    </w:lvl>
  </w:abstractNum>
  <w:abstractNum w:abstractNumId="1" w15:restartNumberingAfterBreak="0">
    <w:nsid w:val="04097176"/>
    <w:multiLevelType w:val="hybridMultilevel"/>
    <w:tmpl w:val="7A5229FA"/>
    <w:lvl w:ilvl="0" w:tplc="D75EB9F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487440"/>
    <w:multiLevelType w:val="hybridMultilevel"/>
    <w:tmpl w:val="253E2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FF556F"/>
    <w:multiLevelType w:val="hybridMultilevel"/>
    <w:tmpl w:val="9A60C228"/>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9A23AC"/>
    <w:multiLevelType w:val="hybridMultilevel"/>
    <w:tmpl w:val="E5A0D8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847AEC"/>
    <w:multiLevelType w:val="hybridMultilevel"/>
    <w:tmpl w:val="E66C3C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BB1E73"/>
    <w:multiLevelType w:val="hybridMultilevel"/>
    <w:tmpl w:val="CDE20EC4"/>
    <w:lvl w:ilvl="0" w:tplc="FE907B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212B0"/>
    <w:multiLevelType w:val="multilevel"/>
    <w:tmpl w:val="3D46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FD3994"/>
    <w:multiLevelType w:val="hybridMultilevel"/>
    <w:tmpl w:val="22C8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F311D3"/>
    <w:multiLevelType w:val="hybridMultilevel"/>
    <w:tmpl w:val="DFBA7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4522DC"/>
    <w:multiLevelType w:val="hybridMultilevel"/>
    <w:tmpl w:val="32F67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095DD8"/>
    <w:multiLevelType w:val="hybridMultilevel"/>
    <w:tmpl w:val="E1622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F59169F"/>
    <w:multiLevelType w:val="hybridMultilevel"/>
    <w:tmpl w:val="29040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4212FE"/>
    <w:multiLevelType w:val="hybridMultilevel"/>
    <w:tmpl w:val="830E11B6"/>
    <w:styleLink w:val="ESSectionheading-numbered"/>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963279"/>
    <w:multiLevelType w:val="hybridMultilevel"/>
    <w:tmpl w:val="F32C8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9E4B57"/>
    <w:multiLevelType w:val="hybridMultilevel"/>
    <w:tmpl w:val="F9B64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6E6CB8"/>
    <w:multiLevelType w:val="hybridMultilevel"/>
    <w:tmpl w:val="2B7EF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095746"/>
    <w:multiLevelType w:val="hybridMultilevel"/>
    <w:tmpl w:val="28BC0FCE"/>
    <w:lvl w:ilvl="0" w:tplc="A26EFB64">
      <w:start w:val="1"/>
      <w:numFmt w:val="bullet"/>
      <w:pStyle w:val="Instructionaltext-bullet"/>
      <w:lvlText w:val=""/>
      <w:lvlJc w:val="left"/>
      <w:pPr>
        <w:ind w:left="1069"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8B218F1"/>
    <w:multiLevelType w:val="hybridMultilevel"/>
    <w:tmpl w:val="A238ACA0"/>
    <w:lvl w:ilvl="0" w:tplc="8B282944">
      <w:start w:val="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6225CD"/>
    <w:multiLevelType w:val="hybridMultilevel"/>
    <w:tmpl w:val="BB821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74602F"/>
    <w:multiLevelType w:val="hybridMultilevel"/>
    <w:tmpl w:val="56A67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3F1DE8"/>
    <w:multiLevelType w:val="hybridMultilevel"/>
    <w:tmpl w:val="F9980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AE23FA"/>
    <w:multiLevelType w:val="hybridMultilevel"/>
    <w:tmpl w:val="C570F6E2"/>
    <w:lvl w:ilvl="0" w:tplc="99DAC3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681CA6"/>
    <w:multiLevelType w:val="hybridMultilevel"/>
    <w:tmpl w:val="923A5B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21416A"/>
    <w:multiLevelType w:val="hybridMultilevel"/>
    <w:tmpl w:val="A3C2E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3B272D"/>
    <w:multiLevelType w:val="hybridMultilevel"/>
    <w:tmpl w:val="5E0E9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387A2F"/>
    <w:multiLevelType w:val="hybridMultilevel"/>
    <w:tmpl w:val="7264D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E42108"/>
    <w:multiLevelType w:val="hybridMultilevel"/>
    <w:tmpl w:val="D2F47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A503E8"/>
    <w:multiLevelType w:val="hybridMultilevel"/>
    <w:tmpl w:val="1706C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A34A74"/>
    <w:multiLevelType w:val="hybridMultilevel"/>
    <w:tmpl w:val="3192F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45016F"/>
    <w:multiLevelType w:val="hybridMultilevel"/>
    <w:tmpl w:val="7ACED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7336C2"/>
    <w:multiLevelType w:val="hybridMultilevel"/>
    <w:tmpl w:val="CE484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1749109160">
    <w:abstractNumId w:val="17"/>
  </w:num>
  <w:num w:numId="2" w16cid:durableId="1270162788">
    <w:abstractNumId w:val="40"/>
  </w:num>
  <w:num w:numId="3" w16cid:durableId="404036336">
    <w:abstractNumId w:val="18"/>
  </w:num>
  <w:num w:numId="4" w16cid:durableId="1754930659">
    <w:abstractNumId w:val="3"/>
  </w:num>
  <w:num w:numId="5" w16cid:durableId="1821774551">
    <w:abstractNumId w:val="36"/>
  </w:num>
  <w:num w:numId="6" w16cid:durableId="758334604">
    <w:abstractNumId w:val="13"/>
  </w:num>
  <w:num w:numId="7" w16cid:durableId="1414619933">
    <w:abstractNumId w:val="14"/>
  </w:num>
  <w:num w:numId="8" w16cid:durableId="747844684">
    <w:abstractNumId w:val="16"/>
  </w:num>
  <w:num w:numId="9" w16cid:durableId="1180662619">
    <w:abstractNumId w:val="22"/>
  </w:num>
  <w:num w:numId="10" w16cid:durableId="1600799049">
    <w:abstractNumId w:val="0"/>
  </w:num>
  <w:num w:numId="11" w16cid:durableId="2089039077">
    <w:abstractNumId w:val="8"/>
  </w:num>
  <w:num w:numId="12" w16cid:durableId="1877036532">
    <w:abstractNumId w:val="31"/>
  </w:num>
  <w:num w:numId="13" w16cid:durableId="706098629">
    <w:abstractNumId w:val="4"/>
  </w:num>
  <w:num w:numId="14" w16cid:durableId="1407530079">
    <w:abstractNumId w:val="26"/>
  </w:num>
  <w:num w:numId="15" w16cid:durableId="536311416">
    <w:abstractNumId w:val="15"/>
  </w:num>
  <w:num w:numId="16" w16cid:durableId="1937397706">
    <w:abstractNumId w:val="19"/>
  </w:num>
  <w:num w:numId="17" w16cid:durableId="235016775">
    <w:abstractNumId w:val="27"/>
  </w:num>
  <w:num w:numId="18" w16cid:durableId="2128310783">
    <w:abstractNumId w:val="11"/>
  </w:num>
  <w:num w:numId="19" w16cid:durableId="1178041658">
    <w:abstractNumId w:val="33"/>
  </w:num>
  <w:num w:numId="20" w16cid:durableId="2078748888">
    <w:abstractNumId w:val="2"/>
  </w:num>
  <w:num w:numId="21" w16cid:durableId="684789601">
    <w:abstractNumId w:val="20"/>
  </w:num>
  <w:num w:numId="22" w16cid:durableId="836460951">
    <w:abstractNumId w:val="29"/>
  </w:num>
  <w:num w:numId="23" w16cid:durableId="1246303243">
    <w:abstractNumId w:val="37"/>
  </w:num>
  <w:num w:numId="24" w16cid:durableId="1689479852">
    <w:abstractNumId w:val="7"/>
  </w:num>
  <w:num w:numId="25" w16cid:durableId="1932927540">
    <w:abstractNumId w:val="34"/>
  </w:num>
  <w:num w:numId="26" w16cid:durableId="213277886">
    <w:abstractNumId w:val="10"/>
  </w:num>
  <w:num w:numId="27" w16cid:durableId="998770964">
    <w:abstractNumId w:val="1"/>
  </w:num>
  <w:num w:numId="28" w16cid:durableId="184904280">
    <w:abstractNumId w:val="5"/>
  </w:num>
  <w:num w:numId="29" w16cid:durableId="908927443">
    <w:abstractNumId w:val="23"/>
  </w:num>
  <w:num w:numId="30" w16cid:durableId="2121486063">
    <w:abstractNumId w:val="32"/>
  </w:num>
  <w:num w:numId="31" w16cid:durableId="1696926506">
    <w:abstractNumId w:val="39"/>
  </w:num>
  <w:num w:numId="32" w16cid:durableId="1359089801">
    <w:abstractNumId w:val="9"/>
  </w:num>
  <w:num w:numId="33" w16cid:durableId="1092507891">
    <w:abstractNumId w:val="21"/>
  </w:num>
  <w:num w:numId="34" w16cid:durableId="1271939518">
    <w:abstractNumId w:val="28"/>
  </w:num>
  <w:num w:numId="35" w16cid:durableId="1835998319">
    <w:abstractNumId w:val="6"/>
  </w:num>
  <w:num w:numId="36" w16cid:durableId="380862066">
    <w:abstractNumId w:val="12"/>
  </w:num>
  <w:num w:numId="37" w16cid:durableId="452984913">
    <w:abstractNumId w:val="24"/>
  </w:num>
  <w:num w:numId="38" w16cid:durableId="1203052685">
    <w:abstractNumId w:val="35"/>
  </w:num>
  <w:num w:numId="39" w16cid:durableId="314263171">
    <w:abstractNumId w:val="30"/>
  </w:num>
  <w:num w:numId="40" w16cid:durableId="119881024">
    <w:abstractNumId w:val="38"/>
  </w:num>
  <w:num w:numId="41" w16cid:durableId="1132597804">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0004"/>
    <w:rsid w:val="00000244"/>
    <w:rsid w:val="000003AD"/>
    <w:rsid w:val="00000609"/>
    <w:rsid w:val="00000641"/>
    <w:rsid w:val="000007CC"/>
    <w:rsid w:val="0000085C"/>
    <w:rsid w:val="000009ED"/>
    <w:rsid w:val="00000E59"/>
    <w:rsid w:val="00000EB2"/>
    <w:rsid w:val="00000FB8"/>
    <w:rsid w:val="0000109A"/>
    <w:rsid w:val="00001183"/>
    <w:rsid w:val="00001184"/>
    <w:rsid w:val="0000123B"/>
    <w:rsid w:val="0000135E"/>
    <w:rsid w:val="0000158B"/>
    <w:rsid w:val="00001699"/>
    <w:rsid w:val="00001740"/>
    <w:rsid w:val="00001837"/>
    <w:rsid w:val="000019DC"/>
    <w:rsid w:val="00001AC5"/>
    <w:rsid w:val="00001AE6"/>
    <w:rsid w:val="00001B27"/>
    <w:rsid w:val="00001BC3"/>
    <w:rsid w:val="00001C80"/>
    <w:rsid w:val="00001D23"/>
    <w:rsid w:val="00001D49"/>
    <w:rsid w:val="00001D55"/>
    <w:rsid w:val="00001FE0"/>
    <w:rsid w:val="000020FA"/>
    <w:rsid w:val="00002337"/>
    <w:rsid w:val="0000243C"/>
    <w:rsid w:val="000025C5"/>
    <w:rsid w:val="00002735"/>
    <w:rsid w:val="0000292D"/>
    <w:rsid w:val="0000296C"/>
    <w:rsid w:val="00002E0F"/>
    <w:rsid w:val="00002EF2"/>
    <w:rsid w:val="00002FB3"/>
    <w:rsid w:val="0000302A"/>
    <w:rsid w:val="00003087"/>
    <w:rsid w:val="00003269"/>
    <w:rsid w:val="00003338"/>
    <w:rsid w:val="000033E0"/>
    <w:rsid w:val="000036C1"/>
    <w:rsid w:val="0000394B"/>
    <w:rsid w:val="00003969"/>
    <w:rsid w:val="00003B1A"/>
    <w:rsid w:val="00003BED"/>
    <w:rsid w:val="00003D28"/>
    <w:rsid w:val="00003ED4"/>
    <w:rsid w:val="00003F1C"/>
    <w:rsid w:val="00003F35"/>
    <w:rsid w:val="00003FBC"/>
    <w:rsid w:val="00004428"/>
    <w:rsid w:val="00004468"/>
    <w:rsid w:val="00004580"/>
    <w:rsid w:val="00004689"/>
    <w:rsid w:val="0000483A"/>
    <w:rsid w:val="00004889"/>
    <w:rsid w:val="00004BBD"/>
    <w:rsid w:val="00004BE5"/>
    <w:rsid w:val="00004C92"/>
    <w:rsid w:val="00004CAB"/>
    <w:rsid w:val="00004CB6"/>
    <w:rsid w:val="00004D69"/>
    <w:rsid w:val="00004DD8"/>
    <w:rsid w:val="00004EF3"/>
    <w:rsid w:val="00004F7F"/>
    <w:rsid w:val="0000501B"/>
    <w:rsid w:val="00005155"/>
    <w:rsid w:val="000052C2"/>
    <w:rsid w:val="000052DD"/>
    <w:rsid w:val="0000531F"/>
    <w:rsid w:val="000054C9"/>
    <w:rsid w:val="0000551B"/>
    <w:rsid w:val="000055C6"/>
    <w:rsid w:val="00005656"/>
    <w:rsid w:val="00005765"/>
    <w:rsid w:val="0000579C"/>
    <w:rsid w:val="000058D5"/>
    <w:rsid w:val="000058E1"/>
    <w:rsid w:val="0000597B"/>
    <w:rsid w:val="00005D1A"/>
    <w:rsid w:val="00005D4B"/>
    <w:rsid w:val="00005F3E"/>
    <w:rsid w:val="00006129"/>
    <w:rsid w:val="000061FC"/>
    <w:rsid w:val="000063B3"/>
    <w:rsid w:val="000064AC"/>
    <w:rsid w:val="0000657C"/>
    <w:rsid w:val="00006582"/>
    <w:rsid w:val="00006A56"/>
    <w:rsid w:val="00006B67"/>
    <w:rsid w:val="00006B79"/>
    <w:rsid w:val="00006C15"/>
    <w:rsid w:val="00006CC1"/>
    <w:rsid w:val="000070E0"/>
    <w:rsid w:val="0000725E"/>
    <w:rsid w:val="00007290"/>
    <w:rsid w:val="00007459"/>
    <w:rsid w:val="000074B2"/>
    <w:rsid w:val="00007568"/>
    <w:rsid w:val="000076FB"/>
    <w:rsid w:val="00007754"/>
    <w:rsid w:val="0000784F"/>
    <w:rsid w:val="00007A27"/>
    <w:rsid w:val="00007B17"/>
    <w:rsid w:val="00007C4E"/>
    <w:rsid w:val="00007CB5"/>
    <w:rsid w:val="00007CFB"/>
    <w:rsid w:val="00007D69"/>
    <w:rsid w:val="00007E10"/>
    <w:rsid w:val="00007E5A"/>
    <w:rsid w:val="00007ECC"/>
    <w:rsid w:val="00007F6A"/>
    <w:rsid w:val="000101C9"/>
    <w:rsid w:val="000102EB"/>
    <w:rsid w:val="00010316"/>
    <w:rsid w:val="000105A2"/>
    <w:rsid w:val="000105C0"/>
    <w:rsid w:val="000107AF"/>
    <w:rsid w:val="00010915"/>
    <w:rsid w:val="00010A88"/>
    <w:rsid w:val="00010DB7"/>
    <w:rsid w:val="00010E5F"/>
    <w:rsid w:val="00011103"/>
    <w:rsid w:val="00011145"/>
    <w:rsid w:val="0001128B"/>
    <w:rsid w:val="000113C7"/>
    <w:rsid w:val="00011568"/>
    <w:rsid w:val="000117BA"/>
    <w:rsid w:val="00011DF5"/>
    <w:rsid w:val="00011E81"/>
    <w:rsid w:val="00011E97"/>
    <w:rsid w:val="00011EB3"/>
    <w:rsid w:val="00011EB5"/>
    <w:rsid w:val="00011FD0"/>
    <w:rsid w:val="00012100"/>
    <w:rsid w:val="00012398"/>
    <w:rsid w:val="00012597"/>
    <w:rsid w:val="00012AB8"/>
    <w:rsid w:val="00012C5E"/>
    <w:rsid w:val="00012D46"/>
    <w:rsid w:val="00012EC0"/>
    <w:rsid w:val="0001321B"/>
    <w:rsid w:val="00013339"/>
    <w:rsid w:val="0001337B"/>
    <w:rsid w:val="00013771"/>
    <w:rsid w:val="00013797"/>
    <w:rsid w:val="000138A1"/>
    <w:rsid w:val="00013B1C"/>
    <w:rsid w:val="00013C79"/>
    <w:rsid w:val="00013D1A"/>
    <w:rsid w:val="00013DB9"/>
    <w:rsid w:val="00014185"/>
    <w:rsid w:val="000142C5"/>
    <w:rsid w:val="00014719"/>
    <w:rsid w:val="00014773"/>
    <w:rsid w:val="0001496C"/>
    <w:rsid w:val="00014974"/>
    <w:rsid w:val="000149BB"/>
    <w:rsid w:val="00014B32"/>
    <w:rsid w:val="00014B68"/>
    <w:rsid w:val="00014B6B"/>
    <w:rsid w:val="00014C45"/>
    <w:rsid w:val="00014DD7"/>
    <w:rsid w:val="00014E68"/>
    <w:rsid w:val="00014EF0"/>
    <w:rsid w:val="00015092"/>
    <w:rsid w:val="0001513E"/>
    <w:rsid w:val="000151AD"/>
    <w:rsid w:val="000152E6"/>
    <w:rsid w:val="0001530A"/>
    <w:rsid w:val="00015464"/>
    <w:rsid w:val="00015575"/>
    <w:rsid w:val="00015625"/>
    <w:rsid w:val="0001562A"/>
    <w:rsid w:val="00015634"/>
    <w:rsid w:val="00015747"/>
    <w:rsid w:val="0001578E"/>
    <w:rsid w:val="000157D2"/>
    <w:rsid w:val="00015818"/>
    <w:rsid w:val="0001588E"/>
    <w:rsid w:val="00015A22"/>
    <w:rsid w:val="00015BB6"/>
    <w:rsid w:val="00015EE4"/>
    <w:rsid w:val="000161E4"/>
    <w:rsid w:val="000162B2"/>
    <w:rsid w:val="00016315"/>
    <w:rsid w:val="0001665F"/>
    <w:rsid w:val="00016699"/>
    <w:rsid w:val="000166A5"/>
    <w:rsid w:val="000166BF"/>
    <w:rsid w:val="00016712"/>
    <w:rsid w:val="0001683C"/>
    <w:rsid w:val="00016979"/>
    <w:rsid w:val="000169DE"/>
    <w:rsid w:val="00016B0C"/>
    <w:rsid w:val="00016B9A"/>
    <w:rsid w:val="00016BFD"/>
    <w:rsid w:val="00016DA2"/>
    <w:rsid w:val="00016FDF"/>
    <w:rsid w:val="000170E7"/>
    <w:rsid w:val="000171E1"/>
    <w:rsid w:val="000172AE"/>
    <w:rsid w:val="0001734D"/>
    <w:rsid w:val="000173E7"/>
    <w:rsid w:val="000173FB"/>
    <w:rsid w:val="00017720"/>
    <w:rsid w:val="00017A35"/>
    <w:rsid w:val="00017B14"/>
    <w:rsid w:val="00017DB7"/>
    <w:rsid w:val="00017EF1"/>
    <w:rsid w:val="00020023"/>
    <w:rsid w:val="00020047"/>
    <w:rsid w:val="000204C9"/>
    <w:rsid w:val="00020548"/>
    <w:rsid w:val="00020576"/>
    <w:rsid w:val="000205B7"/>
    <w:rsid w:val="0002070D"/>
    <w:rsid w:val="0002072A"/>
    <w:rsid w:val="00020835"/>
    <w:rsid w:val="00020962"/>
    <w:rsid w:val="000209EF"/>
    <w:rsid w:val="00020A2D"/>
    <w:rsid w:val="00020AD3"/>
    <w:rsid w:val="00020BCD"/>
    <w:rsid w:val="00020E54"/>
    <w:rsid w:val="00020F41"/>
    <w:rsid w:val="0002107D"/>
    <w:rsid w:val="000210CB"/>
    <w:rsid w:val="000210F6"/>
    <w:rsid w:val="00021161"/>
    <w:rsid w:val="000211C7"/>
    <w:rsid w:val="00021211"/>
    <w:rsid w:val="00021331"/>
    <w:rsid w:val="000213F0"/>
    <w:rsid w:val="00021425"/>
    <w:rsid w:val="0002144E"/>
    <w:rsid w:val="00021576"/>
    <w:rsid w:val="000216F3"/>
    <w:rsid w:val="000217D2"/>
    <w:rsid w:val="00021822"/>
    <w:rsid w:val="0002182D"/>
    <w:rsid w:val="00021931"/>
    <w:rsid w:val="00021979"/>
    <w:rsid w:val="00021DC3"/>
    <w:rsid w:val="00021E70"/>
    <w:rsid w:val="00021E84"/>
    <w:rsid w:val="00021F71"/>
    <w:rsid w:val="00021FA4"/>
    <w:rsid w:val="00022030"/>
    <w:rsid w:val="0002204A"/>
    <w:rsid w:val="00022143"/>
    <w:rsid w:val="000222B4"/>
    <w:rsid w:val="000223B6"/>
    <w:rsid w:val="000226ED"/>
    <w:rsid w:val="000227D5"/>
    <w:rsid w:val="00022812"/>
    <w:rsid w:val="00022894"/>
    <w:rsid w:val="000228B8"/>
    <w:rsid w:val="00022A13"/>
    <w:rsid w:val="00022AEC"/>
    <w:rsid w:val="00022B42"/>
    <w:rsid w:val="00022BA7"/>
    <w:rsid w:val="00022C62"/>
    <w:rsid w:val="00022D7B"/>
    <w:rsid w:val="00022D88"/>
    <w:rsid w:val="000230FF"/>
    <w:rsid w:val="000231AC"/>
    <w:rsid w:val="0002326A"/>
    <w:rsid w:val="000232AA"/>
    <w:rsid w:val="000232B8"/>
    <w:rsid w:val="000233B1"/>
    <w:rsid w:val="00023504"/>
    <w:rsid w:val="00023812"/>
    <w:rsid w:val="0002381B"/>
    <w:rsid w:val="00023A1D"/>
    <w:rsid w:val="00023BF6"/>
    <w:rsid w:val="00023BFE"/>
    <w:rsid w:val="00023F53"/>
    <w:rsid w:val="00024073"/>
    <w:rsid w:val="00024114"/>
    <w:rsid w:val="000241FF"/>
    <w:rsid w:val="00024277"/>
    <w:rsid w:val="00024282"/>
    <w:rsid w:val="000242FC"/>
    <w:rsid w:val="000243F7"/>
    <w:rsid w:val="000244A9"/>
    <w:rsid w:val="000245DA"/>
    <w:rsid w:val="000247D5"/>
    <w:rsid w:val="00024882"/>
    <w:rsid w:val="000249AD"/>
    <w:rsid w:val="00024ABA"/>
    <w:rsid w:val="00024B43"/>
    <w:rsid w:val="00024CCD"/>
    <w:rsid w:val="00024D84"/>
    <w:rsid w:val="00024E50"/>
    <w:rsid w:val="00024EA5"/>
    <w:rsid w:val="00024EEF"/>
    <w:rsid w:val="00024F53"/>
    <w:rsid w:val="00024F68"/>
    <w:rsid w:val="00024FD7"/>
    <w:rsid w:val="00025140"/>
    <w:rsid w:val="0002524C"/>
    <w:rsid w:val="00025444"/>
    <w:rsid w:val="00025527"/>
    <w:rsid w:val="000255DB"/>
    <w:rsid w:val="000255EF"/>
    <w:rsid w:val="0002567D"/>
    <w:rsid w:val="00025A23"/>
    <w:rsid w:val="00025A83"/>
    <w:rsid w:val="00025B05"/>
    <w:rsid w:val="00025BEE"/>
    <w:rsid w:val="00025C15"/>
    <w:rsid w:val="00025C6E"/>
    <w:rsid w:val="00025CF1"/>
    <w:rsid w:val="00025D15"/>
    <w:rsid w:val="00025D66"/>
    <w:rsid w:val="000265BD"/>
    <w:rsid w:val="00026A54"/>
    <w:rsid w:val="00026D1F"/>
    <w:rsid w:val="00026D65"/>
    <w:rsid w:val="00026ED4"/>
    <w:rsid w:val="000272B1"/>
    <w:rsid w:val="00027330"/>
    <w:rsid w:val="00027398"/>
    <w:rsid w:val="00027438"/>
    <w:rsid w:val="0002755F"/>
    <w:rsid w:val="000275FB"/>
    <w:rsid w:val="00027638"/>
    <w:rsid w:val="000276E7"/>
    <w:rsid w:val="00027736"/>
    <w:rsid w:val="00027A3C"/>
    <w:rsid w:val="00027AEA"/>
    <w:rsid w:val="00027C53"/>
    <w:rsid w:val="00027CBA"/>
    <w:rsid w:val="00027D73"/>
    <w:rsid w:val="00027E28"/>
    <w:rsid w:val="00027FC8"/>
    <w:rsid w:val="00027FE1"/>
    <w:rsid w:val="000301FC"/>
    <w:rsid w:val="000302AC"/>
    <w:rsid w:val="000302C0"/>
    <w:rsid w:val="0003041A"/>
    <w:rsid w:val="00030485"/>
    <w:rsid w:val="00030547"/>
    <w:rsid w:val="00030988"/>
    <w:rsid w:val="00030A19"/>
    <w:rsid w:val="00030AE2"/>
    <w:rsid w:val="00030B7E"/>
    <w:rsid w:val="00030D86"/>
    <w:rsid w:val="00030DCC"/>
    <w:rsid w:val="0003102F"/>
    <w:rsid w:val="000310C4"/>
    <w:rsid w:val="0003117F"/>
    <w:rsid w:val="00031257"/>
    <w:rsid w:val="000312AA"/>
    <w:rsid w:val="000312BF"/>
    <w:rsid w:val="00031324"/>
    <w:rsid w:val="000313D7"/>
    <w:rsid w:val="0003169F"/>
    <w:rsid w:val="00031970"/>
    <w:rsid w:val="000319B0"/>
    <w:rsid w:val="00031AC3"/>
    <w:rsid w:val="00031AD7"/>
    <w:rsid w:val="00031B14"/>
    <w:rsid w:val="00031BBD"/>
    <w:rsid w:val="00031C97"/>
    <w:rsid w:val="00031F98"/>
    <w:rsid w:val="000322B4"/>
    <w:rsid w:val="00032467"/>
    <w:rsid w:val="00032496"/>
    <w:rsid w:val="0003255E"/>
    <w:rsid w:val="0003297B"/>
    <w:rsid w:val="00032DEC"/>
    <w:rsid w:val="00032E24"/>
    <w:rsid w:val="00032E30"/>
    <w:rsid w:val="00032F21"/>
    <w:rsid w:val="00032F3A"/>
    <w:rsid w:val="00033134"/>
    <w:rsid w:val="00033193"/>
    <w:rsid w:val="0003331B"/>
    <w:rsid w:val="00033343"/>
    <w:rsid w:val="00033386"/>
    <w:rsid w:val="00033565"/>
    <w:rsid w:val="0003356C"/>
    <w:rsid w:val="00033584"/>
    <w:rsid w:val="00033694"/>
    <w:rsid w:val="00033754"/>
    <w:rsid w:val="00033C4F"/>
    <w:rsid w:val="00033DDF"/>
    <w:rsid w:val="00033F51"/>
    <w:rsid w:val="00033FF4"/>
    <w:rsid w:val="0003400A"/>
    <w:rsid w:val="000340C4"/>
    <w:rsid w:val="0003423A"/>
    <w:rsid w:val="0003428F"/>
    <w:rsid w:val="00034300"/>
    <w:rsid w:val="00034487"/>
    <w:rsid w:val="000346F9"/>
    <w:rsid w:val="00034729"/>
    <w:rsid w:val="0003477F"/>
    <w:rsid w:val="00034AA6"/>
    <w:rsid w:val="00034BA1"/>
    <w:rsid w:val="00034CC9"/>
    <w:rsid w:val="00034E06"/>
    <w:rsid w:val="00034E09"/>
    <w:rsid w:val="00035026"/>
    <w:rsid w:val="00035395"/>
    <w:rsid w:val="00035468"/>
    <w:rsid w:val="000356E5"/>
    <w:rsid w:val="00035815"/>
    <w:rsid w:val="0003583B"/>
    <w:rsid w:val="00035892"/>
    <w:rsid w:val="00035905"/>
    <w:rsid w:val="000359D0"/>
    <w:rsid w:val="000359F6"/>
    <w:rsid w:val="00035AC3"/>
    <w:rsid w:val="00035AE5"/>
    <w:rsid w:val="00035BFA"/>
    <w:rsid w:val="00035E06"/>
    <w:rsid w:val="00035EF9"/>
    <w:rsid w:val="00035F6B"/>
    <w:rsid w:val="000361DD"/>
    <w:rsid w:val="00036383"/>
    <w:rsid w:val="000365A2"/>
    <w:rsid w:val="0003663F"/>
    <w:rsid w:val="00036945"/>
    <w:rsid w:val="00036AD8"/>
    <w:rsid w:val="00036AEA"/>
    <w:rsid w:val="00036CD9"/>
    <w:rsid w:val="00036CEB"/>
    <w:rsid w:val="00036F36"/>
    <w:rsid w:val="00036F7D"/>
    <w:rsid w:val="00036FC1"/>
    <w:rsid w:val="00037037"/>
    <w:rsid w:val="00037286"/>
    <w:rsid w:val="000372D2"/>
    <w:rsid w:val="00037302"/>
    <w:rsid w:val="00037465"/>
    <w:rsid w:val="00037606"/>
    <w:rsid w:val="00037923"/>
    <w:rsid w:val="00037AEC"/>
    <w:rsid w:val="00037B59"/>
    <w:rsid w:val="00037BB7"/>
    <w:rsid w:val="00037DF3"/>
    <w:rsid w:val="00037DF4"/>
    <w:rsid w:val="00037E9A"/>
    <w:rsid w:val="0004005D"/>
    <w:rsid w:val="000400FB"/>
    <w:rsid w:val="00040132"/>
    <w:rsid w:val="000402F9"/>
    <w:rsid w:val="00040309"/>
    <w:rsid w:val="000403B8"/>
    <w:rsid w:val="00040402"/>
    <w:rsid w:val="000405AB"/>
    <w:rsid w:val="000407F4"/>
    <w:rsid w:val="00040A21"/>
    <w:rsid w:val="00040A2C"/>
    <w:rsid w:val="00040ADF"/>
    <w:rsid w:val="00040E16"/>
    <w:rsid w:val="00040FB4"/>
    <w:rsid w:val="0004108F"/>
    <w:rsid w:val="000412A8"/>
    <w:rsid w:val="0004130F"/>
    <w:rsid w:val="000415E4"/>
    <w:rsid w:val="00041603"/>
    <w:rsid w:val="0004178C"/>
    <w:rsid w:val="00041979"/>
    <w:rsid w:val="00041A59"/>
    <w:rsid w:val="00041AC3"/>
    <w:rsid w:val="00041BC8"/>
    <w:rsid w:val="00041E1E"/>
    <w:rsid w:val="00041E24"/>
    <w:rsid w:val="00041F5D"/>
    <w:rsid w:val="00041F8F"/>
    <w:rsid w:val="00042073"/>
    <w:rsid w:val="000420D3"/>
    <w:rsid w:val="0004213F"/>
    <w:rsid w:val="00042253"/>
    <w:rsid w:val="0004232A"/>
    <w:rsid w:val="000424E5"/>
    <w:rsid w:val="000425E2"/>
    <w:rsid w:val="000425E3"/>
    <w:rsid w:val="00042658"/>
    <w:rsid w:val="0004283D"/>
    <w:rsid w:val="00042873"/>
    <w:rsid w:val="0004297E"/>
    <w:rsid w:val="00042C5E"/>
    <w:rsid w:val="00042D1B"/>
    <w:rsid w:val="00042DED"/>
    <w:rsid w:val="00042EB9"/>
    <w:rsid w:val="00042F61"/>
    <w:rsid w:val="00043036"/>
    <w:rsid w:val="000430FC"/>
    <w:rsid w:val="00043108"/>
    <w:rsid w:val="0004327B"/>
    <w:rsid w:val="00043305"/>
    <w:rsid w:val="0004345E"/>
    <w:rsid w:val="000435B6"/>
    <w:rsid w:val="00043882"/>
    <w:rsid w:val="00043AAE"/>
    <w:rsid w:val="00043B52"/>
    <w:rsid w:val="00043B53"/>
    <w:rsid w:val="00043B7A"/>
    <w:rsid w:val="00043D0A"/>
    <w:rsid w:val="00043F3E"/>
    <w:rsid w:val="00043F8A"/>
    <w:rsid w:val="0004402A"/>
    <w:rsid w:val="0004424B"/>
    <w:rsid w:val="00044262"/>
    <w:rsid w:val="00044306"/>
    <w:rsid w:val="000443A6"/>
    <w:rsid w:val="0004450A"/>
    <w:rsid w:val="00044578"/>
    <w:rsid w:val="000445AD"/>
    <w:rsid w:val="0004462D"/>
    <w:rsid w:val="000449D1"/>
    <w:rsid w:val="00044A05"/>
    <w:rsid w:val="00044AFF"/>
    <w:rsid w:val="00044CA9"/>
    <w:rsid w:val="00044D6A"/>
    <w:rsid w:val="00044DB2"/>
    <w:rsid w:val="00044E1E"/>
    <w:rsid w:val="00044FC1"/>
    <w:rsid w:val="0004500E"/>
    <w:rsid w:val="0004503D"/>
    <w:rsid w:val="000451CC"/>
    <w:rsid w:val="00045265"/>
    <w:rsid w:val="000452D3"/>
    <w:rsid w:val="00045504"/>
    <w:rsid w:val="00045651"/>
    <w:rsid w:val="000456D0"/>
    <w:rsid w:val="00045704"/>
    <w:rsid w:val="0004585C"/>
    <w:rsid w:val="000459D2"/>
    <w:rsid w:val="00045B8D"/>
    <w:rsid w:val="00045C61"/>
    <w:rsid w:val="00045CC5"/>
    <w:rsid w:val="00045D14"/>
    <w:rsid w:val="00045D6E"/>
    <w:rsid w:val="00045F84"/>
    <w:rsid w:val="0004602B"/>
    <w:rsid w:val="00046030"/>
    <w:rsid w:val="000460B3"/>
    <w:rsid w:val="000460B9"/>
    <w:rsid w:val="000460C3"/>
    <w:rsid w:val="0004610F"/>
    <w:rsid w:val="000462E1"/>
    <w:rsid w:val="0004669D"/>
    <w:rsid w:val="000467CA"/>
    <w:rsid w:val="000468E8"/>
    <w:rsid w:val="00046AF3"/>
    <w:rsid w:val="00046B6A"/>
    <w:rsid w:val="00046BB0"/>
    <w:rsid w:val="00046BE6"/>
    <w:rsid w:val="0004708C"/>
    <w:rsid w:val="00047258"/>
    <w:rsid w:val="00047296"/>
    <w:rsid w:val="000472A9"/>
    <w:rsid w:val="000472D4"/>
    <w:rsid w:val="000473AC"/>
    <w:rsid w:val="0004777C"/>
    <w:rsid w:val="00047780"/>
    <w:rsid w:val="00047965"/>
    <w:rsid w:val="000479E9"/>
    <w:rsid w:val="00047A6C"/>
    <w:rsid w:val="00047AB0"/>
    <w:rsid w:val="00047B2A"/>
    <w:rsid w:val="00047BAC"/>
    <w:rsid w:val="00047E00"/>
    <w:rsid w:val="00047F6B"/>
    <w:rsid w:val="0005007C"/>
    <w:rsid w:val="000503C2"/>
    <w:rsid w:val="00050941"/>
    <w:rsid w:val="000509A9"/>
    <w:rsid w:val="00050A2D"/>
    <w:rsid w:val="00050CE7"/>
    <w:rsid w:val="00050E01"/>
    <w:rsid w:val="00050F37"/>
    <w:rsid w:val="00051092"/>
    <w:rsid w:val="0005117E"/>
    <w:rsid w:val="0005123E"/>
    <w:rsid w:val="000512CC"/>
    <w:rsid w:val="00051312"/>
    <w:rsid w:val="00051368"/>
    <w:rsid w:val="0005147E"/>
    <w:rsid w:val="000514F8"/>
    <w:rsid w:val="00051557"/>
    <w:rsid w:val="0005158C"/>
    <w:rsid w:val="00051693"/>
    <w:rsid w:val="0005169F"/>
    <w:rsid w:val="000519F5"/>
    <w:rsid w:val="00051B17"/>
    <w:rsid w:val="00051B40"/>
    <w:rsid w:val="00051C33"/>
    <w:rsid w:val="00051D64"/>
    <w:rsid w:val="00051D74"/>
    <w:rsid w:val="00051E45"/>
    <w:rsid w:val="00051EE3"/>
    <w:rsid w:val="00051F11"/>
    <w:rsid w:val="00052279"/>
    <w:rsid w:val="000522AC"/>
    <w:rsid w:val="0005238D"/>
    <w:rsid w:val="000523DC"/>
    <w:rsid w:val="00052661"/>
    <w:rsid w:val="0005267E"/>
    <w:rsid w:val="00052A9F"/>
    <w:rsid w:val="00052AAB"/>
    <w:rsid w:val="00052BBD"/>
    <w:rsid w:val="00052D10"/>
    <w:rsid w:val="00052DB7"/>
    <w:rsid w:val="00052DD3"/>
    <w:rsid w:val="00052E6B"/>
    <w:rsid w:val="00052E74"/>
    <w:rsid w:val="00052EDA"/>
    <w:rsid w:val="00053091"/>
    <w:rsid w:val="0005311B"/>
    <w:rsid w:val="0005324F"/>
    <w:rsid w:val="0005326D"/>
    <w:rsid w:val="0005341B"/>
    <w:rsid w:val="00053720"/>
    <w:rsid w:val="00053892"/>
    <w:rsid w:val="000538B3"/>
    <w:rsid w:val="000538C4"/>
    <w:rsid w:val="000538F6"/>
    <w:rsid w:val="0005398A"/>
    <w:rsid w:val="00053A54"/>
    <w:rsid w:val="00053B26"/>
    <w:rsid w:val="00053B50"/>
    <w:rsid w:val="00053B52"/>
    <w:rsid w:val="00053B56"/>
    <w:rsid w:val="00053CFB"/>
    <w:rsid w:val="00053D49"/>
    <w:rsid w:val="00053E4A"/>
    <w:rsid w:val="00053E73"/>
    <w:rsid w:val="00053F6C"/>
    <w:rsid w:val="00053F7C"/>
    <w:rsid w:val="000541C7"/>
    <w:rsid w:val="0005422F"/>
    <w:rsid w:val="0005433A"/>
    <w:rsid w:val="0005441D"/>
    <w:rsid w:val="00054612"/>
    <w:rsid w:val="00054946"/>
    <w:rsid w:val="00054982"/>
    <w:rsid w:val="00054BAF"/>
    <w:rsid w:val="00054C95"/>
    <w:rsid w:val="00054D3F"/>
    <w:rsid w:val="00054FC3"/>
    <w:rsid w:val="000550C0"/>
    <w:rsid w:val="00055106"/>
    <w:rsid w:val="000553DC"/>
    <w:rsid w:val="0005545C"/>
    <w:rsid w:val="000554F2"/>
    <w:rsid w:val="00055601"/>
    <w:rsid w:val="0005573A"/>
    <w:rsid w:val="00055786"/>
    <w:rsid w:val="00055807"/>
    <w:rsid w:val="0005589B"/>
    <w:rsid w:val="00055B10"/>
    <w:rsid w:val="00055B25"/>
    <w:rsid w:val="00055C70"/>
    <w:rsid w:val="00055DF8"/>
    <w:rsid w:val="00055E10"/>
    <w:rsid w:val="00055EF8"/>
    <w:rsid w:val="00056014"/>
    <w:rsid w:val="00056238"/>
    <w:rsid w:val="00056980"/>
    <w:rsid w:val="00056AD5"/>
    <w:rsid w:val="00056B66"/>
    <w:rsid w:val="00056CFB"/>
    <w:rsid w:val="00056E30"/>
    <w:rsid w:val="00056E8C"/>
    <w:rsid w:val="00056F27"/>
    <w:rsid w:val="00056F86"/>
    <w:rsid w:val="00057398"/>
    <w:rsid w:val="00057562"/>
    <w:rsid w:val="00057713"/>
    <w:rsid w:val="00057830"/>
    <w:rsid w:val="0005792D"/>
    <w:rsid w:val="00057B93"/>
    <w:rsid w:val="00057BF8"/>
    <w:rsid w:val="00057CC1"/>
    <w:rsid w:val="0006000A"/>
    <w:rsid w:val="00060201"/>
    <w:rsid w:val="00060278"/>
    <w:rsid w:val="000602BE"/>
    <w:rsid w:val="00060323"/>
    <w:rsid w:val="000604CF"/>
    <w:rsid w:val="000604FC"/>
    <w:rsid w:val="00060509"/>
    <w:rsid w:val="0006055C"/>
    <w:rsid w:val="000606A3"/>
    <w:rsid w:val="00060738"/>
    <w:rsid w:val="0006073A"/>
    <w:rsid w:val="00060742"/>
    <w:rsid w:val="000608FE"/>
    <w:rsid w:val="0006098F"/>
    <w:rsid w:val="00060D22"/>
    <w:rsid w:val="00060EBA"/>
    <w:rsid w:val="00060F2F"/>
    <w:rsid w:val="00060F32"/>
    <w:rsid w:val="00060F95"/>
    <w:rsid w:val="0006108C"/>
    <w:rsid w:val="00061138"/>
    <w:rsid w:val="000612D6"/>
    <w:rsid w:val="00061322"/>
    <w:rsid w:val="000613C7"/>
    <w:rsid w:val="0006168B"/>
    <w:rsid w:val="00061789"/>
    <w:rsid w:val="0006189F"/>
    <w:rsid w:val="00061A22"/>
    <w:rsid w:val="00061AAE"/>
    <w:rsid w:val="00061D49"/>
    <w:rsid w:val="00061D89"/>
    <w:rsid w:val="00061F08"/>
    <w:rsid w:val="00061F49"/>
    <w:rsid w:val="000620D2"/>
    <w:rsid w:val="00062232"/>
    <w:rsid w:val="0006234F"/>
    <w:rsid w:val="00062369"/>
    <w:rsid w:val="000623B3"/>
    <w:rsid w:val="0006251B"/>
    <w:rsid w:val="000626B2"/>
    <w:rsid w:val="0006274E"/>
    <w:rsid w:val="000627B0"/>
    <w:rsid w:val="00062834"/>
    <w:rsid w:val="000628D0"/>
    <w:rsid w:val="000629D6"/>
    <w:rsid w:val="00062B01"/>
    <w:rsid w:val="00062D43"/>
    <w:rsid w:val="00062DE3"/>
    <w:rsid w:val="00062FAF"/>
    <w:rsid w:val="00062FD8"/>
    <w:rsid w:val="0006309B"/>
    <w:rsid w:val="000631B7"/>
    <w:rsid w:val="000631DF"/>
    <w:rsid w:val="0006322F"/>
    <w:rsid w:val="000632E5"/>
    <w:rsid w:val="0006339C"/>
    <w:rsid w:val="00063931"/>
    <w:rsid w:val="00063944"/>
    <w:rsid w:val="00063A8B"/>
    <w:rsid w:val="00063D24"/>
    <w:rsid w:val="00063F97"/>
    <w:rsid w:val="000641C1"/>
    <w:rsid w:val="0006421B"/>
    <w:rsid w:val="00064366"/>
    <w:rsid w:val="000643CB"/>
    <w:rsid w:val="00064783"/>
    <w:rsid w:val="000647A4"/>
    <w:rsid w:val="000647C2"/>
    <w:rsid w:val="00064B3D"/>
    <w:rsid w:val="00064C9B"/>
    <w:rsid w:val="00064DB7"/>
    <w:rsid w:val="00064DCF"/>
    <w:rsid w:val="00064F20"/>
    <w:rsid w:val="00064F80"/>
    <w:rsid w:val="00065134"/>
    <w:rsid w:val="0006521A"/>
    <w:rsid w:val="00065236"/>
    <w:rsid w:val="00065404"/>
    <w:rsid w:val="00065552"/>
    <w:rsid w:val="000657C4"/>
    <w:rsid w:val="0006591A"/>
    <w:rsid w:val="0006595C"/>
    <w:rsid w:val="00065A40"/>
    <w:rsid w:val="00065D96"/>
    <w:rsid w:val="00065E18"/>
    <w:rsid w:val="00065E34"/>
    <w:rsid w:val="00065EAE"/>
    <w:rsid w:val="00065F97"/>
    <w:rsid w:val="00066018"/>
    <w:rsid w:val="0006608F"/>
    <w:rsid w:val="0006617A"/>
    <w:rsid w:val="0006621B"/>
    <w:rsid w:val="0006638E"/>
    <w:rsid w:val="00066451"/>
    <w:rsid w:val="00066465"/>
    <w:rsid w:val="0006656D"/>
    <w:rsid w:val="000665B2"/>
    <w:rsid w:val="0006660A"/>
    <w:rsid w:val="00066654"/>
    <w:rsid w:val="0006671A"/>
    <w:rsid w:val="000667C5"/>
    <w:rsid w:val="00066A63"/>
    <w:rsid w:val="00066A7E"/>
    <w:rsid w:val="00066D9A"/>
    <w:rsid w:val="00066EAE"/>
    <w:rsid w:val="00066F8D"/>
    <w:rsid w:val="00067163"/>
    <w:rsid w:val="00067372"/>
    <w:rsid w:val="000675D9"/>
    <w:rsid w:val="00067998"/>
    <w:rsid w:val="00067A6F"/>
    <w:rsid w:val="00067B37"/>
    <w:rsid w:val="00067C44"/>
    <w:rsid w:val="00067D19"/>
    <w:rsid w:val="00067E86"/>
    <w:rsid w:val="00067E91"/>
    <w:rsid w:val="00067F2A"/>
    <w:rsid w:val="0007004A"/>
    <w:rsid w:val="0007013B"/>
    <w:rsid w:val="000701B3"/>
    <w:rsid w:val="0007021F"/>
    <w:rsid w:val="00070255"/>
    <w:rsid w:val="000702BB"/>
    <w:rsid w:val="00070399"/>
    <w:rsid w:val="0007039A"/>
    <w:rsid w:val="00070592"/>
    <w:rsid w:val="000708F0"/>
    <w:rsid w:val="00070955"/>
    <w:rsid w:val="000709A0"/>
    <w:rsid w:val="00070E9F"/>
    <w:rsid w:val="00070F18"/>
    <w:rsid w:val="00070FA5"/>
    <w:rsid w:val="00070FE8"/>
    <w:rsid w:val="00071105"/>
    <w:rsid w:val="00071349"/>
    <w:rsid w:val="000713F5"/>
    <w:rsid w:val="000715C3"/>
    <w:rsid w:val="000716FB"/>
    <w:rsid w:val="00071712"/>
    <w:rsid w:val="00071732"/>
    <w:rsid w:val="000718E2"/>
    <w:rsid w:val="00071969"/>
    <w:rsid w:val="00071A96"/>
    <w:rsid w:val="00071CC1"/>
    <w:rsid w:val="00071D75"/>
    <w:rsid w:val="00071E74"/>
    <w:rsid w:val="00071FB2"/>
    <w:rsid w:val="00071FEC"/>
    <w:rsid w:val="000721E3"/>
    <w:rsid w:val="000721EA"/>
    <w:rsid w:val="000723AD"/>
    <w:rsid w:val="0007273F"/>
    <w:rsid w:val="00072915"/>
    <w:rsid w:val="00072A2C"/>
    <w:rsid w:val="00072ADF"/>
    <w:rsid w:val="00072CDB"/>
    <w:rsid w:val="00072D30"/>
    <w:rsid w:val="00073232"/>
    <w:rsid w:val="00073357"/>
    <w:rsid w:val="00073362"/>
    <w:rsid w:val="0007338C"/>
    <w:rsid w:val="00073426"/>
    <w:rsid w:val="000737A7"/>
    <w:rsid w:val="0007380B"/>
    <w:rsid w:val="0007383C"/>
    <w:rsid w:val="00073878"/>
    <w:rsid w:val="00073A80"/>
    <w:rsid w:val="00073F34"/>
    <w:rsid w:val="00073FEA"/>
    <w:rsid w:val="00073FFB"/>
    <w:rsid w:val="00074033"/>
    <w:rsid w:val="000740FD"/>
    <w:rsid w:val="0007416F"/>
    <w:rsid w:val="00074199"/>
    <w:rsid w:val="00074218"/>
    <w:rsid w:val="0007422F"/>
    <w:rsid w:val="000744D9"/>
    <w:rsid w:val="00074506"/>
    <w:rsid w:val="00074522"/>
    <w:rsid w:val="00074748"/>
    <w:rsid w:val="000747C0"/>
    <w:rsid w:val="000749B9"/>
    <w:rsid w:val="000749D0"/>
    <w:rsid w:val="00074A69"/>
    <w:rsid w:val="00074B24"/>
    <w:rsid w:val="00074B8B"/>
    <w:rsid w:val="00074C52"/>
    <w:rsid w:val="00074CA6"/>
    <w:rsid w:val="00074DE0"/>
    <w:rsid w:val="00074EAD"/>
    <w:rsid w:val="00074FA7"/>
    <w:rsid w:val="000754FD"/>
    <w:rsid w:val="00075834"/>
    <w:rsid w:val="000758D0"/>
    <w:rsid w:val="00075933"/>
    <w:rsid w:val="00075958"/>
    <w:rsid w:val="0007599B"/>
    <w:rsid w:val="00075C85"/>
    <w:rsid w:val="00075DDF"/>
    <w:rsid w:val="00075E57"/>
    <w:rsid w:val="00075E76"/>
    <w:rsid w:val="00075F47"/>
    <w:rsid w:val="00076051"/>
    <w:rsid w:val="00076256"/>
    <w:rsid w:val="00076287"/>
    <w:rsid w:val="0007631D"/>
    <w:rsid w:val="00076382"/>
    <w:rsid w:val="0007640C"/>
    <w:rsid w:val="000765BC"/>
    <w:rsid w:val="0007668C"/>
    <w:rsid w:val="000766BB"/>
    <w:rsid w:val="000766F0"/>
    <w:rsid w:val="0007685B"/>
    <w:rsid w:val="00076925"/>
    <w:rsid w:val="0007699F"/>
    <w:rsid w:val="000769BD"/>
    <w:rsid w:val="00076DDA"/>
    <w:rsid w:val="00076F7A"/>
    <w:rsid w:val="000771E0"/>
    <w:rsid w:val="000771F3"/>
    <w:rsid w:val="00077489"/>
    <w:rsid w:val="000778B4"/>
    <w:rsid w:val="00077E5B"/>
    <w:rsid w:val="00077F9E"/>
    <w:rsid w:val="00080056"/>
    <w:rsid w:val="00080074"/>
    <w:rsid w:val="000801BB"/>
    <w:rsid w:val="00080241"/>
    <w:rsid w:val="000806C1"/>
    <w:rsid w:val="000806FF"/>
    <w:rsid w:val="00080852"/>
    <w:rsid w:val="00080860"/>
    <w:rsid w:val="00080B31"/>
    <w:rsid w:val="00080BDB"/>
    <w:rsid w:val="00080D92"/>
    <w:rsid w:val="00080ECD"/>
    <w:rsid w:val="00081085"/>
    <w:rsid w:val="000810D4"/>
    <w:rsid w:val="00081182"/>
    <w:rsid w:val="0008130E"/>
    <w:rsid w:val="000813F6"/>
    <w:rsid w:val="0008143E"/>
    <w:rsid w:val="00081440"/>
    <w:rsid w:val="0008148E"/>
    <w:rsid w:val="0008152C"/>
    <w:rsid w:val="00081604"/>
    <w:rsid w:val="00081778"/>
    <w:rsid w:val="0008187E"/>
    <w:rsid w:val="00081969"/>
    <w:rsid w:val="00081A8E"/>
    <w:rsid w:val="00081A9F"/>
    <w:rsid w:val="00081B2F"/>
    <w:rsid w:val="00081CEE"/>
    <w:rsid w:val="00081D84"/>
    <w:rsid w:val="00081EFE"/>
    <w:rsid w:val="00081F79"/>
    <w:rsid w:val="0008200D"/>
    <w:rsid w:val="00082011"/>
    <w:rsid w:val="00082099"/>
    <w:rsid w:val="000820DA"/>
    <w:rsid w:val="0008229F"/>
    <w:rsid w:val="00082342"/>
    <w:rsid w:val="000826B8"/>
    <w:rsid w:val="0008296C"/>
    <w:rsid w:val="00082A6E"/>
    <w:rsid w:val="00082C8B"/>
    <w:rsid w:val="00082CEB"/>
    <w:rsid w:val="00082EAF"/>
    <w:rsid w:val="00082EC4"/>
    <w:rsid w:val="00083186"/>
    <w:rsid w:val="0008319E"/>
    <w:rsid w:val="000831B3"/>
    <w:rsid w:val="000832B9"/>
    <w:rsid w:val="0008331A"/>
    <w:rsid w:val="00083466"/>
    <w:rsid w:val="000834BF"/>
    <w:rsid w:val="0008358D"/>
    <w:rsid w:val="000836B8"/>
    <w:rsid w:val="000838D8"/>
    <w:rsid w:val="0008395E"/>
    <w:rsid w:val="000839DE"/>
    <w:rsid w:val="00083A93"/>
    <w:rsid w:val="00083AE9"/>
    <w:rsid w:val="00083B04"/>
    <w:rsid w:val="00083BAF"/>
    <w:rsid w:val="00083BE4"/>
    <w:rsid w:val="00083CD0"/>
    <w:rsid w:val="00083EE0"/>
    <w:rsid w:val="0008402D"/>
    <w:rsid w:val="00084120"/>
    <w:rsid w:val="00084128"/>
    <w:rsid w:val="000841D6"/>
    <w:rsid w:val="00084266"/>
    <w:rsid w:val="00084363"/>
    <w:rsid w:val="00084500"/>
    <w:rsid w:val="0008457F"/>
    <w:rsid w:val="000845C2"/>
    <w:rsid w:val="00084670"/>
    <w:rsid w:val="00084674"/>
    <w:rsid w:val="0008488D"/>
    <w:rsid w:val="000848C2"/>
    <w:rsid w:val="00084DD7"/>
    <w:rsid w:val="000850AE"/>
    <w:rsid w:val="000850DA"/>
    <w:rsid w:val="000851FF"/>
    <w:rsid w:val="0008522B"/>
    <w:rsid w:val="0008523A"/>
    <w:rsid w:val="00085291"/>
    <w:rsid w:val="0008534E"/>
    <w:rsid w:val="000853CD"/>
    <w:rsid w:val="000853E9"/>
    <w:rsid w:val="00085424"/>
    <w:rsid w:val="00085456"/>
    <w:rsid w:val="0008560E"/>
    <w:rsid w:val="0008563B"/>
    <w:rsid w:val="0008565F"/>
    <w:rsid w:val="00085692"/>
    <w:rsid w:val="00085753"/>
    <w:rsid w:val="000857B7"/>
    <w:rsid w:val="00085971"/>
    <w:rsid w:val="00085A87"/>
    <w:rsid w:val="00085B1D"/>
    <w:rsid w:val="00085D10"/>
    <w:rsid w:val="00085D2E"/>
    <w:rsid w:val="00085D81"/>
    <w:rsid w:val="00085DD9"/>
    <w:rsid w:val="00085FA8"/>
    <w:rsid w:val="0008623C"/>
    <w:rsid w:val="00086319"/>
    <w:rsid w:val="0008637B"/>
    <w:rsid w:val="00086471"/>
    <w:rsid w:val="00086547"/>
    <w:rsid w:val="000865C4"/>
    <w:rsid w:val="000866A8"/>
    <w:rsid w:val="00086CEC"/>
    <w:rsid w:val="00086DA7"/>
    <w:rsid w:val="00086DB3"/>
    <w:rsid w:val="00086E94"/>
    <w:rsid w:val="000870B6"/>
    <w:rsid w:val="000870EB"/>
    <w:rsid w:val="00087212"/>
    <w:rsid w:val="00087213"/>
    <w:rsid w:val="00087217"/>
    <w:rsid w:val="000872D4"/>
    <w:rsid w:val="000872FE"/>
    <w:rsid w:val="000873A2"/>
    <w:rsid w:val="000874CF"/>
    <w:rsid w:val="000874F2"/>
    <w:rsid w:val="0008756D"/>
    <w:rsid w:val="00087670"/>
    <w:rsid w:val="000876F6"/>
    <w:rsid w:val="000877A5"/>
    <w:rsid w:val="0008785B"/>
    <w:rsid w:val="000878CA"/>
    <w:rsid w:val="000878D0"/>
    <w:rsid w:val="000878F4"/>
    <w:rsid w:val="00087934"/>
    <w:rsid w:val="00087A46"/>
    <w:rsid w:val="00087AB5"/>
    <w:rsid w:val="00087AFD"/>
    <w:rsid w:val="00087B0F"/>
    <w:rsid w:val="00087D20"/>
    <w:rsid w:val="00087DE3"/>
    <w:rsid w:val="00087E28"/>
    <w:rsid w:val="00087FCF"/>
    <w:rsid w:val="00090055"/>
    <w:rsid w:val="00090070"/>
    <w:rsid w:val="0009007D"/>
    <w:rsid w:val="0009010E"/>
    <w:rsid w:val="00090219"/>
    <w:rsid w:val="00090327"/>
    <w:rsid w:val="00090356"/>
    <w:rsid w:val="000904DA"/>
    <w:rsid w:val="00090613"/>
    <w:rsid w:val="0009075E"/>
    <w:rsid w:val="0009076B"/>
    <w:rsid w:val="0009078C"/>
    <w:rsid w:val="000907F7"/>
    <w:rsid w:val="00090813"/>
    <w:rsid w:val="00090A89"/>
    <w:rsid w:val="00090B43"/>
    <w:rsid w:val="00090BA7"/>
    <w:rsid w:val="00090BCD"/>
    <w:rsid w:val="00090BD1"/>
    <w:rsid w:val="00090C8F"/>
    <w:rsid w:val="00090DFF"/>
    <w:rsid w:val="00090EBB"/>
    <w:rsid w:val="000911F4"/>
    <w:rsid w:val="0009123A"/>
    <w:rsid w:val="000912DC"/>
    <w:rsid w:val="00091331"/>
    <w:rsid w:val="00091428"/>
    <w:rsid w:val="00091857"/>
    <w:rsid w:val="000918F2"/>
    <w:rsid w:val="00091901"/>
    <w:rsid w:val="00091A27"/>
    <w:rsid w:val="00091B89"/>
    <w:rsid w:val="00091C59"/>
    <w:rsid w:val="00091C9B"/>
    <w:rsid w:val="00091CE3"/>
    <w:rsid w:val="00091F1F"/>
    <w:rsid w:val="00091FF5"/>
    <w:rsid w:val="00092200"/>
    <w:rsid w:val="00092445"/>
    <w:rsid w:val="0009244A"/>
    <w:rsid w:val="000924B5"/>
    <w:rsid w:val="00092569"/>
    <w:rsid w:val="0009268D"/>
    <w:rsid w:val="0009297C"/>
    <w:rsid w:val="00092A21"/>
    <w:rsid w:val="00092A27"/>
    <w:rsid w:val="00092ADF"/>
    <w:rsid w:val="00092B8E"/>
    <w:rsid w:val="00092B9A"/>
    <w:rsid w:val="00092BF1"/>
    <w:rsid w:val="00092ED9"/>
    <w:rsid w:val="00092F68"/>
    <w:rsid w:val="00093199"/>
    <w:rsid w:val="000934FD"/>
    <w:rsid w:val="0009355C"/>
    <w:rsid w:val="0009362B"/>
    <w:rsid w:val="000936D3"/>
    <w:rsid w:val="000937C4"/>
    <w:rsid w:val="000937E7"/>
    <w:rsid w:val="00093904"/>
    <w:rsid w:val="000939B2"/>
    <w:rsid w:val="000939D6"/>
    <w:rsid w:val="00093A96"/>
    <w:rsid w:val="00093A98"/>
    <w:rsid w:val="00093AE8"/>
    <w:rsid w:val="00093B32"/>
    <w:rsid w:val="00093D9A"/>
    <w:rsid w:val="00093E06"/>
    <w:rsid w:val="00093F80"/>
    <w:rsid w:val="00093FB2"/>
    <w:rsid w:val="0009408A"/>
    <w:rsid w:val="000940CC"/>
    <w:rsid w:val="0009411C"/>
    <w:rsid w:val="0009446B"/>
    <w:rsid w:val="0009447A"/>
    <w:rsid w:val="00094486"/>
    <w:rsid w:val="000944E8"/>
    <w:rsid w:val="00094656"/>
    <w:rsid w:val="0009467A"/>
    <w:rsid w:val="0009472F"/>
    <w:rsid w:val="00094731"/>
    <w:rsid w:val="0009483D"/>
    <w:rsid w:val="000948DC"/>
    <w:rsid w:val="000949A8"/>
    <w:rsid w:val="00094C78"/>
    <w:rsid w:val="00094F7D"/>
    <w:rsid w:val="00095013"/>
    <w:rsid w:val="00095199"/>
    <w:rsid w:val="00095242"/>
    <w:rsid w:val="00095295"/>
    <w:rsid w:val="00095305"/>
    <w:rsid w:val="00095322"/>
    <w:rsid w:val="0009548B"/>
    <w:rsid w:val="000954BA"/>
    <w:rsid w:val="000954DD"/>
    <w:rsid w:val="00095675"/>
    <w:rsid w:val="0009569A"/>
    <w:rsid w:val="0009572B"/>
    <w:rsid w:val="00095798"/>
    <w:rsid w:val="000957CB"/>
    <w:rsid w:val="00095993"/>
    <w:rsid w:val="00095B75"/>
    <w:rsid w:val="00095C0A"/>
    <w:rsid w:val="00095F63"/>
    <w:rsid w:val="00095F6D"/>
    <w:rsid w:val="00095FA8"/>
    <w:rsid w:val="000961DB"/>
    <w:rsid w:val="00096214"/>
    <w:rsid w:val="00096252"/>
    <w:rsid w:val="000963AB"/>
    <w:rsid w:val="000963B2"/>
    <w:rsid w:val="00096417"/>
    <w:rsid w:val="00096421"/>
    <w:rsid w:val="00096438"/>
    <w:rsid w:val="000964A4"/>
    <w:rsid w:val="0009668F"/>
    <w:rsid w:val="00096730"/>
    <w:rsid w:val="00096A83"/>
    <w:rsid w:val="00096B50"/>
    <w:rsid w:val="00096B52"/>
    <w:rsid w:val="00096D3D"/>
    <w:rsid w:val="00096D4F"/>
    <w:rsid w:val="00096DF7"/>
    <w:rsid w:val="00097029"/>
    <w:rsid w:val="000971CA"/>
    <w:rsid w:val="000971DE"/>
    <w:rsid w:val="000971E4"/>
    <w:rsid w:val="00097218"/>
    <w:rsid w:val="0009729F"/>
    <w:rsid w:val="0009738E"/>
    <w:rsid w:val="000973E1"/>
    <w:rsid w:val="000975A5"/>
    <w:rsid w:val="000975EF"/>
    <w:rsid w:val="0009775D"/>
    <w:rsid w:val="000977D9"/>
    <w:rsid w:val="0009799D"/>
    <w:rsid w:val="000979F0"/>
    <w:rsid w:val="000979FC"/>
    <w:rsid w:val="00097A68"/>
    <w:rsid w:val="00097CFB"/>
    <w:rsid w:val="00097D55"/>
    <w:rsid w:val="00097E63"/>
    <w:rsid w:val="00097E6B"/>
    <w:rsid w:val="00097ECC"/>
    <w:rsid w:val="00097FE7"/>
    <w:rsid w:val="000A00D9"/>
    <w:rsid w:val="000A00EB"/>
    <w:rsid w:val="000A012F"/>
    <w:rsid w:val="000A013D"/>
    <w:rsid w:val="000A01F5"/>
    <w:rsid w:val="000A03C9"/>
    <w:rsid w:val="000A0443"/>
    <w:rsid w:val="000A048A"/>
    <w:rsid w:val="000A05C5"/>
    <w:rsid w:val="000A0769"/>
    <w:rsid w:val="000A08C5"/>
    <w:rsid w:val="000A08D0"/>
    <w:rsid w:val="000A090C"/>
    <w:rsid w:val="000A094C"/>
    <w:rsid w:val="000A0A22"/>
    <w:rsid w:val="000A0C04"/>
    <w:rsid w:val="000A0C94"/>
    <w:rsid w:val="000A0CFB"/>
    <w:rsid w:val="000A0E96"/>
    <w:rsid w:val="000A0EA8"/>
    <w:rsid w:val="000A0F0F"/>
    <w:rsid w:val="000A0FA6"/>
    <w:rsid w:val="000A0FB1"/>
    <w:rsid w:val="000A1026"/>
    <w:rsid w:val="000A10BF"/>
    <w:rsid w:val="000A11A8"/>
    <w:rsid w:val="000A12F7"/>
    <w:rsid w:val="000A1428"/>
    <w:rsid w:val="000A148E"/>
    <w:rsid w:val="000A149C"/>
    <w:rsid w:val="000A165D"/>
    <w:rsid w:val="000A17C9"/>
    <w:rsid w:val="000A18C3"/>
    <w:rsid w:val="000A1934"/>
    <w:rsid w:val="000A1DBD"/>
    <w:rsid w:val="000A1DC8"/>
    <w:rsid w:val="000A1ED5"/>
    <w:rsid w:val="000A1FAE"/>
    <w:rsid w:val="000A2121"/>
    <w:rsid w:val="000A21C4"/>
    <w:rsid w:val="000A2240"/>
    <w:rsid w:val="000A2350"/>
    <w:rsid w:val="000A23E1"/>
    <w:rsid w:val="000A24D8"/>
    <w:rsid w:val="000A266A"/>
    <w:rsid w:val="000A29AD"/>
    <w:rsid w:val="000A2A92"/>
    <w:rsid w:val="000A2ACD"/>
    <w:rsid w:val="000A2B65"/>
    <w:rsid w:val="000A2DA8"/>
    <w:rsid w:val="000A2E08"/>
    <w:rsid w:val="000A2F8D"/>
    <w:rsid w:val="000A3073"/>
    <w:rsid w:val="000A31E6"/>
    <w:rsid w:val="000A324B"/>
    <w:rsid w:val="000A3474"/>
    <w:rsid w:val="000A39ED"/>
    <w:rsid w:val="000A3AA2"/>
    <w:rsid w:val="000A3BCE"/>
    <w:rsid w:val="000A3F2E"/>
    <w:rsid w:val="000A40D3"/>
    <w:rsid w:val="000A418E"/>
    <w:rsid w:val="000A41F6"/>
    <w:rsid w:val="000A43E0"/>
    <w:rsid w:val="000A4412"/>
    <w:rsid w:val="000A4638"/>
    <w:rsid w:val="000A4730"/>
    <w:rsid w:val="000A4817"/>
    <w:rsid w:val="000A48D5"/>
    <w:rsid w:val="000A4976"/>
    <w:rsid w:val="000A4B24"/>
    <w:rsid w:val="000A4BA5"/>
    <w:rsid w:val="000A4BE0"/>
    <w:rsid w:val="000A4C8F"/>
    <w:rsid w:val="000A4E9F"/>
    <w:rsid w:val="000A4EF4"/>
    <w:rsid w:val="000A4FF4"/>
    <w:rsid w:val="000A504C"/>
    <w:rsid w:val="000A5193"/>
    <w:rsid w:val="000A51AB"/>
    <w:rsid w:val="000A51C8"/>
    <w:rsid w:val="000A57E6"/>
    <w:rsid w:val="000A5C47"/>
    <w:rsid w:val="000A5CB3"/>
    <w:rsid w:val="000A5CD8"/>
    <w:rsid w:val="000A5E51"/>
    <w:rsid w:val="000A5EB0"/>
    <w:rsid w:val="000A5FC1"/>
    <w:rsid w:val="000A5FC7"/>
    <w:rsid w:val="000A6019"/>
    <w:rsid w:val="000A601C"/>
    <w:rsid w:val="000A60D6"/>
    <w:rsid w:val="000A611D"/>
    <w:rsid w:val="000A6123"/>
    <w:rsid w:val="000A617A"/>
    <w:rsid w:val="000A61C8"/>
    <w:rsid w:val="000A629E"/>
    <w:rsid w:val="000A62BA"/>
    <w:rsid w:val="000A62CE"/>
    <w:rsid w:val="000A62CF"/>
    <w:rsid w:val="000A6317"/>
    <w:rsid w:val="000A6359"/>
    <w:rsid w:val="000A64E8"/>
    <w:rsid w:val="000A65A9"/>
    <w:rsid w:val="000A660E"/>
    <w:rsid w:val="000A6790"/>
    <w:rsid w:val="000A6B30"/>
    <w:rsid w:val="000A6B79"/>
    <w:rsid w:val="000A6B9A"/>
    <w:rsid w:val="000A6D78"/>
    <w:rsid w:val="000A6E11"/>
    <w:rsid w:val="000A6EC2"/>
    <w:rsid w:val="000A6F0E"/>
    <w:rsid w:val="000A6F59"/>
    <w:rsid w:val="000A6F6C"/>
    <w:rsid w:val="000A6F80"/>
    <w:rsid w:val="000A7054"/>
    <w:rsid w:val="000A70E3"/>
    <w:rsid w:val="000A710B"/>
    <w:rsid w:val="000A73AA"/>
    <w:rsid w:val="000A73BF"/>
    <w:rsid w:val="000A75DE"/>
    <w:rsid w:val="000A7620"/>
    <w:rsid w:val="000A78AD"/>
    <w:rsid w:val="000A78BE"/>
    <w:rsid w:val="000A7913"/>
    <w:rsid w:val="000A799E"/>
    <w:rsid w:val="000A7A98"/>
    <w:rsid w:val="000A7AF1"/>
    <w:rsid w:val="000A7B25"/>
    <w:rsid w:val="000A7B53"/>
    <w:rsid w:val="000A7D91"/>
    <w:rsid w:val="000A7E31"/>
    <w:rsid w:val="000B002B"/>
    <w:rsid w:val="000B0141"/>
    <w:rsid w:val="000B014C"/>
    <w:rsid w:val="000B01DC"/>
    <w:rsid w:val="000B026A"/>
    <w:rsid w:val="000B06EA"/>
    <w:rsid w:val="000B07FB"/>
    <w:rsid w:val="000B0999"/>
    <w:rsid w:val="000B0C9C"/>
    <w:rsid w:val="000B0D16"/>
    <w:rsid w:val="000B0E09"/>
    <w:rsid w:val="000B0E3E"/>
    <w:rsid w:val="000B0FB5"/>
    <w:rsid w:val="000B1086"/>
    <w:rsid w:val="000B10CE"/>
    <w:rsid w:val="000B116C"/>
    <w:rsid w:val="000B11BD"/>
    <w:rsid w:val="000B13AE"/>
    <w:rsid w:val="000B13FA"/>
    <w:rsid w:val="000B13FF"/>
    <w:rsid w:val="000B145B"/>
    <w:rsid w:val="000B18AE"/>
    <w:rsid w:val="000B1B0E"/>
    <w:rsid w:val="000B1B96"/>
    <w:rsid w:val="000B1DC9"/>
    <w:rsid w:val="000B2035"/>
    <w:rsid w:val="000B20A7"/>
    <w:rsid w:val="000B2127"/>
    <w:rsid w:val="000B22C2"/>
    <w:rsid w:val="000B240D"/>
    <w:rsid w:val="000B2462"/>
    <w:rsid w:val="000B2485"/>
    <w:rsid w:val="000B24C9"/>
    <w:rsid w:val="000B250D"/>
    <w:rsid w:val="000B25B6"/>
    <w:rsid w:val="000B2617"/>
    <w:rsid w:val="000B278A"/>
    <w:rsid w:val="000B2816"/>
    <w:rsid w:val="000B2885"/>
    <w:rsid w:val="000B2A67"/>
    <w:rsid w:val="000B2CE4"/>
    <w:rsid w:val="000B2D3E"/>
    <w:rsid w:val="000B2D58"/>
    <w:rsid w:val="000B2D71"/>
    <w:rsid w:val="000B2DA1"/>
    <w:rsid w:val="000B2DCB"/>
    <w:rsid w:val="000B3330"/>
    <w:rsid w:val="000B3384"/>
    <w:rsid w:val="000B36C7"/>
    <w:rsid w:val="000B37DB"/>
    <w:rsid w:val="000B3825"/>
    <w:rsid w:val="000B3907"/>
    <w:rsid w:val="000B3A03"/>
    <w:rsid w:val="000B3A3F"/>
    <w:rsid w:val="000B3A54"/>
    <w:rsid w:val="000B3AAB"/>
    <w:rsid w:val="000B3AB6"/>
    <w:rsid w:val="000B3BD0"/>
    <w:rsid w:val="000B3C5D"/>
    <w:rsid w:val="000B3D0F"/>
    <w:rsid w:val="000B3E12"/>
    <w:rsid w:val="000B3E56"/>
    <w:rsid w:val="000B3EDF"/>
    <w:rsid w:val="000B40F2"/>
    <w:rsid w:val="000B429B"/>
    <w:rsid w:val="000B43EC"/>
    <w:rsid w:val="000B4403"/>
    <w:rsid w:val="000B447E"/>
    <w:rsid w:val="000B44A1"/>
    <w:rsid w:val="000B468B"/>
    <w:rsid w:val="000B4724"/>
    <w:rsid w:val="000B48C5"/>
    <w:rsid w:val="000B4934"/>
    <w:rsid w:val="000B495D"/>
    <w:rsid w:val="000B4BC9"/>
    <w:rsid w:val="000B4C22"/>
    <w:rsid w:val="000B4C4E"/>
    <w:rsid w:val="000B4C5A"/>
    <w:rsid w:val="000B4D17"/>
    <w:rsid w:val="000B50D2"/>
    <w:rsid w:val="000B5196"/>
    <w:rsid w:val="000B52EA"/>
    <w:rsid w:val="000B530C"/>
    <w:rsid w:val="000B53F1"/>
    <w:rsid w:val="000B5416"/>
    <w:rsid w:val="000B55BC"/>
    <w:rsid w:val="000B5652"/>
    <w:rsid w:val="000B5881"/>
    <w:rsid w:val="000B5B84"/>
    <w:rsid w:val="000B5C31"/>
    <w:rsid w:val="000B5C9E"/>
    <w:rsid w:val="000B5FA1"/>
    <w:rsid w:val="000B5FC5"/>
    <w:rsid w:val="000B6105"/>
    <w:rsid w:val="000B6114"/>
    <w:rsid w:val="000B639E"/>
    <w:rsid w:val="000B668D"/>
    <w:rsid w:val="000B68A8"/>
    <w:rsid w:val="000B6926"/>
    <w:rsid w:val="000B69F2"/>
    <w:rsid w:val="000B6A55"/>
    <w:rsid w:val="000B6AE4"/>
    <w:rsid w:val="000B6B77"/>
    <w:rsid w:val="000B6CF0"/>
    <w:rsid w:val="000B6DB2"/>
    <w:rsid w:val="000B6EFF"/>
    <w:rsid w:val="000B6F54"/>
    <w:rsid w:val="000B7025"/>
    <w:rsid w:val="000B7207"/>
    <w:rsid w:val="000B720C"/>
    <w:rsid w:val="000B73D0"/>
    <w:rsid w:val="000B73EE"/>
    <w:rsid w:val="000B74E4"/>
    <w:rsid w:val="000B7587"/>
    <w:rsid w:val="000B7597"/>
    <w:rsid w:val="000B7665"/>
    <w:rsid w:val="000B7902"/>
    <w:rsid w:val="000B7AED"/>
    <w:rsid w:val="000B7B1D"/>
    <w:rsid w:val="000C00B4"/>
    <w:rsid w:val="000C0213"/>
    <w:rsid w:val="000C0215"/>
    <w:rsid w:val="000C031D"/>
    <w:rsid w:val="000C041A"/>
    <w:rsid w:val="000C05C7"/>
    <w:rsid w:val="000C0607"/>
    <w:rsid w:val="000C063D"/>
    <w:rsid w:val="000C0801"/>
    <w:rsid w:val="000C0892"/>
    <w:rsid w:val="000C09A8"/>
    <w:rsid w:val="000C0F87"/>
    <w:rsid w:val="000C1204"/>
    <w:rsid w:val="000C12B4"/>
    <w:rsid w:val="000C144A"/>
    <w:rsid w:val="000C15A4"/>
    <w:rsid w:val="000C15EF"/>
    <w:rsid w:val="000C1612"/>
    <w:rsid w:val="000C169E"/>
    <w:rsid w:val="000C16B8"/>
    <w:rsid w:val="000C17EA"/>
    <w:rsid w:val="000C182C"/>
    <w:rsid w:val="000C1BB4"/>
    <w:rsid w:val="000C1BF6"/>
    <w:rsid w:val="000C1CFA"/>
    <w:rsid w:val="000C1D16"/>
    <w:rsid w:val="000C1DAB"/>
    <w:rsid w:val="000C207D"/>
    <w:rsid w:val="000C2115"/>
    <w:rsid w:val="000C2116"/>
    <w:rsid w:val="000C226F"/>
    <w:rsid w:val="000C227B"/>
    <w:rsid w:val="000C22E6"/>
    <w:rsid w:val="000C233E"/>
    <w:rsid w:val="000C2356"/>
    <w:rsid w:val="000C2402"/>
    <w:rsid w:val="000C2560"/>
    <w:rsid w:val="000C2671"/>
    <w:rsid w:val="000C2695"/>
    <w:rsid w:val="000C27EF"/>
    <w:rsid w:val="000C2815"/>
    <w:rsid w:val="000C2A8D"/>
    <w:rsid w:val="000C2AA7"/>
    <w:rsid w:val="000C2B01"/>
    <w:rsid w:val="000C2C16"/>
    <w:rsid w:val="000C2D40"/>
    <w:rsid w:val="000C2E1E"/>
    <w:rsid w:val="000C2EEE"/>
    <w:rsid w:val="000C2F90"/>
    <w:rsid w:val="000C3043"/>
    <w:rsid w:val="000C30DD"/>
    <w:rsid w:val="000C319F"/>
    <w:rsid w:val="000C31D6"/>
    <w:rsid w:val="000C3205"/>
    <w:rsid w:val="000C35FF"/>
    <w:rsid w:val="000C3691"/>
    <w:rsid w:val="000C37B2"/>
    <w:rsid w:val="000C37DA"/>
    <w:rsid w:val="000C3803"/>
    <w:rsid w:val="000C3882"/>
    <w:rsid w:val="000C396A"/>
    <w:rsid w:val="000C39A7"/>
    <w:rsid w:val="000C3A6C"/>
    <w:rsid w:val="000C3AC1"/>
    <w:rsid w:val="000C3B8D"/>
    <w:rsid w:val="000C3BCC"/>
    <w:rsid w:val="000C3CF1"/>
    <w:rsid w:val="000C3D6E"/>
    <w:rsid w:val="000C3DAD"/>
    <w:rsid w:val="000C3FAC"/>
    <w:rsid w:val="000C4037"/>
    <w:rsid w:val="000C4074"/>
    <w:rsid w:val="000C40A8"/>
    <w:rsid w:val="000C4136"/>
    <w:rsid w:val="000C436C"/>
    <w:rsid w:val="000C4779"/>
    <w:rsid w:val="000C478B"/>
    <w:rsid w:val="000C4863"/>
    <w:rsid w:val="000C4935"/>
    <w:rsid w:val="000C4A66"/>
    <w:rsid w:val="000C4AC4"/>
    <w:rsid w:val="000C4C66"/>
    <w:rsid w:val="000C4D95"/>
    <w:rsid w:val="000C4E07"/>
    <w:rsid w:val="000C4F98"/>
    <w:rsid w:val="000C4FD0"/>
    <w:rsid w:val="000C4FEE"/>
    <w:rsid w:val="000C513C"/>
    <w:rsid w:val="000C5141"/>
    <w:rsid w:val="000C518A"/>
    <w:rsid w:val="000C5283"/>
    <w:rsid w:val="000C52E4"/>
    <w:rsid w:val="000C5329"/>
    <w:rsid w:val="000C5496"/>
    <w:rsid w:val="000C5618"/>
    <w:rsid w:val="000C56BA"/>
    <w:rsid w:val="000C56DA"/>
    <w:rsid w:val="000C593B"/>
    <w:rsid w:val="000C5965"/>
    <w:rsid w:val="000C59FD"/>
    <w:rsid w:val="000C5AE9"/>
    <w:rsid w:val="000C5BB9"/>
    <w:rsid w:val="000C5BC6"/>
    <w:rsid w:val="000C5D83"/>
    <w:rsid w:val="000C5DD2"/>
    <w:rsid w:val="000C5E79"/>
    <w:rsid w:val="000C5FE4"/>
    <w:rsid w:val="000C6018"/>
    <w:rsid w:val="000C6048"/>
    <w:rsid w:val="000C64F4"/>
    <w:rsid w:val="000C654A"/>
    <w:rsid w:val="000C671D"/>
    <w:rsid w:val="000C6727"/>
    <w:rsid w:val="000C677D"/>
    <w:rsid w:val="000C6823"/>
    <w:rsid w:val="000C6842"/>
    <w:rsid w:val="000C6844"/>
    <w:rsid w:val="000C68F5"/>
    <w:rsid w:val="000C6908"/>
    <w:rsid w:val="000C6912"/>
    <w:rsid w:val="000C69DD"/>
    <w:rsid w:val="000C6A1D"/>
    <w:rsid w:val="000C6AED"/>
    <w:rsid w:val="000C6D21"/>
    <w:rsid w:val="000C6E72"/>
    <w:rsid w:val="000C7000"/>
    <w:rsid w:val="000C7102"/>
    <w:rsid w:val="000C735E"/>
    <w:rsid w:val="000C74A0"/>
    <w:rsid w:val="000C7548"/>
    <w:rsid w:val="000C7586"/>
    <w:rsid w:val="000C7633"/>
    <w:rsid w:val="000C7664"/>
    <w:rsid w:val="000C77FB"/>
    <w:rsid w:val="000C7989"/>
    <w:rsid w:val="000C7C46"/>
    <w:rsid w:val="000C7D0A"/>
    <w:rsid w:val="000C7E65"/>
    <w:rsid w:val="000C7E66"/>
    <w:rsid w:val="000C7E97"/>
    <w:rsid w:val="000C7E99"/>
    <w:rsid w:val="000C7EC0"/>
    <w:rsid w:val="000D01D9"/>
    <w:rsid w:val="000D03FF"/>
    <w:rsid w:val="000D0458"/>
    <w:rsid w:val="000D0472"/>
    <w:rsid w:val="000D0496"/>
    <w:rsid w:val="000D0581"/>
    <w:rsid w:val="000D05C6"/>
    <w:rsid w:val="000D0624"/>
    <w:rsid w:val="000D0871"/>
    <w:rsid w:val="000D08C4"/>
    <w:rsid w:val="000D09A2"/>
    <w:rsid w:val="000D0A2C"/>
    <w:rsid w:val="000D0BEA"/>
    <w:rsid w:val="000D0D1D"/>
    <w:rsid w:val="000D0D55"/>
    <w:rsid w:val="000D0D76"/>
    <w:rsid w:val="000D0E66"/>
    <w:rsid w:val="000D0EAF"/>
    <w:rsid w:val="000D0FE3"/>
    <w:rsid w:val="000D1432"/>
    <w:rsid w:val="000D14DB"/>
    <w:rsid w:val="000D158D"/>
    <w:rsid w:val="000D15A2"/>
    <w:rsid w:val="000D173C"/>
    <w:rsid w:val="000D1AC0"/>
    <w:rsid w:val="000D1B52"/>
    <w:rsid w:val="000D1C36"/>
    <w:rsid w:val="000D1D7A"/>
    <w:rsid w:val="000D1DD7"/>
    <w:rsid w:val="000D1F4E"/>
    <w:rsid w:val="000D1FAB"/>
    <w:rsid w:val="000D1FBB"/>
    <w:rsid w:val="000D2131"/>
    <w:rsid w:val="000D2359"/>
    <w:rsid w:val="000D24C6"/>
    <w:rsid w:val="000D2828"/>
    <w:rsid w:val="000D287E"/>
    <w:rsid w:val="000D2969"/>
    <w:rsid w:val="000D296A"/>
    <w:rsid w:val="000D2BF5"/>
    <w:rsid w:val="000D2CFA"/>
    <w:rsid w:val="000D2ED4"/>
    <w:rsid w:val="000D2EF9"/>
    <w:rsid w:val="000D2F7E"/>
    <w:rsid w:val="000D3220"/>
    <w:rsid w:val="000D33B4"/>
    <w:rsid w:val="000D349B"/>
    <w:rsid w:val="000D352A"/>
    <w:rsid w:val="000D35D9"/>
    <w:rsid w:val="000D360E"/>
    <w:rsid w:val="000D3809"/>
    <w:rsid w:val="000D380D"/>
    <w:rsid w:val="000D392A"/>
    <w:rsid w:val="000D39CE"/>
    <w:rsid w:val="000D3A4C"/>
    <w:rsid w:val="000D3AF8"/>
    <w:rsid w:val="000D3B23"/>
    <w:rsid w:val="000D3B2B"/>
    <w:rsid w:val="000D3C0A"/>
    <w:rsid w:val="000D3C8C"/>
    <w:rsid w:val="000D3DF2"/>
    <w:rsid w:val="000D3EBA"/>
    <w:rsid w:val="000D40F5"/>
    <w:rsid w:val="000D414E"/>
    <w:rsid w:val="000D4276"/>
    <w:rsid w:val="000D44F1"/>
    <w:rsid w:val="000D4551"/>
    <w:rsid w:val="000D4625"/>
    <w:rsid w:val="000D4833"/>
    <w:rsid w:val="000D48B7"/>
    <w:rsid w:val="000D48E9"/>
    <w:rsid w:val="000D4B22"/>
    <w:rsid w:val="000D4B4E"/>
    <w:rsid w:val="000D4B7F"/>
    <w:rsid w:val="000D4C1B"/>
    <w:rsid w:val="000D4C28"/>
    <w:rsid w:val="000D4D40"/>
    <w:rsid w:val="000D4D49"/>
    <w:rsid w:val="000D4E84"/>
    <w:rsid w:val="000D4E99"/>
    <w:rsid w:val="000D4ED2"/>
    <w:rsid w:val="000D4EE4"/>
    <w:rsid w:val="000D4F06"/>
    <w:rsid w:val="000D4F15"/>
    <w:rsid w:val="000D5066"/>
    <w:rsid w:val="000D5402"/>
    <w:rsid w:val="000D5523"/>
    <w:rsid w:val="000D5549"/>
    <w:rsid w:val="000D5607"/>
    <w:rsid w:val="000D56AE"/>
    <w:rsid w:val="000D56CB"/>
    <w:rsid w:val="000D576C"/>
    <w:rsid w:val="000D5848"/>
    <w:rsid w:val="000D596C"/>
    <w:rsid w:val="000D59AC"/>
    <w:rsid w:val="000D59E4"/>
    <w:rsid w:val="000D5CF7"/>
    <w:rsid w:val="000D5D50"/>
    <w:rsid w:val="000D5D98"/>
    <w:rsid w:val="000D5E0A"/>
    <w:rsid w:val="000D5F2F"/>
    <w:rsid w:val="000D5F6A"/>
    <w:rsid w:val="000D6016"/>
    <w:rsid w:val="000D602E"/>
    <w:rsid w:val="000D62FC"/>
    <w:rsid w:val="000D633D"/>
    <w:rsid w:val="000D6470"/>
    <w:rsid w:val="000D6493"/>
    <w:rsid w:val="000D66EE"/>
    <w:rsid w:val="000D6993"/>
    <w:rsid w:val="000D6CA4"/>
    <w:rsid w:val="000D6CC1"/>
    <w:rsid w:val="000D6D62"/>
    <w:rsid w:val="000D6EC3"/>
    <w:rsid w:val="000D7112"/>
    <w:rsid w:val="000D7240"/>
    <w:rsid w:val="000D731A"/>
    <w:rsid w:val="000D739A"/>
    <w:rsid w:val="000D74B4"/>
    <w:rsid w:val="000D74C1"/>
    <w:rsid w:val="000D75FA"/>
    <w:rsid w:val="000D762E"/>
    <w:rsid w:val="000D7642"/>
    <w:rsid w:val="000D7732"/>
    <w:rsid w:val="000D77D7"/>
    <w:rsid w:val="000D784C"/>
    <w:rsid w:val="000D7872"/>
    <w:rsid w:val="000D788D"/>
    <w:rsid w:val="000D78DE"/>
    <w:rsid w:val="000D7A4B"/>
    <w:rsid w:val="000D7BB5"/>
    <w:rsid w:val="000D7CF6"/>
    <w:rsid w:val="000D7DA9"/>
    <w:rsid w:val="000D7DCE"/>
    <w:rsid w:val="000D7E8F"/>
    <w:rsid w:val="000E00B1"/>
    <w:rsid w:val="000E0101"/>
    <w:rsid w:val="000E0176"/>
    <w:rsid w:val="000E02A7"/>
    <w:rsid w:val="000E03DC"/>
    <w:rsid w:val="000E04A7"/>
    <w:rsid w:val="000E05EC"/>
    <w:rsid w:val="000E061B"/>
    <w:rsid w:val="000E0925"/>
    <w:rsid w:val="000E0946"/>
    <w:rsid w:val="000E096F"/>
    <w:rsid w:val="000E09C7"/>
    <w:rsid w:val="000E0ADE"/>
    <w:rsid w:val="000E0B36"/>
    <w:rsid w:val="000E0BB3"/>
    <w:rsid w:val="000E0C8E"/>
    <w:rsid w:val="000E0CB0"/>
    <w:rsid w:val="000E0DC5"/>
    <w:rsid w:val="000E0F97"/>
    <w:rsid w:val="000E1124"/>
    <w:rsid w:val="000E1168"/>
    <w:rsid w:val="000E119F"/>
    <w:rsid w:val="000E1218"/>
    <w:rsid w:val="000E12F1"/>
    <w:rsid w:val="000E13F0"/>
    <w:rsid w:val="000E167E"/>
    <w:rsid w:val="000E16EE"/>
    <w:rsid w:val="000E1702"/>
    <w:rsid w:val="000E18F3"/>
    <w:rsid w:val="000E1905"/>
    <w:rsid w:val="000E1923"/>
    <w:rsid w:val="000E1972"/>
    <w:rsid w:val="000E1AF5"/>
    <w:rsid w:val="000E1B21"/>
    <w:rsid w:val="000E1BB2"/>
    <w:rsid w:val="000E1E90"/>
    <w:rsid w:val="000E2042"/>
    <w:rsid w:val="000E2056"/>
    <w:rsid w:val="000E21F1"/>
    <w:rsid w:val="000E2230"/>
    <w:rsid w:val="000E2244"/>
    <w:rsid w:val="000E22DE"/>
    <w:rsid w:val="000E2343"/>
    <w:rsid w:val="000E2936"/>
    <w:rsid w:val="000E294A"/>
    <w:rsid w:val="000E2974"/>
    <w:rsid w:val="000E2982"/>
    <w:rsid w:val="000E2996"/>
    <w:rsid w:val="000E29C3"/>
    <w:rsid w:val="000E2A38"/>
    <w:rsid w:val="000E2A5D"/>
    <w:rsid w:val="000E2B37"/>
    <w:rsid w:val="000E2D5B"/>
    <w:rsid w:val="000E2D91"/>
    <w:rsid w:val="000E2DA9"/>
    <w:rsid w:val="000E2DC3"/>
    <w:rsid w:val="000E2EC3"/>
    <w:rsid w:val="000E2ED1"/>
    <w:rsid w:val="000E3070"/>
    <w:rsid w:val="000E30D6"/>
    <w:rsid w:val="000E3192"/>
    <w:rsid w:val="000E31B1"/>
    <w:rsid w:val="000E31F2"/>
    <w:rsid w:val="000E33C5"/>
    <w:rsid w:val="000E3811"/>
    <w:rsid w:val="000E3817"/>
    <w:rsid w:val="000E393C"/>
    <w:rsid w:val="000E39B5"/>
    <w:rsid w:val="000E3DC6"/>
    <w:rsid w:val="000E410A"/>
    <w:rsid w:val="000E416E"/>
    <w:rsid w:val="000E419D"/>
    <w:rsid w:val="000E4393"/>
    <w:rsid w:val="000E44F4"/>
    <w:rsid w:val="000E45E9"/>
    <w:rsid w:val="000E4636"/>
    <w:rsid w:val="000E471A"/>
    <w:rsid w:val="000E4837"/>
    <w:rsid w:val="000E485C"/>
    <w:rsid w:val="000E495C"/>
    <w:rsid w:val="000E4C53"/>
    <w:rsid w:val="000E4D1A"/>
    <w:rsid w:val="000E4DB4"/>
    <w:rsid w:val="000E4DC8"/>
    <w:rsid w:val="000E4DDD"/>
    <w:rsid w:val="000E4E70"/>
    <w:rsid w:val="000E4EA1"/>
    <w:rsid w:val="000E5531"/>
    <w:rsid w:val="000E578B"/>
    <w:rsid w:val="000E57A9"/>
    <w:rsid w:val="000E5B7A"/>
    <w:rsid w:val="000E5BA1"/>
    <w:rsid w:val="000E5C38"/>
    <w:rsid w:val="000E5D8A"/>
    <w:rsid w:val="000E5ED0"/>
    <w:rsid w:val="000E5FF4"/>
    <w:rsid w:val="000E6018"/>
    <w:rsid w:val="000E614E"/>
    <w:rsid w:val="000E6236"/>
    <w:rsid w:val="000E6410"/>
    <w:rsid w:val="000E6505"/>
    <w:rsid w:val="000E655D"/>
    <w:rsid w:val="000E661C"/>
    <w:rsid w:val="000E66F0"/>
    <w:rsid w:val="000E678B"/>
    <w:rsid w:val="000E67C0"/>
    <w:rsid w:val="000E68E6"/>
    <w:rsid w:val="000E6B97"/>
    <w:rsid w:val="000E6BEE"/>
    <w:rsid w:val="000E6D9C"/>
    <w:rsid w:val="000E6E40"/>
    <w:rsid w:val="000E6F7F"/>
    <w:rsid w:val="000E6FCE"/>
    <w:rsid w:val="000E7040"/>
    <w:rsid w:val="000E7132"/>
    <w:rsid w:val="000E7204"/>
    <w:rsid w:val="000E72D9"/>
    <w:rsid w:val="000E7303"/>
    <w:rsid w:val="000E7354"/>
    <w:rsid w:val="000E7407"/>
    <w:rsid w:val="000E74D1"/>
    <w:rsid w:val="000E7837"/>
    <w:rsid w:val="000E788F"/>
    <w:rsid w:val="000E7954"/>
    <w:rsid w:val="000E7B5C"/>
    <w:rsid w:val="000E7CF0"/>
    <w:rsid w:val="000E7DBC"/>
    <w:rsid w:val="000F0057"/>
    <w:rsid w:val="000F0175"/>
    <w:rsid w:val="000F0183"/>
    <w:rsid w:val="000F019C"/>
    <w:rsid w:val="000F02B5"/>
    <w:rsid w:val="000F0350"/>
    <w:rsid w:val="000F04AB"/>
    <w:rsid w:val="000F04FB"/>
    <w:rsid w:val="000F05B9"/>
    <w:rsid w:val="000F061E"/>
    <w:rsid w:val="000F0621"/>
    <w:rsid w:val="000F069C"/>
    <w:rsid w:val="000F078C"/>
    <w:rsid w:val="000F08B3"/>
    <w:rsid w:val="000F08F0"/>
    <w:rsid w:val="000F091C"/>
    <w:rsid w:val="000F09C6"/>
    <w:rsid w:val="000F0C9D"/>
    <w:rsid w:val="000F0D63"/>
    <w:rsid w:val="000F0F95"/>
    <w:rsid w:val="000F1009"/>
    <w:rsid w:val="000F134B"/>
    <w:rsid w:val="000F14A3"/>
    <w:rsid w:val="000F14B6"/>
    <w:rsid w:val="000F1532"/>
    <w:rsid w:val="000F16BA"/>
    <w:rsid w:val="000F174C"/>
    <w:rsid w:val="000F17DD"/>
    <w:rsid w:val="000F181C"/>
    <w:rsid w:val="000F19B7"/>
    <w:rsid w:val="000F1B06"/>
    <w:rsid w:val="000F1BD0"/>
    <w:rsid w:val="000F1E79"/>
    <w:rsid w:val="000F1EB7"/>
    <w:rsid w:val="000F1FDA"/>
    <w:rsid w:val="000F227F"/>
    <w:rsid w:val="000F22F2"/>
    <w:rsid w:val="000F23D9"/>
    <w:rsid w:val="000F24EB"/>
    <w:rsid w:val="000F2567"/>
    <w:rsid w:val="000F2847"/>
    <w:rsid w:val="000F2880"/>
    <w:rsid w:val="000F294E"/>
    <w:rsid w:val="000F2980"/>
    <w:rsid w:val="000F2A90"/>
    <w:rsid w:val="000F2ADE"/>
    <w:rsid w:val="000F2C62"/>
    <w:rsid w:val="000F2E01"/>
    <w:rsid w:val="000F2F57"/>
    <w:rsid w:val="000F2FFA"/>
    <w:rsid w:val="000F311F"/>
    <w:rsid w:val="000F3151"/>
    <w:rsid w:val="000F320C"/>
    <w:rsid w:val="000F320E"/>
    <w:rsid w:val="000F32A6"/>
    <w:rsid w:val="000F3318"/>
    <w:rsid w:val="000F349F"/>
    <w:rsid w:val="000F35B2"/>
    <w:rsid w:val="000F3653"/>
    <w:rsid w:val="000F379F"/>
    <w:rsid w:val="000F3821"/>
    <w:rsid w:val="000F39AC"/>
    <w:rsid w:val="000F3ADB"/>
    <w:rsid w:val="000F3B32"/>
    <w:rsid w:val="000F3B6D"/>
    <w:rsid w:val="000F3B91"/>
    <w:rsid w:val="000F3BAD"/>
    <w:rsid w:val="000F3CA1"/>
    <w:rsid w:val="000F3D23"/>
    <w:rsid w:val="000F3D43"/>
    <w:rsid w:val="000F3E83"/>
    <w:rsid w:val="000F40A7"/>
    <w:rsid w:val="000F413D"/>
    <w:rsid w:val="000F4358"/>
    <w:rsid w:val="000F43F1"/>
    <w:rsid w:val="000F44FC"/>
    <w:rsid w:val="000F46CB"/>
    <w:rsid w:val="000F47FF"/>
    <w:rsid w:val="000F4904"/>
    <w:rsid w:val="000F4A35"/>
    <w:rsid w:val="000F4A92"/>
    <w:rsid w:val="000F4ABC"/>
    <w:rsid w:val="000F4B68"/>
    <w:rsid w:val="000F4B8B"/>
    <w:rsid w:val="000F5126"/>
    <w:rsid w:val="000F5172"/>
    <w:rsid w:val="000F5272"/>
    <w:rsid w:val="000F5318"/>
    <w:rsid w:val="000F5371"/>
    <w:rsid w:val="000F5520"/>
    <w:rsid w:val="000F55AB"/>
    <w:rsid w:val="000F5794"/>
    <w:rsid w:val="000F57C3"/>
    <w:rsid w:val="000F5811"/>
    <w:rsid w:val="000F587D"/>
    <w:rsid w:val="000F589D"/>
    <w:rsid w:val="000F5A26"/>
    <w:rsid w:val="000F5A54"/>
    <w:rsid w:val="000F5A72"/>
    <w:rsid w:val="000F5AE4"/>
    <w:rsid w:val="000F5B72"/>
    <w:rsid w:val="000F5C72"/>
    <w:rsid w:val="000F5D96"/>
    <w:rsid w:val="000F5D9C"/>
    <w:rsid w:val="000F6181"/>
    <w:rsid w:val="000F62BE"/>
    <w:rsid w:val="000F641A"/>
    <w:rsid w:val="000F6495"/>
    <w:rsid w:val="000F663C"/>
    <w:rsid w:val="000F66F6"/>
    <w:rsid w:val="000F6833"/>
    <w:rsid w:val="000F69BF"/>
    <w:rsid w:val="000F6BA1"/>
    <w:rsid w:val="000F6BC5"/>
    <w:rsid w:val="000F6BFE"/>
    <w:rsid w:val="000F6C99"/>
    <w:rsid w:val="000F6D0C"/>
    <w:rsid w:val="000F6D95"/>
    <w:rsid w:val="000F6E64"/>
    <w:rsid w:val="000F736A"/>
    <w:rsid w:val="000F73A4"/>
    <w:rsid w:val="000F73AF"/>
    <w:rsid w:val="000F7419"/>
    <w:rsid w:val="000F7482"/>
    <w:rsid w:val="000F74D7"/>
    <w:rsid w:val="000F75E9"/>
    <w:rsid w:val="000F75FF"/>
    <w:rsid w:val="000F76EC"/>
    <w:rsid w:val="000F76F4"/>
    <w:rsid w:val="000F7723"/>
    <w:rsid w:val="000F7839"/>
    <w:rsid w:val="000F7987"/>
    <w:rsid w:val="000F7B54"/>
    <w:rsid w:val="000F7CEF"/>
    <w:rsid w:val="000F7F97"/>
    <w:rsid w:val="00100004"/>
    <w:rsid w:val="00100014"/>
    <w:rsid w:val="001002C3"/>
    <w:rsid w:val="001002C9"/>
    <w:rsid w:val="0010051C"/>
    <w:rsid w:val="001005D0"/>
    <w:rsid w:val="001005E2"/>
    <w:rsid w:val="00100888"/>
    <w:rsid w:val="00100938"/>
    <w:rsid w:val="001009F9"/>
    <w:rsid w:val="00100BD7"/>
    <w:rsid w:val="00100BFC"/>
    <w:rsid w:val="00100CE9"/>
    <w:rsid w:val="00100D24"/>
    <w:rsid w:val="00100D47"/>
    <w:rsid w:val="00100DA0"/>
    <w:rsid w:val="0010101F"/>
    <w:rsid w:val="00101143"/>
    <w:rsid w:val="0010123A"/>
    <w:rsid w:val="00101356"/>
    <w:rsid w:val="001013EA"/>
    <w:rsid w:val="00101415"/>
    <w:rsid w:val="00101447"/>
    <w:rsid w:val="00101FA2"/>
    <w:rsid w:val="0010208A"/>
    <w:rsid w:val="001023A0"/>
    <w:rsid w:val="00102408"/>
    <w:rsid w:val="0010245C"/>
    <w:rsid w:val="00102553"/>
    <w:rsid w:val="00102758"/>
    <w:rsid w:val="00102771"/>
    <w:rsid w:val="00102895"/>
    <w:rsid w:val="00102CA5"/>
    <w:rsid w:val="00102D39"/>
    <w:rsid w:val="0010304E"/>
    <w:rsid w:val="0010311A"/>
    <w:rsid w:val="001032D0"/>
    <w:rsid w:val="001033BB"/>
    <w:rsid w:val="0010345C"/>
    <w:rsid w:val="00103643"/>
    <w:rsid w:val="00103686"/>
    <w:rsid w:val="00103730"/>
    <w:rsid w:val="001038E9"/>
    <w:rsid w:val="0010391A"/>
    <w:rsid w:val="00103945"/>
    <w:rsid w:val="00103953"/>
    <w:rsid w:val="0010398C"/>
    <w:rsid w:val="00103A52"/>
    <w:rsid w:val="00103B93"/>
    <w:rsid w:val="00103C24"/>
    <w:rsid w:val="00103EAC"/>
    <w:rsid w:val="00103EC8"/>
    <w:rsid w:val="00103F8C"/>
    <w:rsid w:val="00103FF3"/>
    <w:rsid w:val="00104093"/>
    <w:rsid w:val="00104137"/>
    <w:rsid w:val="00104168"/>
    <w:rsid w:val="0010420F"/>
    <w:rsid w:val="0010425D"/>
    <w:rsid w:val="001043BB"/>
    <w:rsid w:val="001043E7"/>
    <w:rsid w:val="001043EA"/>
    <w:rsid w:val="00104431"/>
    <w:rsid w:val="0010443F"/>
    <w:rsid w:val="0010448B"/>
    <w:rsid w:val="0010454D"/>
    <w:rsid w:val="00104568"/>
    <w:rsid w:val="001045DC"/>
    <w:rsid w:val="0010479B"/>
    <w:rsid w:val="00104820"/>
    <w:rsid w:val="00104842"/>
    <w:rsid w:val="00104887"/>
    <w:rsid w:val="001049D9"/>
    <w:rsid w:val="00104B42"/>
    <w:rsid w:val="00104C57"/>
    <w:rsid w:val="00104D60"/>
    <w:rsid w:val="00104E2C"/>
    <w:rsid w:val="00104E44"/>
    <w:rsid w:val="00104F3C"/>
    <w:rsid w:val="00105168"/>
    <w:rsid w:val="00105181"/>
    <w:rsid w:val="0010521F"/>
    <w:rsid w:val="001054C8"/>
    <w:rsid w:val="00105514"/>
    <w:rsid w:val="001055B0"/>
    <w:rsid w:val="00105727"/>
    <w:rsid w:val="00105895"/>
    <w:rsid w:val="00105A86"/>
    <w:rsid w:val="00105AB0"/>
    <w:rsid w:val="00105AE0"/>
    <w:rsid w:val="00105FD4"/>
    <w:rsid w:val="0010604A"/>
    <w:rsid w:val="00106057"/>
    <w:rsid w:val="0010624F"/>
    <w:rsid w:val="0010625A"/>
    <w:rsid w:val="001064AC"/>
    <w:rsid w:val="00106508"/>
    <w:rsid w:val="00106615"/>
    <w:rsid w:val="00106652"/>
    <w:rsid w:val="001067AF"/>
    <w:rsid w:val="001067FB"/>
    <w:rsid w:val="00106860"/>
    <w:rsid w:val="001068C5"/>
    <w:rsid w:val="00106919"/>
    <w:rsid w:val="00106993"/>
    <w:rsid w:val="001069AE"/>
    <w:rsid w:val="00106A51"/>
    <w:rsid w:val="00106ABA"/>
    <w:rsid w:val="00106B6D"/>
    <w:rsid w:val="00106C6A"/>
    <w:rsid w:val="00106D25"/>
    <w:rsid w:val="00106DB1"/>
    <w:rsid w:val="00106DB3"/>
    <w:rsid w:val="00106E0F"/>
    <w:rsid w:val="0010713F"/>
    <w:rsid w:val="00107193"/>
    <w:rsid w:val="00107218"/>
    <w:rsid w:val="0010733A"/>
    <w:rsid w:val="00107524"/>
    <w:rsid w:val="0010754A"/>
    <w:rsid w:val="0010759E"/>
    <w:rsid w:val="001077C1"/>
    <w:rsid w:val="00107911"/>
    <w:rsid w:val="0010799A"/>
    <w:rsid w:val="00107A61"/>
    <w:rsid w:val="00107A6A"/>
    <w:rsid w:val="00107AD6"/>
    <w:rsid w:val="00107DCD"/>
    <w:rsid w:val="00107E35"/>
    <w:rsid w:val="00107E9D"/>
    <w:rsid w:val="00107EF0"/>
    <w:rsid w:val="00107F4B"/>
    <w:rsid w:val="00107FAD"/>
    <w:rsid w:val="00107FDD"/>
    <w:rsid w:val="00110035"/>
    <w:rsid w:val="001101B8"/>
    <w:rsid w:val="00110257"/>
    <w:rsid w:val="001102F0"/>
    <w:rsid w:val="00110359"/>
    <w:rsid w:val="0011052B"/>
    <w:rsid w:val="001106D4"/>
    <w:rsid w:val="00110705"/>
    <w:rsid w:val="00110794"/>
    <w:rsid w:val="001107B8"/>
    <w:rsid w:val="00110967"/>
    <w:rsid w:val="00110A56"/>
    <w:rsid w:val="00110A58"/>
    <w:rsid w:val="00110ACB"/>
    <w:rsid w:val="00110D46"/>
    <w:rsid w:val="00110D65"/>
    <w:rsid w:val="00110D7A"/>
    <w:rsid w:val="00110EC7"/>
    <w:rsid w:val="00110F5B"/>
    <w:rsid w:val="00111104"/>
    <w:rsid w:val="00111130"/>
    <w:rsid w:val="0011119B"/>
    <w:rsid w:val="0011125A"/>
    <w:rsid w:val="0011129C"/>
    <w:rsid w:val="001113AF"/>
    <w:rsid w:val="00111417"/>
    <w:rsid w:val="0011146C"/>
    <w:rsid w:val="0011161B"/>
    <w:rsid w:val="001116C6"/>
    <w:rsid w:val="001117D6"/>
    <w:rsid w:val="00111856"/>
    <w:rsid w:val="00111963"/>
    <w:rsid w:val="00111BEA"/>
    <w:rsid w:val="00111D58"/>
    <w:rsid w:val="00111D7B"/>
    <w:rsid w:val="00111E1A"/>
    <w:rsid w:val="00111E4E"/>
    <w:rsid w:val="00111EB4"/>
    <w:rsid w:val="00112140"/>
    <w:rsid w:val="00112198"/>
    <w:rsid w:val="00112281"/>
    <w:rsid w:val="0011267B"/>
    <w:rsid w:val="00112772"/>
    <w:rsid w:val="001127B5"/>
    <w:rsid w:val="00112B41"/>
    <w:rsid w:val="00112B5F"/>
    <w:rsid w:val="00112BB9"/>
    <w:rsid w:val="00112CC1"/>
    <w:rsid w:val="00112CCE"/>
    <w:rsid w:val="00112CD8"/>
    <w:rsid w:val="00112CDF"/>
    <w:rsid w:val="00112CE8"/>
    <w:rsid w:val="0011319C"/>
    <w:rsid w:val="001131D6"/>
    <w:rsid w:val="0011351E"/>
    <w:rsid w:val="00113533"/>
    <w:rsid w:val="00113660"/>
    <w:rsid w:val="0011374B"/>
    <w:rsid w:val="001138A2"/>
    <w:rsid w:val="00113A4D"/>
    <w:rsid w:val="00113C60"/>
    <w:rsid w:val="00113C9F"/>
    <w:rsid w:val="00113D95"/>
    <w:rsid w:val="00113DF4"/>
    <w:rsid w:val="00113E1D"/>
    <w:rsid w:val="00113E50"/>
    <w:rsid w:val="00114055"/>
    <w:rsid w:val="001141E0"/>
    <w:rsid w:val="00114237"/>
    <w:rsid w:val="00114240"/>
    <w:rsid w:val="0011428D"/>
    <w:rsid w:val="001142F8"/>
    <w:rsid w:val="00114349"/>
    <w:rsid w:val="001144C7"/>
    <w:rsid w:val="00114513"/>
    <w:rsid w:val="00114539"/>
    <w:rsid w:val="00114731"/>
    <w:rsid w:val="00114771"/>
    <w:rsid w:val="00114830"/>
    <w:rsid w:val="00114899"/>
    <w:rsid w:val="00114A2F"/>
    <w:rsid w:val="00114B4C"/>
    <w:rsid w:val="00114C3B"/>
    <w:rsid w:val="00114EAB"/>
    <w:rsid w:val="00115053"/>
    <w:rsid w:val="00115213"/>
    <w:rsid w:val="00115216"/>
    <w:rsid w:val="001152CA"/>
    <w:rsid w:val="00115444"/>
    <w:rsid w:val="00115691"/>
    <w:rsid w:val="001156A4"/>
    <w:rsid w:val="001156D1"/>
    <w:rsid w:val="001156DE"/>
    <w:rsid w:val="00115728"/>
    <w:rsid w:val="001158C1"/>
    <w:rsid w:val="0011598F"/>
    <w:rsid w:val="00115A3A"/>
    <w:rsid w:val="00115A4E"/>
    <w:rsid w:val="00115CA8"/>
    <w:rsid w:val="00115EA3"/>
    <w:rsid w:val="00115EE8"/>
    <w:rsid w:val="00115F16"/>
    <w:rsid w:val="0011600D"/>
    <w:rsid w:val="001161B7"/>
    <w:rsid w:val="001162DC"/>
    <w:rsid w:val="00116520"/>
    <w:rsid w:val="00116577"/>
    <w:rsid w:val="00116713"/>
    <w:rsid w:val="00116A5A"/>
    <w:rsid w:val="00116AF1"/>
    <w:rsid w:val="00116B29"/>
    <w:rsid w:val="00116BD1"/>
    <w:rsid w:val="00116C3B"/>
    <w:rsid w:val="00116E38"/>
    <w:rsid w:val="0011700C"/>
    <w:rsid w:val="00117039"/>
    <w:rsid w:val="00117271"/>
    <w:rsid w:val="0011729A"/>
    <w:rsid w:val="001172DD"/>
    <w:rsid w:val="0011750D"/>
    <w:rsid w:val="0011759D"/>
    <w:rsid w:val="00117682"/>
    <w:rsid w:val="001176B6"/>
    <w:rsid w:val="00117A4E"/>
    <w:rsid w:val="00117B5D"/>
    <w:rsid w:val="00117BB5"/>
    <w:rsid w:val="00117BDC"/>
    <w:rsid w:val="00117D98"/>
    <w:rsid w:val="00117DA7"/>
    <w:rsid w:val="00117EE4"/>
    <w:rsid w:val="00117F04"/>
    <w:rsid w:val="001202D5"/>
    <w:rsid w:val="00120324"/>
    <w:rsid w:val="00120327"/>
    <w:rsid w:val="0012035E"/>
    <w:rsid w:val="001204C0"/>
    <w:rsid w:val="001204DD"/>
    <w:rsid w:val="0012055B"/>
    <w:rsid w:val="00120686"/>
    <w:rsid w:val="00120AD4"/>
    <w:rsid w:val="00120AE3"/>
    <w:rsid w:val="00120AF6"/>
    <w:rsid w:val="00120BD3"/>
    <w:rsid w:val="00120C1D"/>
    <w:rsid w:val="00120C53"/>
    <w:rsid w:val="00120E16"/>
    <w:rsid w:val="00120E17"/>
    <w:rsid w:val="00120F1A"/>
    <w:rsid w:val="00120F8E"/>
    <w:rsid w:val="00121211"/>
    <w:rsid w:val="00121436"/>
    <w:rsid w:val="0012156D"/>
    <w:rsid w:val="001217AF"/>
    <w:rsid w:val="00121839"/>
    <w:rsid w:val="00121AB9"/>
    <w:rsid w:val="00121ACF"/>
    <w:rsid w:val="00121CBA"/>
    <w:rsid w:val="00121D6F"/>
    <w:rsid w:val="00121E5B"/>
    <w:rsid w:val="00121EE7"/>
    <w:rsid w:val="00121EF4"/>
    <w:rsid w:val="0012207A"/>
    <w:rsid w:val="0012216C"/>
    <w:rsid w:val="00122175"/>
    <w:rsid w:val="00122298"/>
    <w:rsid w:val="001222E3"/>
    <w:rsid w:val="00122308"/>
    <w:rsid w:val="001223C8"/>
    <w:rsid w:val="001224A2"/>
    <w:rsid w:val="00122553"/>
    <w:rsid w:val="0012276E"/>
    <w:rsid w:val="00122834"/>
    <w:rsid w:val="001228A2"/>
    <w:rsid w:val="00122958"/>
    <w:rsid w:val="00122990"/>
    <w:rsid w:val="00122A7A"/>
    <w:rsid w:val="00122AB9"/>
    <w:rsid w:val="00122AE3"/>
    <w:rsid w:val="00122B26"/>
    <w:rsid w:val="00122BA5"/>
    <w:rsid w:val="00122BAB"/>
    <w:rsid w:val="00122C18"/>
    <w:rsid w:val="00122C2D"/>
    <w:rsid w:val="00122CF5"/>
    <w:rsid w:val="00122E1D"/>
    <w:rsid w:val="00122E35"/>
    <w:rsid w:val="00122EE1"/>
    <w:rsid w:val="00122FF2"/>
    <w:rsid w:val="001230A9"/>
    <w:rsid w:val="0012314C"/>
    <w:rsid w:val="00123192"/>
    <w:rsid w:val="00123198"/>
    <w:rsid w:val="001232B3"/>
    <w:rsid w:val="00123411"/>
    <w:rsid w:val="0012357E"/>
    <w:rsid w:val="00123658"/>
    <w:rsid w:val="001237AF"/>
    <w:rsid w:val="00123848"/>
    <w:rsid w:val="00123881"/>
    <w:rsid w:val="00123A90"/>
    <w:rsid w:val="00123AD5"/>
    <w:rsid w:val="00123CBC"/>
    <w:rsid w:val="00123D62"/>
    <w:rsid w:val="00123D6C"/>
    <w:rsid w:val="00124063"/>
    <w:rsid w:val="001241AE"/>
    <w:rsid w:val="001242EC"/>
    <w:rsid w:val="0012430D"/>
    <w:rsid w:val="00124483"/>
    <w:rsid w:val="001244B9"/>
    <w:rsid w:val="00124541"/>
    <w:rsid w:val="001247EB"/>
    <w:rsid w:val="00124879"/>
    <w:rsid w:val="00124936"/>
    <w:rsid w:val="00124C84"/>
    <w:rsid w:val="00124CC6"/>
    <w:rsid w:val="00124CF4"/>
    <w:rsid w:val="00124D12"/>
    <w:rsid w:val="00124DBE"/>
    <w:rsid w:val="00124F29"/>
    <w:rsid w:val="00124F3C"/>
    <w:rsid w:val="0012505F"/>
    <w:rsid w:val="0012520E"/>
    <w:rsid w:val="00125663"/>
    <w:rsid w:val="001256B9"/>
    <w:rsid w:val="00125A88"/>
    <w:rsid w:val="00125B61"/>
    <w:rsid w:val="00125CCC"/>
    <w:rsid w:val="00125D60"/>
    <w:rsid w:val="00125DF7"/>
    <w:rsid w:val="00125E13"/>
    <w:rsid w:val="00125F13"/>
    <w:rsid w:val="00125F91"/>
    <w:rsid w:val="00126122"/>
    <w:rsid w:val="001261F5"/>
    <w:rsid w:val="0012620F"/>
    <w:rsid w:val="00126252"/>
    <w:rsid w:val="00126387"/>
    <w:rsid w:val="00126392"/>
    <w:rsid w:val="0012647C"/>
    <w:rsid w:val="0012649A"/>
    <w:rsid w:val="00126594"/>
    <w:rsid w:val="001267C0"/>
    <w:rsid w:val="001269D1"/>
    <w:rsid w:val="00126A0F"/>
    <w:rsid w:val="00126B13"/>
    <w:rsid w:val="00126BF2"/>
    <w:rsid w:val="00126C01"/>
    <w:rsid w:val="00126D0B"/>
    <w:rsid w:val="00126D35"/>
    <w:rsid w:val="00126EE2"/>
    <w:rsid w:val="00126FBE"/>
    <w:rsid w:val="00127046"/>
    <w:rsid w:val="00127098"/>
    <w:rsid w:val="001270C1"/>
    <w:rsid w:val="00127424"/>
    <w:rsid w:val="00127429"/>
    <w:rsid w:val="001274B6"/>
    <w:rsid w:val="00127511"/>
    <w:rsid w:val="0012758C"/>
    <w:rsid w:val="001276EA"/>
    <w:rsid w:val="001279DC"/>
    <w:rsid w:val="00127B5A"/>
    <w:rsid w:val="00127C2C"/>
    <w:rsid w:val="00127DF4"/>
    <w:rsid w:val="00127FA8"/>
    <w:rsid w:val="001300C2"/>
    <w:rsid w:val="0013054E"/>
    <w:rsid w:val="00130561"/>
    <w:rsid w:val="001305BA"/>
    <w:rsid w:val="0013068F"/>
    <w:rsid w:val="001306D8"/>
    <w:rsid w:val="00130705"/>
    <w:rsid w:val="001307A2"/>
    <w:rsid w:val="00130859"/>
    <w:rsid w:val="00130A73"/>
    <w:rsid w:val="00130B91"/>
    <w:rsid w:val="00130C22"/>
    <w:rsid w:val="00130E2C"/>
    <w:rsid w:val="00130E85"/>
    <w:rsid w:val="0013117D"/>
    <w:rsid w:val="001311A0"/>
    <w:rsid w:val="0013135E"/>
    <w:rsid w:val="00131397"/>
    <w:rsid w:val="00131527"/>
    <w:rsid w:val="0013152B"/>
    <w:rsid w:val="0013178E"/>
    <w:rsid w:val="001317F5"/>
    <w:rsid w:val="00131871"/>
    <w:rsid w:val="00131AFC"/>
    <w:rsid w:val="00131C29"/>
    <w:rsid w:val="00131D45"/>
    <w:rsid w:val="00131E56"/>
    <w:rsid w:val="00131F5F"/>
    <w:rsid w:val="001320F0"/>
    <w:rsid w:val="0013215B"/>
    <w:rsid w:val="0013224F"/>
    <w:rsid w:val="001322BB"/>
    <w:rsid w:val="0013244C"/>
    <w:rsid w:val="001325AA"/>
    <w:rsid w:val="001325D9"/>
    <w:rsid w:val="0013286F"/>
    <w:rsid w:val="00132BB1"/>
    <w:rsid w:val="00132C78"/>
    <w:rsid w:val="00132DA6"/>
    <w:rsid w:val="00132DE5"/>
    <w:rsid w:val="00132DFD"/>
    <w:rsid w:val="00132E11"/>
    <w:rsid w:val="00132F39"/>
    <w:rsid w:val="00132FD6"/>
    <w:rsid w:val="0013300C"/>
    <w:rsid w:val="001332A4"/>
    <w:rsid w:val="00133364"/>
    <w:rsid w:val="001335E7"/>
    <w:rsid w:val="0013365E"/>
    <w:rsid w:val="001336E0"/>
    <w:rsid w:val="001337B0"/>
    <w:rsid w:val="00133866"/>
    <w:rsid w:val="001338C4"/>
    <w:rsid w:val="001338D5"/>
    <w:rsid w:val="00133BF6"/>
    <w:rsid w:val="00133E29"/>
    <w:rsid w:val="00133F34"/>
    <w:rsid w:val="00134099"/>
    <w:rsid w:val="0013410A"/>
    <w:rsid w:val="00134430"/>
    <w:rsid w:val="0013463C"/>
    <w:rsid w:val="001346F9"/>
    <w:rsid w:val="001347F7"/>
    <w:rsid w:val="00134B8B"/>
    <w:rsid w:val="00134C21"/>
    <w:rsid w:val="00134CE4"/>
    <w:rsid w:val="00134D94"/>
    <w:rsid w:val="00134E78"/>
    <w:rsid w:val="00134FE6"/>
    <w:rsid w:val="00135273"/>
    <w:rsid w:val="00135362"/>
    <w:rsid w:val="0013542B"/>
    <w:rsid w:val="00135509"/>
    <w:rsid w:val="001356A3"/>
    <w:rsid w:val="00135800"/>
    <w:rsid w:val="00135814"/>
    <w:rsid w:val="0013585A"/>
    <w:rsid w:val="001358B1"/>
    <w:rsid w:val="00135940"/>
    <w:rsid w:val="00135950"/>
    <w:rsid w:val="00135B03"/>
    <w:rsid w:val="00135B53"/>
    <w:rsid w:val="00135C77"/>
    <w:rsid w:val="00135FC9"/>
    <w:rsid w:val="00135FEA"/>
    <w:rsid w:val="001360EF"/>
    <w:rsid w:val="0013616F"/>
    <w:rsid w:val="00136302"/>
    <w:rsid w:val="0013645F"/>
    <w:rsid w:val="0013656F"/>
    <w:rsid w:val="00136632"/>
    <w:rsid w:val="00136740"/>
    <w:rsid w:val="001369D8"/>
    <w:rsid w:val="00136A34"/>
    <w:rsid w:val="00136B22"/>
    <w:rsid w:val="00136B7D"/>
    <w:rsid w:val="00136C9F"/>
    <w:rsid w:val="00136DCE"/>
    <w:rsid w:val="00136E73"/>
    <w:rsid w:val="00136F73"/>
    <w:rsid w:val="00137060"/>
    <w:rsid w:val="001370BE"/>
    <w:rsid w:val="00137117"/>
    <w:rsid w:val="00137212"/>
    <w:rsid w:val="001373D7"/>
    <w:rsid w:val="00137601"/>
    <w:rsid w:val="00137633"/>
    <w:rsid w:val="00137754"/>
    <w:rsid w:val="001377E9"/>
    <w:rsid w:val="00137837"/>
    <w:rsid w:val="00137877"/>
    <w:rsid w:val="0013799D"/>
    <w:rsid w:val="00137C34"/>
    <w:rsid w:val="00137C70"/>
    <w:rsid w:val="00137CCA"/>
    <w:rsid w:val="00137FE3"/>
    <w:rsid w:val="0013887A"/>
    <w:rsid w:val="00140349"/>
    <w:rsid w:val="00140353"/>
    <w:rsid w:val="001405E8"/>
    <w:rsid w:val="001406E6"/>
    <w:rsid w:val="001406F6"/>
    <w:rsid w:val="0014072A"/>
    <w:rsid w:val="00140774"/>
    <w:rsid w:val="001407D7"/>
    <w:rsid w:val="001408A0"/>
    <w:rsid w:val="00140933"/>
    <w:rsid w:val="00140977"/>
    <w:rsid w:val="00140A05"/>
    <w:rsid w:val="00140AC3"/>
    <w:rsid w:val="00140BD0"/>
    <w:rsid w:val="00140D67"/>
    <w:rsid w:val="00140DB8"/>
    <w:rsid w:val="00140E37"/>
    <w:rsid w:val="00141094"/>
    <w:rsid w:val="0014112A"/>
    <w:rsid w:val="001411B6"/>
    <w:rsid w:val="0014120A"/>
    <w:rsid w:val="00141254"/>
    <w:rsid w:val="00141420"/>
    <w:rsid w:val="0014150F"/>
    <w:rsid w:val="00141513"/>
    <w:rsid w:val="001415E6"/>
    <w:rsid w:val="001416A0"/>
    <w:rsid w:val="001419CA"/>
    <w:rsid w:val="00141AF5"/>
    <w:rsid w:val="00141BA5"/>
    <w:rsid w:val="00141BBB"/>
    <w:rsid w:val="00141CBC"/>
    <w:rsid w:val="00141D13"/>
    <w:rsid w:val="00141D31"/>
    <w:rsid w:val="00141EE5"/>
    <w:rsid w:val="00141FC5"/>
    <w:rsid w:val="00141FD8"/>
    <w:rsid w:val="00142199"/>
    <w:rsid w:val="00142A7D"/>
    <w:rsid w:val="00142A95"/>
    <w:rsid w:val="00142AC9"/>
    <w:rsid w:val="00142D43"/>
    <w:rsid w:val="00142E04"/>
    <w:rsid w:val="00142F20"/>
    <w:rsid w:val="0014304C"/>
    <w:rsid w:val="00143122"/>
    <w:rsid w:val="001431E2"/>
    <w:rsid w:val="00143237"/>
    <w:rsid w:val="0014326C"/>
    <w:rsid w:val="001432BA"/>
    <w:rsid w:val="00143345"/>
    <w:rsid w:val="001433B2"/>
    <w:rsid w:val="00143478"/>
    <w:rsid w:val="0014354C"/>
    <w:rsid w:val="001436A7"/>
    <w:rsid w:val="00143730"/>
    <w:rsid w:val="00143906"/>
    <w:rsid w:val="001439B9"/>
    <w:rsid w:val="001439E9"/>
    <w:rsid w:val="00143C8D"/>
    <w:rsid w:val="00143D07"/>
    <w:rsid w:val="00143DEC"/>
    <w:rsid w:val="00143F2F"/>
    <w:rsid w:val="001440B5"/>
    <w:rsid w:val="001441D6"/>
    <w:rsid w:val="00144209"/>
    <w:rsid w:val="00144237"/>
    <w:rsid w:val="00144266"/>
    <w:rsid w:val="001442E5"/>
    <w:rsid w:val="001442E8"/>
    <w:rsid w:val="00144515"/>
    <w:rsid w:val="00144669"/>
    <w:rsid w:val="00144675"/>
    <w:rsid w:val="001446AF"/>
    <w:rsid w:val="001448A4"/>
    <w:rsid w:val="00144997"/>
    <w:rsid w:val="001449EE"/>
    <w:rsid w:val="00144ACB"/>
    <w:rsid w:val="00144C9C"/>
    <w:rsid w:val="00144D1E"/>
    <w:rsid w:val="001452C3"/>
    <w:rsid w:val="001452D7"/>
    <w:rsid w:val="0014556D"/>
    <w:rsid w:val="00145588"/>
    <w:rsid w:val="00145638"/>
    <w:rsid w:val="001458E9"/>
    <w:rsid w:val="001459ED"/>
    <w:rsid w:val="00145FB6"/>
    <w:rsid w:val="001460B4"/>
    <w:rsid w:val="001462F1"/>
    <w:rsid w:val="00146624"/>
    <w:rsid w:val="00146677"/>
    <w:rsid w:val="001466B4"/>
    <w:rsid w:val="001466B9"/>
    <w:rsid w:val="001468C2"/>
    <w:rsid w:val="00146AAC"/>
    <w:rsid w:val="00146B24"/>
    <w:rsid w:val="00146BAC"/>
    <w:rsid w:val="00146D88"/>
    <w:rsid w:val="00146DB1"/>
    <w:rsid w:val="00146DC8"/>
    <w:rsid w:val="00146DDC"/>
    <w:rsid w:val="00146E65"/>
    <w:rsid w:val="00146F23"/>
    <w:rsid w:val="00146F5C"/>
    <w:rsid w:val="00146FCF"/>
    <w:rsid w:val="001470AD"/>
    <w:rsid w:val="001470F4"/>
    <w:rsid w:val="001472B1"/>
    <w:rsid w:val="001472DD"/>
    <w:rsid w:val="00147336"/>
    <w:rsid w:val="001474AE"/>
    <w:rsid w:val="00147765"/>
    <w:rsid w:val="0014785E"/>
    <w:rsid w:val="001478E0"/>
    <w:rsid w:val="00147907"/>
    <w:rsid w:val="001479AE"/>
    <w:rsid w:val="00147AB5"/>
    <w:rsid w:val="00147AB9"/>
    <w:rsid w:val="00147AD2"/>
    <w:rsid w:val="00147ADC"/>
    <w:rsid w:val="00147BF1"/>
    <w:rsid w:val="00147CF0"/>
    <w:rsid w:val="00147E32"/>
    <w:rsid w:val="00150376"/>
    <w:rsid w:val="0015039A"/>
    <w:rsid w:val="001504FD"/>
    <w:rsid w:val="00150623"/>
    <w:rsid w:val="0015064B"/>
    <w:rsid w:val="00150814"/>
    <w:rsid w:val="001509A4"/>
    <w:rsid w:val="001509F4"/>
    <w:rsid w:val="00150A4F"/>
    <w:rsid w:val="00150A64"/>
    <w:rsid w:val="00150B1E"/>
    <w:rsid w:val="00150C08"/>
    <w:rsid w:val="00150C60"/>
    <w:rsid w:val="00150C8F"/>
    <w:rsid w:val="00150D51"/>
    <w:rsid w:val="00150EAC"/>
    <w:rsid w:val="00150FA3"/>
    <w:rsid w:val="00151387"/>
    <w:rsid w:val="001513E0"/>
    <w:rsid w:val="00151613"/>
    <w:rsid w:val="00151644"/>
    <w:rsid w:val="00151692"/>
    <w:rsid w:val="001516C9"/>
    <w:rsid w:val="00151700"/>
    <w:rsid w:val="00151899"/>
    <w:rsid w:val="0015199C"/>
    <w:rsid w:val="00151A1D"/>
    <w:rsid w:val="00151B4B"/>
    <w:rsid w:val="00151DBD"/>
    <w:rsid w:val="00152131"/>
    <w:rsid w:val="00152418"/>
    <w:rsid w:val="0015278F"/>
    <w:rsid w:val="0015280B"/>
    <w:rsid w:val="001528DD"/>
    <w:rsid w:val="00152A78"/>
    <w:rsid w:val="00152BD8"/>
    <w:rsid w:val="00152C24"/>
    <w:rsid w:val="00152D9F"/>
    <w:rsid w:val="00152F19"/>
    <w:rsid w:val="00152FE4"/>
    <w:rsid w:val="00153096"/>
    <w:rsid w:val="001531D6"/>
    <w:rsid w:val="00153377"/>
    <w:rsid w:val="001533A3"/>
    <w:rsid w:val="001533D1"/>
    <w:rsid w:val="001533D4"/>
    <w:rsid w:val="001533DD"/>
    <w:rsid w:val="001534BF"/>
    <w:rsid w:val="001534D3"/>
    <w:rsid w:val="0015390D"/>
    <w:rsid w:val="00153A43"/>
    <w:rsid w:val="00153B11"/>
    <w:rsid w:val="00154166"/>
    <w:rsid w:val="00154224"/>
    <w:rsid w:val="001542DC"/>
    <w:rsid w:val="00154315"/>
    <w:rsid w:val="00154442"/>
    <w:rsid w:val="00154519"/>
    <w:rsid w:val="0015452A"/>
    <w:rsid w:val="0015460F"/>
    <w:rsid w:val="00154645"/>
    <w:rsid w:val="001547DE"/>
    <w:rsid w:val="001547E7"/>
    <w:rsid w:val="001548A6"/>
    <w:rsid w:val="001548BD"/>
    <w:rsid w:val="00154AA8"/>
    <w:rsid w:val="00154C4D"/>
    <w:rsid w:val="00154D66"/>
    <w:rsid w:val="00154F2E"/>
    <w:rsid w:val="00155186"/>
    <w:rsid w:val="00155192"/>
    <w:rsid w:val="001553C0"/>
    <w:rsid w:val="00155434"/>
    <w:rsid w:val="00155698"/>
    <w:rsid w:val="00155798"/>
    <w:rsid w:val="001557AB"/>
    <w:rsid w:val="00155904"/>
    <w:rsid w:val="00155991"/>
    <w:rsid w:val="00155B9B"/>
    <w:rsid w:val="00155BDA"/>
    <w:rsid w:val="00155C7E"/>
    <w:rsid w:val="00155CD4"/>
    <w:rsid w:val="00155CDB"/>
    <w:rsid w:val="00155D60"/>
    <w:rsid w:val="00155D90"/>
    <w:rsid w:val="00156042"/>
    <w:rsid w:val="0015605D"/>
    <w:rsid w:val="00156320"/>
    <w:rsid w:val="0015639E"/>
    <w:rsid w:val="001563E9"/>
    <w:rsid w:val="001564E2"/>
    <w:rsid w:val="001565EE"/>
    <w:rsid w:val="001566CE"/>
    <w:rsid w:val="001568BB"/>
    <w:rsid w:val="00156942"/>
    <w:rsid w:val="001569B5"/>
    <w:rsid w:val="001569C3"/>
    <w:rsid w:val="00156B7E"/>
    <w:rsid w:val="00156B99"/>
    <w:rsid w:val="00156BA2"/>
    <w:rsid w:val="00156E11"/>
    <w:rsid w:val="00156EEE"/>
    <w:rsid w:val="00156EF9"/>
    <w:rsid w:val="00156FA7"/>
    <w:rsid w:val="0015703F"/>
    <w:rsid w:val="001570F3"/>
    <w:rsid w:val="0015716A"/>
    <w:rsid w:val="0015729B"/>
    <w:rsid w:val="001572BC"/>
    <w:rsid w:val="0015740A"/>
    <w:rsid w:val="001574B3"/>
    <w:rsid w:val="00157517"/>
    <w:rsid w:val="001575DA"/>
    <w:rsid w:val="00157898"/>
    <w:rsid w:val="00157901"/>
    <w:rsid w:val="00157904"/>
    <w:rsid w:val="00160011"/>
    <w:rsid w:val="001600DF"/>
    <w:rsid w:val="0016023A"/>
    <w:rsid w:val="0016026E"/>
    <w:rsid w:val="001602FC"/>
    <w:rsid w:val="00160340"/>
    <w:rsid w:val="001603AE"/>
    <w:rsid w:val="0016050E"/>
    <w:rsid w:val="00160517"/>
    <w:rsid w:val="00160522"/>
    <w:rsid w:val="00160AF7"/>
    <w:rsid w:val="00160D6C"/>
    <w:rsid w:val="00160DA1"/>
    <w:rsid w:val="00160DD1"/>
    <w:rsid w:val="00160EEF"/>
    <w:rsid w:val="0016110A"/>
    <w:rsid w:val="00161233"/>
    <w:rsid w:val="001612A2"/>
    <w:rsid w:val="00161372"/>
    <w:rsid w:val="0016139A"/>
    <w:rsid w:val="00161438"/>
    <w:rsid w:val="00161506"/>
    <w:rsid w:val="00161516"/>
    <w:rsid w:val="001615D0"/>
    <w:rsid w:val="001615D2"/>
    <w:rsid w:val="00161902"/>
    <w:rsid w:val="00161A7D"/>
    <w:rsid w:val="00161B60"/>
    <w:rsid w:val="00161B99"/>
    <w:rsid w:val="00161C1D"/>
    <w:rsid w:val="00161E93"/>
    <w:rsid w:val="00161EB0"/>
    <w:rsid w:val="00161F0F"/>
    <w:rsid w:val="00161FE8"/>
    <w:rsid w:val="0016201E"/>
    <w:rsid w:val="001620C2"/>
    <w:rsid w:val="00162295"/>
    <w:rsid w:val="001622D0"/>
    <w:rsid w:val="0016231C"/>
    <w:rsid w:val="00162389"/>
    <w:rsid w:val="0016257F"/>
    <w:rsid w:val="001625A5"/>
    <w:rsid w:val="001626F6"/>
    <w:rsid w:val="001626FB"/>
    <w:rsid w:val="0016273E"/>
    <w:rsid w:val="0016273F"/>
    <w:rsid w:val="001627DE"/>
    <w:rsid w:val="00162811"/>
    <w:rsid w:val="00162A0E"/>
    <w:rsid w:val="00162D98"/>
    <w:rsid w:val="00162DBF"/>
    <w:rsid w:val="00162ED4"/>
    <w:rsid w:val="00162EDA"/>
    <w:rsid w:val="00163145"/>
    <w:rsid w:val="001631AD"/>
    <w:rsid w:val="00163441"/>
    <w:rsid w:val="0016350E"/>
    <w:rsid w:val="0016365A"/>
    <w:rsid w:val="0016368C"/>
    <w:rsid w:val="001636FB"/>
    <w:rsid w:val="00163747"/>
    <w:rsid w:val="00163795"/>
    <w:rsid w:val="001637B8"/>
    <w:rsid w:val="0016387F"/>
    <w:rsid w:val="00163B85"/>
    <w:rsid w:val="00163D5E"/>
    <w:rsid w:val="00163EA2"/>
    <w:rsid w:val="00163F70"/>
    <w:rsid w:val="00163FC1"/>
    <w:rsid w:val="0016428F"/>
    <w:rsid w:val="0016429D"/>
    <w:rsid w:val="0016447B"/>
    <w:rsid w:val="00164482"/>
    <w:rsid w:val="00164564"/>
    <w:rsid w:val="00164578"/>
    <w:rsid w:val="00164592"/>
    <w:rsid w:val="00164719"/>
    <w:rsid w:val="001647E9"/>
    <w:rsid w:val="001649DE"/>
    <w:rsid w:val="00164AC6"/>
    <w:rsid w:val="00164B93"/>
    <w:rsid w:val="00164CF8"/>
    <w:rsid w:val="00164D1C"/>
    <w:rsid w:val="00164E92"/>
    <w:rsid w:val="00164F1F"/>
    <w:rsid w:val="00164F22"/>
    <w:rsid w:val="00164F29"/>
    <w:rsid w:val="00164FBF"/>
    <w:rsid w:val="00164FFF"/>
    <w:rsid w:val="00165041"/>
    <w:rsid w:val="00165109"/>
    <w:rsid w:val="0016521E"/>
    <w:rsid w:val="001652A2"/>
    <w:rsid w:val="001652CE"/>
    <w:rsid w:val="00165308"/>
    <w:rsid w:val="001653AE"/>
    <w:rsid w:val="0016548B"/>
    <w:rsid w:val="00165556"/>
    <w:rsid w:val="0016560D"/>
    <w:rsid w:val="001656B7"/>
    <w:rsid w:val="001658FC"/>
    <w:rsid w:val="0016595C"/>
    <w:rsid w:val="00165B25"/>
    <w:rsid w:val="00165D51"/>
    <w:rsid w:val="00165D9F"/>
    <w:rsid w:val="00165DA9"/>
    <w:rsid w:val="00165EF3"/>
    <w:rsid w:val="00165EF9"/>
    <w:rsid w:val="00166066"/>
    <w:rsid w:val="00166275"/>
    <w:rsid w:val="00166308"/>
    <w:rsid w:val="00166350"/>
    <w:rsid w:val="001663F2"/>
    <w:rsid w:val="00166678"/>
    <w:rsid w:val="001667F9"/>
    <w:rsid w:val="0016681A"/>
    <w:rsid w:val="001668EA"/>
    <w:rsid w:val="00166A48"/>
    <w:rsid w:val="00166AE5"/>
    <w:rsid w:val="00166CE3"/>
    <w:rsid w:val="00166D2B"/>
    <w:rsid w:val="00166D7D"/>
    <w:rsid w:val="00166E58"/>
    <w:rsid w:val="00166E7F"/>
    <w:rsid w:val="00166EF4"/>
    <w:rsid w:val="00167173"/>
    <w:rsid w:val="0016717F"/>
    <w:rsid w:val="001671A9"/>
    <w:rsid w:val="0016721A"/>
    <w:rsid w:val="00167448"/>
    <w:rsid w:val="00167607"/>
    <w:rsid w:val="00167633"/>
    <w:rsid w:val="001677C0"/>
    <w:rsid w:val="001677C9"/>
    <w:rsid w:val="00167863"/>
    <w:rsid w:val="001678E3"/>
    <w:rsid w:val="0016791D"/>
    <w:rsid w:val="00167966"/>
    <w:rsid w:val="001679A2"/>
    <w:rsid w:val="00167AA0"/>
    <w:rsid w:val="00167AA1"/>
    <w:rsid w:val="00167E04"/>
    <w:rsid w:val="00167E5B"/>
    <w:rsid w:val="00167E7F"/>
    <w:rsid w:val="00167F82"/>
    <w:rsid w:val="00167FDE"/>
    <w:rsid w:val="00170318"/>
    <w:rsid w:val="0017031A"/>
    <w:rsid w:val="001706A1"/>
    <w:rsid w:val="00170852"/>
    <w:rsid w:val="00170B93"/>
    <w:rsid w:val="00170D15"/>
    <w:rsid w:val="00170D1C"/>
    <w:rsid w:val="00170D5B"/>
    <w:rsid w:val="001710F5"/>
    <w:rsid w:val="0017118E"/>
    <w:rsid w:val="001711D8"/>
    <w:rsid w:val="001713EB"/>
    <w:rsid w:val="001715F1"/>
    <w:rsid w:val="0017164F"/>
    <w:rsid w:val="00171658"/>
    <w:rsid w:val="00171670"/>
    <w:rsid w:val="001716F9"/>
    <w:rsid w:val="001717FB"/>
    <w:rsid w:val="0017190F"/>
    <w:rsid w:val="00171915"/>
    <w:rsid w:val="001719FB"/>
    <w:rsid w:val="00171ACF"/>
    <w:rsid w:val="00171C6A"/>
    <w:rsid w:val="00171E8B"/>
    <w:rsid w:val="00171EF7"/>
    <w:rsid w:val="001721F8"/>
    <w:rsid w:val="001724D0"/>
    <w:rsid w:val="00172517"/>
    <w:rsid w:val="0017263C"/>
    <w:rsid w:val="001727F7"/>
    <w:rsid w:val="00172867"/>
    <w:rsid w:val="001728B1"/>
    <w:rsid w:val="00172982"/>
    <w:rsid w:val="0017298B"/>
    <w:rsid w:val="00172A60"/>
    <w:rsid w:val="00172B3F"/>
    <w:rsid w:val="00172B8F"/>
    <w:rsid w:val="00172CF5"/>
    <w:rsid w:val="00172D0D"/>
    <w:rsid w:val="00172D28"/>
    <w:rsid w:val="00172E5E"/>
    <w:rsid w:val="00173133"/>
    <w:rsid w:val="001733DA"/>
    <w:rsid w:val="00173437"/>
    <w:rsid w:val="001736B1"/>
    <w:rsid w:val="001736F8"/>
    <w:rsid w:val="00173940"/>
    <w:rsid w:val="00173986"/>
    <w:rsid w:val="001739C4"/>
    <w:rsid w:val="00173B37"/>
    <w:rsid w:val="00173C64"/>
    <w:rsid w:val="00173D85"/>
    <w:rsid w:val="00173F73"/>
    <w:rsid w:val="001740B4"/>
    <w:rsid w:val="00174202"/>
    <w:rsid w:val="0017422F"/>
    <w:rsid w:val="00174360"/>
    <w:rsid w:val="001744B2"/>
    <w:rsid w:val="00174516"/>
    <w:rsid w:val="00174580"/>
    <w:rsid w:val="00174673"/>
    <w:rsid w:val="0017470E"/>
    <w:rsid w:val="0017495B"/>
    <w:rsid w:val="00174A88"/>
    <w:rsid w:val="00174B2A"/>
    <w:rsid w:val="00174BBC"/>
    <w:rsid w:val="00174D96"/>
    <w:rsid w:val="00174EA9"/>
    <w:rsid w:val="00174FD4"/>
    <w:rsid w:val="00175003"/>
    <w:rsid w:val="001752A8"/>
    <w:rsid w:val="001752B5"/>
    <w:rsid w:val="00175521"/>
    <w:rsid w:val="00175596"/>
    <w:rsid w:val="0017562A"/>
    <w:rsid w:val="001757E3"/>
    <w:rsid w:val="00175850"/>
    <w:rsid w:val="001758A0"/>
    <w:rsid w:val="0017590C"/>
    <w:rsid w:val="0017591D"/>
    <w:rsid w:val="001759D7"/>
    <w:rsid w:val="00175A61"/>
    <w:rsid w:val="00175B35"/>
    <w:rsid w:val="00175B89"/>
    <w:rsid w:val="00175CAD"/>
    <w:rsid w:val="00175D43"/>
    <w:rsid w:val="00175EC3"/>
    <w:rsid w:val="00176019"/>
    <w:rsid w:val="00176103"/>
    <w:rsid w:val="001763A6"/>
    <w:rsid w:val="001764DA"/>
    <w:rsid w:val="00176565"/>
    <w:rsid w:val="001767B3"/>
    <w:rsid w:val="00176845"/>
    <w:rsid w:val="00176967"/>
    <w:rsid w:val="00176A79"/>
    <w:rsid w:val="00176B32"/>
    <w:rsid w:val="00176CC2"/>
    <w:rsid w:val="00176CC8"/>
    <w:rsid w:val="00176DD8"/>
    <w:rsid w:val="00176FEB"/>
    <w:rsid w:val="0017705C"/>
    <w:rsid w:val="0017708E"/>
    <w:rsid w:val="0017715B"/>
    <w:rsid w:val="001771D8"/>
    <w:rsid w:val="0017729C"/>
    <w:rsid w:val="001773B2"/>
    <w:rsid w:val="00177456"/>
    <w:rsid w:val="0017749A"/>
    <w:rsid w:val="00177501"/>
    <w:rsid w:val="00177546"/>
    <w:rsid w:val="001778C0"/>
    <w:rsid w:val="00177943"/>
    <w:rsid w:val="00177B0F"/>
    <w:rsid w:val="00177B2E"/>
    <w:rsid w:val="00177B73"/>
    <w:rsid w:val="00177C2D"/>
    <w:rsid w:val="00177DC0"/>
    <w:rsid w:val="00177DE4"/>
    <w:rsid w:val="00177E91"/>
    <w:rsid w:val="0017CB65"/>
    <w:rsid w:val="00180007"/>
    <w:rsid w:val="00180344"/>
    <w:rsid w:val="00180584"/>
    <w:rsid w:val="0018060A"/>
    <w:rsid w:val="001806AC"/>
    <w:rsid w:val="001807A8"/>
    <w:rsid w:val="00180859"/>
    <w:rsid w:val="00180878"/>
    <w:rsid w:val="0018095F"/>
    <w:rsid w:val="00180A83"/>
    <w:rsid w:val="00180E25"/>
    <w:rsid w:val="00180EE6"/>
    <w:rsid w:val="00180FF1"/>
    <w:rsid w:val="00181153"/>
    <w:rsid w:val="00181287"/>
    <w:rsid w:val="001813C0"/>
    <w:rsid w:val="00181479"/>
    <w:rsid w:val="001814B5"/>
    <w:rsid w:val="001814E4"/>
    <w:rsid w:val="0018157F"/>
    <w:rsid w:val="0018164C"/>
    <w:rsid w:val="00181805"/>
    <w:rsid w:val="001818D2"/>
    <w:rsid w:val="0018193C"/>
    <w:rsid w:val="00181B3C"/>
    <w:rsid w:val="00181DF1"/>
    <w:rsid w:val="00181E1C"/>
    <w:rsid w:val="00181EBE"/>
    <w:rsid w:val="00182040"/>
    <w:rsid w:val="001820C1"/>
    <w:rsid w:val="00182179"/>
    <w:rsid w:val="001822EB"/>
    <w:rsid w:val="0018232A"/>
    <w:rsid w:val="00182399"/>
    <w:rsid w:val="001825C7"/>
    <w:rsid w:val="00182912"/>
    <w:rsid w:val="00182962"/>
    <w:rsid w:val="00182B0A"/>
    <w:rsid w:val="00182B32"/>
    <w:rsid w:val="00182B3E"/>
    <w:rsid w:val="00182C45"/>
    <w:rsid w:val="00182DEF"/>
    <w:rsid w:val="00182EAE"/>
    <w:rsid w:val="00182FAF"/>
    <w:rsid w:val="00183065"/>
    <w:rsid w:val="001830B5"/>
    <w:rsid w:val="00183114"/>
    <w:rsid w:val="001832A3"/>
    <w:rsid w:val="0018348E"/>
    <w:rsid w:val="001834E8"/>
    <w:rsid w:val="001836D4"/>
    <w:rsid w:val="001836E6"/>
    <w:rsid w:val="00183902"/>
    <w:rsid w:val="00183A9A"/>
    <w:rsid w:val="00183BF3"/>
    <w:rsid w:val="00183C86"/>
    <w:rsid w:val="00183E1E"/>
    <w:rsid w:val="00183E21"/>
    <w:rsid w:val="00183F94"/>
    <w:rsid w:val="00184145"/>
    <w:rsid w:val="001841CB"/>
    <w:rsid w:val="001841CE"/>
    <w:rsid w:val="0018421F"/>
    <w:rsid w:val="00184315"/>
    <w:rsid w:val="00184528"/>
    <w:rsid w:val="001846AC"/>
    <w:rsid w:val="001846F3"/>
    <w:rsid w:val="00184875"/>
    <w:rsid w:val="001848F4"/>
    <w:rsid w:val="0018494F"/>
    <w:rsid w:val="00184A56"/>
    <w:rsid w:val="00184A9A"/>
    <w:rsid w:val="00184BAE"/>
    <w:rsid w:val="00184BE7"/>
    <w:rsid w:val="00184CA6"/>
    <w:rsid w:val="00184D3F"/>
    <w:rsid w:val="00184D7D"/>
    <w:rsid w:val="00184DDA"/>
    <w:rsid w:val="00184EA0"/>
    <w:rsid w:val="0018520E"/>
    <w:rsid w:val="0018525A"/>
    <w:rsid w:val="00185606"/>
    <w:rsid w:val="0018575B"/>
    <w:rsid w:val="001857A3"/>
    <w:rsid w:val="001858C6"/>
    <w:rsid w:val="00185956"/>
    <w:rsid w:val="001859B3"/>
    <w:rsid w:val="00185BDD"/>
    <w:rsid w:val="00185F5D"/>
    <w:rsid w:val="00186011"/>
    <w:rsid w:val="00186050"/>
    <w:rsid w:val="001860FF"/>
    <w:rsid w:val="0018611C"/>
    <w:rsid w:val="001862B5"/>
    <w:rsid w:val="00186551"/>
    <w:rsid w:val="0018659A"/>
    <w:rsid w:val="00186650"/>
    <w:rsid w:val="00186854"/>
    <w:rsid w:val="00186856"/>
    <w:rsid w:val="001868AC"/>
    <w:rsid w:val="00186921"/>
    <w:rsid w:val="00186953"/>
    <w:rsid w:val="001869CD"/>
    <w:rsid w:val="00186A5D"/>
    <w:rsid w:val="00186D02"/>
    <w:rsid w:val="00186D76"/>
    <w:rsid w:val="00186DD5"/>
    <w:rsid w:val="00186DFE"/>
    <w:rsid w:val="00186F7B"/>
    <w:rsid w:val="00187026"/>
    <w:rsid w:val="001871FC"/>
    <w:rsid w:val="00187296"/>
    <w:rsid w:val="00187348"/>
    <w:rsid w:val="001874B8"/>
    <w:rsid w:val="00187545"/>
    <w:rsid w:val="001875EF"/>
    <w:rsid w:val="00187810"/>
    <w:rsid w:val="00187981"/>
    <w:rsid w:val="00187BCD"/>
    <w:rsid w:val="00187CCE"/>
    <w:rsid w:val="00187DE1"/>
    <w:rsid w:val="00187E2E"/>
    <w:rsid w:val="00187E70"/>
    <w:rsid w:val="00187F5D"/>
    <w:rsid w:val="001900A0"/>
    <w:rsid w:val="0019011A"/>
    <w:rsid w:val="00190127"/>
    <w:rsid w:val="00190170"/>
    <w:rsid w:val="0019044A"/>
    <w:rsid w:val="0019047D"/>
    <w:rsid w:val="0019052B"/>
    <w:rsid w:val="001905CD"/>
    <w:rsid w:val="001907B7"/>
    <w:rsid w:val="001908D2"/>
    <w:rsid w:val="001909DB"/>
    <w:rsid w:val="001909E6"/>
    <w:rsid w:val="00190A2A"/>
    <w:rsid w:val="00190A88"/>
    <w:rsid w:val="00190A8B"/>
    <w:rsid w:val="00190C38"/>
    <w:rsid w:val="00190C61"/>
    <w:rsid w:val="00190C6C"/>
    <w:rsid w:val="00190D57"/>
    <w:rsid w:val="00190FA9"/>
    <w:rsid w:val="00190FC1"/>
    <w:rsid w:val="00190FD1"/>
    <w:rsid w:val="001910F4"/>
    <w:rsid w:val="0019137E"/>
    <w:rsid w:val="001913E8"/>
    <w:rsid w:val="0019147D"/>
    <w:rsid w:val="001914A2"/>
    <w:rsid w:val="001919C9"/>
    <w:rsid w:val="00191C02"/>
    <w:rsid w:val="00191DAB"/>
    <w:rsid w:val="00191E09"/>
    <w:rsid w:val="001921E8"/>
    <w:rsid w:val="001921FF"/>
    <w:rsid w:val="00192202"/>
    <w:rsid w:val="001922FE"/>
    <w:rsid w:val="00192402"/>
    <w:rsid w:val="00192524"/>
    <w:rsid w:val="001925FD"/>
    <w:rsid w:val="00192775"/>
    <w:rsid w:val="001927AC"/>
    <w:rsid w:val="00192851"/>
    <w:rsid w:val="001928DE"/>
    <w:rsid w:val="00192919"/>
    <w:rsid w:val="001929BD"/>
    <w:rsid w:val="00192D44"/>
    <w:rsid w:val="00192E60"/>
    <w:rsid w:val="00192FC7"/>
    <w:rsid w:val="00193246"/>
    <w:rsid w:val="00193265"/>
    <w:rsid w:val="001933B5"/>
    <w:rsid w:val="001933FA"/>
    <w:rsid w:val="00193447"/>
    <w:rsid w:val="00193493"/>
    <w:rsid w:val="00193567"/>
    <w:rsid w:val="0019358C"/>
    <w:rsid w:val="0019362A"/>
    <w:rsid w:val="00193721"/>
    <w:rsid w:val="00193C38"/>
    <w:rsid w:val="00193E62"/>
    <w:rsid w:val="00194076"/>
    <w:rsid w:val="001940D9"/>
    <w:rsid w:val="0019412C"/>
    <w:rsid w:val="00194289"/>
    <w:rsid w:val="001943F4"/>
    <w:rsid w:val="00194440"/>
    <w:rsid w:val="00194454"/>
    <w:rsid w:val="0019451E"/>
    <w:rsid w:val="0019453E"/>
    <w:rsid w:val="0019474E"/>
    <w:rsid w:val="00194882"/>
    <w:rsid w:val="00194962"/>
    <w:rsid w:val="00194C18"/>
    <w:rsid w:val="00194D93"/>
    <w:rsid w:val="00194F30"/>
    <w:rsid w:val="00194F9F"/>
    <w:rsid w:val="00195024"/>
    <w:rsid w:val="00195089"/>
    <w:rsid w:val="0019527A"/>
    <w:rsid w:val="00195303"/>
    <w:rsid w:val="00195478"/>
    <w:rsid w:val="001955C0"/>
    <w:rsid w:val="001956F7"/>
    <w:rsid w:val="00195728"/>
    <w:rsid w:val="0019579A"/>
    <w:rsid w:val="0019580B"/>
    <w:rsid w:val="001959BF"/>
    <w:rsid w:val="00195A59"/>
    <w:rsid w:val="00195A73"/>
    <w:rsid w:val="00195B16"/>
    <w:rsid w:val="00195B5B"/>
    <w:rsid w:val="00195D65"/>
    <w:rsid w:val="00195D8E"/>
    <w:rsid w:val="00195E97"/>
    <w:rsid w:val="00196274"/>
    <w:rsid w:val="00196375"/>
    <w:rsid w:val="001963B7"/>
    <w:rsid w:val="00196515"/>
    <w:rsid w:val="0019663C"/>
    <w:rsid w:val="0019663D"/>
    <w:rsid w:val="00196A0B"/>
    <w:rsid w:val="00196A51"/>
    <w:rsid w:val="00196C21"/>
    <w:rsid w:val="00196C77"/>
    <w:rsid w:val="00196DC4"/>
    <w:rsid w:val="00196DE3"/>
    <w:rsid w:val="00196E32"/>
    <w:rsid w:val="00196EE4"/>
    <w:rsid w:val="00196F1F"/>
    <w:rsid w:val="00196F3A"/>
    <w:rsid w:val="0019708C"/>
    <w:rsid w:val="001970C0"/>
    <w:rsid w:val="00197123"/>
    <w:rsid w:val="00197186"/>
    <w:rsid w:val="001971FC"/>
    <w:rsid w:val="00197314"/>
    <w:rsid w:val="00197390"/>
    <w:rsid w:val="00197393"/>
    <w:rsid w:val="0019740C"/>
    <w:rsid w:val="00197440"/>
    <w:rsid w:val="0019764F"/>
    <w:rsid w:val="00197667"/>
    <w:rsid w:val="00197839"/>
    <w:rsid w:val="0019791A"/>
    <w:rsid w:val="00197A0D"/>
    <w:rsid w:val="00197A13"/>
    <w:rsid w:val="00197AE4"/>
    <w:rsid w:val="00197C95"/>
    <w:rsid w:val="00197CD5"/>
    <w:rsid w:val="00197CD9"/>
    <w:rsid w:val="00197CF0"/>
    <w:rsid w:val="00197F84"/>
    <w:rsid w:val="001A0105"/>
    <w:rsid w:val="001A0263"/>
    <w:rsid w:val="001A0416"/>
    <w:rsid w:val="001A0446"/>
    <w:rsid w:val="001A04EF"/>
    <w:rsid w:val="001A05C7"/>
    <w:rsid w:val="001A063B"/>
    <w:rsid w:val="001A06BD"/>
    <w:rsid w:val="001A080A"/>
    <w:rsid w:val="001A0835"/>
    <w:rsid w:val="001A0977"/>
    <w:rsid w:val="001A097A"/>
    <w:rsid w:val="001A0AB0"/>
    <w:rsid w:val="001A0AD0"/>
    <w:rsid w:val="001A0B5F"/>
    <w:rsid w:val="001A0BB8"/>
    <w:rsid w:val="001A0C1E"/>
    <w:rsid w:val="001A0CC2"/>
    <w:rsid w:val="001A0DA4"/>
    <w:rsid w:val="001A0DB0"/>
    <w:rsid w:val="001A0DBA"/>
    <w:rsid w:val="001A0E8C"/>
    <w:rsid w:val="001A1515"/>
    <w:rsid w:val="001A1516"/>
    <w:rsid w:val="001A1595"/>
    <w:rsid w:val="001A161A"/>
    <w:rsid w:val="001A164F"/>
    <w:rsid w:val="001A186E"/>
    <w:rsid w:val="001A1BB0"/>
    <w:rsid w:val="001A1C5F"/>
    <w:rsid w:val="001A1CB7"/>
    <w:rsid w:val="001A1D67"/>
    <w:rsid w:val="001A1DA6"/>
    <w:rsid w:val="001A1E7C"/>
    <w:rsid w:val="001A20DB"/>
    <w:rsid w:val="001A21A1"/>
    <w:rsid w:val="001A225F"/>
    <w:rsid w:val="001A227D"/>
    <w:rsid w:val="001A2307"/>
    <w:rsid w:val="001A25C9"/>
    <w:rsid w:val="001A2734"/>
    <w:rsid w:val="001A2904"/>
    <w:rsid w:val="001A2C93"/>
    <w:rsid w:val="001A2E16"/>
    <w:rsid w:val="001A2F1C"/>
    <w:rsid w:val="001A3005"/>
    <w:rsid w:val="001A3078"/>
    <w:rsid w:val="001A307B"/>
    <w:rsid w:val="001A3322"/>
    <w:rsid w:val="001A335F"/>
    <w:rsid w:val="001A3528"/>
    <w:rsid w:val="001A3530"/>
    <w:rsid w:val="001A35D1"/>
    <w:rsid w:val="001A362E"/>
    <w:rsid w:val="001A3847"/>
    <w:rsid w:val="001A3887"/>
    <w:rsid w:val="001A3888"/>
    <w:rsid w:val="001A38AC"/>
    <w:rsid w:val="001A39CF"/>
    <w:rsid w:val="001A3B5A"/>
    <w:rsid w:val="001A3DAD"/>
    <w:rsid w:val="001A3FAD"/>
    <w:rsid w:val="001A40B6"/>
    <w:rsid w:val="001A40EA"/>
    <w:rsid w:val="001A420B"/>
    <w:rsid w:val="001A4236"/>
    <w:rsid w:val="001A4243"/>
    <w:rsid w:val="001A4297"/>
    <w:rsid w:val="001A4349"/>
    <w:rsid w:val="001A4351"/>
    <w:rsid w:val="001A440B"/>
    <w:rsid w:val="001A4410"/>
    <w:rsid w:val="001A4538"/>
    <w:rsid w:val="001A4554"/>
    <w:rsid w:val="001A4617"/>
    <w:rsid w:val="001A462F"/>
    <w:rsid w:val="001A4736"/>
    <w:rsid w:val="001A4B7F"/>
    <w:rsid w:val="001A4B97"/>
    <w:rsid w:val="001A4BDD"/>
    <w:rsid w:val="001A4CAF"/>
    <w:rsid w:val="001A4D35"/>
    <w:rsid w:val="001A4D65"/>
    <w:rsid w:val="001A4D71"/>
    <w:rsid w:val="001A4DBE"/>
    <w:rsid w:val="001A4ECE"/>
    <w:rsid w:val="001A4F55"/>
    <w:rsid w:val="001A4F7D"/>
    <w:rsid w:val="001A5049"/>
    <w:rsid w:val="001A504D"/>
    <w:rsid w:val="001A50B6"/>
    <w:rsid w:val="001A50F5"/>
    <w:rsid w:val="001A5176"/>
    <w:rsid w:val="001A526C"/>
    <w:rsid w:val="001A52E1"/>
    <w:rsid w:val="001A532B"/>
    <w:rsid w:val="001A5346"/>
    <w:rsid w:val="001A5395"/>
    <w:rsid w:val="001A5566"/>
    <w:rsid w:val="001A5582"/>
    <w:rsid w:val="001A55C5"/>
    <w:rsid w:val="001A55EF"/>
    <w:rsid w:val="001A5935"/>
    <w:rsid w:val="001A5A51"/>
    <w:rsid w:val="001A5B2E"/>
    <w:rsid w:val="001A5DE0"/>
    <w:rsid w:val="001A6074"/>
    <w:rsid w:val="001A62AA"/>
    <w:rsid w:val="001A647F"/>
    <w:rsid w:val="001A6551"/>
    <w:rsid w:val="001A65DF"/>
    <w:rsid w:val="001A66AC"/>
    <w:rsid w:val="001A68E7"/>
    <w:rsid w:val="001A6C4F"/>
    <w:rsid w:val="001A6C71"/>
    <w:rsid w:val="001A6D56"/>
    <w:rsid w:val="001A6F23"/>
    <w:rsid w:val="001A702B"/>
    <w:rsid w:val="001A71BB"/>
    <w:rsid w:val="001A7667"/>
    <w:rsid w:val="001A7729"/>
    <w:rsid w:val="001A778B"/>
    <w:rsid w:val="001A798B"/>
    <w:rsid w:val="001A79EF"/>
    <w:rsid w:val="001A7A4B"/>
    <w:rsid w:val="001A7B42"/>
    <w:rsid w:val="001A7B89"/>
    <w:rsid w:val="001A7CA2"/>
    <w:rsid w:val="001A7CB3"/>
    <w:rsid w:val="001A7D8F"/>
    <w:rsid w:val="001A7E33"/>
    <w:rsid w:val="001A7E5A"/>
    <w:rsid w:val="001A7EA1"/>
    <w:rsid w:val="001B0046"/>
    <w:rsid w:val="001B0069"/>
    <w:rsid w:val="001B0753"/>
    <w:rsid w:val="001B082D"/>
    <w:rsid w:val="001B0959"/>
    <w:rsid w:val="001B096D"/>
    <w:rsid w:val="001B0B5E"/>
    <w:rsid w:val="001B0D21"/>
    <w:rsid w:val="001B0EE3"/>
    <w:rsid w:val="001B0F78"/>
    <w:rsid w:val="001B0FF1"/>
    <w:rsid w:val="001B1199"/>
    <w:rsid w:val="001B11FA"/>
    <w:rsid w:val="001B124A"/>
    <w:rsid w:val="001B1751"/>
    <w:rsid w:val="001B1899"/>
    <w:rsid w:val="001B1911"/>
    <w:rsid w:val="001B1943"/>
    <w:rsid w:val="001B19C2"/>
    <w:rsid w:val="001B1A64"/>
    <w:rsid w:val="001B1C62"/>
    <w:rsid w:val="001B1C6F"/>
    <w:rsid w:val="001B1E3C"/>
    <w:rsid w:val="001B2206"/>
    <w:rsid w:val="001B22F8"/>
    <w:rsid w:val="001B238B"/>
    <w:rsid w:val="001B24C4"/>
    <w:rsid w:val="001B27C4"/>
    <w:rsid w:val="001B28B6"/>
    <w:rsid w:val="001B28E4"/>
    <w:rsid w:val="001B2A01"/>
    <w:rsid w:val="001B2A07"/>
    <w:rsid w:val="001B2A97"/>
    <w:rsid w:val="001B2AB6"/>
    <w:rsid w:val="001B2B76"/>
    <w:rsid w:val="001B2CD4"/>
    <w:rsid w:val="001B2D2F"/>
    <w:rsid w:val="001B2DCF"/>
    <w:rsid w:val="001B3032"/>
    <w:rsid w:val="001B304F"/>
    <w:rsid w:val="001B3132"/>
    <w:rsid w:val="001B338F"/>
    <w:rsid w:val="001B33C9"/>
    <w:rsid w:val="001B3477"/>
    <w:rsid w:val="001B353E"/>
    <w:rsid w:val="001B3549"/>
    <w:rsid w:val="001B3777"/>
    <w:rsid w:val="001B391E"/>
    <w:rsid w:val="001B39CE"/>
    <w:rsid w:val="001B3AC5"/>
    <w:rsid w:val="001B3B1C"/>
    <w:rsid w:val="001B3B59"/>
    <w:rsid w:val="001B3C6E"/>
    <w:rsid w:val="001B3CB9"/>
    <w:rsid w:val="001B3D41"/>
    <w:rsid w:val="001B3D6C"/>
    <w:rsid w:val="001B3FA9"/>
    <w:rsid w:val="001B400B"/>
    <w:rsid w:val="001B40EE"/>
    <w:rsid w:val="001B43B7"/>
    <w:rsid w:val="001B4451"/>
    <w:rsid w:val="001B4460"/>
    <w:rsid w:val="001B44EA"/>
    <w:rsid w:val="001B4594"/>
    <w:rsid w:val="001B4631"/>
    <w:rsid w:val="001B4640"/>
    <w:rsid w:val="001B4751"/>
    <w:rsid w:val="001B49CE"/>
    <w:rsid w:val="001B49FD"/>
    <w:rsid w:val="001B4B8D"/>
    <w:rsid w:val="001B4CC3"/>
    <w:rsid w:val="001B4CF2"/>
    <w:rsid w:val="001B4F4D"/>
    <w:rsid w:val="001B51FB"/>
    <w:rsid w:val="001B5395"/>
    <w:rsid w:val="001B53BD"/>
    <w:rsid w:val="001B5728"/>
    <w:rsid w:val="001B585F"/>
    <w:rsid w:val="001B590C"/>
    <w:rsid w:val="001B597A"/>
    <w:rsid w:val="001B5B09"/>
    <w:rsid w:val="001B5BA5"/>
    <w:rsid w:val="001B5C49"/>
    <w:rsid w:val="001B5D02"/>
    <w:rsid w:val="001B5F11"/>
    <w:rsid w:val="001B6139"/>
    <w:rsid w:val="001B617E"/>
    <w:rsid w:val="001B61B5"/>
    <w:rsid w:val="001B620B"/>
    <w:rsid w:val="001B651E"/>
    <w:rsid w:val="001B6606"/>
    <w:rsid w:val="001B6659"/>
    <w:rsid w:val="001B6863"/>
    <w:rsid w:val="001B6911"/>
    <w:rsid w:val="001B695F"/>
    <w:rsid w:val="001B6A5C"/>
    <w:rsid w:val="001B6A9B"/>
    <w:rsid w:val="001B6D34"/>
    <w:rsid w:val="001B6D44"/>
    <w:rsid w:val="001B6D52"/>
    <w:rsid w:val="001B6DC3"/>
    <w:rsid w:val="001B7029"/>
    <w:rsid w:val="001B7057"/>
    <w:rsid w:val="001B7329"/>
    <w:rsid w:val="001B73AC"/>
    <w:rsid w:val="001B76DA"/>
    <w:rsid w:val="001B7865"/>
    <w:rsid w:val="001B7886"/>
    <w:rsid w:val="001B78A0"/>
    <w:rsid w:val="001B79CE"/>
    <w:rsid w:val="001B7AA8"/>
    <w:rsid w:val="001B7B15"/>
    <w:rsid w:val="001B7B16"/>
    <w:rsid w:val="001B7BC4"/>
    <w:rsid w:val="001B7C3A"/>
    <w:rsid w:val="001B7CFF"/>
    <w:rsid w:val="001B7D6D"/>
    <w:rsid w:val="001B7E2C"/>
    <w:rsid w:val="001B7FFE"/>
    <w:rsid w:val="001C00BD"/>
    <w:rsid w:val="001C00C6"/>
    <w:rsid w:val="001C0177"/>
    <w:rsid w:val="001C01A3"/>
    <w:rsid w:val="001C034D"/>
    <w:rsid w:val="001C0353"/>
    <w:rsid w:val="001C04E9"/>
    <w:rsid w:val="001C0633"/>
    <w:rsid w:val="001C065D"/>
    <w:rsid w:val="001C0739"/>
    <w:rsid w:val="001C08D4"/>
    <w:rsid w:val="001C096C"/>
    <w:rsid w:val="001C0B54"/>
    <w:rsid w:val="001C0DBC"/>
    <w:rsid w:val="001C0DD2"/>
    <w:rsid w:val="001C0E01"/>
    <w:rsid w:val="001C0F84"/>
    <w:rsid w:val="001C102D"/>
    <w:rsid w:val="001C10E0"/>
    <w:rsid w:val="001C13EC"/>
    <w:rsid w:val="001C15E3"/>
    <w:rsid w:val="001C15F9"/>
    <w:rsid w:val="001C167D"/>
    <w:rsid w:val="001C174A"/>
    <w:rsid w:val="001C1773"/>
    <w:rsid w:val="001C18DB"/>
    <w:rsid w:val="001C19E3"/>
    <w:rsid w:val="001C1AFE"/>
    <w:rsid w:val="001C1BD0"/>
    <w:rsid w:val="001C1C86"/>
    <w:rsid w:val="001C1D05"/>
    <w:rsid w:val="001C1EA9"/>
    <w:rsid w:val="001C1F24"/>
    <w:rsid w:val="001C1F89"/>
    <w:rsid w:val="001C2074"/>
    <w:rsid w:val="001C2096"/>
    <w:rsid w:val="001C2167"/>
    <w:rsid w:val="001C2349"/>
    <w:rsid w:val="001C2391"/>
    <w:rsid w:val="001C2456"/>
    <w:rsid w:val="001C24AC"/>
    <w:rsid w:val="001C24CB"/>
    <w:rsid w:val="001C263B"/>
    <w:rsid w:val="001C269D"/>
    <w:rsid w:val="001C2856"/>
    <w:rsid w:val="001C297C"/>
    <w:rsid w:val="001C29B4"/>
    <w:rsid w:val="001C29EE"/>
    <w:rsid w:val="001C2A48"/>
    <w:rsid w:val="001C2A4F"/>
    <w:rsid w:val="001C2A7D"/>
    <w:rsid w:val="001C2B0A"/>
    <w:rsid w:val="001C2BA0"/>
    <w:rsid w:val="001C2CFB"/>
    <w:rsid w:val="001C2D57"/>
    <w:rsid w:val="001C2DE5"/>
    <w:rsid w:val="001C2E7D"/>
    <w:rsid w:val="001C2EEF"/>
    <w:rsid w:val="001C2F26"/>
    <w:rsid w:val="001C3026"/>
    <w:rsid w:val="001C3030"/>
    <w:rsid w:val="001C30D0"/>
    <w:rsid w:val="001C30DB"/>
    <w:rsid w:val="001C344F"/>
    <w:rsid w:val="001C3493"/>
    <w:rsid w:val="001C3559"/>
    <w:rsid w:val="001C36CB"/>
    <w:rsid w:val="001C3771"/>
    <w:rsid w:val="001C379E"/>
    <w:rsid w:val="001C385F"/>
    <w:rsid w:val="001C387B"/>
    <w:rsid w:val="001C387C"/>
    <w:rsid w:val="001C3BBF"/>
    <w:rsid w:val="001C3C05"/>
    <w:rsid w:val="001C3C37"/>
    <w:rsid w:val="001C3D2D"/>
    <w:rsid w:val="001C3D6B"/>
    <w:rsid w:val="001C3EEB"/>
    <w:rsid w:val="001C3F50"/>
    <w:rsid w:val="001C41B8"/>
    <w:rsid w:val="001C4222"/>
    <w:rsid w:val="001C4346"/>
    <w:rsid w:val="001C4548"/>
    <w:rsid w:val="001C4587"/>
    <w:rsid w:val="001C45CB"/>
    <w:rsid w:val="001C45F5"/>
    <w:rsid w:val="001C4868"/>
    <w:rsid w:val="001C4CE4"/>
    <w:rsid w:val="001C4E45"/>
    <w:rsid w:val="001C4EE9"/>
    <w:rsid w:val="001C4F60"/>
    <w:rsid w:val="001C4FA2"/>
    <w:rsid w:val="001C5501"/>
    <w:rsid w:val="001C55B9"/>
    <w:rsid w:val="001C55DE"/>
    <w:rsid w:val="001C5658"/>
    <w:rsid w:val="001C572E"/>
    <w:rsid w:val="001C57A6"/>
    <w:rsid w:val="001C57AB"/>
    <w:rsid w:val="001C58D8"/>
    <w:rsid w:val="001C5913"/>
    <w:rsid w:val="001C5A51"/>
    <w:rsid w:val="001C5ED0"/>
    <w:rsid w:val="001C6054"/>
    <w:rsid w:val="001C6168"/>
    <w:rsid w:val="001C62C4"/>
    <w:rsid w:val="001C63A7"/>
    <w:rsid w:val="001C642E"/>
    <w:rsid w:val="001C64A5"/>
    <w:rsid w:val="001C64BD"/>
    <w:rsid w:val="001C6665"/>
    <w:rsid w:val="001C66C1"/>
    <w:rsid w:val="001C67F9"/>
    <w:rsid w:val="001C6892"/>
    <w:rsid w:val="001C69E3"/>
    <w:rsid w:val="001C6A3E"/>
    <w:rsid w:val="001C6A69"/>
    <w:rsid w:val="001C6AAE"/>
    <w:rsid w:val="001C6DFD"/>
    <w:rsid w:val="001C6F26"/>
    <w:rsid w:val="001C700F"/>
    <w:rsid w:val="001C716C"/>
    <w:rsid w:val="001C733E"/>
    <w:rsid w:val="001C73EE"/>
    <w:rsid w:val="001C7464"/>
    <w:rsid w:val="001C7492"/>
    <w:rsid w:val="001C74F1"/>
    <w:rsid w:val="001C761D"/>
    <w:rsid w:val="001C782A"/>
    <w:rsid w:val="001C7A7D"/>
    <w:rsid w:val="001C7B34"/>
    <w:rsid w:val="001C7BE9"/>
    <w:rsid w:val="001C7CB8"/>
    <w:rsid w:val="001C7CE3"/>
    <w:rsid w:val="001C7DFF"/>
    <w:rsid w:val="001C7EDA"/>
    <w:rsid w:val="001D04E3"/>
    <w:rsid w:val="001D06DE"/>
    <w:rsid w:val="001D0826"/>
    <w:rsid w:val="001D09AF"/>
    <w:rsid w:val="001D0B1D"/>
    <w:rsid w:val="001D0C22"/>
    <w:rsid w:val="001D0E63"/>
    <w:rsid w:val="001D0EE0"/>
    <w:rsid w:val="001D0F81"/>
    <w:rsid w:val="001D0FA6"/>
    <w:rsid w:val="001D1050"/>
    <w:rsid w:val="001D1082"/>
    <w:rsid w:val="001D10BD"/>
    <w:rsid w:val="001D124B"/>
    <w:rsid w:val="001D12C9"/>
    <w:rsid w:val="001D1301"/>
    <w:rsid w:val="001D1360"/>
    <w:rsid w:val="001D1803"/>
    <w:rsid w:val="001D18BE"/>
    <w:rsid w:val="001D1937"/>
    <w:rsid w:val="001D1988"/>
    <w:rsid w:val="001D1AD1"/>
    <w:rsid w:val="001D1CBE"/>
    <w:rsid w:val="001D1E3B"/>
    <w:rsid w:val="001D1E57"/>
    <w:rsid w:val="001D1FBF"/>
    <w:rsid w:val="001D21AE"/>
    <w:rsid w:val="001D23EC"/>
    <w:rsid w:val="001D25EE"/>
    <w:rsid w:val="001D26A1"/>
    <w:rsid w:val="001D26A6"/>
    <w:rsid w:val="001D26C2"/>
    <w:rsid w:val="001D27CF"/>
    <w:rsid w:val="001D27DD"/>
    <w:rsid w:val="001D27F1"/>
    <w:rsid w:val="001D2802"/>
    <w:rsid w:val="001D2995"/>
    <w:rsid w:val="001D2AAD"/>
    <w:rsid w:val="001D2B98"/>
    <w:rsid w:val="001D2BC7"/>
    <w:rsid w:val="001D3051"/>
    <w:rsid w:val="001D32C0"/>
    <w:rsid w:val="001D32C6"/>
    <w:rsid w:val="001D32F2"/>
    <w:rsid w:val="001D3355"/>
    <w:rsid w:val="001D3384"/>
    <w:rsid w:val="001D3390"/>
    <w:rsid w:val="001D3419"/>
    <w:rsid w:val="001D344D"/>
    <w:rsid w:val="001D374E"/>
    <w:rsid w:val="001D37E3"/>
    <w:rsid w:val="001D38AF"/>
    <w:rsid w:val="001D3A64"/>
    <w:rsid w:val="001D3B02"/>
    <w:rsid w:val="001D3C64"/>
    <w:rsid w:val="001D3D58"/>
    <w:rsid w:val="001D3DAE"/>
    <w:rsid w:val="001D3EA3"/>
    <w:rsid w:val="001D3FC8"/>
    <w:rsid w:val="001D4146"/>
    <w:rsid w:val="001D45A5"/>
    <w:rsid w:val="001D469C"/>
    <w:rsid w:val="001D4741"/>
    <w:rsid w:val="001D475E"/>
    <w:rsid w:val="001D4827"/>
    <w:rsid w:val="001D484C"/>
    <w:rsid w:val="001D4901"/>
    <w:rsid w:val="001D4AD6"/>
    <w:rsid w:val="001D4C5C"/>
    <w:rsid w:val="001D4D97"/>
    <w:rsid w:val="001D4EE9"/>
    <w:rsid w:val="001D4F6A"/>
    <w:rsid w:val="001D50F2"/>
    <w:rsid w:val="001D526E"/>
    <w:rsid w:val="001D5377"/>
    <w:rsid w:val="001D553F"/>
    <w:rsid w:val="001D558D"/>
    <w:rsid w:val="001D55F6"/>
    <w:rsid w:val="001D5793"/>
    <w:rsid w:val="001D57AE"/>
    <w:rsid w:val="001D5861"/>
    <w:rsid w:val="001D5923"/>
    <w:rsid w:val="001D592C"/>
    <w:rsid w:val="001D5AEB"/>
    <w:rsid w:val="001D5B9B"/>
    <w:rsid w:val="001D5C3F"/>
    <w:rsid w:val="001D5D53"/>
    <w:rsid w:val="001D5DBE"/>
    <w:rsid w:val="001D5EA1"/>
    <w:rsid w:val="001D6176"/>
    <w:rsid w:val="001D6292"/>
    <w:rsid w:val="001D634F"/>
    <w:rsid w:val="001D6443"/>
    <w:rsid w:val="001D644B"/>
    <w:rsid w:val="001D64FA"/>
    <w:rsid w:val="001D691E"/>
    <w:rsid w:val="001D69E0"/>
    <w:rsid w:val="001D69FB"/>
    <w:rsid w:val="001D6A27"/>
    <w:rsid w:val="001D6A2C"/>
    <w:rsid w:val="001D6B00"/>
    <w:rsid w:val="001D6B76"/>
    <w:rsid w:val="001D6E0A"/>
    <w:rsid w:val="001D6E0C"/>
    <w:rsid w:val="001D70D9"/>
    <w:rsid w:val="001D70E3"/>
    <w:rsid w:val="001D71D1"/>
    <w:rsid w:val="001D7280"/>
    <w:rsid w:val="001D72ED"/>
    <w:rsid w:val="001D73EB"/>
    <w:rsid w:val="001D74A7"/>
    <w:rsid w:val="001D74CC"/>
    <w:rsid w:val="001D75D7"/>
    <w:rsid w:val="001D7661"/>
    <w:rsid w:val="001D7690"/>
    <w:rsid w:val="001D781A"/>
    <w:rsid w:val="001D78C0"/>
    <w:rsid w:val="001D78EB"/>
    <w:rsid w:val="001D79D0"/>
    <w:rsid w:val="001D7A25"/>
    <w:rsid w:val="001D7B65"/>
    <w:rsid w:val="001D7D7C"/>
    <w:rsid w:val="001D7D8A"/>
    <w:rsid w:val="001D7DCE"/>
    <w:rsid w:val="001D7DDA"/>
    <w:rsid w:val="001D7DFD"/>
    <w:rsid w:val="001D7E09"/>
    <w:rsid w:val="001D7E4E"/>
    <w:rsid w:val="001D7ED4"/>
    <w:rsid w:val="001D7EF3"/>
    <w:rsid w:val="001E01A6"/>
    <w:rsid w:val="001E01D1"/>
    <w:rsid w:val="001E01F1"/>
    <w:rsid w:val="001E0343"/>
    <w:rsid w:val="001E0437"/>
    <w:rsid w:val="001E059C"/>
    <w:rsid w:val="001E07F6"/>
    <w:rsid w:val="001E088D"/>
    <w:rsid w:val="001E09E7"/>
    <w:rsid w:val="001E0ADA"/>
    <w:rsid w:val="001E0BD6"/>
    <w:rsid w:val="001E0D27"/>
    <w:rsid w:val="001E0DAB"/>
    <w:rsid w:val="001E1009"/>
    <w:rsid w:val="001E10C2"/>
    <w:rsid w:val="001E12C6"/>
    <w:rsid w:val="001E1492"/>
    <w:rsid w:val="001E15F2"/>
    <w:rsid w:val="001E1866"/>
    <w:rsid w:val="001E1A57"/>
    <w:rsid w:val="001E1A7C"/>
    <w:rsid w:val="001E1B13"/>
    <w:rsid w:val="001E1C9C"/>
    <w:rsid w:val="001E1E02"/>
    <w:rsid w:val="001E1F6D"/>
    <w:rsid w:val="001E21F0"/>
    <w:rsid w:val="001E22F7"/>
    <w:rsid w:val="001E2375"/>
    <w:rsid w:val="001E2467"/>
    <w:rsid w:val="001E247D"/>
    <w:rsid w:val="001E24F6"/>
    <w:rsid w:val="001E25CD"/>
    <w:rsid w:val="001E285B"/>
    <w:rsid w:val="001E29E0"/>
    <w:rsid w:val="001E2ADD"/>
    <w:rsid w:val="001E2C05"/>
    <w:rsid w:val="001E2C26"/>
    <w:rsid w:val="001E2E11"/>
    <w:rsid w:val="001E2E41"/>
    <w:rsid w:val="001E2E4B"/>
    <w:rsid w:val="001E2E50"/>
    <w:rsid w:val="001E2F41"/>
    <w:rsid w:val="001E2FBF"/>
    <w:rsid w:val="001E3156"/>
    <w:rsid w:val="001E32FC"/>
    <w:rsid w:val="001E3401"/>
    <w:rsid w:val="001E34D1"/>
    <w:rsid w:val="001E355B"/>
    <w:rsid w:val="001E360D"/>
    <w:rsid w:val="001E3715"/>
    <w:rsid w:val="001E398A"/>
    <w:rsid w:val="001E3A5A"/>
    <w:rsid w:val="001E3BFB"/>
    <w:rsid w:val="001E3CB2"/>
    <w:rsid w:val="001E3FDB"/>
    <w:rsid w:val="001E408D"/>
    <w:rsid w:val="001E40B9"/>
    <w:rsid w:val="001E411D"/>
    <w:rsid w:val="001E41BA"/>
    <w:rsid w:val="001E4454"/>
    <w:rsid w:val="001E4475"/>
    <w:rsid w:val="001E450C"/>
    <w:rsid w:val="001E465F"/>
    <w:rsid w:val="001E4739"/>
    <w:rsid w:val="001E479D"/>
    <w:rsid w:val="001E47C7"/>
    <w:rsid w:val="001E47CC"/>
    <w:rsid w:val="001E47DA"/>
    <w:rsid w:val="001E498A"/>
    <w:rsid w:val="001E49BF"/>
    <w:rsid w:val="001E4B2F"/>
    <w:rsid w:val="001E4BC5"/>
    <w:rsid w:val="001E4D56"/>
    <w:rsid w:val="001E4FD4"/>
    <w:rsid w:val="001E521D"/>
    <w:rsid w:val="001E5254"/>
    <w:rsid w:val="001E5270"/>
    <w:rsid w:val="001E53DB"/>
    <w:rsid w:val="001E54B8"/>
    <w:rsid w:val="001E5633"/>
    <w:rsid w:val="001E5651"/>
    <w:rsid w:val="001E5A5E"/>
    <w:rsid w:val="001E5BCD"/>
    <w:rsid w:val="001E5C0C"/>
    <w:rsid w:val="001E5C83"/>
    <w:rsid w:val="001E5DA3"/>
    <w:rsid w:val="001E5E0D"/>
    <w:rsid w:val="001E5E90"/>
    <w:rsid w:val="001E607C"/>
    <w:rsid w:val="001E638A"/>
    <w:rsid w:val="001E6395"/>
    <w:rsid w:val="001E662B"/>
    <w:rsid w:val="001E6699"/>
    <w:rsid w:val="001E672D"/>
    <w:rsid w:val="001E68E1"/>
    <w:rsid w:val="001E6F30"/>
    <w:rsid w:val="001E6F58"/>
    <w:rsid w:val="001E7046"/>
    <w:rsid w:val="001E7157"/>
    <w:rsid w:val="001E7194"/>
    <w:rsid w:val="001E7198"/>
    <w:rsid w:val="001E7325"/>
    <w:rsid w:val="001E7513"/>
    <w:rsid w:val="001E75A5"/>
    <w:rsid w:val="001E76FA"/>
    <w:rsid w:val="001E770C"/>
    <w:rsid w:val="001E7882"/>
    <w:rsid w:val="001E78A5"/>
    <w:rsid w:val="001E78CE"/>
    <w:rsid w:val="001E7AE2"/>
    <w:rsid w:val="001E7B29"/>
    <w:rsid w:val="001E7B2B"/>
    <w:rsid w:val="001E7BF4"/>
    <w:rsid w:val="001E7CD9"/>
    <w:rsid w:val="001E7E4C"/>
    <w:rsid w:val="001F0056"/>
    <w:rsid w:val="001F0098"/>
    <w:rsid w:val="001F037D"/>
    <w:rsid w:val="001F041E"/>
    <w:rsid w:val="001F06BF"/>
    <w:rsid w:val="001F06CD"/>
    <w:rsid w:val="001F074B"/>
    <w:rsid w:val="001F080B"/>
    <w:rsid w:val="001F086E"/>
    <w:rsid w:val="001F08FF"/>
    <w:rsid w:val="001F097B"/>
    <w:rsid w:val="001F0AAA"/>
    <w:rsid w:val="001F0C11"/>
    <w:rsid w:val="001F0C37"/>
    <w:rsid w:val="001F0D7A"/>
    <w:rsid w:val="001F0D8B"/>
    <w:rsid w:val="001F0E7C"/>
    <w:rsid w:val="001F0EE5"/>
    <w:rsid w:val="001F0F11"/>
    <w:rsid w:val="001F1131"/>
    <w:rsid w:val="001F156E"/>
    <w:rsid w:val="001F165F"/>
    <w:rsid w:val="001F1824"/>
    <w:rsid w:val="001F1871"/>
    <w:rsid w:val="001F1A18"/>
    <w:rsid w:val="001F1B9F"/>
    <w:rsid w:val="001F1C1B"/>
    <w:rsid w:val="001F1EA9"/>
    <w:rsid w:val="001F1FC9"/>
    <w:rsid w:val="001F230C"/>
    <w:rsid w:val="001F235D"/>
    <w:rsid w:val="001F24A9"/>
    <w:rsid w:val="001F2517"/>
    <w:rsid w:val="001F2571"/>
    <w:rsid w:val="001F2602"/>
    <w:rsid w:val="001F26D3"/>
    <w:rsid w:val="001F2800"/>
    <w:rsid w:val="001F2902"/>
    <w:rsid w:val="001F2938"/>
    <w:rsid w:val="001F2C15"/>
    <w:rsid w:val="001F2CAF"/>
    <w:rsid w:val="001F2DF5"/>
    <w:rsid w:val="001F2E78"/>
    <w:rsid w:val="001F2E86"/>
    <w:rsid w:val="001F3004"/>
    <w:rsid w:val="001F324A"/>
    <w:rsid w:val="001F32AC"/>
    <w:rsid w:val="001F334A"/>
    <w:rsid w:val="001F35C4"/>
    <w:rsid w:val="001F35E6"/>
    <w:rsid w:val="001F35FC"/>
    <w:rsid w:val="001F360E"/>
    <w:rsid w:val="001F365A"/>
    <w:rsid w:val="001F36CB"/>
    <w:rsid w:val="001F38D3"/>
    <w:rsid w:val="001F3938"/>
    <w:rsid w:val="001F397C"/>
    <w:rsid w:val="001F3AF2"/>
    <w:rsid w:val="001F3D3F"/>
    <w:rsid w:val="001F3DFB"/>
    <w:rsid w:val="001F3F0A"/>
    <w:rsid w:val="001F3F36"/>
    <w:rsid w:val="001F3F6F"/>
    <w:rsid w:val="001F40E5"/>
    <w:rsid w:val="001F4277"/>
    <w:rsid w:val="001F42F8"/>
    <w:rsid w:val="001F44A0"/>
    <w:rsid w:val="001F44B8"/>
    <w:rsid w:val="001F46BB"/>
    <w:rsid w:val="001F4738"/>
    <w:rsid w:val="001F482C"/>
    <w:rsid w:val="001F4896"/>
    <w:rsid w:val="001F49B1"/>
    <w:rsid w:val="001F4B2A"/>
    <w:rsid w:val="001F4D53"/>
    <w:rsid w:val="001F4F9D"/>
    <w:rsid w:val="001F501B"/>
    <w:rsid w:val="001F504A"/>
    <w:rsid w:val="001F50C1"/>
    <w:rsid w:val="001F5166"/>
    <w:rsid w:val="001F5324"/>
    <w:rsid w:val="001F5499"/>
    <w:rsid w:val="001F5782"/>
    <w:rsid w:val="001F5798"/>
    <w:rsid w:val="001F579D"/>
    <w:rsid w:val="001F57B0"/>
    <w:rsid w:val="001F5A87"/>
    <w:rsid w:val="001F5AD8"/>
    <w:rsid w:val="001F5AEC"/>
    <w:rsid w:val="001F5AF5"/>
    <w:rsid w:val="001F5B73"/>
    <w:rsid w:val="001F5C0D"/>
    <w:rsid w:val="001F5C1D"/>
    <w:rsid w:val="001F5CA4"/>
    <w:rsid w:val="001F5F92"/>
    <w:rsid w:val="001F60EC"/>
    <w:rsid w:val="001F6174"/>
    <w:rsid w:val="001F63BF"/>
    <w:rsid w:val="001F6574"/>
    <w:rsid w:val="001F658C"/>
    <w:rsid w:val="001F6658"/>
    <w:rsid w:val="001F675C"/>
    <w:rsid w:val="001F6779"/>
    <w:rsid w:val="001F6A40"/>
    <w:rsid w:val="001F6E48"/>
    <w:rsid w:val="001F6EC6"/>
    <w:rsid w:val="001F6F44"/>
    <w:rsid w:val="001F6FE7"/>
    <w:rsid w:val="001F70B5"/>
    <w:rsid w:val="001F7144"/>
    <w:rsid w:val="001F71E9"/>
    <w:rsid w:val="001F71F1"/>
    <w:rsid w:val="001F72DF"/>
    <w:rsid w:val="001F73AA"/>
    <w:rsid w:val="001F73FA"/>
    <w:rsid w:val="001F7563"/>
    <w:rsid w:val="001F758C"/>
    <w:rsid w:val="001F75DA"/>
    <w:rsid w:val="001F76F7"/>
    <w:rsid w:val="001F78FE"/>
    <w:rsid w:val="001F7962"/>
    <w:rsid w:val="001F79CF"/>
    <w:rsid w:val="001F79EF"/>
    <w:rsid w:val="001F7C4B"/>
    <w:rsid w:val="001F7C5C"/>
    <w:rsid w:val="001F7C90"/>
    <w:rsid w:val="001F7CAE"/>
    <w:rsid w:val="001F7DBC"/>
    <w:rsid w:val="001F7DD4"/>
    <w:rsid w:val="00200095"/>
    <w:rsid w:val="002003DA"/>
    <w:rsid w:val="00200407"/>
    <w:rsid w:val="0020049B"/>
    <w:rsid w:val="00200586"/>
    <w:rsid w:val="0020061E"/>
    <w:rsid w:val="0020068B"/>
    <w:rsid w:val="00200926"/>
    <w:rsid w:val="00200A82"/>
    <w:rsid w:val="00200C6D"/>
    <w:rsid w:val="00200CF1"/>
    <w:rsid w:val="00200DCC"/>
    <w:rsid w:val="00200F32"/>
    <w:rsid w:val="00200F5C"/>
    <w:rsid w:val="002010D9"/>
    <w:rsid w:val="00201181"/>
    <w:rsid w:val="0020125D"/>
    <w:rsid w:val="002019B6"/>
    <w:rsid w:val="00201A3C"/>
    <w:rsid w:val="00201AA8"/>
    <w:rsid w:val="00201AF4"/>
    <w:rsid w:val="00201B97"/>
    <w:rsid w:val="00201BF7"/>
    <w:rsid w:val="00201C57"/>
    <w:rsid w:val="00201C85"/>
    <w:rsid w:val="00201D0C"/>
    <w:rsid w:val="002020C1"/>
    <w:rsid w:val="002021F8"/>
    <w:rsid w:val="00202264"/>
    <w:rsid w:val="00202300"/>
    <w:rsid w:val="0020254C"/>
    <w:rsid w:val="00202550"/>
    <w:rsid w:val="00202577"/>
    <w:rsid w:val="00202655"/>
    <w:rsid w:val="00202682"/>
    <w:rsid w:val="002028B8"/>
    <w:rsid w:val="00202924"/>
    <w:rsid w:val="0020299E"/>
    <w:rsid w:val="00202A04"/>
    <w:rsid w:val="00202AEA"/>
    <w:rsid w:val="00202B6B"/>
    <w:rsid w:val="00202C33"/>
    <w:rsid w:val="00202C77"/>
    <w:rsid w:val="00202CD7"/>
    <w:rsid w:val="00202FA6"/>
    <w:rsid w:val="00202FDC"/>
    <w:rsid w:val="0020300A"/>
    <w:rsid w:val="00203627"/>
    <w:rsid w:val="00203903"/>
    <w:rsid w:val="002039E2"/>
    <w:rsid w:val="00203C4B"/>
    <w:rsid w:val="00203E03"/>
    <w:rsid w:val="00203E46"/>
    <w:rsid w:val="00203F32"/>
    <w:rsid w:val="00204032"/>
    <w:rsid w:val="002041F9"/>
    <w:rsid w:val="00204228"/>
    <w:rsid w:val="00204259"/>
    <w:rsid w:val="00204313"/>
    <w:rsid w:val="002045BC"/>
    <w:rsid w:val="002045D7"/>
    <w:rsid w:val="00204779"/>
    <w:rsid w:val="00204955"/>
    <w:rsid w:val="00204AAA"/>
    <w:rsid w:val="00204B97"/>
    <w:rsid w:val="00204B9A"/>
    <w:rsid w:val="00204CD3"/>
    <w:rsid w:val="00204D84"/>
    <w:rsid w:val="00204DC9"/>
    <w:rsid w:val="00204DEA"/>
    <w:rsid w:val="00204E30"/>
    <w:rsid w:val="00204E3C"/>
    <w:rsid w:val="00204E6E"/>
    <w:rsid w:val="002050AB"/>
    <w:rsid w:val="002051AB"/>
    <w:rsid w:val="002052CD"/>
    <w:rsid w:val="002053B9"/>
    <w:rsid w:val="002055E6"/>
    <w:rsid w:val="00205666"/>
    <w:rsid w:val="0020567D"/>
    <w:rsid w:val="002057A3"/>
    <w:rsid w:val="00205923"/>
    <w:rsid w:val="00205948"/>
    <w:rsid w:val="00205C3A"/>
    <w:rsid w:val="00205F1F"/>
    <w:rsid w:val="00205F48"/>
    <w:rsid w:val="00205F61"/>
    <w:rsid w:val="002060E3"/>
    <w:rsid w:val="002062C5"/>
    <w:rsid w:val="002062F5"/>
    <w:rsid w:val="00206336"/>
    <w:rsid w:val="00206448"/>
    <w:rsid w:val="0020671D"/>
    <w:rsid w:val="0020685A"/>
    <w:rsid w:val="00206A41"/>
    <w:rsid w:val="00206B2B"/>
    <w:rsid w:val="00206BD7"/>
    <w:rsid w:val="00206CD4"/>
    <w:rsid w:val="00206DCD"/>
    <w:rsid w:val="002070B2"/>
    <w:rsid w:val="002070E8"/>
    <w:rsid w:val="00207122"/>
    <w:rsid w:val="0020713C"/>
    <w:rsid w:val="002071F5"/>
    <w:rsid w:val="002072A2"/>
    <w:rsid w:val="002075D4"/>
    <w:rsid w:val="00207606"/>
    <w:rsid w:val="002076AE"/>
    <w:rsid w:val="0020781C"/>
    <w:rsid w:val="00207AEF"/>
    <w:rsid w:val="00207B1E"/>
    <w:rsid w:val="00207B79"/>
    <w:rsid w:val="00207B81"/>
    <w:rsid w:val="00207DE1"/>
    <w:rsid w:val="00207F3F"/>
    <w:rsid w:val="00207F57"/>
    <w:rsid w:val="00207F59"/>
    <w:rsid w:val="00210111"/>
    <w:rsid w:val="002101DB"/>
    <w:rsid w:val="00210335"/>
    <w:rsid w:val="002103B9"/>
    <w:rsid w:val="0021070E"/>
    <w:rsid w:val="00210771"/>
    <w:rsid w:val="002107C0"/>
    <w:rsid w:val="00210AF7"/>
    <w:rsid w:val="00210D18"/>
    <w:rsid w:val="00210D79"/>
    <w:rsid w:val="00210D7C"/>
    <w:rsid w:val="00210E0F"/>
    <w:rsid w:val="00210FE5"/>
    <w:rsid w:val="002110C8"/>
    <w:rsid w:val="0021110F"/>
    <w:rsid w:val="002111A0"/>
    <w:rsid w:val="00211412"/>
    <w:rsid w:val="00211449"/>
    <w:rsid w:val="002116E7"/>
    <w:rsid w:val="00211767"/>
    <w:rsid w:val="002117D5"/>
    <w:rsid w:val="00211811"/>
    <w:rsid w:val="0021183A"/>
    <w:rsid w:val="0021186B"/>
    <w:rsid w:val="00211956"/>
    <w:rsid w:val="002119B9"/>
    <w:rsid w:val="00211A0E"/>
    <w:rsid w:val="00211AFC"/>
    <w:rsid w:val="00211D5C"/>
    <w:rsid w:val="00211D85"/>
    <w:rsid w:val="00211DB8"/>
    <w:rsid w:val="00211DC3"/>
    <w:rsid w:val="00211E25"/>
    <w:rsid w:val="00211E2C"/>
    <w:rsid w:val="00211F35"/>
    <w:rsid w:val="002121EE"/>
    <w:rsid w:val="00212412"/>
    <w:rsid w:val="002124AC"/>
    <w:rsid w:val="00212592"/>
    <w:rsid w:val="0021266C"/>
    <w:rsid w:val="00212767"/>
    <w:rsid w:val="00212846"/>
    <w:rsid w:val="002129C4"/>
    <w:rsid w:val="002129FB"/>
    <w:rsid w:val="00212AEB"/>
    <w:rsid w:val="00212D15"/>
    <w:rsid w:val="00212D53"/>
    <w:rsid w:val="00212D66"/>
    <w:rsid w:val="00212ED8"/>
    <w:rsid w:val="00212FC8"/>
    <w:rsid w:val="00213111"/>
    <w:rsid w:val="0021311E"/>
    <w:rsid w:val="00213166"/>
    <w:rsid w:val="0021316E"/>
    <w:rsid w:val="002132F7"/>
    <w:rsid w:val="00213531"/>
    <w:rsid w:val="0021363C"/>
    <w:rsid w:val="00213790"/>
    <w:rsid w:val="00213C90"/>
    <w:rsid w:val="00213D55"/>
    <w:rsid w:val="00213E54"/>
    <w:rsid w:val="0021400C"/>
    <w:rsid w:val="0021406C"/>
    <w:rsid w:val="00214277"/>
    <w:rsid w:val="002142DB"/>
    <w:rsid w:val="00214362"/>
    <w:rsid w:val="002143D6"/>
    <w:rsid w:val="0021462C"/>
    <w:rsid w:val="00214759"/>
    <w:rsid w:val="002147D7"/>
    <w:rsid w:val="00214851"/>
    <w:rsid w:val="00214929"/>
    <w:rsid w:val="00214A15"/>
    <w:rsid w:val="00214A7D"/>
    <w:rsid w:val="00214B1C"/>
    <w:rsid w:val="00214D53"/>
    <w:rsid w:val="00214F90"/>
    <w:rsid w:val="0021521D"/>
    <w:rsid w:val="002155B6"/>
    <w:rsid w:val="0021569F"/>
    <w:rsid w:val="002157E4"/>
    <w:rsid w:val="002157EA"/>
    <w:rsid w:val="00215973"/>
    <w:rsid w:val="00215A3B"/>
    <w:rsid w:val="00215AFB"/>
    <w:rsid w:val="00215DBC"/>
    <w:rsid w:val="00215DEA"/>
    <w:rsid w:val="00216096"/>
    <w:rsid w:val="0021615D"/>
    <w:rsid w:val="00216209"/>
    <w:rsid w:val="00216250"/>
    <w:rsid w:val="00216361"/>
    <w:rsid w:val="0021666C"/>
    <w:rsid w:val="00216901"/>
    <w:rsid w:val="00216AFB"/>
    <w:rsid w:val="00216C6B"/>
    <w:rsid w:val="00216D40"/>
    <w:rsid w:val="002171AD"/>
    <w:rsid w:val="002171CB"/>
    <w:rsid w:val="00217229"/>
    <w:rsid w:val="0021739D"/>
    <w:rsid w:val="00217475"/>
    <w:rsid w:val="002174D9"/>
    <w:rsid w:val="00217642"/>
    <w:rsid w:val="0021782C"/>
    <w:rsid w:val="002178FF"/>
    <w:rsid w:val="0021792D"/>
    <w:rsid w:val="00217AAC"/>
    <w:rsid w:val="00217D87"/>
    <w:rsid w:val="00217E38"/>
    <w:rsid w:val="002200D8"/>
    <w:rsid w:val="002201D1"/>
    <w:rsid w:val="002201EA"/>
    <w:rsid w:val="00220234"/>
    <w:rsid w:val="00220414"/>
    <w:rsid w:val="0022042D"/>
    <w:rsid w:val="00220497"/>
    <w:rsid w:val="00220567"/>
    <w:rsid w:val="002207BE"/>
    <w:rsid w:val="00220872"/>
    <w:rsid w:val="002208D8"/>
    <w:rsid w:val="0022095D"/>
    <w:rsid w:val="00220A1E"/>
    <w:rsid w:val="00220BBA"/>
    <w:rsid w:val="00220D24"/>
    <w:rsid w:val="00220E68"/>
    <w:rsid w:val="00220F0D"/>
    <w:rsid w:val="002210B7"/>
    <w:rsid w:val="002210FE"/>
    <w:rsid w:val="0022121C"/>
    <w:rsid w:val="0022136C"/>
    <w:rsid w:val="002213D7"/>
    <w:rsid w:val="002213EE"/>
    <w:rsid w:val="00221418"/>
    <w:rsid w:val="00221434"/>
    <w:rsid w:val="002214AA"/>
    <w:rsid w:val="002214E2"/>
    <w:rsid w:val="002215C4"/>
    <w:rsid w:val="00221708"/>
    <w:rsid w:val="002217FF"/>
    <w:rsid w:val="00221833"/>
    <w:rsid w:val="0022187C"/>
    <w:rsid w:val="002218FF"/>
    <w:rsid w:val="00221A4D"/>
    <w:rsid w:val="00221AE5"/>
    <w:rsid w:val="00221B0D"/>
    <w:rsid w:val="00221C48"/>
    <w:rsid w:val="00221C51"/>
    <w:rsid w:val="00221C73"/>
    <w:rsid w:val="00221C8E"/>
    <w:rsid w:val="00221D55"/>
    <w:rsid w:val="00221D73"/>
    <w:rsid w:val="00221E78"/>
    <w:rsid w:val="00222015"/>
    <w:rsid w:val="002220FC"/>
    <w:rsid w:val="002222D3"/>
    <w:rsid w:val="002222D8"/>
    <w:rsid w:val="0022231B"/>
    <w:rsid w:val="0022236E"/>
    <w:rsid w:val="002227AB"/>
    <w:rsid w:val="002227F6"/>
    <w:rsid w:val="002228AF"/>
    <w:rsid w:val="00222972"/>
    <w:rsid w:val="00222B9D"/>
    <w:rsid w:val="00222CB5"/>
    <w:rsid w:val="00222FBF"/>
    <w:rsid w:val="0022301E"/>
    <w:rsid w:val="00223025"/>
    <w:rsid w:val="002231BF"/>
    <w:rsid w:val="0022357B"/>
    <w:rsid w:val="00223664"/>
    <w:rsid w:val="0022385C"/>
    <w:rsid w:val="00223A56"/>
    <w:rsid w:val="00223A87"/>
    <w:rsid w:val="00223B0D"/>
    <w:rsid w:val="00223D64"/>
    <w:rsid w:val="00223DBE"/>
    <w:rsid w:val="00223E8D"/>
    <w:rsid w:val="00224255"/>
    <w:rsid w:val="0022435C"/>
    <w:rsid w:val="00224362"/>
    <w:rsid w:val="0022448F"/>
    <w:rsid w:val="002245D0"/>
    <w:rsid w:val="002248F4"/>
    <w:rsid w:val="00224A72"/>
    <w:rsid w:val="00224BCC"/>
    <w:rsid w:val="00224C4A"/>
    <w:rsid w:val="00224D06"/>
    <w:rsid w:val="00224D2F"/>
    <w:rsid w:val="00224DDA"/>
    <w:rsid w:val="00224E00"/>
    <w:rsid w:val="00224EED"/>
    <w:rsid w:val="00224F7F"/>
    <w:rsid w:val="002251DD"/>
    <w:rsid w:val="00225227"/>
    <w:rsid w:val="0022530B"/>
    <w:rsid w:val="0022553D"/>
    <w:rsid w:val="002255F6"/>
    <w:rsid w:val="002256D0"/>
    <w:rsid w:val="00225833"/>
    <w:rsid w:val="002258B3"/>
    <w:rsid w:val="002259D2"/>
    <w:rsid w:val="00225B92"/>
    <w:rsid w:val="00225BFF"/>
    <w:rsid w:val="00226095"/>
    <w:rsid w:val="00226100"/>
    <w:rsid w:val="0022612C"/>
    <w:rsid w:val="0022630D"/>
    <w:rsid w:val="0022647D"/>
    <w:rsid w:val="002264D8"/>
    <w:rsid w:val="002265FB"/>
    <w:rsid w:val="002267EC"/>
    <w:rsid w:val="0022682A"/>
    <w:rsid w:val="0022693F"/>
    <w:rsid w:val="00226946"/>
    <w:rsid w:val="00226BFC"/>
    <w:rsid w:val="00226C99"/>
    <w:rsid w:val="00226F45"/>
    <w:rsid w:val="00226FA7"/>
    <w:rsid w:val="00227074"/>
    <w:rsid w:val="00227266"/>
    <w:rsid w:val="00227382"/>
    <w:rsid w:val="0022754B"/>
    <w:rsid w:val="002275E0"/>
    <w:rsid w:val="002276CF"/>
    <w:rsid w:val="0022770A"/>
    <w:rsid w:val="00227860"/>
    <w:rsid w:val="00227A74"/>
    <w:rsid w:val="00227B82"/>
    <w:rsid w:val="00227B89"/>
    <w:rsid w:val="00227B8C"/>
    <w:rsid w:val="00227C79"/>
    <w:rsid w:val="00227D9D"/>
    <w:rsid w:val="00227DA7"/>
    <w:rsid w:val="00227EDD"/>
    <w:rsid w:val="00227F43"/>
    <w:rsid w:val="00227FC6"/>
    <w:rsid w:val="00227FD6"/>
    <w:rsid w:val="00230006"/>
    <w:rsid w:val="00230245"/>
    <w:rsid w:val="002302B6"/>
    <w:rsid w:val="00230434"/>
    <w:rsid w:val="002304A5"/>
    <w:rsid w:val="0023066C"/>
    <w:rsid w:val="00230762"/>
    <w:rsid w:val="002308CF"/>
    <w:rsid w:val="0023097C"/>
    <w:rsid w:val="00230B7C"/>
    <w:rsid w:val="00230BD6"/>
    <w:rsid w:val="00230EEE"/>
    <w:rsid w:val="00230F92"/>
    <w:rsid w:val="0023125A"/>
    <w:rsid w:val="00231310"/>
    <w:rsid w:val="002313CC"/>
    <w:rsid w:val="002314AA"/>
    <w:rsid w:val="002314E0"/>
    <w:rsid w:val="00231543"/>
    <w:rsid w:val="00231591"/>
    <w:rsid w:val="0023164A"/>
    <w:rsid w:val="00231843"/>
    <w:rsid w:val="002318AD"/>
    <w:rsid w:val="002318B4"/>
    <w:rsid w:val="00231FE3"/>
    <w:rsid w:val="002320B7"/>
    <w:rsid w:val="002320EC"/>
    <w:rsid w:val="00232239"/>
    <w:rsid w:val="002322CE"/>
    <w:rsid w:val="0023236C"/>
    <w:rsid w:val="002323B9"/>
    <w:rsid w:val="002324D8"/>
    <w:rsid w:val="002325BA"/>
    <w:rsid w:val="002326A4"/>
    <w:rsid w:val="00232752"/>
    <w:rsid w:val="00232877"/>
    <w:rsid w:val="002328E7"/>
    <w:rsid w:val="0023296A"/>
    <w:rsid w:val="002329F1"/>
    <w:rsid w:val="00232AA3"/>
    <w:rsid w:val="00232B36"/>
    <w:rsid w:val="00232B78"/>
    <w:rsid w:val="00232B9F"/>
    <w:rsid w:val="00232D3C"/>
    <w:rsid w:val="00232FF1"/>
    <w:rsid w:val="002330BC"/>
    <w:rsid w:val="0023314F"/>
    <w:rsid w:val="002331E0"/>
    <w:rsid w:val="002331E7"/>
    <w:rsid w:val="0023363C"/>
    <w:rsid w:val="002336B0"/>
    <w:rsid w:val="002336BE"/>
    <w:rsid w:val="00233759"/>
    <w:rsid w:val="002337C3"/>
    <w:rsid w:val="002337F2"/>
    <w:rsid w:val="00233992"/>
    <w:rsid w:val="002339C7"/>
    <w:rsid w:val="00233B55"/>
    <w:rsid w:val="00233C4B"/>
    <w:rsid w:val="00233CB7"/>
    <w:rsid w:val="00234054"/>
    <w:rsid w:val="00234287"/>
    <w:rsid w:val="002342EE"/>
    <w:rsid w:val="0023435D"/>
    <w:rsid w:val="0023443B"/>
    <w:rsid w:val="00234442"/>
    <w:rsid w:val="0023462F"/>
    <w:rsid w:val="00234640"/>
    <w:rsid w:val="002346C9"/>
    <w:rsid w:val="0023470F"/>
    <w:rsid w:val="00234752"/>
    <w:rsid w:val="0023477A"/>
    <w:rsid w:val="002348A5"/>
    <w:rsid w:val="002349B3"/>
    <w:rsid w:val="00234B3E"/>
    <w:rsid w:val="00234B49"/>
    <w:rsid w:val="00234C76"/>
    <w:rsid w:val="00234EAC"/>
    <w:rsid w:val="00235256"/>
    <w:rsid w:val="00235351"/>
    <w:rsid w:val="002353D1"/>
    <w:rsid w:val="002354AA"/>
    <w:rsid w:val="0023567E"/>
    <w:rsid w:val="002359E3"/>
    <w:rsid w:val="002359FC"/>
    <w:rsid w:val="00235B1F"/>
    <w:rsid w:val="00235CB2"/>
    <w:rsid w:val="00235E7F"/>
    <w:rsid w:val="002360C8"/>
    <w:rsid w:val="0023618F"/>
    <w:rsid w:val="002361D3"/>
    <w:rsid w:val="002361D4"/>
    <w:rsid w:val="002362DE"/>
    <w:rsid w:val="002362EB"/>
    <w:rsid w:val="00236422"/>
    <w:rsid w:val="00236574"/>
    <w:rsid w:val="0023689D"/>
    <w:rsid w:val="00236A17"/>
    <w:rsid w:val="00236D09"/>
    <w:rsid w:val="00236DE8"/>
    <w:rsid w:val="00236F80"/>
    <w:rsid w:val="00236F83"/>
    <w:rsid w:val="0023708F"/>
    <w:rsid w:val="00237097"/>
    <w:rsid w:val="002371FC"/>
    <w:rsid w:val="002372C9"/>
    <w:rsid w:val="002373FB"/>
    <w:rsid w:val="00237464"/>
    <w:rsid w:val="002374A5"/>
    <w:rsid w:val="00237562"/>
    <w:rsid w:val="0023756C"/>
    <w:rsid w:val="00237605"/>
    <w:rsid w:val="002378E9"/>
    <w:rsid w:val="00237935"/>
    <w:rsid w:val="00237983"/>
    <w:rsid w:val="002379C1"/>
    <w:rsid w:val="00237A39"/>
    <w:rsid w:val="00237A74"/>
    <w:rsid w:val="00237B98"/>
    <w:rsid w:val="00237C18"/>
    <w:rsid w:val="00237CBB"/>
    <w:rsid w:val="00237CFA"/>
    <w:rsid w:val="00237DC2"/>
    <w:rsid w:val="00237F3B"/>
    <w:rsid w:val="00240047"/>
    <w:rsid w:val="002400C7"/>
    <w:rsid w:val="00240106"/>
    <w:rsid w:val="002403BD"/>
    <w:rsid w:val="002403C8"/>
    <w:rsid w:val="00240548"/>
    <w:rsid w:val="00240569"/>
    <w:rsid w:val="0024066F"/>
    <w:rsid w:val="002408DD"/>
    <w:rsid w:val="002409D4"/>
    <w:rsid w:val="00240A0F"/>
    <w:rsid w:val="00240BD6"/>
    <w:rsid w:val="00240C29"/>
    <w:rsid w:val="00240C95"/>
    <w:rsid w:val="00240FB1"/>
    <w:rsid w:val="00241074"/>
    <w:rsid w:val="00241149"/>
    <w:rsid w:val="002411B7"/>
    <w:rsid w:val="002411C7"/>
    <w:rsid w:val="002413A0"/>
    <w:rsid w:val="00241473"/>
    <w:rsid w:val="00241549"/>
    <w:rsid w:val="002416DF"/>
    <w:rsid w:val="002417BC"/>
    <w:rsid w:val="00241A58"/>
    <w:rsid w:val="00241B50"/>
    <w:rsid w:val="00241B64"/>
    <w:rsid w:val="00241B6F"/>
    <w:rsid w:val="00241C88"/>
    <w:rsid w:val="002420E6"/>
    <w:rsid w:val="002420E7"/>
    <w:rsid w:val="00242166"/>
    <w:rsid w:val="00242177"/>
    <w:rsid w:val="0024226C"/>
    <w:rsid w:val="0024241C"/>
    <w:rsid w:val="00242674"/>
    <w:rsid w:val="00242680"/>
    <w:rsid w:val="002428C0"/>
    <w:rsid w:val="00242A59"/>
    <w:rsid w:val="00242AF9"/>
    <w:rsid w:val="00242B13"/>
    <w:rsid w:val="00242C1A"/>
    <w:rsid w:val="00242D6D"/>
    <w:rsid w:val="00242F4E"/>
    <w:rsid w:val="0024324B"/>
    <w:rsid w:val="00243264"/>
    <w:rsid w:val="002432D4"/>
    <w:rsid w:val="00243576"/>
    <w:rsid w:val="002435A6"/>
    <w:rsid w:val="002436E7"/>
    <w:rsid w:val="0024370A"/>
    <w:rsid w:val="00243771"/>
    <w:rsid w:val="002438A0"/>
    <w:rsid w:val="0024395A"/>
    <w:rsid w:val="00243B13"/>
    <w:rsid w:val="00243BAA"/>
    <w:rsid w:val="00243CCC"/>
    <w:rsid w:val="00243E54"/>
    <w:rsid w:val="00243FA8"/>
    <w:rsid w:val="00244175"/>
    <w:rsid w:val="00244225"/>
    <w:rsid w:val="00244430"/>
    <w:rsid w:val="00244517"/>
    <w:rsid w:val="00244526"/>
    <w:rsid w:val="0024476F"/>
    <w:rsid w:val="00244803"/>
    <w:rsid w:val="00244825"/>
    <w:rsid w:val="00244A2A"/>
    <w:rsid w:val="00244A9B"/>
    <w:rsid w:val="00244C3F"/>
    <w:rsid w:val="00244C6B"/>
    <w:rsid w:val="00244E16"/>
    <w:rsid w:val="00244F0F"/>
    <w:rsid w:val="00244FB5"/>
    <w:rsid w:val="002452A0"/>
    <w:rsid w:val="002452F7"/>
    <w:rsid w:val="0024547B"/>
    <w:rsid w:val="002456FC"/>
    <w:rsid w:val="00245887"/>
    <w:rsid w:val="002458E0"/>
    <w:rsid w:val="00245B0D"/>
    <w:rsid w:val="00245CA9"/>
    <w:rsid w:val="00245D77"/>
    <w:rsid w:val="00245DC4"/>
    <w:rsid w:val="00245F99"/>
    <w:rsid w:val="002460A8"/>
    <w:rsid w:val="002462D6"/>
    <w:rsid w:val="002463A6"/>
    <w:rsid w:val="0024656B"/>
    <w:rsid w:val="00246786"/>
    <w:rsid w:val="002467EA"/>
    <w:rsid w:val="0024680F"/>
    <w:rsid w:val="00246978"/>
    <w:rsid w:val="002469AE"/>
    <w:rsid w:val="002469B8"/>
    <w:rsid w:val="002469EB"/>
    <w:rsid w:val="00246A2D"/>
    <w:rsid w:val="00246A46"/>
    <w:rsid w:val="00246ACE"/>
    <w:rsid w:val="00246ADB"/>
    <w:rsid w:val="00246C3E"/>
    <w:rsid w:val="00246DE5"/>
    <w:rsid w:val="00246E02"/>
    <w:rsid w:val="00246ED3"/>
    <w:rsid w:val="00246EE6"/>
    <w:rsid w:val="00247035"/>
    <w:rsid w:val="002470ED"/>
    <w:rsid w:val="00247235"/>
    <w:rsid w:val="0024753A"/>
    <w:rsid w:val="0024776D"/>
    <w:rsid w:val="00247828"/>
    <w:rsid w:val="0024786A"/>
    <w:rsid w:val="00247C0F"/>
    <w:rsid w:val="00247C22"/>
    <w:rsid w:val="00247C9E"/>
    <w:rsid w:val="00247D26"/>
    <w:rsid w:val="00247D53"/>
    <w:rsid w:val="00247DED"/>
    <w:rsid w:val="00247EE1"/>
    <w:rsid w:val="00250052"/>
    <w:rsid w:val="0025008F"/>
    <w:rsid w:val="002501D5"/>
    <w:rsid w:val="0025033E"/>
    <w:rsid w:val="00250540"/>
    <w:rsid w:val="00250642"/>
    <w:rsid w:val="0025065D"/>
    <w:rsid w:val="00250720"/>
    <w:rsid w:val="00250748"/>
    <w:rsid w:val="00250834"/>
    <w:rsid w:val="002509C3"/>
    <w:rsid w:val="00250A31"/>
    <w:rsid w:val="00250A64"/>
    <w:rsid w:val="00250A78"/>
    <w:rsid w:val="00250B7A"/>
    <w:rsid w:val="00250CAA"/>
    <w:rsid w:val="00250EBF"/>
    <w:rsid w:val="00251098"/>
    <w:rsid w:val="0025117D"/>
    <w:rsid w:val="0025138A"/>
    <w:rsid w:val="002513B7"/>
    <w:rsid w:val="0025140A"/>
    <w:rsid w:val="00251489"/>
    <w:rsid w:val="00251578"/>
    <w:rsid w:val="00251579"/>
    <w:rsid w:val="002515B5"/>
    <w:rsid w:val="002515C5"/>
    <w:rsid w:val="00251705"/>
    <w:rsid w:val="002517A5"/>
    <w:rsid w:val="00251A8A"/>
    <w:rsid w:val="00251B4B"/>
    <w:rsid w:val="00251C74"/>
    <w:rsid w:val="00251D09"/>
    <w:rsid w:val="00251D12"/>
    <w:rsid w:val="00251D34"/>
    <w:rsid w:val="00251E48"/>
    <w:rsid w:val="00251F6C"/>
    <w:rsid w:val="0025204F"/>
    <w:rsid w:val="002520B0"/>
    <w:rsid w:val="002521F2"/>
    <w:rsid w:val="0025223E"/>
    <w:rsid w:val="0025224B"/>
    <w:rsid w:val="002522E1"/>
    <w:rsid w:val="00252421"/>
    <w:rsid w:val="0025249C"/>
    <w:rsid w:val="002524A4"/>
    <w:rsid w:val="002524B1"/>
    <w:rsid w:val="00252640"/>
    <w:rsid w:val="00252865"/>
    <w:rsid w:val="002528BB"/>
    <w:rsid w:val="002528FF"/>
    <w:rsid w:val="00252A1A"/>
    <w:rsid w:val="00252A29"/>
    <w:rsid w:val="00252A5B"/>
    <w:rsid w:val="00252AD1"/>
    <w:rsid w:val="00252B43"/>
    <w:rsid w:val="00252B91"/>
    <w:rsid w:val="00252C47"/>
    <w:rsid w:val="00252C66"/>
    <w:rsid w:val="00252DD2"/>
    <w:rsid w:val="00252E88"/>
    <w:rsid w:val="00252F12"/>
    <w:rsid w:val="00252F23"/>
    <w:rsid w:val="0025368B"/>
    <w:rsid w:val="002539ED"/>
    <w:rsid w:val="00253BEE"/>
    <w:rsid w:val="00253C06"/>
    <w:rsid w:val="00253C23"/>
    <w:rsid w:val="00253CAE"/>
    <w:rsid w:val="00253D3B"/>
    <w:rsid w:val="002540A4"/>
    <w:rsid w:val="00254165"/>
    <w:rsid w:val="0025416F"/>
    <w:rsid w:val="002542C9"/>
    <w:rsid w:val="002542D6"/>
    <w:rsid w:val="0025440D"/>
    <w:rsid w:val="00254447"/>
    <w:rsid w:val="002544C3"/>
    <w:rsid w:val="0025450E"/>
    <w:rsid w:val="002545A1"/>
    <w:rsid w:val="002546E8"/>
    <w:rsid w:val="002547FC"/>
    <w:rsid w:val="002548E6"/>
    <w:rsid w:val="00254924"/>
    <w:rsid w:val="0025496C"/>
    <w:rsid w:val="00254980"/>
    <w:rsid w:val="002549E8"/>
    <w:rsid w:val="00254ADA"/>
    <w:rsid w:val="00254CCB"/>
    <w:rsid w:val="00254DF6"/>
    <w:rsid w:val="00254FBA"/>
    <w:rsid w:val="0025509A"/>
    <w:rsid w:val="002550E1"/>
    <w:rsid w:val="00255152"/>
    <w:rsid w:val="00255282"/>
    <w:rsid w:val="0025554E"/>
    <w:rsid w:val="00255571"/>
    <w:rsid w:val="0025571E"/>
    <w:rsid w:val="00255940"/>
    <w:rsid w:val="00255962"/>
    <w:rsid w:val="00255A30"/>
    <w:rsid w:val="00255A81"/>
    <w:rsid w:val="00255B5C"/>
    <w:rsid w:val="00255BBE"/>
    <w:rsid w:val="00255BC9"/>
    <w:rsid w:val="00255C7C"/>
    <w:rsid w:val="00255DC5"/>
    <w:rsid w:val="00255E25"/>
    <w:rsid w:val="00255FC1"/>
    <w:rsid w:val="00255FE3"/>
    <w:rsid w:val="00256359"/>
    <w:rsid w:val="0025636B"/>
    <w:rsid w:val="002563F4"/>
    <w:rsid w:val="00256472"/>
    <w:rsid w:val="002565AB"/>
    <w:rsid w:val="0025664C"/>
    <w:rsid w:val="00256764"/>
    <w:rsid w:val="0025680D"/>
    <w:rsid w:val="00256811"/>
    <w:rsid w:val="0025687F"/>
    <w:rsid w:val="00256D94"/>
    <w:rsid w:val="00256D98"/>
    <w:rsid w:val="00256DAF"/>
    <w:rsid w:val="00256E68"/>
    <w:rsid w:val="00256E9C"/>
    <w:rsid w:val="002570FA"/>
    <w:rsid w:val="0025717F"/>
    <w:rsid w:val="0025729B"/>
    <w:rsid w:val="00257326"/>
    <w:rsid w:val="0025737F"/>
    <w:rsid w:val="002574D2"/>
    <w:rsid w:val="002575E8"/>
    <w:rsid w:val="00257748"/>
    <w:rsid w:val="0025778B"/>
    <w:rsid w:val="002577DB"/>
    <w:rsid w:val="0025783D"/>
    <w:rsid w:val="002578C7"/>
    <w:rsid w:val="002579B9"/>
    <w:rsid w:val="00257A27"/>
    <w:rsid w:val="00257B33"/>
    <w:rsid w:val="00257D54"/>
    <w:rsid w:val="00257E03"/>
    <w:rsid w:val="002600B6"/>
    <w:rsid w:val="002601A9"/>
    <w:rsid w:val="002601D4"/>
    <w:rsid w:val="002606CF"/>
    <w:rsid w:val="002606DB"/>
    <w:rsid w:val="00260702"/>
    <w:rsid w:val="002607A9"/>
    <w:rsid w:val="00260854"/>
    <w:rsid w:val="00260986"/>
    <w:rsid w:val="00260C49"/>
    <w:rsid w:val="00260D27"/>
    <w:rsid w:val="00260DA6"/>
    <w:rsid w:val="002610C2"/>
    <w:rsid w:val="002611A0"/>
    <w:rsid w:val="002611C7"/>
    <w:rsid w:val="002612EC"/>
    <w:rsid w:val="0026148F"/>
    <w:rsid w:val="0026159A"/>
    <w:rsid w:val="002615FC"/>
    <w:rsid w:val="00261675"/>
    <w:rsid w:val="002616B2"/>
    <w:rsid w:val="002616D1"/>
    <w:rsid w:val="00261797"/>
    <w:rsid w:val="0026188E"/>
    <w:rsid w:val="00261B3E"/>
    <w:rsid w:val="00261B3F"/>
    <w:rsid w:val="00261C43"/>
    <w:rsid w:val="00261C4A"/>
    <w:rsid w:val="00261D63"/>
    <w:rsid w:val="00261DED"/>
    <w:rsid w:val="00261DF4"/>
    <w:rsid w:val="00261E92"/>
    <w:rsid w:val="00261EB9"/>
    <w:rsid w:val="00261F08"/>
    <w:rsid w:val="00261FED"/>
    <w:rsid w:val="002622BE"/>
    <w:rsid w:val="0026293C"/>
    <w:rsid w:val="00262B8B"/>
    <w:rsid w:val="00262C27"/>
    <w:rsid w:val="00262C5A"/>
    <w:rsid w:val="00262CCB"/>
    <w:rsid w:val="00262D03"/>
    <w:rsid w:val="00262D26"/>
    <w:rsid w:val="00263009"/>
    <w:rsid w:val="0026300D"/>
    <w:rsid w:val="0026308D"/>
    <w:rsid w:val="0026313D"/>
    <w:rsid w:val="0026325D"/>
    <w:rsid w:val="0026326A"/>
    <w:rsid w:val="0026329C"/>
    <w:rsid w:val="002632A3"/>
    <w:rsid w:val="0026343C"/>
    <w:rsid w:val="002634C0"/>
    <w:rsid w:val="00263589"/>
    <w:rsid w:val="0026374D"/>
    <w:rsid w:val="0026387E"/>
    <w:rsid w:val="002638B3"/>
    <w:rsid w:val="002638F4"/>
    <w:rsid w:val="002639F0"/>
    <w:rsid w:val="00263A3A"/>
    <w:rsid w:val="00263C0F"/>
    <w:rsid w:val="00263C78"/>
    <w:rsid w:val="00263CDB"/>
    <w:rsid w:val="00263D80"/>
    <w:rsid w:val="00263EAA"/>
    <w:rsid w:val="0026403B"/>
    <w:rsid w:val="00264192"/>
    <w:rsid w:val="00264356"/>
    <w:rsid w:val="0026435D"/>
    <w:rsid w:val="002643A5"/>
    <w:rsid w:val="00264578"/>
    <w:rsid w:val="00264708"/>
    <w:rsid w:val="002647A2"/>
    <w:rsid w:val="00264C3D"/>
    <w:rsid w:val="00264C69"/>
    <w:rsid w:val="00264D10"/>
    <w:rsid w:val="00265105"/>
    <w:rsid w:val="0026519B"/>
    <w:rsid w:val="002651A1"/>
    <w:rsid w:val="002651E2"/>
    <w:rsid w:val="00265385"/>
    <w:rsid w:val="002653C8"/>
    <w:rsid w:val="002654DC"/>
    <w:rsid w:val="0026567F"/>
    <w:rsid w:val="002656A6"/>
    <w:rsid w:val="00265795"/>
    <w:rsid w:val="00265AD8"/>
    <w:rsid w:val="00265B72"/>
    <w:rsid w:val="00265DC8"/>
    <w:rsid w:val="00265F42"/>
    <w:rsid w:val="002661A1"/>
    <w:rsid w:val="0026640C"/>
    <w:rsid w:val="0026649F"/>
    <w:rsid w:val="0026676F"/>
    <w:rsid w:val="0026681B"/>
    <w:rsid w:val="0026687D"/>
    <w:rsid w:val="002669E2"/>
    <w:rsid w:val="00266A49"/>
    <w:rsid w:val="00266BC5"/>
    <w:rsid w:val="00266E58"/>
    <w:rsid w:val="0026715C"/>
    <w:rsid w:val="00267310"/>
    <w:rsid w:val="002674D6"/>
    <w:rsid w:val="0026755D"/>
    <w:rsid w:val="0026762C"/>
    <w:rsid w:val="0026774C"/>
    <w:rsid w:val="00267783"/>
    <w:rsid w:val="002677EA"/>
    <w:rsid w:val="002677F4"/>
    <w:rsid w:val="0026784B"/>
    <w:rsid w:val="002679E2"/>
    <w:rsid w:val="00267A07"/>
    <w:rsid w:val="00267AD2"/>
    <w:rsid w:val="00267B17"/>
    <w:rsid w:val="00267E23"/>
    <w:rsid w:val="00270217"/>
    <w:rsid w:val="00270239"/>
    <w:rsid w:val="00270258"/>
    <w:rsid w:val="0027044E"/>
    <w:rsid w:val="0027087A"/>
    <w:rsid w:val="00270D1E"/>
    <w:rsid w:val="00270D72"/>
    <w:rsid w:val="00270F4E"/>
    <w:rsid w:val="00270FE2"/>
    <w:rsid w:val="002710D3"/>
    <w:rsid w:val="002711F3"/>
    <w:rsid w:val="002712EA"/>
    <w:rsid w:val="002714CD"/>
    <w:rsid w:val="0027155B"/>
    <w:rsid w:val="002715F4"/>
    <w:rsid w:val="0027160C"/>
    <w:rsid w:val="00271745"/>
    <w:rsid w:val="0027174C"/>
    <w:rsid w:val="00271889"/>
    <w:rsid w:val="0027193A"/>
    <w:rsid w:val="0027198E"/>
    <w:rsid w:val="00271A56"/>
    <w:rsid w:val="00271C55"/>
    <w:rsid w:val="00271CD3"/>
    <w:rsid w:val="00271D10"/>
    <w:rsid w:val="00271DDC"/>
    <w:rsid w:val="00271EAA"/>
    <w:rsid w:val="00271FCD"/>
    <w:rsid w:val="0027205B"/>
    <w:rsid w:val="0027216B"/>
    <w:rsid w:val="002722F5"/>
    <w:rsid w:val="00272305"/>
    <w:rsid w:val="00272315"/>
    <w:rsid w:val="00272441"/>
    <w:rsid w:val="00272457"/>
    <w:rsid w:val="00272600"/>
    <w:rsid w:val="00272630"/>
    <w:rsid w:val="00272763"/>
    <w:rsid w:val="00272779"/>
    <w:rsid w:val="002727FA"/>
    <w:rsid w:val="00272853"/>
    <w:rsid w:val="00272C0D"/>
    <w:rsid w:val="00272CF7"/>
    <w:rsid w:val="00272D66"/>
    <w:rsid w:val="00272D75"/>
    <w:rsid w:val="00272D7E"/>
    <w:rsid w:val="00272E00"/>
    <w:rsid w:val="00272FC8"/>
    <w:rsid w:val="00273088"/>
    <w:rsid w:val="002730CB"/>
    <w:rsid w:val="002730DD"/>
    <w:rsid w:val="00273168"/>
    <w:rsid w:val="00273186"/>
    <w:rsid w:val="002731B8"/>
    <w:rsid w:val="00273554"/>
    <w:rsid w:val="00273569"/>
    <w:rsid w:val="00273722"/>
    <w:rsid w:val="0027376F"/>
    <w:rsid w:val="002739AD"/>
    <w:rsid w:val="002739ED"/>
    <w:rsid w:val="00273A8F"/>
    <w:rsid w:val="00273CB6"/>
    <w:rsid w:val="00273CFE"/>
    <w:rsid w:val="00273F74"/>
    <w:rsid w:val="00274019"/>
    <w:rsid w:val="002740B9"/>
    <w:rsid w:val="0027416E"/>
    <w:rsid w:val="00274441"/>
    <w:rsid w:val="002744C0"/>
    <w:rsid w:val="00274609"/>
    <w:rsid w:val="0027461A"/>
    <w:rsid w:val="0027466F"/>
    <w:rsid w:val="0027475F"/>
    <w:rsid w:val="00274910"/>
    <w:rsid w:val="00274924"/>
    <w:rsid w:val="00274938"/>
    <w:rsid w:val="00274969"/>
    <w:rsid w:val="00274A00"/>
    <w:rsid w:val="00274A17"/>
    <w:rsid w:val="00274B95"/>
    <w:rsid w:val="00274D1B"/>
    <w:rsid w:val="00274F9B"/>
    <w:rsid w:val="002751D1"/>
    <w:rsid w:val="00275209"/>
    <w:rsid w:val="0027523D"/>
    <w:rsid w:val="0027529A"/>
    <w:rsid w:val="002752A6"/>
    <w:rsid w:val="002752A8"/>
    <w:rsid w:val="00275346"/>
    <w:rsid w:val="0027542D"/>
    <w:rsid w:val="00275450"/>
    <w:rsid w:val="002754C3"/>
    <w:rsid w:val="00275566"/>
    <w:rsid w:val="002755E7"/>
    <w:rsid w:val="00275616"/>
    <w:rsid w:val="0027566E"/>
    <w:rsid w:val="0027569C"/>
    <w:rsid w:val="002757E2"/>
    <w:rsid w:val="002758A2"/>
    <w:rsid w:val="002758BA"/>
    <w:rsid w:val="002759CA"/>
    <w:rsid w:val="00275A7D"/>
    <w:rsid w:val="00275CAD"/>
    <w:rsid w:val="002761ED"/>
    <w:rsid w:val="00276244"/>
    <w:rsid w:val="0027625B"/>
    <w:rsid w:val="00276277"/>
    <w:rsid w:val="0027634A"/>
    <w:rsid w:val="00276562"/>
    <w:rsid w:val="0027657D"/>
    <w:rsid w:val="002765C5"/>
    <w:rsid w:val="002765F6"/>
    <w:rsid w:val="00276882"/>
    <w:rsid w:val="00276E98"/>
    <w:rsid w:val="00276FDF"/>
    <w:rsid w:val="00277000"/>
    <w:rsid w:val="00277067"/>
    <w:rsid w:val="00277086"/>
    <w:rsid w:val="0027713B"/>
    <w:rsid w:val="00277233"/>
    <w:rsid w:val="002772EB"/>
    <w:rsid w:val="002773A5"/>
    <w:rsid w:val="002773AD"/>
    <w:rsid w:val="002773FB"/>
    <w:rsid w:val="00277793"/>
    <w:rsid w:val="00277884"/>
    <w:rsid w:val="002778E8"/>
    <w:rsid w:val="0027790A"/>
    <w:rsid w:val="00277943"/>
    <w:rsid w:val="00277974"/>
    <w:rsid w:val="002779B1"/>
    <w:rsid w:val="002779DF"/>
    <w:rsid w:val="00277B19"/>
    <w:rsid w:val="00277B5A"/>
    <w:rsid w:val="00277B97"/>
    <w:rsid w:val="00277C99"/>
    <w:rsid w:val="0028007A"/>
    <w:rsid w:val="0028007D"/>
    <w:rsid w:val="00280401"/>
    <w:rsid w:val="0028053F"/>
    <w:rsid w:val="002805D5"/>
    <w:rsid w:val="0028060C"/>
    <w:rsid w:val="00280627"/>
    <w:rsid w:val="00280778"/>
    <w:rsid w:val="00280BC7"/>
    <w:rsid w:val="00280BFE"/>
    <w:rsid w:val="00280E89"/>
    <w:rsid w:val="00280F3D"/>
    <w:rsid w:val="00281083"/>
    <w:rsid w:val="002810EB"/>
    <w:rsid w:val="0028126F"/>
    <w:rsid w:val="002814C8"/>
    <w:rsid w:val="00281565"/>
    <w:rsid w:val="002815FC"/>
    <w:rsid w:val="002816DD"/>
    <w:rsid w:val="0028172F"/>
    <w:rsid w:val="002818A4"/>
    <w:rsid w:val="00281C8B"/>
    <w:rsid w:val="00281D6B"/>
    <w:rsid w:val="00281EF2"/>
    <w:rsid w:val="00281EF3"/>
    <w:rsid w:val="00281F34"/>
    <w:rsid w:val="00281F36"/>
    <w:rsid w:val="00281F58"/>
    <w:rsid w:val="00281F6C"/>
    <w:rsid w:val="00282242"/>
    <w:rsid w:val="002823FA"/>
    <w:rsid w:val="002824C5"/>
    <w:rsid w:val="0028258A"/>
    <w:rsid w:val="002825D5"/>
    <w:rsid w:val="00282689"/>
    <w:rsid w:val="00282715"/>
    <w:rsid w:val="00282A04"/>
    <w:rsid w:val="00282E1E"/>
    <w:rsid w:val="00282E93"/>
    <w:rsid w:val="00282EAC"/>
    <w:rsid w:val="00282ECC"/>
    <w:rsid w:val="00282F85"/>
    <w:rsid w:val="002830D0"/>
    <w:rsid w:val="0028316A"/>
    <w:rsid w:val="00283181"/>
    <w:rsid w:val="002831BF"/>
    <w:rsid w:val="00283314"/>
    <w:rsid w:val="002833AA"/>
    <w:rsid w:val="002834BE"/>
    <w:rsid w:val="002837E1"/>
    <w:rsid w:val="00283AF7"/>
    <w:rsid w:val="00283CD9"/>
    <w:rsid w:val="00283D18"/>
    <w:rsid w:val="00283D85"/>
    <w:rsid w:val="00283DE0"/>
    <w:rsid w:val="00283DED"/>
    <w:rsid w:val="00283E04"/>
    <w:rsid w:val="00283E34"/>
    <w:rsid w:val="00283EDD"/>
    <w:rsid w:val="00283F8B"/>
    <w:rsid w:val="00283F8D"/>
    <w:rsid w:val="00283FB3"/>
    <w:rsid w:val="00283FDF"/>
    <w:rsid w:val="002840D9"/>
    <w:rsid w:val="00284340"/>
    <w:rsid w:val="002843E4"/>
    <w:rsid w:val="002844E6"/>
    <w:rsid w:val="0028453E"/>
    <w:rsid w:val="0028454A"/>
    <w:rsid w:val="00284677"/>
    <w:rsid w:val="0028484E"/>
    <w:rsid w:val="00284852"/>
    <w:rsid w:val="00284880"/>
    <w:rsid w:val="00284938"/>
    <w:rsid w:val="00284942"/>
    <w:rsid w:val="00284988"/>
    <w:rsid w:val="00284B7F"/>
    <w:rsid w:val="00284BC0"/>
    <w:rsid w:val="00284C20"/>
    <w:rsid w:val="00284DE4"/>
    <w:rsid w:val="00284E35"/>
    <w:rsid w:val="00284EA1"/>
    <w:rsid w:val="00284F00"/>
    <w:rsid w:val="00284FE0"/>
    <w:rsid w:val="002852D3"/>
    <w:rsid w:val="002852FC"/>
    <w:rsid w:val="00285339"/>
    <w:rsid w:val="002853AD"/>
    <w:rsid w:val="002853B8"/>
    <w:rsid w:val="00285777"/>
    <w:rsid w:val="00285796"/>
    <w:rsid w:val="002857D1"/>
    <w:rsid w:val="00285889"/>
    <w:rsid w:val="00285C72"/>
    <w:rsid w:val="00285CB5"/>
    <w:rsid w:val="00285CE0"/>
    <w:rsid w:val="00285DE4"/>
    <w:rsid w:val="00285F48"/>
    <w:rsid w:val="00285FAB"/>
    <w:rsid w:val="00286059"/>
    <w:rsid w:val="0028616D"/>
    <w:rsid w:val="00286739"/>
    <w:rsid w:val="00286879"/>
    <w:rsid w:val="00286932"/>
    <w:rsid w:val="00286CA7"/>
    <w:rsid w:val="00286CB2"/>
    <w:rsid w:val="00286F54"/>
    <w:rsid w:val="00286FA3"/>
    <w:rsid w:val="00286FA5"/>
    <w:rsid w:val="00287054"/>
    <w:rsid w:val="0028713E"/>
    <w:rsid w:val="0028728D"/>
    <w:rsid w:val="002874EC"/>
    <w:rsid w:val="0028762E"/>
    <w:rsid w:val="002877BD"/>
    <w:rsid w:val="002878B2"/>
    <w:rsid w:val="0028791D"/>
    <w:rsid w:val="00287C72"/>
    <w:rsid w:val="00287CED"/>
    <w:rsid w:val="00287E78"/>
    <w:rsid w:val="00287F44"/>
    <w:rsid w:val="00287F83"/>
    <w:rsid w:val="00290018"/>
    <w:rsid w:val="00290129"/>
    <w:rsid w:val="0029019F"/>
    <w:rsid w:val="00290283"/>
    <w:rsid w:val="002902C5"/>
    <w:rsid w:val="002903F8"/>
    <w:rsid w:val="00290512"/>
    <w:rsid w:val="00290538"/>
    <w:rsid w:val="0029055A"/>
    <w:rsid w:val="002905ED"/>
    <w:rsid w:val="00290676"/>
    <w:rsid w:val="00290695"/>
    <w:rsid w:val="002906D4"/>
    <w:rsid w:val="00290834"/>
    <w:rsid w:val="00290878"/>
    <w:rsid w:val="002908AC"/>
    <w:rsid w:val="0029091D"/>
    <w:rsid w:val="0029093A"/>
    <w:rsid w:val="00290947"/>
    <w:rsid w:val="0029097F"/>
    <w:rsid w:val="00290BD8"/>
    <w:rsid w:val="00290CC7"/>
    <w:rsid w:val="00290CC8"/>
    <w:rsid w:val="00290D30"/>
    <w:rsid w:val="00290E77"/>
    <w:rsid w:val="00290EB1"/>
    <w:rsid w:val="0029109B"/>
    <w:rsid w:val="002910FE"/>
    <w:rsid w:val="00291145"/>
    <w:rsid w:val="002913B4"/>
    <w:rsid w:val="00291462"/>
    <w:rsid w:val="00291496"/>
    <w:rsid w:val="00291572"/>
    <w:rsid w:val="002915CB"/>
    <w:rsid w:val="002915E7"/>
    <w:rsid w:val="00291937"/>
    <w:rsid w:val="00291A74"/>
    <w:rsid w:val="00291C90"/>
    <w:rsid w:val="00291E0F"/>
    <w:rsid w:val="00291E14"/>
    <w:rsid w:val="00291E58"/>
    <w:rsid w:val="00291EA9"/>
    <w:rsid w:val="00291F10"/>
    <w:rsid w:val="00292261"/>
    <w:rsid w:val="002924DB"/>
    <w:rsid w:val="0029254B"/>
    <w:rsid w:val="00292637"/>
    <w:rsid w:val="002926A4"/>
    <w:rsid w:val="00292766"/>
    <w:rsid w:val="00292835"/>
    <w:rsid w:val="0029295E"/>
    <w:rsid w:val="002929A0"/>
    <w:rsid w:val="00292AC2"/>
    <w:rsid w:val="00292B94"/>
    <w:rsid w:val="00292CB7"/>
    <w:rsid w:val="00292D1B"/>
    <w:rsid w:val="00292D85"/>
    <w:rsid w:val="00292DE5"/>
    <w:rsid w:val="00292DF1"/>
    <w:rsid w:val="00292E58"/>
    <w:rsid w:val="00292ECE"/>
    <w:rsid w:val="00292F40"/>
    <w:rsid w:val="0029307F"/>
    <w:rsid w:val="00293104"/>
    <w:rsid w:val="0029319B"/>
    <w:rsid w:val="002931CB"/>
    <w:rsid w:val="002931CD"/>
    <w:rsid w:val="0029320C"/>
    <w:rsid w:val="00293297"/>
    <w:rsid w:val="00293639"/>
    <w:rsid w:val="00293668"/>
    <w:rsid w:val="002936AB"/>
    <w:rsid w:val="002936AE"/>
    <w:rsid w:val="00293755"/>
    <w:rsid w:val="00293926"/>
    <w:rsid w:val="00293C7F"/>
    <w:rsid w:val="00293CDC"/>
    <w:rsid w:val="00293D45"/>
    <w:rsid w:val="00293D74"/>
    <w:rsid w:val="00293E65"/>
    <w:rsid w:val="00293E72"/>
    <w:rsid w:val="00293F65"/>
    <w:rsid w:val="00293FF1"/>
    <w:rsid w:val="002940D9"/>
    <w:rsid w:val="0029435C"/>
    <w:rsid w:val="0029444D"/>
    <w:rsid w:val="00294561"/>
    <w:rsid w:val="002947A7"/>
    <w:rsid w:val="002947E6"/>
    <w:rsid w:val="00294A19"/>
    <w:rsid w:val="00294A56"/>
    <w:rsid w:val="00294B0B"/>
    <w:rsid w:val="00294C21"/>
    <w:rsid w:val="00294DD0"/>
    <w:rsid w:val="00294E0A"/>
    <w:rsid w:val="00294E47"/>
    <w:rsid w:val="00295042"/>
    <w:rsid w:val="00295068"/>
    <w:rsid w:val="002950F6"/>
    <w:rsid w:val="0029528F"/>
    <w:rsid w:val="002953F8"/>
    <w:rsid w:val="0029543E"/>
    <w:rsid w:val="002955A7"/>
    <w:rsid w:val="00295700"/>
    <w:rsid w:val="002957CC"/>
    <w:rsid w:val="00295A42"/>
    <w:rsid w:val="00295A90"/>
    <w:rsid w:val="00295ACD"/>
    <w:rsid w:val="00295BA4"/>
    <w:rsid w:val="00295BB3"/>
    <w:rsid w:val="00296330"/>
    <w:rsid w:val="00296432"/>
    <w:rsid w:val="002966B3"/>
    <w:rsid w:val="00296822"/>
    <w:rsid w:val="002969C6"/>
    <w:rsid w:val="00296A09"/>
    <w:rsid w:val="00296ABA"/>
    <w:rsid w:val="00296EA4"/>
    <w:rsid w:val="00297180"/>
    <w:rsid w:val="002972C1"/>
    <w:rsid w:val="00297307"/>
    <w:rsid w:val="00297383"/>
    <w:rsid w:val="00297507"/>
    <w:rsid w:val="0029784B"/>
    <w:rsid w:val="00297853"/>
    <w:rsid w:val="002978D5"/>
    <w:rsid w:val="002978E3"/>
    <w:rsid w:val="002979F0"/>
    <w:rsid w:val="00297BA4"/>
    <w:rsid w:val="00297C00"/>
    <w:rsid w:val="00297C2E"/>
    <w:rsid w:val="00297C42"/>
    <w:rsid w:val="00297C93"/>
    <w:rsid w:val="00297D70"/>
    <w:rsid w:val="00297D9C"/>
    <w:rsid w:val="0029D78A"/>
    <w:rsid w:val="002A00FC"/>
    <w:rsid w:val="002A01F3"/>
    <w:rsid w:val="002A01F7"/>
    <w:rsid w:val="002A0230"/>
    <w:rsid w:val="002A026F"/>
    <w:rsid w:val="002A038F"/>
    <w:rsid w:val="002A04B4"/>
    <w:rsid w:val="002A0564"/>
    <w:rsid w:val="002A08E9"/>
    <w:rsid w:val="002A0AAC"/>
    <w:rsid w:val="002A0C4A"/>
    <w:rsid w:val="002A0C85"/>
    <w:rsid w:val="002A0D7C"/>
    <w:rsid w:val="002A0DCB"/>
    <w:rsid w:val="002A0F5F"/>
    <w:rsid w:val="002A0F69"/>
    <w:rsid w:val="002A0FBE"/>
    <w:rsid w:val="002A0FCB"/>
    <w:rsid w:val="002A0FEF"/>
    <w:rsid w:val="002A12EA"/>
    <w:rsid w:val="002A1368"/>
    <w:rsid w:val="002A145B"/>
    <w:rsid w:val="002A1483"/>
    <w:rsid w:val="002A1672"/>
    <w:rsid w:val="002A1719"/>
    <w:rsid w:val="002A185E"/>
    <w:rsid w:val="002A18BE"/>
    <w:rsid w:val="002A1B98"/>
    <w:rsid w:val="002A1BD6"/>
    <w:rsid w:val="002A1D9D"/>
    <w:rsid w:val="002A1DF8"/>
    <w:rsid w:val="002A22A6"/>
    <w:rsid w:val="002A2304"/>
    <w:rsid w:val="002A2428"/>
    <w:rsid w:val="002A244D"/>
    <w:rsid w:val="002A2493"/>
    <w:rsid w:val="002A2517"/>
    <w:rsid w:val="002A2679"/>
    <w:rsid w:val="002A2911"/>
    <w:rsid w:val="002A2A42"/>
    <w:rsid w:val="002A2ACB"/>
    <w:rsid w:val="002A2C7E"/>
    <w:rsid w:val="002A2D97"/>
    <w:rsid w:val="002A3050"/>
    <w:rsid w:val="002A307B"/>
    <w:rsid w:val="002A35E0"/>
    <w:rsid w:val="002A35F1"/>
    <w:rsid w:val="002A36F6"/>
    <w:rsid w:val="002A36FB"/>
    <w:rsid w:val="002A375A"/>
    <w:rsid w:val="002A37D6"/>
    <w:rsid w:val="002A3990"/>
    <w:rsid w:val="002A3AEE"/>
    <w:rsid w:val="002A3B93"/>
    <w:rsid w:val="002A3C8F"/>
    <w:rsid w:val="002A3D64"/>
    <w:rsid w:val="002A3E71"/>
    <w:rsid w:val="002A4084"/>
    <w:rsid w:val="002A40CD"/>
    <w:rsid w:val="002A41A3"/>
    <w:rsid w:val="002A446D"/>
    <w:rsid w:val="002A4823"/>
    <w:rsid w:val="002A493C"/>
    <w:rsid w:val="002A4A82"/>
    <w:rsid w:val="002A4AD6"/>
    <w:rsid w:val="002A4B51"/>
    <w:rsid w:val="002A4CFD"/>
    <w:rsid w:val="002A4ED3"/>
    <w:rsid w:val="002A50C7"/>
    <w:rsid w:val="002A51F3"/>
    <w:rsid w:val="002A52A6"/>
    <w:rsid w:val="002A5359"/>
    <w:rsid w:val="002A5391"/>
    <w:rsid w:val="002A56D0"/>
    <w:rsid w:val="002A56E8"/>
    <w:rsid w:val="002A5719"/>
    <w:rsid w:val="002A57D3"/>
    <w:rsid w:val="002A59D9"/>
    <w:rsid w:val="002A5BA6"/>
    <w:rsid w:val="002A5C00"/>
    <w:rsid w:val="002A5E15"/>
    <w:rsid w:val="002A5ED0"/>
    <w:rsid w:val="002A6006"/>
    <w:rsid w:val="002A6316"/>
    <w:rsid w:val="002A6401"/>
    <w:rsid w:val="002A64FC"/>
    <w:rsid w:val="002A654F"/>
    <w:rsid w:val="002A65FB"/>
    <w:rsid w:val="002A68D6"/>
    <w:rsid w:val="002A695F"/>
    <w:rsid w:val="002A6977"/>
    <w:rsid w:val="002A6C9B"/>
    <w:rsid w:val="002A6D40"/>
    <w:rsid w:val="002A6D87"/>
    <w:rsid w:val="002A6DC7"/>
    <w:rsid w:val="002A6DCF"/>
    <w:rsid w:val="002A6E2C"/>
    <w:rsid w:val="002A6E57"/>
    <w:rsid w:val="002A6F2F"/>
    <w:rsid w:val="002A7196"/>
    <w:rsid w:val="002A720D"/>
    <w:rsid w:val="002A7512"/>
    <w:rsid w:val="002A7643"/>
    <w:rsid w:val="002A76AE"/>
    <w:rsid w:val="002A76B9"/>
    <w:rsid w:val="002A76BC"/>
    <w:rsid w:val="002A7D72"/>
    <w:rsid w:val="002B0020"/>
    <w:rsid w:val="002B00EF"/>
    <w:rsid w:val="002B0113"/>
    <w:rsid w:val="002B0454"/>
    <w:rsid w:val="002B0459"/>
    <w:rsid w:val="002B05EE"/>
    <w:rsid w:val="002B064B"/>
    <w:rsid w:val="002B0664"/>
    <w:rsid w:val="002B06B3"/>
    <w:rsid w:val="002B0751"/>
    <w:rsid w:val="002B08E4"/>
    <w:rsid w:val="002B0AAF"/>
    <w:rsid w:val="002B0B41"/>
    <w:rsid w:val="002B0DA4"/>
    <w:rsid w:val="002B109C"/>
    <w:rsid w:val="002B1167"/>
    <w:rsid w:val="002B12C6"/>
    <w:rsid w:val="002B1384"/>
    <w:rsid w:val="002B13BC"/>
    <w:rsid w:val="002B1509"/>
    <w:rsid w:val="002B1615"/>
    <w:rsid w:val="002B1788"/>
    <w:rsid w:val="002B18CD"/>
    <w:rsid w:val="002B19C1"/>
    <w:rsid w:val="002B19F2"/>
    <w:rsid w:val="002B1A85"/>
    <w:rsid w:val="002B1AE4"/>
    <w:rsid w:val="002B1B8A"/>
    <w:rsid w:val="002B1FAD"/>
    <w:rsid w:val="002B2095"/>
    <w:rsid w:val="002B21D7"/>
    <w:rsid w:val="002B23EC"/>
    <w:rsid w:val="002B24EB"/>
    <w:rsid w:val="002B2633"/>
    <w:rsid w:val="002B26EA"/>
    <w:rsid w:val="002B278E"/>
    <w:rsid w:val="002B28EC"/>
    <w:rsid w:val="002B29D1"/>
    <w:rsid w:val="002B2A2D"/>
    <w:rsid w:val="002B2A77"/>
    <w:rsid w:val="002B2AE4"/>
    <w:rsid w:val="002B2B3F"/>
    <w:rsid w:val="002B2BBB"/>
    <w:rsid w:val="002B2D31"/>
    <w:rsid w:val="002B2E7C"/>
    <w:rsid w:val="002B2FDA"/>
    <w:rsid w:val="002B303D"/>
    <w:rsid w:val="002B327B"/>
    <w:rsid w:val="002B335A"/>
    <w:rsid w:val="002B33C3"/>
    <w:rsid w:val="002B3421"/>
    <w:rsid w:val="002B3564"/>
    <w:rsid w:val="002B3681"/>
    <w:rsid w:val="002B36F3"/>
    <w:rsid w:val="002B394B"/>
    <w:rsid w:val="002B3A1F"/>
    <w:rsid w:val="002B3AE3"/>
    <w:rsid w:val="002B3D51"/>
    <w:rsid w:val="002B3DD1"/>
    <w:rsid w:val="002B403B"/>
    <w:rsid w:val="002B40B5"/>
    <w:rsid w:val="002B41F2"/>
    <w:rsid w:val="002B420E"/>
    <w:rsid w:val="002B42FD"/>
    <w:rsid w:val="002B43A7"/>
    <w:rsid w:val="002B43D5"/>
    <w:rsid w:val="002B458E"/>
    <w:rsid w:val="002B4774"/>
    <w:rsid w:val="002B47B2"/>
    <w:rsid w:val="002B490C"/>
    <w:rsid w:val="002B49B6"/>
    <w:rsid w:val="002B4A45"/>
    <w:rsid w:val="002B4AA0"/>
    <w:rsid w:val="002B4AAC"/>
    <w:rsid w:val="002B4E43"/>
    <w:rsid w:val="002B4E7B"/>
    <w:rsid w:val="002B4EF5"/>
    <w:rsid w:val="002B5082"/>
    <w:rsid w:val="002B5217"/>
    <w:rsid w:val="002B52E2"/>
    <w:rsid w:val="002B534E"/>
    <w:rsid w:val="002B5392"/>
    <w:rsid w:val="002B53AE"/>
    <w:rsid w:val="002B540F"/>
    <w:rsid w:val="002B5460"/>
    <w:rsid w:val="002B5476"/>
    <w:rsid w:val="002B54DD"/>
    <w:rsid w:val="002B557A"/>
    <w:rsid w:val="002B55F2"/>
    <w:rsid w:val="002B57CE"/>
    <w:rsid w:val="002B58CC"/>
    <w:rsid w:val="002B5A1C"/>
    <w:rsid w:val="002B5A6B"/>
    <w:rsid w:val="002B5A8B"/>
    <w:rsid w:val="002B5D9F"/>
    <w:rsid w:val="002B60B8"/>
    <w:rsid w:val="002B629A"/>
    <w:rsid w:val="002B62EE"/>
    <w:rsid w:val="002B6319"/>
    <w:rsid w:val="002B6383"/>
    <w:rsid w:val="002B6431"/>
    <w:rsid w:val="002B6457"/>
    <w:rsid w:val="002B64A5"/>
    <w:rsid w:val="002B64ED"/>
    <w:rsid w:val="002B662C"/>
    <w:rsid w:val="002B667C"/>
    <w:rsid w:val="002B66B2"/>
    <w:rsid w:val="002B6A13"/>
    <w:rsid w:val="002B6A1B"/>
    <w:rsid w:val="002B6ABF"/>
    <w:rsid w:val="002B6ACF"/>
    <w:rsid w:val="002B6C0F"/>
    <w:rsid w:val="002B6D8D"/>
    <w:rsid w:val="002B6EE9"/>
    <w:rsid w:val="002B6F1C"/>
    <w:rsid w:val="002B703F"/>
    <w:rsid w:val="002B70A5"/>
    <w:rsid w:val="002B7150"/>
    <w:rsid w:val="002B7249"/>
    <w:rsid w:val="002B7280"/>
    <w:rsid w:val="002B7393"/>
    <w:rsid w:val="002B7470"/>
    <w:rsid w:val="002B7482"/>
    <w:rsid w:val="002B75E6"/>
    <w:rsid w:val="002B7720"/>
    <w:rsid w:val="002B78DF"/>
    <w:rsid w:val="002B7B75"/>
    <w:rsid w:val="002B7D7C"/>
    <w:rsid w:val="002C01AC"/>
    <w:rsid w:val="002C022F"/>
    <w:rsid w:val="002C041E"/>
    <w:rsid w:val="002C0497"/>
    <w:rsid w:val="002C0618"/>
    <w:rsid w:val="002C077D"/>
    <w:rsid w:val="002C083F"/>
    <w:rsid w:val="002C085D"/>
    <w:rsid w:val="002C08D9"/>
    <w:rsid w:val="002C0A4A"/>
    <w:rsid w:val="002C0A72"/>
    <w:rsid w:val="002C0D31"/>
    <w:rsid w:val="002C0D4D"/>
    <w:rsid w:val="002C0DAE"/>
    <w:rsid w:val="002C0DBC"/>
    <w:rsid w:val="002C0E2F"/>
    <w:rsid w:val="002C11CA"/>
    <w:rsid w:val="002C11F7"/>
    <w:rsid w:val="002C1266"/>
    <w:rsid w:val="002C1278"/>
    <w:rsid w:val="002C1295"/>
    <w:rsid w:val="002C12E0"/>
    <w:rsid w:val="002C154F"/>
    <w:rsid w:val="002C1947"/>
    <w:rsid w:val="002C1AB1"/>
    <w:rsid w:val="002C1B06"/>
    <w:rsid w:val="002C1DB0"/>
    <w:rsid w:val="002C1E6D"/>
    <w:rsid w:val="002C1FEC"/>
    <w:rsid w:val="002C2084"/>
    <w:rsid w:val="002C20F3"/>
    <w:rsid w:val="002C2112"/>
    <w:rsid w:val="002C2240"/>
    <w:rsid w:val="002C22CF"/>
    <w:rsid w:val="002C23C8"/>
    <w:rsid w:val="002C252A"/>
    <w:rsid w:val="002C2560"/>
    <w:rsid w:val="002C25BD"/>
    <w:rsid w:val="002C25C6"/>
    <w:rsid w:val="002C2768"/>
    <w:rsid w:val="002C289A"/>
    <w:rsid w:val="002C2D03"/>
    <w:rsid w:val="002C2DE1"/>
    <w:rsid w:val="002C2F17"/>
    <w:rsid w:val="002C2F24"/>
    <w:rsid w:val="002C3118"/>
    <w:rsid w:val="002C318D"/>
    <w:rsid w:val="002C3241"/>
    <w:rsid w:val="002C32C4"/>
    <w:rsid w:val="002C32FE"/>
    <w:rsid w:val="002C33D9"/>
    <w:rsid w:val="002C3670"/>
    <w:rsid w:val="002C3898"/>
    <w:rsid w:val="002C3AF8"/>
    <w:rsid w:val="002C3D54"/>
    <w:rsid w:val="002C3DAA"/>
    <w:rsid w:val="002C3E45"/>
    <w:rsid w:val="002C3FEE"/>
    <w:rsid w:val="002C4150"/>
    <w:rsid w:val="002C4235"/>
    <w:rsid w:val="002C4279"/>
    <w:rsid w:val="002C42E7"/>
    <w:rsid w:val="002C4372"/>
    <w:rsid w:val="002C43F4"/>
    <w:rsid w:val="002C43F9"/>
    <w:rsid w:val="002C4495"/>
    <w:rsid w:val="002C44C9"/>
    <w:rsid w:val="002C456F"/>
    <w:rsid w:val="002C45E8"/>
    <w:rsid w:val="002C4619"/>
    <w:rsid w:val="002C4636"/>
    <w:rsid w:val="002C46C3"/>
    <w:rsid w:val="002C4818"/>
    <w:rsid w:val="002C4A3D"/>
    <w:rsid w:val="002C4AA7"/>
    <w:rsid w:val="002C4C2B"/>
    <w:rsid w:val="002C4FDA"/>
    <w:rsid w:val="002C5052"/>
    <w:rsid w:val="002C5053"/>
    <w:rsid w:val="002C51C1"/>
    <w:rsid w:val="002C5247"/>
    <w:rsid w:val="002C5575"/>
    <w:rsid w:val="002C563C"/>
    <w:rsid w:val="002C5884"/>
    <w:rsid w:val="002C58F6"/>
    <w:rsid w:val="002C5A6B"/>
    <w:rsid w:val="002C5AE1"/>
    <w:rsid w:val="002C5B10"/>
    <w:rsid w:val="002C5C11"/>
    <w:rsid w:val="002C5C25"/>
    <w:rsid w:val="002C5E95"/>
    <w:rsid w:val="002C5EE8"/>
    <w:rsid w:val="002C6144"/>
    <w:rsid w:val="002C6174"/>
    <w:rsid w:val="002C619C"/>
    <w:rsid w:val="002C6401"/>
    <w:rsid w:val="002C6554"/>
    <w:rsid w:val="002C65B8"/>
    <w:rsid w:val="002C65EF"/>
    <w:rsid w:val="002C666C"/>
    <w:rsid w:val="002C6705"/>
    <w:rsid w:val="002C6753"/>
    <w:rsid w:val="002C6985"/>
    <w:rsid w:val="002C6D3F"/>
    <w:rsid w:val="002C70CE"/>
    <w:rsid w:val="002C72EC"/>
    <w:rsid w:val="002C735F"/>
    <w:rsid w:val="002C74F9"/>
    <w:rsid w:val="002C7690"/>
    <w:rsid w:val="002C7768"/>
    <w:rsid w:val="002C7A99"/>
    <w:rsid w:val="002C7B4A"/>
    <w:rsid w:val="002C7C23"/>
    <w:rsid w:val="002C7C6B"/>
    <w:rsid w:val="002C7DB7"/>
    <w:rsid w:val="002C7FA0"/>
    <w:rsid w:val="002D00D5"/>
    <w:rsid w:val="002D0108"/>
    <w:rsid w:val="002D0127"/>
    <w:rsid w:val="002D0330"/>
    <w:rsid w:val="002D0785"/>
    <w:rsid w:val="002D08B7"/>
    <w:rsid w:val="002D0A36"/>
    <w:rsid w:val="002D0B18"/>
    <w:rsid w:val="002D0B85"/>
    <w:rsid w:val="002D0C14"/>
    <w:rsid w:val="002D0C74"/>
    <w:rsid w:val="002D0CFF"/>
    <w:rsid w:val="002D1142"/>
    <w:rsid w:val="002D1217"/>
    <w:rsid w:val="002D134E"/>
    <w:rsid w:val="002D1356"/>
    <w:rsid w:val="002D1564"/>
    <w:rsid w:val="002D15E7"/>
    <w:rsid w:val="002D1698"/>
    <w:rsid w:val="002D1792"/>
    <w:rsid w:val="002D181C"/>
    <w:rsid w:val="002D191F"/>
    <w:rsid w:val="002D1939"/>
    <w:rsid w:val="002D1997"/>
    <w:rsid w:val="002D1A6E"/>
    <w:rsid w:val="002D1AE8"/>
    <w:rsid w:val="002D1C10"/>
    <w:rsid w:val="002D205B"/>
    <w:rsid w:val="002D2096"/>
    <w:rsid w:val="002D20B6"/>
    <w:rsid w:val="002D211E"/>
    <w:rsid w:val="002D2676"/>
    <w:rsid w:val="002D26AD"/>
    <w:rsid w:val="002D2917"/>
    <w:rsid w:val="002D2946"/>
    <w:rsid w:val="002D29C8"/>
    <w:rsid w:val="002D2AED"/>
    <w:rsid w:val="002D2B0C"/>
    <w:rsid w:val="002D2C56"/>
    <w:rsid w:val="002D2CA3"/>
    <w:rsid w:val="002D2CC3"/>
    <w:rsid w:val="002D2D34"/>
    <w:rsid w:val="002D2F59"/>
    <w:rsid w:val="002D30C9"/>
    <w:rsid w:val="002D30E4"/>
    <w:rsid w:val="002D3457"/>
    <w:rsid w:val="002D34EF"/>
    <w:rsid w:val="002D3A9A"/>
    <w:rsid w:val="002D3AE4"/>
    <w:rsid w:val="002D3AE5"/>
    <w:rsid w:val="002D3C02"/>
    <w:rsid w:val="002D3CFA"/>
    <w:rsid w:val="002D3DF0"/>
    <w:rsid w:val="002D3EBF"/>
    <w:rsid w:val="002D4083"/>
    <w:rsid w:val="002D41DD"/>
    <w:rsid w:val="002D421B"/>
    <w:rsid w:val="002D4324"/>
    <w:rsid w:val="002D43EF"/>
    <w:rsid w:val="002D4576"/>
    <w:rsid w:val="002D45BA"/>
    <w:rsid w:val="002D4619"/>
    <w:rsid w:val="002D466B"/>
    <w:rsid w:val="002D46E7"/>
    <w:rsid w:val="002D476A"/>
    <w:rsid w:val="002D48EE"/>
    <w:rsid w:val="002D4950"/>
    <w:rsid w:val="002D4A1D"/>
    <w:rsid w:val="002D4C58"/>
    <w:rsid w:val="002D4E67"/>
    <w:rsid w:val="002D4FE8"/>
    <w:rsid w:val="002D5097"/>
    <w:rsid w:val="002D50A5"/>
    <w:rsid w:val="002D51DB"/>
    <w:rsid w:val="002D51E8"/>
    <w:rsid w:val="002D5233"/>
    <w:rsid w:val="002D53E6"/>
    <w:rsid w:val="002D544F"/>
    <w:rsid w:val="002D549D"/>
    <w:rsid w:val="002D55E4"/>
    <w:rsid w:val="002D57EF"/>
    <w:rsid w:val="002D59AF"/>
    <w:rsid w:val="002D59F2"/>
    <w:rsid w:val="002D5C98"/>
    <w:rsid w:val="002D5D20"/>
    <w:rsid w:val="002D5D30"/>
    <w:rsid w:val="002D5E25"/>
    <w:rsid w:val="002D6030"/>
    <w:rsid w:val="002D617D"/>
    <w:rsid w:val="002D624A"/>
    <w:rsid w:val="002D62B4"/>
    <w:rsid w:val="002D6650"/>
    <w:rsid w:val="002D66AB"/>
    <w:rsid w:val="002D6753"/>
    <w:rsid w:val="002D680B"/>
    <w:rsid w:val="002D690D"/>
    <w:rsid w:val="002D6AD5"/>
    <w:rsid w:val="002D6AF4"/>
    <w:rsid w:val="002D6AF7"/>
    <w:rsid w:val="002D6C54"/>
    <w:rsid w:val="002D6C70"/>
    <w:rsid w:val="002D6E5B"/>
    <w:rsid w:val="002D6F7B"/>
    <w:rsid w:val="002D7093"/>
    <w:rsid w:val="002D7131"/>
    <w:rsid w:val="002D71A4"/>
    <w:rsid w:val="002D71D8"/>
    <w:rsid w:val="002D7226"/>
    <w:rsid w:val="002D7229"/>
    <w:rsid w:val="002D725E"/>
    <w:rsid w:val="002D72FE"/>
    <w:rsid w:val="002D73A9"/>
    <w:rsid w:val="002D7408"/>
    <w:rsid w:val="002D7454"/>
    <w:rsid w:val="002D7495"/>
    <w:rsid w:val="002D75F6"/>
    <w:rsid w:val="002D7775"/>
    <w:rsid w:val="002D77BF"/>
    <w:rsid w:val="002D7849"/>
    <w:rsid w:val="002D78A1"/>
    <w:rsid w:val="002D7975"/>
    <w:rsid w:val="002D7A2E"/>
    <w:rsid w:val="002D7AE3"/>
    <w:rsid w:val="002D7B4E"/>
    <w:rsid w:val="002D7B60"/>
    <w:rsid w:val="002D7B6C"/>
    <w:rsid w:val="002D7D1E"/>
    <w:rsid w:val="002D7E78"/>
    <w:rsid w:val="002D7FA0"/>
    <w:rsid w:val="002E0065"/>
    <w:rsid w:val="002E0382"/>
    <w:rsid w:val="002E0513"/>
    <w:rsid w:val="002E063E"/>
    <w:rsid w:val="002E0930"/>
    <w:rsid w:val="002E098E"/>
    <w:rsid w:val="002E0B08"/>
    <w:rsid w:val="002E0C29"/>
    <w:rsid w:val="002E0D75"/>
    <w:rsid w:val="002E0F34"/>
    <w:rsid w:val="002E0FB9"/>
    <w:rsid w:val="002E0FC4"/>
    <w:rsid w:val="002E0FD8"/>
    <w:rsid w:val="002E1280"/>
    <w:rsid w:val="002E1382"/>
    <w:rsid w:val="002E1415"/>
    <w:rsid w:val="002E145D"/>
    <w:rsid w:val="002E1672"/>
    <w:rsid w:val="002E1710"/>
    <w:rsid w:val="002E1776"/>
    <w:rsid w:val="002E1C34"/>
    <w:rsid w:val="002E1C9B"/>
    <w:rsid w:val="002E2229"/>
    <w:rsid w:val="002E22F8"/>
    <w:rsid w:val="002E236E"/>
    <w:rsid w:val="002E2415"/>
    <w:rsid w:val="002E2542"/>
    <w:rsid w:val="002E26DF"/>
    <w:rsid w:val="002E2874"/>
    <w:rsid w:val="002E2A01"/>
    <w:rsid w:val="002E2BD5"/>
    <w:rsid w:val="002E2E34"/>
    <w:rsid w:val="002E317F"/>
    <w:rsid w:val="002E323E"/>
    <w:rsid w:val="002E3330"/>
    <w:rsid w:val="002E34E6"/>
    <w:rsid w:val="002E3529"/>
    <w:rsid w:val="002E3848"/>
    <w:rsid w:val="002E3883"/>
    <w:rsid w:val="002E3894"/>
    <w:rsid w:val="002E38DA"/>
    <w:rsid w:val="002E38F2"/>
    <w:rsid w:val="002E3941"/>
    <w:rsid w:val="002E39E7"/>
    <w:rsid w:val="002E3CCE"/>
    <w:rsid w:val="002E3EA5"/>
    <w:rsid w:val="002E3FA1"/>
    <w:rsid w:val="002E4149"/>
    <w:rsid w:val="002E4175"/>
    <w:rsid w:val="002E43AB"/>
    <w:rsid w:val="002E4818"/>
    <w:rsid w:val="002E4B34"/>
    <w:rsid w:val="002E4BD7"/>
    <w:rsid w:val="002E4C1E"/>
    <w:rsid w:val="002E4D27"/>
    <w:rsid w:val="002E4D95"/>
    <w:rsid w:val="002E4E7F"/>
    <w:rsid w:val="002E510A"/>
    <w:rsid w:val="002E522D"/>
    <w:rsid w:val="002E524C"/>
    <w:rsid w:val="002E52AE"/>
    <w:rsid w:val="002E535A"/>
    <w:rsid w:val="002E53C9"/>
    <w:rsid w:val="002E5716"/>
    <w:rsid w:val="002E57D9"/>
    <w:rsid w:val="002E590B"/>
    <w:rsid w:val="002E595F"/>
    <w:rsid w:val="002E5962"/>
    <w:rsid w:val="002E59F0"/>
    <w:rsid w:val="002E5DE1"/>
    <w:rsid w:val="002E5F6B"/>
    <w:rsid w:val="002E602C"/>
    <w:rsid w:val="002E6095"/>
    <w:rsid w:val="002E6099"/>
    <w:rsid w:val="002E61D9"/>
    <w:rsid w:val="002E620F"/>
    <w:rsid w:val="002E6342"/>
    <w:rsid w:val="002E63BE"/>
    <w:rsid w:val="002E6565"/>
    <w:rsid w:val="002E6587"/>
    <w:rsid w:val="002E684C"/>
    <w:rsid w:val="002E69C2"/>
    <w:rsid w:val="002E6A68"/>
    <w:rsid w:val="002E6C84"/>
    <w:rsid w:val="002E6DBB"/>
    <w:rsid w:val="002E6DE1"/>
    <w:rsid w:val="002E6EA0"/>
    <w:rsid w:val="002E71EC"/>
    <w:rsid w:val="002E7266"/>
    <w:rsid w:val="002E73BA"/>
    <w:rsid w:val="002E7649"/>
    <w:rsid w:val="002E76EC"/>
    <w:rsid w:val="002E7706"/>
    <w:rsid w:val="002E770C"/>
    <w:rsid w:val="002E7775"/>
    <w:rsid w:val="002E7914"/>
    <w:rsid w:val="002E7938"/>
    <w:rsid w:val="002E79D6"/>
    <w:rsid w:val="002E7AD2"/>
    <w:rsid w:val="002E7CA7"/>
    <w:rsid w:val="002E7D15"/>
    <w:rsid w:val="002F0060"/>
    <w:rsid w:val="002F0151"/>
    <w:rsid w:val="002F01B9"/>
    <w:rsid w:val="002F032C"/>
    <w:rsid w:val="002F0382"/>
    <w:rsid w:val="002F03BD"/>
    <w:rsid w:val="002F03D9"/>
    <w:rsid w:val="002F0727"/>
    <w:rsid w:val="002F0832"/>
    <w:rsid w:val="002F0869"/>
    <w:rsid w:val="002F0874"/>
    <w:rsid w:val="002F096E"/>
    <w:rsid w:val="002F0A46"/>
    <w:rsid w:val="002F0AF9"/>
    <w:rsid w:val="002F0C80"/>
    <w:rsid w:val="002F0D67"/>
    <w:rsid w:val="002F1040"/>
    <w:rsid w:val="002F114E"/>
    <w:rsid w:val="002F125D"/>
    <w:rsid w:val="002F1260"/>
    <w:rsid w:val="002F1357"/>
    <w:rsid w:val="002F1399"/>
    <w:rsid w:val="002F14D5"/>
    <w:rsid w:val="002F158E"/>
    <w:rsid w:val="002F16B5"/>
    <w:rsid w:val="002F18D4"/>
    <w:rsid w:val="002F1AAE"/>
    <w:rsid w:val="002F1CA7"/>
    <w:rsid w:val="002F1CC7"/>
    <w:rsid w:val="002F1DD9"/>
    <w:rsid w:val="002F1E23"/>
    <w:rsid w:val="002F1E5A"/>
    <w:rsid w:val="002F1FD7"/>
    <w:rsid w:val="002F1FDC"/>
    <w:rsid w:val="002F2443"/>
    <w:rsid w:val="002F24B3"/>
    <w:rsid w:val="002F250A"/>
    <w:rsid w:val="002F2800"/>
    <w:rsid w:val="002F290F"/>
    <w:rsid w:val="002F29ED"/>
    <w:rsid w:val="002F2A9E"/>
    <w:rsid w:val="002F2B73"/>
    <w:rsid w:val="002F2BF9"/>
    <w:rsid w:val="002F2E9D"/>
    <w:rsid w:val="002F30C0"/>
    <w:rsid w:val="002F32FB"/>
    <w:rsid w:val="002F3604"/>
    <w:rsid w:val="002F3617"/>
    <w:rsid w:val="002F3621"/>
    <w:rsid w:val="002F36BD"/>
    <w:rsid w:val="002F37E8"/>
    <w:rsid w:val="002F387C"/>
    <w:rsid w:val="002F3950"/>
    <w:rsid w:val="002F3F87"/>
    <w:rsid w:val="002F4002"/>
    <w:rsid w:val="002F4073"/>
    <w:rsid w:val="002F41E0"/>
    <w:rsid w:val="002F4267"/>
    <w:rsid w:val="002F42C0"/>
    <w:rsid w:val="002F4393"/>
    <w:rsid w:val="002F43C1"/>
    <w:rsid w:val="002F44B4"/>
    <w:rsid w:val="002F4540"/>
    <w:rsid w:val="002F4675"/>
    <w:rsid w:val="002F46DB"/>
    <w:rsid w:val="002F470C"/>
    <w:rsid w:val="002F48CC"/>
    <w:rsid w:val="002F4C21"/>
    <w:rsid w:val="002F4C60"/>
    <w:rsid w:val="002F4D9A"/>
    <w:rsid w:val="002F4EAB"/>
    <w:rsid w:val="002F4EB6"/>
    <w:rsid w:val="002F4FA0"/>
    <w:rsid w:val="002F531E"/>
    <w:rsid w:val="002F5487"/>
    <w:rsid w:val="002F5586"/>
    <w:rsid w:val="002F5596"/>
    <w:rsid w:val="002F5611"/>
    <w:rsid w:val="002F5757"/>
    <w:rsid w:val="002F59F5"/>
    <w:rsid w:val="002F5A13"/>
    <w:rsid w:val="002F5AB6"/>
    <w:rsid w:val="002F5B9A"/>
    <w:rsid w:val="002F5BDA"/>
    <w:rsid w:val="002F5F5E"/>
    <w:rsid w:val="002F5F85"/>
    <w:rsid w:val="002F5FFF"/>
    <w:rsid w:val="002F6357"/>
    <w:rsid w:val="002F640E"/>
    <w:rsid w:val="002F6541"/>
    <w:rsid w:val="002F6640"/>
    <w:rsid w:val="002F6925"/>
    <w:rsid w:val="002F693F"/>
    <w:rsid w:val="002F69CC"/>
    <w:rsid w:val="002F6CD5"/>
    <w:rsid w:val="002F6EC2"/>
    <w:rsid w:val="002F6FFD"/>
    <w:rsid w:val="002F702E"/>
    <w:rsid w:val="002F709B"/>
    <w:rsid w:val="002F7206"/>
    <w:rsid w:val="002F7381"/>
    <w:rsid w:val="002F75B0"/>
    <w:rsid w:val="002F7625"/>
    <w:rsid w:val="002F76F1"/>
    <w:rsid w:val="002F78C5"/>
    <w:rsid w:val="002F7997"/>
    <w:rsid w:val="002F79B4"/>
    <w:rsid w:val="002F7AAD"/>
    <w:rsid w:val="002F7BEE"/>
    <w:rsid w:val="002F7C36"/>
    <w:rsid w:val="002F7CA0"/>
    <w:rsid w:val="002F7D38"/>
    <w:rsid w:val="002F7EC7"/>
    <w:rsid w:val="002F7ECA"/>
    <w:rsid w:val="002F7F1D"/>
    <w:rsid w:val="002F7F24"/>
    <w:rsid w:val="002F7FB1"/>
    <w:rsid w:val="003001C5"/>
    <w:rsid w:val="00300462"/>
    <w:rsid w:val="003004B1"/>
    <w:rsid w:val="003005DD"/>
    <w:rsid w:val="0030067E"/>
    <w:rsid w:val="0030074D"/>
    <w:rsid w:val="003007EB"/>
    <w:rsid w:val="00300814"/>
    <w:rsid w:val="003008CC"/>
    <w:rsid w:val="00300903"/>
    <w:rsid w:val="00300A44"/>
    <w:rsid w:val="00300AA0"/>
    <w:rsid w:val="00300AA1"/>
    <w:rsid w:val="00300ADE"/>
    <w:rsid w:val="00300AF5"/>
    <w:rsid w:val="00300B9C"/>
    <w:rsid w:val="00300C84"/>
    <w:rsid w:val="00300C85"/>
    <w:rsid w:val="00300E45"/>
    <w:rsid w:val="00300EB9"/>
    <w:rsid w:val="0030114D"/>
    <w:rsid w:val="003011A5"/>
    <w:rsid w:val="003011D8"/>
    <w:rsid w:val="0030141B"/>
    <w:rsid w:val="003014A4"/>
    <w:rsid w:val="00301724"/>
    <w:rsid w:val="00301763"/>
    <w:rsid w:val="003018DC"/>
    <w:rsid w:val="003019BB"/>
    <w:rsid w:val="00301A65"/>
    <w:rsid w:val="00301A80"/>
    <w:rsid w:val="00301DF8"/>
    <w:rsid w:val="00301FAA"/>
    <w:rsid w:val="00302033"/>
    <w:rsid w:val="00302061"/>
    <w:rsid w:val="00302252"/>
    <w:rsid w:val="00302302"/>
    <w:rsid w:val="0030234D"/>
    <w:rsid w:val="0030252A"/>
    <w:rsid w:val="003025DA"/>
    <w:rsid w:val="00302652"/>
    <w:rsid w:val="00302674"/>
    <w:rsid w:val="0030276F"/>
    <w:rsid w:val="00302774"/>
    <w:rsid w:val="003027D2"/>
    <w:rsid w:val="003028D3"/>
    <w:rsid w:val="003028DE"/>
    <w:rsid w:val="00302B2F"/>
    <w:rsid w:val="00302B57"/>
    <w:rsid w:val="00302B88"/>
    <w:rsid w:val="00302CC3"/>
    <w:rsid w:val="00302EF8"/>
    <w:rsid w:val="00302F0D"/>
    <w:rsid w:val="00302FBD"/>
    <w:rsid w:val="003030C7"/>
    <w:rsid w:val="0030324C"/>
    <w:rsid w:val="003032A8"/>
    <w:rsid w:val="00303346"/>
    <w:rsid w:val="0030342D"/>
    <w:rsid w:val="003036C1"/>
    <w:rsid w:val="00303838"/>
    <w:rsid w:val="00303918"/>
    <w:rsid w:val="00303960"/>
    <w:rsid w:val="00303A5B"/>
    <w:rsid w:val="00303AB9"/>
    <w:rsid w:val="00303BD1"/>
    <w:rsid w:val="00303C60"/>
    <w:rsid w:val="00303E42"/>
    <w:rsid w:val="00303EB6"/>
    <w:rsid w:val="00303FB6"/>
    <w:rsid w:val="003041BD"/>
    <w:rsid w:val="00304695"/>
    <w:rsid w:val="003048C7"/>
    <w:rsid w:val="00304AC8"/>
    <w:rsid w:val="00304E30"/>
    <w:rsid w:val="00304F3E"/>
    <w:rsid w:val="00304FB8"/>
    <w:rsid w:val="00304FF5"/>
    <w:rsid w:val="0030516F"/>
    <w:rsid w:val="00305304"/>
    <w:rsid w:val="003054AD"/>
    <w:rsid w:val="0030571B"/>
    <w:rsid w:val="003058E0"/>
    <w:rsid w:val="003059D4"/>
    <w:rsid w:val="00305BC2"/>
    <w:rsid w:val="00305BD6"/>
    <w:rsid w:val="00305BF9"/>
    <w:rsid w:val="00305C39"/>
    <w:rsid w:val="00305C7C"/>
    <w:rsid w:val="00305D98"/>
    <w:rsid w:val="00305DBB"/>
    <w:rsid w:val="00306095"/>
    <w:rsid w:val="00306111"/>
    <w:rsid w:val="0030612A"/>
    <w:rsid w:val="003062E6"/>
    <w:rsid w:val="00306359"/>
    <w:rsid w:val="003064B4"/>
    <w:rsid w:val="0030658F"/>
    <w:rsid w:val="00306609"/>
    <w:rsid w:val="00306612"/>
    <w:rsid w:val="00306615"/>
    <w:rsid w:val="00306796"/>
    <w:rsid w:val="00306853"/>
    <w:rsid w:val="003068D7"/>
    <w:rsid w:val="00306981"/>
    <w:rsid w:val="00306B55"/>
    <w:rsid w:val="00306B74"/>
    <w:rsid w:val="00306C0B"/>
    <w:rsid w:val="00306CDE"/>
    <w:rsid w:val="00306D03"/>
    <w:rsid w:val="00306DDB"/>
    <w:rsid w:val="00306E99"/>
    <w:rsid w:val="00306EC5"/>
    <w:rsid w:val="00307003"/>
    <w:rsid w:val="00307023"/>
    <w:rsid w:val="00307028"/>
    <w:rsid w:val="00307256"/>
    <w:rsid w:val="0030725B"/>
    <w:rsid w:val="00307299"/>
    <w:rsid w:val="0030746B"/>
    <w:rsid w:val="0030757F"/>
    <w:rsid w:val="003075C6"/>
    <w:rsid w:val="00307668"/>
    <w:rsid w:val="0030766A"/>
    <w:rsid w:val="0030786C"/>
    <w:rsid w:val="0030792F"/>
    <w:rsid w:val="00307A00"/>
    <w:rsid w:val="00307A36"/>
    <w:rsid w:val="00307A38"/>
    <w:rsid w:val="00307AAA"/>
    <w:rsid w:val="00307BE3"/>
    <w:rsid w:val="00307D1C"/>
    <w:rsid w:val="00307D44"/>
    <w:rsid w:val="00307F01"/>
    <w:rsid w:val="003101D4"/>
    <w:rsid w:val="00310234"/>
    <w:rsid w:val="003102A1"/>
    <w:rsid w:val="003102B8"/>
    <w:rsid w:val="0031033D"/>
    <w:rsid w:val="00310457"/>
    <w:rsid w:val="0031046B"/>
    <w:rsid w:val="00310721"/>
    <w:rsid w:val="00310777"/>
    <w:rsid w:val="003107D4"/>
    <w:rsid w:val="00310AAB"/>
    <w:rsid w:val="00310B9B"/>
    <w:rsid w:val="00310C3F"/>
    <w:rsid w:val="00310C93"/>
    <w:rsid w:val="00310D07"/>
    <w:rsid w:val="00310DA5"/>
    <w:rsid w:val="00310F16"/>
    <w:rsid w:val="0031107C"/>
    <w:rsid w:val="003111A6"/>
    <w:rsid w:val="00311366"/>
    <w:rsid w:val="003113F3"/>
    <w:rsid w:val="003114A5"/>
    <w:rsid w:val="0031160B"/>
    <w:rsid w:val="00311707"/>
    <w:rsid w:val="003117C9"/>
    <w:rsid w:val="00311854"/>
    <w:rsid w:val="003118DD"/>
    <w:rsid w:val="00311944"/>
    <w:rsid w:val="00311951"/>
    <w:rsid w:val="00311976"/>
    <w:rsid w:val="003119D1"/>
    <w:rsid w:val="003119E8"/>
    <w:rsid w:val="003119EC"/>
    <w:rsid w:val="00311A16"/>
    <w:rsid w:val="00311B36"/>
    <w:rsid w:val="00311F05"/>
    <w:rsid w:val="0031207E"/>
    <w:rsid w:val="00312283"/>
    <w:rsid w:val="003122DF"/>
    <w:rsid w:val="003123CA"/>
    <w:rsid w:val="003123CE"/>
    <w:rsid w:val="0031247C"/>
    <w:rsid w:val="003124FC"/>
    <w:rsid w:val="00312538"/>
    <w:rsid w:val="00312541"/>
    <w:rsid w:val="003125FF"/>
    <w:rsid w:val="00312638"/>
    <w:rsid w:val="0031273F"/>
    <w:rsid w:val="00312789"/>
    <w:rsid w:val="00312836"/>
    <w:rsid w:val="00312896"/>
    <w:rsid w:val="003128E3"/>
    <w:rsid w:val="003128F9"/>
    <w:rsid w:val="0031291C"/>
    <w:rsid w:val="00312AF7"/>
    <w:rsid w:val="00312B6B"/>
    <w:rsid w:val="00312B6F"/>
    <w:rsid w:val="00312CFC"/>
    <w:rsid w:val="00312F72"/>
    <w:rsid w:val="00312FC7"/>
    <w:rsid w:val="003130B7"/>
    <w:rsid w:val="00313171"/>
    <w:rsid w:val="00313218"/>
    <w:rsid w:val="003132BF"/>
    <w:rsid w:val="003132FE"/>
    <w:rsid w:val="0031331C"/>
    <w:rsid w:val="00313359"/>
    <w:rsid w:val="0031339F"/>
    <w:rsid w:val="00313764"/>
    <w:rsid w:val="00313871"/>
    <w:rsid w:val="003138A9"/>
    <w:rsid w:val="00313A08"/>
    <w:rsid w:val="00313B33"/>
    <w:rsid w:val="00313B99"/>
    <w:rsid w:val="00313C16"/>
    <w:rsid w:val="003140D2"/>
    <w:rsid w:val="0031414F"/>
    <w:rsid w:val="0031429F"/>
    <w:rsid w:val="0031433A"/>
    <w:rsid w:val="00314581"/>
    <w:rsid w:val="00314736"/>
    <w:rsid w:val="00314784"/>
    <w:rsid w:val="00314855"/>
    <w:rsid w:val="00314980"/>
    <w:rsid w:val="00314988"/>
    <w:rsid w:val="00314BD8"/>
    <w:rsid w:val="00314C1E"/>
    <w:rsid w:val="00314EEF"/>
    <w:rsid w:val="00314F01"/>
    <w:rsid w:val="00314F35"/>
    <w:rsid w:val="003150DA"/>
    <w:rsid w:val="003154D8"/>
    <w:rsid w:val="003155F4"/>
    <w:rsid w:val="003155FB"/>
    <w:rsid w:val="0031574E"/>
    <w:rsid w:val="00315911"/>
    <w:rsid w:val="00315973"/>
    <w:rsid w:val="00315B53"/>
    <w:rsid w:val="00315C1B"/>
    <w:rsid w:val="00315C85"/>
    <w:rsid w:val="00315C9D"/>
    <w:rsid w:val="00315D27"/>
    <w:rsid w:val="00315D8A"/>
    <w:rsid w:val="00315E5F"/>
    <w:rsid w:val="00315EC7"/>
    <w:rsid w:val="00315ED1"/>
    <w:rsid w:val="00315F1D"/>
    <w:rsid w:val="00315F38"/>
    <w:rsid w:val="0031606C"/>
    <w:rsid w:val="003160A7"/>
    <w:rsid w:val="003160BA"/>
    <w:rsid w:val="003160DB"/>
    <w:rsid w:val="00316162"/>
    <w:rsid w:val="003162EA"/>
    <w:rsid w:val="00316312"/>
    <w:rsid w:val="00316350"/>
    <w:rsid w:val="00316435"/>
    <w:rsid w:val="00316512"/>
    <w:rsid w:val="00316513"/>
    <w:rsid w:val="0031663F"/>
    <w:rsid w:val="00316691"/>
    <w:rsid w:val="00316843"/>
    <w:rsid w:val="0031686B"/>
    <w:rsid w:val="00316A1D"/>
    <w:rsid w:val="00316DC7"/>
    <w:rsid w:val="00316E1C"/>
    <w:rsid w:val="00316E61"/>
    <w:rsid w:val="00316F6A"/>
    <w:rsid w:val="003170B8"/>
    <w:rsid w:val="00317289"/>
    <w:rsid w:val="00317488"/>
    <w:rsid w:val="00317641"/>
    <w:rsid w:val="00317714"/>
    <w:rsid w:val="003178F3"/>
    <w:rsid w:val="00317929"/>
    <w:rsid w:val="00317A08"/>
    <w:rsid w:val="00317ADA"/>
    <w:rsid w:val="00317AE6"/>
    <w:rsid w:val="00317BA5"/>
    <w:rsid w:val="00317D2A"/>
    <w:rsid w:val="00317EED"/>
    <w:rsid w:val="00317F46"/>
    <w:rsid w:val="00320285"/>
    <w:rsid w:val="003202C0"/>
    <w:rsid w:val="003203E0"/>
    <w:rsid w:val="003203EA"/>
    <w:rsid w:val="00320463"/>
    <w:rsid w:val="003204D2"/>
    <w:rsid w:val="00320577"/>
    <w:rsid w:val="00320616"/>
    <w:rsid w:val="003206F3"/>
    <w:rsid w:val="0032078C"/>
    <w:rsid w:val="0032082B"/>
    <w:rsid w:val="00320892"/>
    <w:rsid w:val="003209C4"/>
    <w:rsid w:val="00320A17"/>
    <w:rsid w:val="00320B01"/>
    <w:rsid w:val="00320D04"/>
    <w:rsid w:val="00320D42"/>
    <w:rsid w:val="00320D59"/>
    <w:rsid w:val="00320DE5"/>
    <w:rsid w:val="00320E58"/>
    <w:rsid w:val="003210AB"/>
    <w:rsid w:val="003210FB"/>
    <w:rsid w:val="003213F3"/>
    <w:rsid w:val="003216E9"/>
    <w:rsid w:val="0032171F"/>
    <w:rsid w:val="003217C9"/>
    <w:rsid w:val="00321885"/>
    <w:rsid w:val="003219AA"/>
    <w:rsid w:val="00321A91"/>
    <w:rsid w:val="00321C40"/>
    <w:rsid w:val="00321CE1"/>
    <w:rsid w:val="00321CF5"/>
    <w:rsid w:val="00321D63"/>
    <w:rsid w:val="00321E92"/>
    <w:rsid w:val="00321EC5"/>
    <w:rsid w:val="00321F8C"/>
    <w:rsid w:val="003221BB"/>
    <w:rsid w:val="00322388"/>
    <w:rsid w:val="00322447"/>
    <w:rsid w:val="0032253F"/>
    <w:rsid w:val="003226AA"/>
    <w:rsid w:val="003226BB"/>
    <w:rsid w:val="003227FD"/>
    <w:rsid w:val="00322943"/>
    <w:rsid w:val="00322A52"/>
    <w:rsid w:val="00322DA9"/>
    <w:rsid w:val="00322DF0"/>
    <w:rsid w:val="00322F1B"/>
    <w:rsid w:val="00322F97"/>
    <w:rsid w:val="003231B3"/>
    <w:rsid w:val="0032324E"/>
    <w:rsid w:val="003233AA"/>
    <w:rsid w:val="003235FA"/>
    <w:rsid w:val="0032366A"/>
    <w:rsid w:val="003237BD"/>
    <w:rsid w:val="003237E6"/>
    <w:rsid w:val="003237F5"/>
    <w:rsid w:val="00323837"/>
    <w:rsid w:val="0032385C"/>
    <w:rsid w:val="003238C1"/>
    <w:rsid w:val="00323A2F"/>
    <w:rsid w:val="00323AF6"/>
    <w:rsid w:val="00323CFA"/>
    <w:rsid w:val="00324008"/>
    <w:rsid w:val="003240D3"/>
    <w:rsid w:val="003240E3"/>
    <w:rsid w:val="00324118"/>
    <w:rsid w:val="003241EF"/>
    <w:rsid w:val="00324278"/>
    <w:rsid w:val="00324624"/>
    <w:rsid w:val="003246CB"/>
    <w:rsid w:val="003246E3"/>
    <w:rsid w:val="00324720"/>
    <w:rsid w:val="00324727"/>
    <w:rsid w:val="0032475B"/>
    <w:rsid w:val="0032483A"/>
    <w:rsid w:val="00324949"/>
    <w:rsid w:val="00324A56"/>
    <w:rsid w:val="00324AFD"/>
    <w:rsid w:val="00324C55"/>
    <w:rsid w:val="00324D93"/>
    <w:rsid w:val="00324ED3"/>
    <w:rsid w:val="00324FDF"/>
    <w:rsid w:val="00325167"/>
    <w:rsid w:val="003251C2"/>
    <w:rsid w:val="00325213"/>
    <w:rsid w:val="00325394"/>
    <w:rsid w:val="003254B5"/>
    <w:rsid w:val="0032554F"/>
    <w:rsid w:val="00325771"/>
    <w:rsid w:val="003257BD"/>
    <w:rsid w:val="00325851"/>
    <w:rsid w:val="0032586B"/>
    <w:rsid w:val="003258E5"/>
    <w:rsid w:val="00325AD4"/>
    <w:rsid w:val="00325BD7"/>
    <w:rsid w:val="00325EC3"/>
    <w:rsid w:val="00325FA0"/>
    <w:rsid w:val="00325FD0"/>
    <w:rsid w:val="0032625D"/>
    <w:rsid w:val="003262CE"/>
    <w:rsid w:val="0032636B"/>
    <w:rsid w:val="003263FD"/>
    <w:rsid w:val="0032641E"/>
    <w:rsid w:val="00326507"/>
    <w:rsid w:val="0032660B"/>
    <w:rsid w:val="003267D2"/>
    <w:rsid w:val="003267EB"/>
    <w:rsid w:val="003268CE"/>
    <w:rsid w:val="003269D5"/>
    <w:rsid w:val="00326AE6"/>
    <w:rsid w:val="00326CF4"/>
    <w:rsid w:val="00326D45"/>
    <w:rsid w:val="00326DA6"/>
    <w:rsid w:val="00326EF6"/>
    <w:rsid w:val="00326F1C"/>
    <w:rsid w:val="00327162"/>
    <w:rsid w:val="00327296"/>
    <w:rsid w:val="003274AB"/>
    <w:rsid w:val="003275BF"/>
    <w:rsid w:val="0032767B"/>
    <w:rsid w:val="00327695"/>
    <w:rsid w:val="003276DE"/>
    <w:rsid w:val="00327705"/>
    <w:rsid w:val="0032776F"/>
    <w:rsid w:val="003277E3"/>
    <w:rsid w:val="00327999"/>
    <w:rsid w:val="00327A2E"/>
    <w:rsid w:val="00327AC7"/>
    <w:rsid w:val="00327B87"/>
    <w:rsid w:val="00327BCF"/>
    <w:rsid w:val="00327C46"/>
    <w:rsid w:val="00327C65"/>
    <w:rsid w:val="00327D3D"/>
    <w:rsid w:val="00327D53"/>
    <w:rsid w:val="00327D71"/>
    <w:rsid w:val="00327DD2"/>
    <w:rsid w:val="00327DF2"/>
    <w:rsid w:val="00327ED4"/>
    <w:rsid w:val="00327EFE"/>
    <w:rsid w:val="00327F29"/>
    <w:rsid w:val="00327F7A"/>
    <w:rsid w:val="00330066"/>
    <w:rsid w:val="00330115"/>
    <w:rsid w:val="0033018F"/>
    <w:rsid w:val="00330348"/>
    <w:rsid w:val="00330382"/>
    <w:rsid w:val="003304A8"/>
    <w:rsid w:val="00330523"/>
    <w:rsid w:val="00330809"/>
    <w:rsid w:val="00330895"/>
    <w:rsid w:val="00330A0A"/>
    <w:rsid w:val="00330A77"/>
    <w:rsid w:val="00330D1C"/>
    <w:rsid w:val="00330D8F"/>
    <w:rsid w:val="0033125B"/>
    <w:rsid w:val="00331390"/>
    <w:rsid w:val="00331391"/>
    <w:rsid w:val="003313AA"/>
    <w:rsid w:val="003314D7"/>
    <w:rsid w:val="00331581"/>
    <w:rsid w:val="003315CE"/>
    <w:rsid w:val="00331658"/>
    <w:rsid w:val="003316A5"/>
    <w:rsid w:val="0033175E"/>
    <w:rsid w:val="00331766"/>
    <w:rsid w:val="003318BE"/>
    <w:rsid w:val="003319B0"/>
    <w:rsid w:val="003319C3"/>
    <w:rsid w:val="00331ACF"/>
    <w:rsid w:val="00331B8F"/>
    <w:rsid w:val="00331BCE"/>
    <w:rsid w:val="00331D17"/>
    <w:rsid w:val="00331D65"/>
    <w:rsid w:val="00331E03"/>
    <w:rsid w:val="00331E3B"/>
    <w:rsid w:val="0033203E"/>
    <w:rsid w:val="003322C4"/>
    <w:rsid w:val="00332386"/>
    <w:rsid w:val="003323F2"/>
    <w:rsid w:val="00332434"/>
    <w:rsid w:val="0033255C"/>
    <w:rsid w:val="0033258B"/>
    <w:rsid w:val="00332625"/>
    <w:rsid w:val="0033268F"/>
    <w:rsid w:val="003326E6"/>
    <w:rsid w:val="00332783"/>
    <w:rsid w:val="0033287A"/>
    <w:rsid w:val="003328A9"/>
    <w:rsid w:val="00332984"/>
    <w:rsid w:val="00332B74"/>
    <w:rsid w:val="00332CB7"/>
    <w:rsid w:val="00332D20"/>
    <w:rsid w:val="00332D58"/>
    <w:rsid w:val="0033329D"/>
    <w:rsid w:val="003333FB"/>
    <w:rsid w:val="00333741"/>
    <w:rsid w:val="00333923"/>
    <w:rsid w:val="00333AB9"/>
    <w:rsid w:val="00333B14"/>
    <w:rsid w:val="00333D64"/>
    <w:rsid w:val="003340D1"/>
    <w:rsid w:val="0033417C"/>
    <w:rsid w:val="003342A0"/>
    <w:rsid w:val="00334474"/>
    <w:rsid w:val="003344FD"/>
    <w:rsid w:val="00334714"/>
    <w:rsid w:val="00334737"/>
    <w:rsid w:val="003349B1"/>
    <w:rsid w:val="00334AD0"/>
    <w:rsid w:val="00334BDD"/>
    <w:rsid w:val="00334C2B"/>
    <w:rsid w:val="00334CD7"/>
    <w:rsid w:val="00334D37"/>
    <w:rsid w:val="00334D49"/>
    <w:rsid w:val="00334D4D"/>
    <w:rsid w:val="00334E7E"/>
    <w:rsid w:val="00334F6B"/>
    <w:rsid w:val="00334FD8"/>
    <w:rsid w:val="0033502F"/>
    <w:rsid w:val="00335094"/>
    <w:rsid w:val="003351A8"/>
    <w:rsid w:val="00335334"/>
    <w:rsid w:val="0033538E"/>
    <w:rsid w:val="00335497"/>
    <w:rsid w:val="003354C9"/>
    <w:rsid w:val="00335969"/>
    <w:rsid w:val="00335BC0"/>
    <w:rsid w:val="00335C84"/>
    <w:rsid w:val="00335CAC"/>
    <w:rsid w:val="00336076"/>
    <w:rsid w:val="003360E6"/>
    <w:rsid w:val="003360EB"/>
    <w:rsid w:val="00336172"/>
    <w:rsid w:val="0033619C"/>
    <w:rsid w:val="00336225"/>
    <w:rsid w:val="003362EA"/>
    <w:rsid w:val="0033666F"/>
    <w:rsid w:val="0033672B"/>
    <w:rsid w:val="00336936"/>
    <w:rsid w:val="00336E50"/>
    <w:rsid w:val="00336EB9"/>
    <w:rsid w:val="0033716D"/>
    <w:rsid w:val="003371B5"/>
    <w:rsid w:val="003371EE"/>
    <w:rsid w:val="00337325"/>
    <w:rsid w:val="00337457"/>
    <w:rsid w:val="003376A7"/>
    <w:rsid w:val="003379EF"/>
    <w:rsid w:val="00337B64"/>
    <w:rsid w:val="00337B7C"/>
    <w:rsid w:val="00337B95"/>
    <w:rsid w:val="00337BAF"/>
    <w:rsid w:val="00337CEF"/>
    <w:rsid w:val="00337E9D"/>
    <w:rsid w:val="00337F85"/>
    <w:rsid w:val="00340147"/>
    <w:rsid w:val="003401B0"/>
    <w:rsid w:val="00340224"/>
    <w:rsid w:val="00340341"/>
    <w:rsid w:val="00340933"/>
    <w:rsid w:val="003409D6"/>
    <w:rsid w:val="003409DC"/>
    <w:rsid w:val="00340A01"/>
    <w:rsid w:val="00340A7D"/>
    <w:rsid w:val="00340B7A"/>
    <w:rsid w:val="00340E19"/>
    <w:rsid w:val="0034102C"/>
    <w:rsid w:val="0034110F"/>
    <w:rsid w:val="003411A5"/>
    <w:rsid w:val="0034136F"/>
    <w:rsid w:val="00341448"/>
    <w:rsid w:val="00341560"/>
    <w:rsid w:val="0034161A"/>
    <w:rsid w:val="00341790"/>
    <w:rsid w:val="003417CB"/>
    <w:rsid w:val="003417F3"/>
    <w:rsid w:val="0034198C"/>
    <w:rsid w:val="00341BB7"/>
    <w:rsid w:val="00341E5E"/>
    <w:rsid w:val="00341F27"/>
    <w:rsid w:val="00341FE4"/>
    <w:rsid w:val="003421D8"/>
    <w:rsid w:val="0034221D"/>
    <w:rsid w:val="0034229F"/>
    <w:rsid w:val="00342522"/>
    <w:rsid w:val="0034253F"/>
    <w:rsid w:val="00342540"/>
    <w:rsid w:val="0034280F"/>
    <w:rsid w:val="00342B79"/>
    <w:rsid w:val="00342B91"/>
    <w:rsid w:val="00342E99"/>
    <w:rsid w:val="00342F84"/>
    <w:rsid w:val="00342F91"/>
    <w:rsid w:val="003430BC"/>
    <w:rsid w:val="00343284"/>
    <w:rsid w:val="00343322"/>
    <w:rsid w:val="00343441"/>
    <w:rsid w:val="00343531"/>
    <w:rsid w:val="003435A9"/>
    <w:rsid w:val="00343629"/>
    <w:rsid w:val="00343C52"/>
    <w:rsid w:val="00343C62"/>
    <w:rsid w:val="00343DCC"/>
    <w:rsid w:val="00343E44"/>
    <w:rsid w:val="00343E7C"/>
    <w:rsid w:val="00343F02"/>
    <w:rsid w:val="0034407F"/>
    <w:rsid w:val="00344384"/>
    <w:rsid w:val="00344391"/>
    <w:rsid w:val="003443FE"/>
    <w:rsid w:val="003444AB"/>
    <w:rsid w:val="003444CE"/>
    <w:rsid w:val="003445AD"/>
    <w:rsid w:val="003445B6"/>
    <w:rsid w:val="00344649"/>
    <w:rsid w:val="00344791"/>
    <w:rsid w:val="00344903"/>
    <w:rsid w:val="00344A66"/>
    <w:rsid w:val="00344AFB"/>
    <w:rsid w:val="00344C7C"/>
    <w:rsid w:val="00344E4D"/>
    <w:rsid w:val="00344F06"/>
    <w:rsid w:val="00345048"/>
    <w:rsid w:val="0034505E"/>
    <w:rsid w:val="003450FB"/>
    <w:rsid w:val="0034518D"/>
    <w:rsid w:val="003451A6"/>
    <w:rsid w:val="003451DE"/>
    <w:rsid w:val="00345496"/>
    <w:rsid w:val="003455E4"/>
    <w:rsid w:val="0034573B"/>
    <w:rsid w:val="00345A97"/>
    <w:rsid w:val="00345B3C"/>
    <w:rsid w:val="00345BCF"/>
    <w:rsid w:val="00345E09"/>
    <w:rsid w:val="00345E65"/>
    <w:rsid w:val="00346026"/>
    <w:rsid w:val="0034609D"/>
    <w:rsid w:val="00346114"/>
    <w:rsid w:val="003461A1"/>
    <w:rsid w:val="003461DC"/>
    <w:rsid w:val="00346382"/>
    <w:rsid w:val="00346433"/>
    <w:rsid w:val="0034649A"/>
    <w:rsid w:val="003465BD"/>
    <w:rsid w:val="00346650"/>
    <w:rsid w:val="003466F9"/>
    <w:rsid w:val="00346C0D"/>
    <w:rsid w:val="00346C42"/>
    <w:rsid w:val="00346F1A"/>
    <w:rsid w:val="00346FAA"/>
    <w:rsid w:val="00347130"/>
    <w:rsid w:val="00347427"/>
    <w:rsid w:val="00347614"/>
    <w:rsid w:val="00347942"/>
    <w:rsid w:val="00347966"/>
    <w:rsid w:val="00347998"/>
    <w:rsid w:val="00347B9E"/>
    <w:rsid w:val="00347C23"/>
    <w:rsid w:val="00347CFA"/>
    <w:rsid w:val="00347F8F"/>
    <w:rsid w:val="00350064"/>
    <w:rsid w:val="00350092"/>
    <w:rsid w:val="003501C5"/>
    <w:rsid w:val="0035028F"/>
    <w:rsid w:val="00350299"/>
    <w:rsid w:val="00350317"/>
    <w:rsid w:val="00350403"/>
    <w:rsid w:val="003504B1"/>
    <w:rsid w:val="003504D3"/>
    <w:rsid w:val="003506BF"/>
    <w:rsid w:val="0035073B"/>
    <w:rsid w:val="00350804"/>
    <w:rsid w:val="0035080F"/>
    <w:rsid w:val="00350887"/>
    <w:rsid w:val="0035097E"/>
    <w:rsid w:val="00350A45"/>
    <w:rsid w:val="00350C0A"/>
    <w:rsid w:val="00350D2A"/>
    <w:rsid w:val="00350D7D"/>
    <w:rsid w:val="00350D82"/>
    <w:rsid w:val="00350EA6"/>
    <w:rsid w:val="00351006"/>
    <w:rsid w:val="00351071"/>
    <w:rsid w:val="003512E2"/>
    <w:rsid w:val="00351384"/>
    <w:rsid w:val="00351432"/>
    <w:rsid w:val="003515B3"/>
    <w:rsid w:val="003517B5"/>
    <w:rsid w:val="003517C8"/>
    <w:rsid w:val="00351896"/>
    <w:rsid w:val="003518B9"/>
    <w:rsid w:val="003518D5"/>
    <w:rsid w:val="003519AD"/>
    <w:rsid w:val="00351B0D"/>
    <w:rsid w:val="00351D0D"/>
    <w:rsid w:val="00351D1E"/>
    <w:rsid w:val="00351E0E"/>
    <w:rsid w:val="00351E5A"/>
    <w:rsid w:val="00352180"/>
    <w:rsid w:val="00352362"/>
    <w:rsid w:val="003524BE"/>
    <w:rsid w:val="00352631"/>
    <w:rsid w:val="0035269C"/>
    <w:rsid w:val="003526EA"/>
    <w:rsid w:val="003527F6"/>
    <w:rsid w:val="0035288B"/>
    <w:rsid w:val="003528B1"/>
    <w:rsid w:val="003528BF"/>
    <w:rsid w:val="003528F8"/>
    <w:rsid w:val="00352B42"/>
    <w:rsid w:val="00352C97"/>
    <w:rsid w:val="00352CC6"/>
    <w:rsid w:val="00352CD7"/>
    <w:rsid w:val="00352EEC"/>
    <w:rsid w:val="00352F90"/>
    <w:rsid w:val="00353231"/>
    <w:rsid w:val="0035333A"/>
    <w:rsid w:val="003534BB"/>
    <w:rsid w:val="00353565"/>
    <w:rsid w:val="0035357B"/>
    <w:rsid w:val="003538B5"/>
    <w:rsid w:val="003538D4"/>
    <w:rsid w:val="00353AE4"/>
    <w:rsid w:val="00353B04"/>
    <w:rsid w:val="00353BCE"/>
    <w:rsid w:val="00353CC5"/>
    <w:rsid w:val="00353CDB"/>
    <w:rsid w:val="00353CF0"/>
    <w:rsid w:val="00353E55"/>
    <w:rsid w:val="00353EB8"/>
    <w:rsid w:val="00353F33"/>
    <w:rsid w:val="00353F7E"/>
    <w:rsid w:val="00354129"/>
    <w:rsid w:val="003543C2"/>
    <w:rsid w:val="00354461"/>
    <w:rsid w:val="003544F8"/>
    <w:rsid w:val="00354559"/>
    <w:rsid w:val="00354563"/>
    <w:rsid w:val="00354610"/>
    <w:rsid w:val="00354701"/>
    <w:rsid w:val="00354709"/>
    <w:rsid w:val="003548F1"/>
    <w:rsid w:val="00354A32"/>
    <w:rsid w:val="00354CAA"/>
    <w:rsid w:val="00354DB4"/>
    <w:rsid w:val="00354E57"/>
    <w:rsid w:val="00354EB3"/>
    <w:rsid w:val="00354EB4"/>
    <w:rsid w:val="0035507B"/>
    <w:rsid w:val="00355167"/>
    <w:rsid w:val="003552E2"/>
    <w:rsid w:val="00355356"/>
    <w:rsid w:val="00355377"/>
    <w:rsid w:val="003554A9"/>
    <w:rsid w:val="0035550B"/>
    <w:rsid w:val="00355613"/>
    <w:rsid w:val="00355B5F"/>
    <w:rsid w:val="00355C19"/>
    <w:rsid w:val="00355D83"/>
    <w:rsid w:val="00355DAB"/>
    <w:rsid w:val="00355E50"/>
    <w:rsid w:val="00355F47"/>
    <w:rsid w:val="00355FBD"/>
    <w:rsid w:val="00356061"/>
    <w:rsid w:val="00356369"/>
    <w:rsid w:val="0035637F"/>
    <w:rsid w:val="003563C5"/>
    <w:rsid w:val="003564A2"/>
    <w:rsid w:val="0035652B"/>
    <w:rsid w:val="003565D6"/>
    <w:rsid w:val="003565DE"/>
    <w:rsid w:val="003566EC"/>
    <w:rsid w:val="00356759"/>
    <w:rsid w:val="003568AB"/>
    <w:rsid w:val="003569A2"/>
    <w:rsid w:val="003569A3"/>
    <w:rsid w:val="00356A3C"/>
    <w:rsid w:val="00356B59"/>
    <w:rsid w:val="00356C1F"/>
    <w:rsid w:val="00356C25"/>
    <w:rsid w:val="00356D29"/>
    <w:rsid w:val="00356E2D"/>
    <w:rsid w:val="00356E4B"/>
    <w:rsid w:val="00356ECC"/>
    <w:rsid w:val="00356EEB"/>
    <w:rsid w:val="00357179"/>
    <w:rsid w:val="003571C2"/>
    <w:rsid w:val="0035723A"/>
    <w:rsid w:val="00357327"/>
    <w:rsid w:val="003573A6"/>
    <w:rsid w:val="003573D5"/>
    <w:rsid w:val="0035742F"/>
    <w:rsid w:val="00357598"/>
    <w:rsid w:val="003575E9"/>
    <w:rsid w:val="00357665"/>
    <w:rsid w:val="00357689"/>
    <w:rsid w:val="00357991"/>
    <w:rsid w:val="00357BA6"/>
    <w:rsid w:val="00357BB7"/>
    <w:rsid w:val="00357CDA"/>
    <w:rsid w:val="00357E1E"/>
    <w:rsid w:val="00357E23"/>
    <w:rsid w:val="00357E8A"/>
    <w:rsid w:val="00357F65"/>
    <w:rsid w:val="00360125"/>
    <w:rsid w:val="0036017F"/>
    <w:rsid w:val="003601D5"/>
    <w:rsid w:val="0036030B"/>
    <w:rsid w:val="0036048D"/>
    <w:rsid w:val="00360782"/>
    <w:rsid w:val="003608A5"/>
    <w:rsid w:val="00360A29"/>
    <w:rsid w:val="00360A6A"/>
    <w:rsid w:val="00360AA4"/>
    <w:rsid w:val="00360AB3"/>
    <w:rsid w:val="00360ADF"/>
    <w:rsid w:val="00360B7E"/>
    <w:rsid w:val="00360C7E"/>
    <w:rsid w:val="00360D86"/>
    <w:rsid w:val="003610C2"/>
    <w:rsid w:val="0036124B"/>
    <w:rsid w:val="00361335"/>
    <w:rsid w:val="00361580"/>
    <w:rsid w:val="0036170A"/>
    <w:rsid w:val="0036175B"/>
    <w:rsid w:val="00361877"/>
    <w:rsid w:val="00361CBF"/>
    <w:rsid w:val="00361CCC"/>
    <w:rsid w:val="00361CF6"/>
    <w:rsid w:val="00361DC0"/>
    <w:rsid w:val="00361EA3"/>
    <w:rsid w:val="00361F5D"/>
    <w:rsid w:val="00362024"/>
    <w:rsid w:val="00362377"/>
    <w:rsid w:val="003624E1"/>
    <w:rsid w:val="003625AA"/>
    <w:rsid w:val="003626C8"/>
    <w:rsid w:val="003629A5"/>
    <w:rsid w:val="00362A28"/>
    <w:rsid w:val="00362AE9"/>
    <w:rsid w:val="00362DDA"/>
    <w:rsid w:val="00362ED0"/>
    <w:rsid w:val="00362F3A"/>
    <w:rsid w:val="0036305C"/>
    <w:rsid w:val="0036324C"/>
    <w:rsid w:val="00363630"/>
    <w:rsid w:val="003636CB"/>
    <w:rsid w:val="00363958"/>
    <w:rsid w:val="0036397D"/>
    <w:rsid w:val="00363A54"/>
    <w:rsid w:val="00363DAC"/>
    <w:rsid w:val="00363F0E"/>
    <w:rsid w:val="00363F73"/>
    <w:rsid w:val="00363FCF"/>
    <w:rsid w:val="003640A7"/>
    <w:rsid w:val="0036438F"/>
    <w:rsid w:val="003643C8"/>
    <w:rsid w:val="00364426"/>
    <w:rsid w:val="0036445D"/>
    <w:rsid w:val="00364629"/>
    <w:rsid w:val="00364782"/>
    <w:rsid w:val="00364789"/>
    <w:rsid w:val="00364BBF"/>
    <w:rsid w:val="0036507E"/>
    <w:rsid w:val="003653C0"/>
    <w:rsid w:val="00365447"/>
    <w:rsid w:val="00365586"/>
    <w:rsid w:val="00365741"/>
    <w:rsid w:val="003658AA"/>
    <w:rsid w:val="0036599E"/>
    <w:rsid w:val="003659C5"/>
    <w:rsid w:val="00365BB8"/>
    <w:rsid w:val="00365D11"/>
    <w:rsid w:val="00365E73"/>
    <w:rsid w:val="0036659A"/>
    <w:rsid w:val="0036661F"/>
    <w:rsid w:val="0036663F"/>
    <w:rsid w:val="0036670D"/>
    <w:rsid w:val="003667A1"/>
    <w:rsid w:val="00366880"/>
    <w:rsid w:val="0036692A"/>
    <w:rsid w:val="00366A13"/>
    <w:rsid w:val="00366A9C"/>
    <w:rsid w:val="00366B26"/>
    <w:rsid w:val="00366B30"/>
    <w:rsid w:val="00366BE1"/>
    <w:rsid w:val="00366C14"/>
    <w:rsid w:val="00366D81"/>
    <w:rsid w:val="00366E64"/>
    <w:rsid w:val="00366F6C"/>
    <w:rsid w:val="0036700C"/>
    <w:rsid w:val="003670CC"/>
    <w:rsid w:val="003670D1"/>
    <w:rsid w:val="00367128"/>
    <w:rsid w:val="0036713D"/>
    <w:rsid w:val="00367190"/>
    <w:rsid w:val="003672D0"/>
    <w:rsid w:val="003672EE"/>
    <w:rsid w:val="0036731D"/>
    <w:rsid w:val="0036740D"/>
    <w:rsid w:val="003674D7"/>
    <w:rsid w:val="00367547"/>
    <w:rsid w:val="0036754D"/>
    <w:rsid w:val="0036794E"/>
    <w:rsid w:val="00367A55"/>
    <w:rsid w:val="00367B83"/>
    <w:rsid w:val="00367BFB"/>
    <w:rsid w:val="00367D06"/>
    <w:rsid w:val="00367D43"/>
    <w:rsid w:val="00367E72"/>
    <w:rsid w:val="00367FD0"/>
    <w:rsid w:val="0037017B"/>
    <w:rsid w:val="003701D1"/>
    <w:rsid w:val="003701F6"/>
    <w:rsid w:val="00370205"/>
    <w:rsid w:val="00370350"/>
    <w:rsid w:val="003703AA"/>
    <w:rsid w:val="003704E4"/>
    <w:rsid w:val="0037063D"/>
    <w:rsid w:val="00370800"/>
    <w:rsid w:val="003709F7"/>
    <w:rsid w:val="00370A8B"/>
    <w:rsid w:val="00370C02"/>
    <w:rsid w:val="00370C89"/>
    <w:rsid w:val="00370E37"/>
    <w:rsid w:val="00370E76"/>
    <w:rsid w:val="00371512"/>
    <w:rsid w:val="00371553"/>
    <w:rsid w:val="003716BA"/>
    <w:rsid w:val="00371732"/>
    <w:rsid w:val="00371810"/>
    <w:rsid w:val="00371826"/>
    <w:rsid w:val="003718C1"/>
    <w:rsid w:val="0037199A"/>
    <w:rsid w:val="003719A3"/>
    <w:rsid w:val="00371A37"/>
    <w:rsid w:val="00371A49"/>
    <w:rsid w:val="00371A9C"/>
    <w:rsid w:val="00371B8E"/>
    <w:rsid w:val="00371D33"/>
    <w:rsid w:val="00371ECC"/>
    <w:rsid w:val="00371EF2"/>
    <w:rsid w:val="00371EF3"/>
    <w:rsid w:val="00371F0D"/>
    <w:rsid w:val="00371F86"/>
    <w:rsid w:val="00372110"/>
    <w:rsid w:val="00372327"/>
    <w:rsid w:val="003724BC"/>
    <w:rsid w:val="00372526"/>
    <w:rsid w:val="00372597"/>
    <w:rsid w:val="003726E2"/>
    <w:rsid w:val="003727D1"/>
    <w:rsid w:val="003728BB"/>
    <w:rsid w:val="0037294E"/>
    <w:rsid w:val="00372A10"/>
    <w:rsid w:val="00372A3C"/>
    <w:rsid w:val="00372AB7"/>
    <w:rsid w:val="00372B71"/>
    <w:rsid w:val="00372C1D"/>
    <w:rsid w:val="00372C51"/>
    <w:rsid w:val="00372CDF"/>
    <w:rsid w:val="00372CFC"/>
    <w:rsid w:val="00372D52"/>
    <w:rsid w:val="00372EBA"/>
    <w:rsid w:val="00372F41"/>
    <w:rsid w:val="0037304E"/>
    <w:rsid w:val="003730C4"/>
    <w:rsid w:val="003730FA"/>
    <w:rsid w:val="00373128"/>
    <w:rsid w:val="003731A5"/>
    <w:rsid w:val="0037320A"/>
    <w:rsid w:val="003734F6"/>
    <w:rsid w:val="0037353C"/>
    <w:rsid w:val="00373631"/>
    <w:rsid w:val="00373699"/>
    <w:rsid w:val="003738F1"/>
    <w:rsid w:val="00373C02"/>
    <w:rsid w:val="00373C34"/>
    <w:rsid w:val="00373CE0"/>
    <w:rsid w:val="00373D07"/>
    <w:rsid w:val="00373D88"/>
    <w:rsid w:val="00373E5D"/>
    <w:rsid w:val="00373F96"/>
    <w:rsid w:val="003740F6"/>
    <w:rsid w:val="003741CC"/>
    <w:rsid w:val="003741DF"/>
    <w:rsid w:val="003742CC"/>
    <w:rsid w:val="003742FE"/>
    <w:rsid w:val="003743DD"/>
    <w:rsid w:val="00374514"/>
    <w:rsid w:val="003745E8"/>
    <w:rsid w:val="00374629"/>
    <w:rsid w:val="0037463B"/>
    <w:rsid w:val="003746A4"/>
    <w:rsid w:val="00374775"/>
    <w:rsid w:val="00374AC7"/>
    <w:rsid w:val="00374BA3"/>
    <w:rsid w:val="00374C0A"/>
    <w:rsid w:val="00374C7B"/>
    <w:rsid w:val="00374C98"/>
    <w:rsid w:val="00374F8C"/>
    <w:rsid w:val="0037501F"/>
    <w:rsid w:val="0037510F"/>
    <w:rsid w:val="00375111"/>
    <w:rsid w:val="00375133"/>
    <w:rsid w:val="0037528B"/>
    <w:rsid w:val="00375333"/>
    <w:rsid w:val="003753F1"/>
    <w:rsid w:val="00375415"/>
    <w:rsid w:val="00375487"/>
    <w:rsid w:val="003755E3"/>
    <w:rsid w:val="00375816"/>
    <w:rsid w:val="00375A5C"/>
    <w:rsid w:val="00375B67"/>
    <w:rsid w:val="00375CCC"/>
    <w:rsid w:val="00375CD5"/>
    <w:rsid w:val="00375E1E"/>
    <w:rsid w:val="0037613D"/>
    <w:rsid w:val="0037624C"/>
    <w:rsid w:val="003762F8"/>
    <w:rsid w:val="0037630A"/>
    <w:rsid w:val="0037644A"/>
    <w:rsid w:val="0037657D"/>
    <w:rsid w:val="00376998"/>
    <w:rsid w:val="003769BB"/>
    <w:rsid w:val="00376A74"/>
    <w:rsid w:val="00376AB7"/>
    <w:rsid w:val="00376B32"/>
    <w:rsid w:val="00376E0D"/>
    <w:rsid w:val="00376E40"/>
    <w:rsid w:val="00376EDA"/>
    <w:rsid w:val="00376F50"/>
    <w:rsid w:val="00376FDC"/>
    <w:rsid w:val="003771F9"/>
    <w:rsid w:val="0037736B"/>
    <w:rsid w:val="003774AD"/>
    <w:rsid w:val="00377526"/>
    <w:rsid w:val="00377533"/>
    <w:rsid w:val="003775C2"/>
    <w:rsid w:val="003775DE"/>
    <w:rsid w:val="00377832"/>
    <w:rsid w:val="003778E3"/>
    <w:rsid w:val="0037795A"/>
    <w:rsid w:val="003779A3"/>
    <w:rsid w:val="00377A9E"/>
    <w:rsid w:val="00377E97"/>
    <w:rsid w:val="0038028D"/>
    <w:rsid w:val="003803CE"/>
    <w:rsid w:val="00380547"/>
    <w:rsid w:val="0038054D"/>
    <w:rsid w:val="003805DB"/>
    <w:rsid w:val="003808FC"/>
    <w:rsid w:val="00380A0C"/>
    <w:rsid w:val="00380A7B"/>
    <w:rsid w:val="00380B27"/>
    <w:rsid w:val="00380B2A"/>
    <w:rsid w:val="00380C33"/>
    <w:rsid w:val="00380CD2"/>
    <w:rsid w:val="00380CDF"/>
    <w:rsid w:val="00380FC7"/>
    <w:rsid w:val="00381025"/>
    <w:rsid w:val="003811D2"/>
    <w:rsid w:val="0038133E"/>
    <w:rsid w:val="0038139D"/>
    <w:rsid w:val="003813A5"/>
    <w:rsid w:val="00381409"/>
    <w:rsid w:val="0038146C"/>
    <w:rsid w:val="00381592"/>
    <w:rsid w:val="003815C6"/>
    <w:rsid w:val="003815E7"/>
    <w:rsid w:val="003818F5"/>
    <w:rsid w:val="00381AAC"/>
    <w:rsid w:val="00381EE0"/>
    <w:rsid w:val="00381F4A"/>
    <w:rsid w:val="00381FBA"/>
    <w:rsid w:val="00382000"/>
    <w:rsid w:val="00382291"/>
    <w:rsid w:val="003822A6"/>
    <w:rsid w:val="00382395"/>
    <w:rsid w:val="003824CA"/>
    <w:rsid w:val="0038250D"/>
    <w:rsid w:val="00382609"/>
    <w:rsid w:val="00382715"/>
    <w:rsid w:val="00382813"/>
    <w:rsid w:val="0038283B"/>
    <w:rsid w:val="00382874"/>
    <w:rsid w:val="0038294E"/>
    <w:rsid w:val="00382AD0"/>
    <w:rsid w:val="00382B28"/>
    <w:rsid w:val="00382C29"/>
    <w:rsid w:val="00382DF7"/>
    <w:rsid w:val="003830F1"/>
    <w:rsid w:val="003831D6"/>
    <w:rsid w:val="00383305"/>
    <w:rsid w:val="00383395"/>
    <w:rsid w:val="0038348C"/>
    <w:rsid w:val="003834AD"/>
    <w:rsid w:val="003834F1"/>
    <w:rsid w:val="003834F8"/>
    <w:rsid w:val="00383673"/>
    <w:rsid w:val="003836AF"/>
    <w:rsid w:val="003836F5"/>
    <w:rsid w:val="0038371F"/>
    <w:rsid w:val="00383765"/>
    <w:rsid w:val="00383CA4"/>
    <w:rsid w:val="00383CB6"/>
    <w:rsid w:val="003843AF"/>
    <w:rsid w:val="003843C7"/>
    <w:rsid w:val="003843D3"/>
    <w:rsid w:val="003846EE"/>
    <w:rsid w:val="0038475E"/>
    <w:rsid w:val="00384A88"/>
    <w:rsid w:val="00384F6A"/>
    <w:rsid w:val="00385241"/>
    <w:rsid w:val="00385290"/>
    <w:rsid w:val="00385355"/>
    <w:rsid w:val="003853BE"/>
    <w:rsid w:val="00385450"/>
    <w:rsid w:val="00385645"/>
    <w:rsid w:val="0038570F"/>
    <w:rsid w:val="00385796"/>
    <w:rsid w:val="003858E0"/>
    <w:rsid w:val="00385962"/>
    <w:rsid w:val="00385B4E"/>
    <w:rsid w:val="00385EE7"/>
    <w:rsid w:val="00385F1A"/>
    <w:rsid w:val="00386070"/>
    <w:rsid w:val="00386124"/>
    <w:rsid w:val="0038628A"/>
    <w:rsid w:val="003862C6"/>
    <w:rsid w:val="00386332"/>
    <w:rsid w:val="0038634F"/>
    <w:rsid w:val="0038647D"/>
    <w:rsid w:val="003864D5"/>
    <w:rsid w:val="003865A4"/>
    <w:rsid w:val="0038662C"/>
    <w:rsid w:val="003866E9"/>
    <w:rsid w:val="003867A1"/>
    <w:rsid w:val="0038689D"/>
    <w:rsid w:val="00386A0C"/>
    <w:rsid w:val="00386AB1"/>
    <w:rsid w:val="00386AC0"/>
    <w:rsid w:val="00386BC6"/>
    <w:rsid w:val="00386BE4"/>
    <w:rsid w:val="00386CB3"/>
    <w:rsid w:val="00386DD8"/>
    <w:rsid w:val="00386E9A"/>
    <w:rsid w:val="00386F52"/>
    <w:rsid w:val="00386F88"/>
    <w:rsid w:val="00386FFF"/>
    <w:rsid w:val="00387031"/>
    <w:rsid w:val="00387207"/>
    <w:rsid w:val="0038729D"/>
    <w:rsid w:val="003872AE"/>
    <w:rsid w:val="003872E0"/>
    <w:rsid w:val="003873FE"/>
    <w:rsid w:val="00387453"/>
    <w:rsid w:val="003874CC"/>
    <w:rsid w:val="003874E1"/>
    <w:rsid w:val="00387526"/>
    <w:rsid w:val="0038770C"/>
    <w:rsid w:val="0038786A"/>
    <w:rsid w:val="0038791C"/>
    <w:rsid w:val="003879A0"/>
    <w:rsid w:val="00387A20"/>
    <w:rsid w:val="00387AD0"/>
    <w:rsid w:val="00387D42"/>
    <w:rsid w:val="00387DC7"/>
    <w:rsid w:val="00387E30"/>
    <w:rsid w:val="00387E91"/>
    <w:rsid w:val="0039009E"/>
    <w:rsid w:val="003900BE"/>
    <w:rsid w:val="0039029E"/>
    <w:rsid w:val="00390523"/>
    <w:rsid w:val="00390552"/>
    <w:rsid w:val="00390566"/>
    <w:rsid w:val="00390567"/>
    <w:rsid w:val="0039062C"/>
    <w:rsid w:val="00390661"/>
    <w:rsid w:val="003907AA"/>
    <w:rsid w:val="0039089E"/>
    <w:rsid w:val="003908B6"/>
    <w:rsid w:val="00390952"/>
    <w:rsid w:val="0039099C"/>
    <w:rsid w:val="003909AA"/>
    <w:rsid w:val="00390AD9"/>
    <w:rsid w:val="00390CC5"/>
    <w:rsid w:val="00390CD8"/>
    <w:rsid w:val="00390CF3"/>
    <w:rsid w:val="00390CF4"/>
    <w:rsid w:val="00390D2B"/>
    <w:rsid w:val="00390E22"/>
    <w:rsid w:val="003911ED"/>
    <w:rsid w:val="00391293"/>
    <w:rsid w:val="00391298"/>
    <w:rsid w:val="00391331"/>
    <w:rsid w:val="00391339"/>
    <w:rsid w:val="003914F0"/>
    <w:rsid w:val="0039150C"/>
    <w:rsid w:val="00391563"/>
    <w:rsid w:val="003915B2"/>
    <w:rsid w:val="0039180B"/>
    <w:rsid w:val="0039198B"/>
    <w:rsid w:val="003919F8"/>
    <w:rsid w:val="00391BFE"/>
    <w:rsid w:val="00391C33"/>
    <w:rsid w:val="00391CAB"/>
    <w:rsid w:val="00391E31"/>
    <w:rsid w:val="00391E5E"/>
    <w:rsid w:val="00391EAA"/>
    <w:rsid w:val="00392044"/>
    <w:rsid w:val="00392285"/>
    <w:rsid w:val="0039243D"/>
    <w:rsid w:val="00392469"/>
    <w:rsid w:val="00392546"/>
    <w:rsid w:val="00392556"/>
    <w:rsid w:val="0039258D"/>
    <w:rsid w:val="00392628"/>
    <w:rsid w:val="0039266B"/>
    <w:rsid w:val="00392870"/>
    <w:rsid w:val="00392970"/>
    <w:rsid w:val="003929D6"/>
    <w:rsid w:val="00392B5F"/>
    <w:rsid w:val="00392B6A"/>
    <w:rsid w:val="00392BB7"/>
    <w:rsid w:val="00392CF7"/>
    <w:rsid w:val="00392E76"/>
    <w:rsid w:val="00392FF1"/>
    <w:rsid w:val="0039305A"/>
    <w:rsid w:val="00393101"/>
    <w:rsid w:val="003931F3"/>
    <w:rsid w:val="00393339"/>
    <w:rsid w:val="0039339A"/>
    <w:rsid w:val="003933EA"/>
    <w:rsid w:val="003936D0"/>
    <w:rsid w:val="0039386B"/>
    <w:rsid w:val="00393D8D"/>
    <w:rsid w:val="00393DA3"/>
    <w:rsid w:val="00393DAE"/>
    <w:rsid w:val="00393F0B"/>
    <w:rsid w:val="00393FCF"/>
    <w:rsid w:val="0039408E"/>
    <w:rsid w:val="0039421C"/>
    <w:rsid w:val="003942B0"/>
    <w:rsid w:val="0039436A"/>
    <w:rsid w:val="003943BE"/>
    <w:rsid w:val="003944A8"/>
    <w:rsid w:val="003945A5"/>
    <w:rsid w:val="0039485E"/>
    <w:rsid w:val="00394A22"/>
    <w:rsid w:val="00394B1C"/>
    <w:rsid w:val="00394D2D"/>
    <w:rsid w:val="00394D9B"/>
    <w:rsid w:val="00394DA1"/>
    <w:rsid w:val="00394DA5"/>
    <w:rsid w:val="00394ED1"/>
    <w:rsid w:val="00394F1E"/>
    <w:rsid w:val="0039501F"/>
    <w:rsid w:val="003950ED"/>
    <w:rsid w:val="00395272"/>
    <w:rsid w:val="00395370"/>
    <w:rsid w:val="00395466"/>
    <w:rsid w:val="003955A1"/>
    <w:rsid w:val="003955CB"/>
    <w:rsid w:val="003957C8"/>
    <w:rsid w:val="003957FF"/>
    <w:rsid w:val="0039583B"/>
    <w:rsid w:val="00395945"/>
    <w:rsid w:val="0039599F"/>
    <w:rsid w:val="00395A57"/>
    <w:rsid w:val="00395AB9"/>
    <w:rsid w:val="00395B08"/>
    <w:rsid w:val="00395CBD"/>
    <w:rsid w:val="00395CCF"/>
    <w:rsid w:val="00395FE6"/>
    <w:rsid w:val="0039607F"/>
    <w:rsid w:val="00396101"/>
    <w:rsid w:val="00396120"/>
    <w:rsid w:val="0039615F"/>
    <w:rsid w:val="00396179"/>
    <w:rsid w:val="0039622F"/>
    <w:rsid w:val="003962F2"/>
    <w:rsid w:val="00396329"/>
    <w:rsid w:val="00396491"/>
    <w:rsid w:val="003966F6"/>
    <w:rsid w:val="003966FB"/>
    <w:rsid w:val="0039677D"/>
    <w:rsid w:val="0039685A"/>
    <w:rsid w:val="00396B0F"/>
    <w:rsid w:val="00396BE2"/>
    <w:rsid w:val="00396D53"/>
    <w:rsid w:val="003973AF"/>
    <w:rsid w:val="0039747A"/>
    <w:rsid w:val="003974A9"/>
    <w:rsid w:val="003974F6"/>
    <w:rsid w:val="003975A1"/>
    <w:rsid w:val="00397607"/>
    <w:rsid w:val="0039762E"/>
    <w:rsid w:val="00397745"/>
    <w:rsid w:val="0039774F"/>
    <w:rsid w:val="00397A32"/>
    <w:rsid w:val="00397B62"/>
    <w:rsid w:val="00397C42"/>
    <w:rsid w:val="00397CE0"/>
    <w:rsid w:val="00397D32"/>
    <w:rsid w:val="00397D58"/>
    <w:rsid w:val="00397EE5"/>
    <w:rsid w:val="00397F9E"/>
    <w:rsid w:val="00397FEC"/>
    <w:rsid w:val="003A0083"/>
    <w:rsid w:val="003A0106"/>
    <w:rsid w:val="003A017C"/>
    <w:rsid w:val="003A03C7"/>
    <w:rsid w:val="003A0660"/>
    <w:rsid w:val="003A0699"/>
    <w:rsid w:val="003A0819"/>
    <w:rsid w:val="003A0A38"/>
    <w:rsid w:val="003A0B64"/>
    <w:rsid w:val="003A0D2A"/>
    <w:rsid w:val="003A0D52"/>
    <w:rsid w:val="003A0E8D"/>
    <w:rsid w:val="003A0EF7"/>
    <w:rsid w:val="003A0F1F"/>
    <w:rsid w:val="003A1148"/>
    <w:rsid w:val="003A12D7"/>
    <w:rsid w:val="003A130D"/>
    <w:rsid w:val="003A1345"/>
    <w:rsid w:val="003A13FD"/>
    <w:rsid w:val="003A1427"/>
    <w:rsid w:val="003A15A3"/>
    <w:rsid w:val="003A1804"/>
    <w:rsid w:val="003A18CE"/>
    <w:rsid w:val="003A190A"/>
    <w:rsid w:val="003A1916"/>
    <w:rsid w:val="003A192F"/>
    <w:rsid w:val="003A1A76"/>
    <w:rsid w:val="003A1AC3"/>
    <w:rsid w:val="003A1B6D"/>
    <w:rsid w:val="003A1CDA"/>
    <w:rsid w:val="003A1E07"/>
    <w:rsid w:val="003A1F78"/>
    <w:rsid w:val="003A1FE2"/>
    <w:rsid w:val="003A2015"/>
    <w:rsid w:val="003A20BE"/>
    <w:rsid w:val="003A2129"/>
    <w:rsid w:val="003A21F9"/>
    <w:rsid w:val="003A2204"/>
    <w:rsid w:val="003A221D"/>
    <w:rsid w:val="003A265F"/>
    <w:rsid w:val="003A2767"/>
    <w:rsid w:val="003A2786"/>
    <w:rsid w:val="003A27C4"/>
    <w:rsid w:val="003A2838"/>
    <w:rsid w:val="003A2BD2"/>
    <w:rsid w:val="003A2E78"/>
    <w:rsid w:val="003A2ED1"/>
    <w:rsid w:val="003A2F03"/>
    <w:rsid w:val="003A3183"/>
    <w:rsid w:val="003A319E"/>
    <w:rsid w:val="003A31B1"/>
    <w:rsid w:val="003A320C"/>
    <w:rsid w:val="003A34F4"/>
    <w:rsid w:val="003A3645"/>
    <w:rsid w:val="003A3687"/>
    <w:rsid w:val="003A3789"/>
    <w:rsid w:val="003A37BA"/>
    <w:rsid w:val="003A37ED"/>
    <w:rsid w:val="003A385F"/>
    <w:rsid w:val="003A3A8F"/>
    <w:rsid w:val="003A3BD2"/>
    <w:rsid w:val="003A3C9A"/>
    <w:rsid w:val="003A3D5A"/>
    <w:rsid w:val="003A3E24"/>
    <w:rsid w:val="003A3F23"/>
    <w:rsid w:val="003A3F28"/>
    <w:rsid w:val="003A3FA1"/>
    <w:rsid w:val="003A4014"/>
    <w:rsid w:val="003A4099"/>
    <w:rsid w:val="003A417A"/>
    <w:rsid w:val="003A4277"/>
    <w:rsid w:val="003A42A0"/>
    <w:rsid w:val="003A42A5"/>
    <w:rsid w:val="003A42E7"/>
    <w:rsid w:val="003A43B6"/>
    <w:rsid w:val="003A44AD"/>
    <w:rsid w:val="003A456F"/>
    <w:rsid w:val="003A45C7"/>
    <w:rsid w:val="003A45F8"/>
    <w:rsid w:val="003A470C"/>
    <w:rsid w:val="003A48A3"/>
    <w:rsid w:val="003A491D"/>
    <w:rsid w:val="003A498F"/>
    <w:rsid w:val="003A49DD"/>
    <w:rsid w:val="003A4C16"/>
    <w:rsid w:val="003A4C47"/>
    <w:rsid w:val="003A4E1D"/>
    <w:rsid w:val="003A5240"/>
    <w:rsid w:val="003A52DC"/>
    <w:rsid w:val="003A548B"/>
    <w:rsid w:val="003A55A4"/>
    <w:rsid w:val="003A5607"/>
    <w:rsid w:val="003A566B"/>
    <w:rsid w:val="003A5695"/>
    <w:rsid w:val="003A5DAB"/>
    <w:rsid w:val="003A5E2B"/>
    <w:rsid w:val="003A5E33"/>
    <w:rsid w:val="003A6137"/>
    <w:rsid w:val="003A6178"/>
    <w:rsid w:val="003A61AF"/>
    <w:rsid w:val="003A6295"/>
    <w:rsid w:val="003A6699"/>
    <w:rsid w:val="003A6724"/>
    <w:rsid w:val="003A675E"/>
    <w:rsid w:val="003A6881"/>
    <w:rsid w:val="003A697C"/>
    <w:rsid w:val="003A69F5"/>
    <w:rsid w:val="003A6B13"/>
    <w:rsid w:val="003A6B14"/>
    <w:rsid w:val="003A6E1A"/>
    <w:rsid w:val="003A6E49"/>
    <w:rsid w:val="003A6E5D"/>
    <w:rsid w:val="003A6FC2"/>
    <w:rsid w:val="003A7014"/>
    <w:rsid w:val="003A7036"/>
    <w:rsid w:val="003A7168"/>
    <w:rsid w:val="003A73B3"/>
    <w:rsid w:val="003A7446"/>
    <w:rsid w:val="003A7653"/>
    <w:rsid w:val="003A7903"/>
    <w:rsid w:val="003A79EC"/>
    <w:rsid w:val="003A7A73"/>
    <w:rsid w:val="003A7B6E"/>
    <w:rsid w:val="003A7B7D"/>
    <w:rsid w:val="003A7D5B"/>
    <w:rsid w:val="003A7D7E"/>
    <w:rsid w:val="003A7DA5"/>
    <w:rsid w:val="003A7F51"/>
    <w:rsid w:val="003A7FD3"/>
    <w:rsid w:val="003B0078"/>
    <w:rsid w:val="003B031F"/>
    <w:rsid w:val="003B03CD"/>
    <w:rsid w:val="003B0422"/>
    <w:rsid w:val="003B0581"/>
    <w:rsid w:val="003B0749"/>
    <w:rsid w:val="003B077F"/>
    <w:rsid w:val="003B07E2"/>
    <w:rsid w:val="003B08D1"/>
    <w:rsid w:val="003B092F"/>
    <w:rsid w:val="003B095C"/>
    <w:rsid w:val="003B0984"/>
    <w:rsid w:val="003B0A42"/>
    <w:rsid w:val="003B0BA1"/>
    <w:rsid w:val="003B0C6E"/>
    <w:rsid w:val="003B0D0D"/>
    <w:rsid w:val="003B0E44"/>
    <w:rsid w:val="003B1010"/>
    <w:rsid w:val="003B11E0"/>
    <w:rsid w:val="003B1260"/>
    <w:rsid w:val="003B1371"/>
    <w:rsid w:val="003B1374"/>
    <w:rsid w:val="003B1446"/>
    <w:rsid w:val="003B15CF"/>
    <w:rsid w:val="003B15E9"/>
    <w:rsid w:val="003B16D1"/>
    <w:rsid w:val="003B172B"/>
    <w:rsid w:val="003B182F"/>
    <w:rsid w:val="003B1855"/>
    <w:rsid w:val="003B18BA"/>
    <w:rsid w:val="003B18D3"/>
    <w:rsid w:val="003B18F2"/>
    <w:rsid w:val="003B1986"/>
    <w:rsid w:val="003B1B80"/>
    <w:rsid w:val="003B1B9D"/>
    <w:rsid w:val="003B1BAB"/>
    <w:rsid w:val="003B1C44"/>
    <w:rsid w:val="003B1F0E"/>
    <w:rsid w:val="003B20C1"/>
    <w:rsid w:val="003B2120"/>
    <w:rsid w:val="003B2321"/>
    <w:rsid w:val="003B2452"/>
    <w:rsid w:val="003B249B"/>
    <w:rsid w:val="003B260D"/>
    <w:rsid w:val="003B2652"/>
    <w:rsid w:val="003B296B"/>
    <w:rsid w:val="003B29CD"/>
    <w:rsid w:val="003B2A7A"/>
    <w:rsid w:val="003B2AF5"/>
    <w:rsid w:val="003B2E09"/>
    <w:rsid w:val="003B2E0C"/>
    <w:rsid w:val="003B2EB8"/>
    <w:rsid w:val="003B2F57"/>
    <w:rsid w:val="003B2F83"/>
    <w:rsid w:val="003B300D"/>
    <w:rsid w:val="003B329C"/>
    <w:rsid w:val="003B333C"/>
    <w:rsid w:val="003B356F"/>
    <w:rsid w:val="003B3863"/>
    <w:rsid w:val="003B3ABB"/>
    <w:rsid w:val="003B3B50"/>
    <w:rsid w:val="003B3F53"/>
    <w:rsid w:val="003B3F75"/>
    <w:rsid w:val="003B3FE0"/>
    <w:rsid w:val="003B40B3"/>
    <w:rsid w:val="003B4147"/>
    <w:rsid w:val="003B42C6"/>
    <w:rsid w:val="003B435F"/>
    <w:rsid w:val="003B4599"/>
    <w:rsid w:val="003B4678"/>
    <w:rsid w:val="003B4685"/>
    <w:rsid w:val="003B4686"/>
    <w:rsid w:val="003B49BF"/>
    <w:rsid w:val="003B4A86"/>
    <w:rsid w:val="003B4B50"/>
    <w:rsid w:val="003B4B86"/>
    <w:rsid w:val="003B4B9E"/>
    <w:rsid w:val="003B4DF4"/>
    <w:rsid w:val="003B4E3E"/>
    <w:rsid w:val="003B51B9"/>
    <w:rsid w:val="003B52EA"/>
    <w:rsid w:val="003B5387"/>
    <w:rsid w:val="003B54B5"/>
    <w:rsid w:val="003B56DD"/>
    <w:rsid w:val="003B575A"/>
    <w:rsid w:val="003B583D"/>
    <w:rsid w:val="003B58E0"/>
    <w:rsid w:val="003B5E90"/>
    <w:rsid w:val="003B607C"/>
    <w:rsid w:val="003B6093"/>
    <w:rsid w:val="003B60E8"/>
    <w:rsid w:val="003B6107"/>
    <w:rsid w:val="003B614A"/>
    <w:rsid w:val="003B61B7"/>
    <w:rsid w:val="003B63B6"/>
    <w:rsid w:val="003B63D2"/>
    <w:rsid w:val="003B6538"/>
    <w:rsid w:val="003B663B"/>
    <w:rsid w:val="003B6A27"/>
    <w:rsid w:val="003B6D2A"/>
    <w:rsid w:val="003B6DEE"/>
    <w:rsid w:val="003B6E24"/>
    <w:rsid w:val="003B6E2D"/>
    <w:rsid w:val="003B6EE3"/>
    <w:rsid w:val="003B6F99"/>
    <w:rsid w:val="003B700B"/>
    <w:rsid w:val="003B70E9"/>
    <w:rsid w:val="003B71CD"/>
    <w:rsid w:val="003B7319"/>
    <w:rsid w:val="003B73DB"/>
    <w:rsid w:val="003B742D"/>
    <w:rsid w:val="003B7783"/>
    <w:rsid w:val="003B7A6E"/>
    <w:rsid w:val="003B7B48"/>
    <w:rsid w:val="003B7BE2"/>
    <w:rsid w:val="003B7C60"/>
    <w:rsid w:val="003B7C64"/>
    <w:rsid w:val="003B7CEE"/>
    <w:rsid w:val="003B7D1B"/>
    <w:rsid w:val="003B7D1E"/>
    <w:rsid w:val="003B7E01"/>
    <w:rsid w:val="003C00F1"/>
    <w:rsid w:val="003C0366"/>
    <w:rsid w:val="003C03DA"/>
    <w:rsid w:val="003C0550"/>
    <w:rsid w:val="003C061F"/>
    <w:rsid w:val="003C0806"/>
    <w:rsid w:val="003C0B0C"/>
    <w:rsid w:val="003C0C4C"/>
    <w:rsid w:val="003C0C74"/>
    <w:rsid w:val="003C0D21"/>
    <w:rsid w:val="003C0D96"/>
    <w:rsid w:val="003C0D98"/>
    <w:rsid w:val="003C0EB9"/>
    <w:rsid w:val="003C0FB4"/>
    <w:rsid w:val="003C111F"/>
    <w:rsid w:val="003C117A"/>
    <w:rsid w:val="003C1201"/>
    <w:rsid w:val="003C1234"/>
    <w:rsid w:val="003C1268"/>
    <w:rsid w:val="003C13B2"/>
    <w:rsid w:val="003C14AE"/>
    <w:rsid w:val="003C14C7"/>
    <w:rsid w:val="003C15D9"/>
    <w:rsid w:val="003C16B8"/>
    <w:rsid w:val="003C1810"/>
    <w:rsid w:val="003C18A2"/>
    <w:rsid w:val="003C1A2D"/>
    <w:rsid w:val="003C1A50"/>
    <w:rsid w:val="003C1AD5"/>
    <w:rsid w:val="003C1AE2"/>
    <w:rsid w:val="003C1B1F"/>
    <w:rsid w:val="003C1C81"/>
    <w:rsid w:val="003C1F9F"/>
    <w:rsid w:val="003C20B4"/>
    <w:rsid w:val="003C213E"/>
    <w:rsid w:val="003C21B5"/>
    <w:rsid w:val="003C2297"/>
    <w:rsid w:val="003C24CA"/>
    <w:rsid w:val="003C2569"/>
    <w:rsid w:val="003C26F7"/>
    <w:rsid w:val="003C2975"/>
    <w:rsid w:val="003C29AF"/>
    <w:rsid w:val="003C29B6"/>
    <w:rsid w:val="003C2A32"/>
    <w:rsid w:val="003C2C67"/>
    <w:rsid w:val="003C2DD9"/>
    <w:rsid w:val="003C2E56"/>
    <w:rsid w:val="003C307B"/>
    <w:rsid w:val="003C3107"/>
    <w:rsid w:val="003C355A"/>
    <w:rsid w:val="003C3588"/>
    <w:rsid w:val="003C3724"/>
    <w:rsid w:val="003C37C3"/>
    <w:rsid w:val="003C3A5A"/>
    <w:rsid w:val="003C3B33"/>
    <w:rsid w:val="003C3BEB"/>
    <w:rsid w:val="003C3D32"/>
    <w:rsid w:val="003C4017"/>
    <w:rsid w:val="003C406A"/>
    <w:rsid w:val="003C4535"/>
    <w:rsid w:val="003C453B"/>
    <w:rsid w:val="003C4574"/>
    <w:rsid w:val="003C4652"/>
    <w:rsid w:val="003C46F1"/>
    <w:rsid w:val="003C4893"/>
    <w:rsid w:val="003C48F2"/>
    <w:rsid w:val="003C4B23"/>
    <w:rsid w:val="003C4BD0"/>
    <w:rsid w:val="003C4BE7"/>
    <w:rsid w:val="003C4CE5"/>
    <w:rsid w:val="003C4D42"/>
    <w:rsid w:val="003C4D7C"/>
    <w:rsid w:val="003C4EEC"/>
    <w:rsid w:val="003C4EED"/>
    <w:rsid w:val="003C4F74"/>
    <w:rsid w:val="003C4F8F"/>
    <w:rsid w:val="003C50C0"/>
    <w:rsid w:val="003C5181"/>
    <w:rsid w:val="003C5273"/>
    <w:rsid w:val="003C52F1"/>
    <w:rsid w:val="003C52F8"/>
    <w:rsid w:val="003C5358"/>
    <w:rsid w:val="003C53F7"/>
    <w:rsid w:val="003C5681"/>
    <w:rsid w:val="003C5692"/>
    <w:rsid w:val="003C5920"/>
    <w:rsid w:val="003C5D14"/>
    <w:rsid w:val="003C5D98"/>
    <w:rsid w:val="003C5F6E"/>
    <w:rsid w:val="003C6465"/>
    <w:rsid w:val="003C6576"/>
    <w:rsid w:val="003C6582"/>
    <w:rsid w:val="003C6745"/>
    <w:rsid w:val="003C67BC"/>
    <w:rsid w:val="003C6904"/>
    <w:rsid w:val="003C69DE"/>
    <w:rsid w:val="003C6AEB"/>
    <w:rsid w:val="003C6B59"/>
    <w:rsid w:val="003C6BCA"/>
    <w:rsid w:val="003C6BD7"/>
    <w:rsid w:val="003C6BEC"/>
    <w:rsid w:val="003C6CAA"/>
    <w:rsid w:val="003C6F5D"/>
    <w:rsid w:val="003C704C"/>
    <w:rsid w:val="003C71E6"/>
    <w:rsid w:val="003C7213"/>
    <w:rsid w:val="003C7346"/>
    <w:rsid w:val="003C739B"/>
    <w:rsid w:val="003C73AF"/>
    <w:rsid w:val="003C7507"/>
    <w:rsid w:val="003C75B4"/>
    <w:rsid w:val="003C76CD"/>
    <w:rsid w:val="003C77F4"/>
    <w:rsid w:val="003C7B11"/>
    <w:rsid w:val="003C7B9C"/>
    <w:rsid w:val="003C7C26"/>
    <w:rsid w:val="003C7C7E"/>
    <w:rsid w:val="003C7D83"/>
    <w:rsid w:val="003D0017"/>
    <w:rsid w:val="003D020E"/>
    <w:rsid w:val="003D0278"/>
    <w:rsid w:val="003D04C9"/>
    <w:rsid w:val="003D0534"/>
    <w:rsid w:val="003D057E"/>
    <w:rsid w:val="003D08DA"/>
    <w:rsid w:val="003D0979"/>
    <w:rsid w:val="003D0C54"/>
    <w:rsid w:val="003D0CD0"/>
    <w:rsid w:val="003D0D47"/>
    <w:rsid w:val="003D0D4E"/>
    <w:rsid w:val="003D0F8C"/>
    <w:rsid w:val="003D0FD5"/>
    <w:rsid w:val="003D113E"/>
    <w:rsid w:val="003D1143"/>
    <w:rsid w:val="003D1266"/>
    <w:rsid w:val="003D12C5"/>
    <w:rsid w:val="003D12E6"/>
    <w:rsid w:val="003D12FC"/>
    <w:rsid w:val="003D1899"/>
    <w:rsid w:val="003D1B93"/>
    <w:rsid w:val="003D1EDC"/>
    <w:rsid w:val="003D1F44"/>
    <w:rsid w:val="003D1F4D"/>
    <w:rsid w:val="003D20D8"/>
    <w:rsid w:val="003D22B3"/>
    <w:rsid w:val="003D22BE"/>
    <w:rsid w:val="003D24A6"/>
    <w:rsid w:val="003D254E"/>
    <w:rsid w:val="003D25E2"/>
    <w:rsid w:val="003D2679"/>
    <w:rsid w:val="003D278D"/>
    <w:rsid w:val="003D292D"/>
    <w:rsid w:val="003D294B"/>
    <w:rsid w:val="003D2959"/>
    <w:rsid w:val="003D299E"/>
    <w:rsid w:val="003D2BBD"/>
    <w:rsid w:val="003D2C95"/>
    <w:rsid w:val="003D2D28"/>
    <w:rsid w:val="003D2D9E"/>
    <w:rsid w:val="003D2DE8"/>
    <w:rsid w:val="003D2E7B"/>
    <w:rsid w:val="003D310C"/>
    <w:rsid w:val="003D349C"/>
    <w:rsid w:val="003D34D0"/>
    <w:rsid w:val="003D34D4"/>
    <w:rsid w:val="003D3521"/>
    <w:rsid w:val="003D3534"/>
    <w:rsid w:val="003D35AB"/>
    <w:rsid w:val="003D3995"/>
    <w:rsid w:val="003D3AAA"/>
    <w:rsid w:val="003D3CE5"/>
    <w:rsid w:val="003D3D59"/>
    <w:rsid w:val="003D42A5"/>
    <w:rsid w:val="003D4369"/>
    <w:rsid w:val="003D4377"/>
    <w:rsid w:val="003D43FD"/>
    <w:rsid w:val="003D4478"/>
    <w:rsid w:val="003D460B"/>
    <w:rsid w:val="003D4625"/>
    <w:rsid w:val="003D46AA"/>
    <w:rsid w:val="003D46F7"/>
    <w:rsid w:val="003D4760"/>
    <w:rsid w:val="003D4770"/>
    <w:rsid w:val="003D47B9"/>
    <w:rsid w:val="003D4825"/>
    <w:rsid w:val="003D48CB"/>
    <w:rsid w:val="003D4A83"/>
    <w:rsid w:val="003D4BAD"/>
    <w:rsid w:val="003D4E7B"/>
    <w:rsid w:val="003D4ED2"/>
    <w:rsid w:val="003D4F3B"/>
    <w:rsid w:val="003D50BE"/>
    <w:rsid w:val="003D51CD"/>
    <w:rsid w:val="003D52D7"/>
    <w:rsid w:val="003D531A"/>
    <w:rsid w:val="003D53CD"/>
    <w:rsid w:val="003D55E1"/>
    <w:rsid w:val="003D56A2"/>
    <w:rsid w:val="003D56B2"/>
    <w:rsid w:val="003D57B1"/>
    <w:rsid w:val="003D5812"/>
    <w:rsid w:val="003D58AD"/>
    <w:rsid w:val="003D5944"/>
    <w:rsid w:val="003D597B"/>
    <w:rsid w:val="003D5AD2"/>
    <w:rsid w:val="003D5CE0"/>
    <w:rsid w:val="003D5DB6"/>
    <w:rsid w:val="003D5DE8"/>
    <w:rsid w:val="003D602D"/>
    <w:rsid w:val="003D611A"/>
    <w:rsid w:val="003D62B4"/>
    <w:rsid w:val="003D62C9"/>
    <w:rsid w:val="003D62FF"/>
    <w:rsid w:val="003D641A"/>
    <w:rsid w:val="003D6461"/>
    <w:rsid w:val="003D6574"/>
    <w:rsid w:val="003D67A1"/>
    <w:rsid w:val="003D6833"/>
    <w:rsid w:val="003D69A1"/>
    <w:rsid w:val="003D69B6"/>
    <w:rsid w:val="003D6CCE"/>
    <w:rsid w:val="003D6D0C"/>
    <w:rsid w:val="003D6E87"/>
    <w:rsid w:val="003D7129"/>
    <w:rsid w:val="003D71B9"/>
    <w:rsid w:val="003D71EA"/>
    <w:rsid w:val="003D71EB"/>
    <w:rsid w:val="003D7273"/>
    <w:rsid w:val="003D72B5"/>
    <w:rsid w:val="003D7631"/>
    <w:rsid w:val="003D775D"/>
    <w:rsid w:val="003D7760"/>
    <w:rsid w:val="003D77C3"/>
    <w:rsid w:val="003D77D7"/>
    <w:rsid w:val="003D789E"/>
    <w:rsid w:val="003D7950"/>
    <w:rsid w:val="003D7B37"/>
    <w:rsid w:val="003D7BE6"/>
    <w:rsid w:val="003E01A9"/>
    <w:rsid w:val="003E0382"/>
    <w:rsid w:val="003E0383"/>
    <w:rsid w:val="003E0396"/>
    <w:rsid w:val="003E0734"/>
    <w:rsid w:val="003E0914"/>
    <w:rsid w:val="003E0998"/>
    <w:rsid w:val="003E09BD"/>
    <w:rsid w:val="003E0A9A"/>
    <w:rsid w:val="003E0C9B"/>
    <w:rsid w:val="003E0D27"/>
    <w:rsid w:val="003E0F9B"/>
    <w:rsid w:val="003E169C"/>
    <w:rsid w:val="003E1993"/>
    <w:rsid w:val="003E1AF0"/>
    <w:rsid w:val="003E1B00"/>
    <w:rsid w:val="003E1CE4"/>
    <w:rsid w:val="003E1F0A"/>
    <w:rsid w:val="003E1F87"/>
    <w:rsid w:val="003E22B1"/>
    <w:rsid w:val="003E22CB"/>
    <w:rsid w:val="003E232C"/>
    <w:rsid w:val="003E2343"/>
    <w:rsid w:val="003E236D"/>
    <w:rsid w:val="003E2393"/>
    <w:rsid w:val="003E240C"/>
    <w:rsid w:val="003E26E5"/>
    <w:rsid w:val="003E272C"/>
    <w:rsid w:val="003E2730"/>
    <w:rsid w:val="003E2783"/>
    <w:rsid w:val="003E2932"/>
    <w:rsid w:val="003E2A02"/>
    <w:rsid w:val="003E2AFD"/>
    <w:rsid w:val="003E2B3E"/>
    <w:rsid w:val="003E2FFF"/>
    <w:rsid w:val="003E3331"/>
    <w:rsid w:val="003E3411"/>
    <w:rsid w:val="003E347F"/>
    <w:rsid w:val="003E3A20"/>
    <w:rsid w:val="003E3C1E"/>
    <w:rsid w:val="003E3D2B"/>
    <w:rsid w:val="003E3EAC"/>
    <w:rsid w:val="003E406B"/>
    <w:rsid w:val="003E407C"/>
    <w:rsid w:val="003E4112"/>
    <w:rsid w:val="003E4320"/>
    <w:rsid w:val="003E4441"/>
    <w:rsid w:val="003E46E8"/>
    <w:rsid w:val="003E47A3"/>
    <w:rsid w:val="003E48B4"/>
    <w:rsid w:val="003E48FF"/>
    <w:rsid w:val="003E4939"/>
    <w:rsid w:val="003E4976"/>
    <w:rsid w:val="003E4AC1"/>
    <w:rsid w:val="003E4B2B"/>
    <w:rsid w:val="003E4BD9"/>
    <w:rsid w:val="003E4C4C"/>
    <w:rsid w:val="003E4C85"/>
    <w:rsid w:val="003E4F92"/>
    <w:rsid w:val="003E4F96"/>
    <w:rsid w:val="003E5114"/>
    <w:rsid w:val="003E52AA"/>
    <w:rsid w:val="003E540E"/>
    <w:rsid w:val="003E550E"/>
    <w:rsid w:val="003E56F4"/>
    <w:rsid w:val="003E5786"/>
    <w:rsid w:val="003E5824"/>
    <w:rsid w:val="003E5867"/>
    <w:rsid w:val="003E5894"/>
    <w:rsid w:val="003E590A"/>
    <w:rsid w:val="003E59B9"/>
    <w:rsid w:val="003E5BB7"/>
    <w:rsid w:val="003E5BF1"/>
    <w:rsid w:val="003E5CB0"/>
    <w:rsid w:val="003E5CB4"/>
    <w:rsid w:val="003E5CCA"/>
    <w:rsid w:val="003E5DE6"/>
    <w:rsid w:val="003E5E1F"/>
    <w:rsid w:val="003E5E2A"/>
    <w:rsid w:val="003E5E65"/>
    <w:rsid w:val="003E608D"/>
    <w:rsid w:val="003E610C"/>
    <w:rsid w:val="003E63AC"/>
    <w:rsid w:val="003E6436"/>
    <w:rsid w:val="003E64E9"/>
    <w:rsid w:val="003E6522"/>
    <w:rsid w:val="003E6696"/>
    <w:rsid w:val="003E66A5"/>
    <w:rsid w:val="003E6725"/>
    <w:rsid w:val="003E681B"/>
    <w:rsid w:val="003E6A16"/>
    <w:rsid w:val="003E6CF3"/>
    <w:rsid w:val="003E701E"/>
    <w:rsid w:val="003E711D"/>
    <w:rsid w:val="003E71AA"/>
    <w:rsid w:val="003E723F"/>
    <w:rsid w:val="003E7245"/>
    <w:rsid w:val="003E7261"/>
    <w:rsid w:val="003E72A8"/>
    <w:rsid w:val="003E72B0"/>
    <w:rsid w:val="003E7332"/>
    <w:rsid w:val="003E74DB"/>
    <w:rsid w:val="003E752E"/>
    <w:rsid w:val="003E7693"/>
    <w:rsid w:val="003E76C3"/>
    <w:rsid w:val="003E7773"/>
    <w:rsid w:val="003E7844"/>
    <w:rsid w:val="003E78C6"/>
    <w:rsid w:val="003E79B0"/>
    <w:rsid w:val="003E79B6"/>
    <w:rsid w:val="003E7A41"/>
    <w:rsid w:val="003E7AAC"/>
    <w:rsid w:val="003E7EE0"/>
    <w:rsid w:val="003F00E2"/>
    <w:rsid w:val="003F0107"/>
    <w:rsid w:val="003F02FD"/>
    <w:rsid w:val="003F0444"/>
    <w:rsid w:val="003F073B"/>
    <w:rsid w:val="003F073D"/>
    <w:rsid w:val="003F0762"/>
    <w:rsid w:val="003F0B2F"/>
    <w:rsid w:val="003F0B72"/>
    <w:rsid w:val="003F0D08"/>
    <w:rsid w:val="003F0D47"/>
    <w:rsid w:val="003F0E05"/>
    <w:rsid w:val="003F0E2D"/>
    <w:rsid w:val="003F1108"/>
    <w:rsid w:val="003F115E"/>
    <w:rsid w:val="003F118E"/>
    <w:rsid w:val="003F11E3"/>
    <w:rsid w:val="003F124D"/>
    <w:rsid w:val="003F12BC"/>
    <w:rsid w:val="003F12C4"/>
    <w:rsid w:val="003F1457"/>
    <w:rsid w:val="003F14C2"/>
    <w:rsid w:val="003F14FA"/>
    <w:rsid w:val="003F150B"/>
    <w:rsid w:val="003F15D2"/>
    <w:rsid w:val="003F16CE"/>
    <w:rsid w:val="003F16EF"/>
    <w:rsid w:val="003F18CC"/>
    <w:rsid w:val="003F199F"/>
    <w:rsid w:val="003F19F9"/>
    <w:rsid w:val="003F1AE3"/>
    <w:rsid w:val="003F1E05"/>
    <w:rsid w:val="003F1E5A"/>
    <w:rsid w:val="003F1F56"/>
    <w:rsid w:val="003F1FE4"/>
    <w:rsid w:val="003F1FE6"/>
    <w:rsid w:val="003F2037"/>
    <w:rsid w:val="003F207E"/>
    <w:rsid w:val="003F2174"/>
    <w:rsid w:val="003F21AB"/>
    <w:rsid w:val="003F2210"/>
    <w:rsid w:val="003F2226"/>
    <w:rsid w:val="003F24B0"/>
    <w:rsid w:val="003F24E4"/>
    <w:rsid w:val="003F2615"/>
    <w:rsid w:val="003F268D"/>
    <w:rsid w:val="003F26AB"/>
    <w:rsid w:val="003F292B"/>
    <w:rsid w:val="003F29E5"/>
    <w:rsid w:val="003F2B28"/>
    <w:rsid w:val="003F2BC2"/>
    <w:rsid w:val="003F2D3C"/>
    <w:rsid w:val="003F2D95"/>
    <w:rsid w:val="003F312E"/>
    <w:rsid w:val="003F3238"/>
    <w:rsid w:val="003F3305"/>
    <w:rsid w:val="003F339C"/>
    <w:rsid w:val="003F35B9"/>
    <w:rsid w:val="003F36CA"/>
    <w:rsid w:val="003F3706"/>
    <w:rsid w:val="003F38A1"/>
    <w:rsid w:val="003F3922"/>
    <w:rsid w:val="003F3BE4"/>
    <w:rsid w:val="003F3C5F"/>
    <w:rsid w:val="003F3D1B"/>
    <w:rsid w:val="003F405B"/>
    <w:rsid w:val="003F409B"/>
    <w:rsid w:val="003F4116"/>
    <w:rsid w:val="003F4117"/>
    <w:rsid w:val="003F4223"/>
    <w:rsid w:val="003F42A0"/>
    <w:rsid w:val="003F4493"/>
    <w:rsid w:val="003F44B5"/>
    <w:rsid w:val="003F46A2"/>
    <w:rsid w:val="003F46DE"/>
    <w:rsid w:val="003F483B"/>
    <w:rsid w:val="003F494E"/>
    <w:rsid w:val="003F4962"/>
    <w:rsid w:val="003F4AF6"/>
    <w:rsid w:val="003F4B68"/>
    <w:rsid w:val="003F4D04"/>
    <w:rsid w:val="003F4F23"/>
    <w:rsid w:val="003F5115"/>
    <w:rsid w:val="003F52C4"/>
    <w:rsid w:val="003F534B"/>
    <w:rsid w:val="003F535C"/>
    <w:rsid w:val="003F539D"/>
    <w:rsid w:val="003F5413"/>
    <w:rsid w:val="003F5572"/>
    <w:rsid w:val="003F5866"/>
    <w:rsid w:val="003F5896"/>
    <w:rsid w:val="003F58CC"/>
    <w:rsid w:val="003F5A6F"/>
    <w:rsid w:val="003F5CAD"/>
    <w:rsid w:val="003F5D25"/>
    <w:rsid w:val="003F5D73"/>
    <w:rsid w:val="003F5E94"/>
    <w:rsid w:val="003F5F32"/>
    <w:rsid w:val="003F60B9"/>
    <w:rsid w:val="003F6174"/>
    <w:rsid w:val="003F61D4"/>
    <w:rsid w:val="003F61D5"/>
    <w:rsid w:val="003F6247"/>
    <w:rsid w:val="003F638D"/>
    <w:rsid w:val="003F639A"/>
    <w:rsid w:val="003F6524"/>
    <w:rsid w:val="003F696B"/>
    <w:rsid w:val="003F6B03"/>
    <w:rsid w:val="003F6C64"/>
    <w:rsid w:val="003F6CA4"/>
    <w:rsid w:val="003F6F0D"/>
    <w:rsid w:val="003F6FF9"/>
    <w:rsid w:val="003F7035"/>
    <w:rsid w:val="003F704E"/>
    <w:rsid w:val="003F70D3"/>
    <w:rsid w:val="003F7162"/>
    <w:rsid w:val="003F7196"/>
    <w:rsid w:val="003F7278"/>
    <w:rsid w:val="003F734E"/>
    <w:rsid w:val="003F75C8"/>
    <w:rsid w:val="003F7637"/>
    <w:rsid w:val="003F782E"/>
    <w:rsid w:val="003F78C0"/>
    <w:rsid w:val="003F792F"/>
    <w:rsid w:val="003F7A22"/>
    <w:rsid w:val="003F7B81"/>
    <w:rsid w:val="003F7D98"/>
    <w:rsid w:val="003F7DF9"/>
    <w:rsid w:val="003F7EFE"/>
    <w:rsid w:val="003F7FAF"/>
    <w:rsid w:val="00400245"/>
    <w:rsid w:val="0040048D"/>
    <w:rsid w:val="004004A2"/>
    <w:rsid w:val="00400597"/>
    <w:rsid w:val="00400689"/>
    <w:rsid w:val="004008AF"/>
    <w:rsid w:val="00400908"/>
    <w:rsid w:val="00400B5F"/>
    <w:rsid w:val="00400CB9"/>
    <w:rsid w:val="00400DD1"/>
    <w:rsid w:val="00400FF6"/>
    <w:rsid w:val="0040130B"/>
    <w:rsid w:val="00401314"/>
    <w:rsid w:val="0040137B"/>
    <w:rsid w:val="004014B1"/>
    <w:rsid w:val="0040173D"/>
    <w:rsid w:val="0040197F"/>
    <w:rsid w:val="004019B9"/>
    <w:rsid w:val="00401AA1"/>
    <w:rsid w:val="00401AE0"/>
    <w:rsid w:val="00401C67"/>
    <w:rsid w:val="00401DBF"/>
    <w:rsid w:val="00401E32"/>
    <w:rsid w:val="00401F9B"/>
    <w:rsid w:val="00402098"/>
    <w:rsid w:val="004020B2"/>
    <w:rsid w:val="0040235F"/>
    <w:rsid w:val="00402361"/>
    <w:rsid w:val="00402395"/>
    <w:rsid w:val="004024E3"/>
    <w:rsid w:val="00402572"/>
    <w:rsid w:val="004028AC"/>
    <w:rsid w:val="0040291B"/>
    <w:rsid w:val="00402AC3"/>
    <w:rsid w:val="00402D4D"/>
    <w:rsid w:val="00402DAE"/>
    <w:rsid w:val="00402EDE"/>
    <w:rsid w:val="0040309F"/>
    <w:rsid w:val="004030EF"/>
    <w:rsid w:val="004031A0"/>
    <w:rsid w:val="004033B4"/>
    <w:rsid w:val="004033CB"/>
    <w:rsid w:val="004033D9"/>
    <w:rsid w:val="00403429"/>
    <w:rsid w:val="00403517"/>
    <w:rsid w:val="0040364A"/>
    <w:rsid w:val="00403780"/>
    <w:rsid w:val="00403877"/>
    <w:rsid w:val="004039DB"/>
    <w:rsid w:val="00403B3E"/>
    <w:rsid w:val="00403B8C"/>
    <w:rsid w:val="00403BBF"/>
    <w:rsid w:val="00403CAB"/>
    <w:rsid w:val="00403CDB"/>
    <w:rsid w:val="00403E03"/>
    <w:rsid w:val="00403EFB"/>
    <w:rsid w:val="00403FD5"/>
    <w:rsid w:val="004040DC"/>
    <w:rsid w:val="0040425A"/>
    <w:rsid w:val="0040427B"/>
    <w:rsid w:val="004042D9"/>
    <w:rsid w:val="00404328"/>
    <w:rsid w:val="0040454D"/>
    <w:rsid w:val="00404A88"/>
    <w:rsid w:val="00404A94"/>
    <w:rsid w:val="00404CB3"/>
    <w:rsid w:val="00404E10"/>
    <w:rsid w:val="00404F06"/>
    <w:rsid w:val="00404F6C"/>
    <w:rsid w:val="004051C1"/>
    <w:rsid w:val="0040527D"/>
    <w:rsid w:val="004052C6"/>
    <w:rsid w:val="00405447"/>
    <w:rsid w:val="004054AC"/>
    <w:rsid w:val="0040551F"/>
    <w:rsid w:val="00405540"/>
    <w:rsid w:val="00405662"/>
    <w:rsid w:val="004056A9"/>
    <w:rsid w:val="0040589B"/>
    <w:rsid w:val="00405AA7"/>
    <w:rsid w:val="00405AFB"/>
    <w:rsid w:val="0040608F"/>
    <w:rsid w:val="0040613A"/>
    <w:rsid w:val="004061AC"/>
    <w:rsid w:val="00406204"/>
    <w:rsid w:val="00406217"/>
    <w:rsid w:val="00406228"/>
    <w:rsid w:val="00406702"/>
    <w:rsid w:val="00406863"/>
    <w:rsid w:val="004068AF"/>
    <w:rsid w:val="00406A00"/>
    <w:rsid w:val="00406A52"/>
    <w:rsid w:val="00406A74"/>
    <w:rsid w:val="00406AC0"/>
    <w:rsid w:val="00406CA3"/>
    <w:rsid w:val="00406D32"/>
    <w:rsid w:val="00406DA5"/>
    <w:rsid w:val="00406FD9"/>
    <w:rsid w:val="004070E7"/>
    <w:rsid w:val="0040722C"/>
    <w:rsid w:val="004072DC"/>
    <w:rsid w:val="00407370"/>
    <w:rsid w:val="0040752F"/>
    <w:rsid w:val="004075C9"/>
    <w:rsid w:val="004075DC"/>
    <w:rsid w:val="004075F1"/>
    <w:rsid w:val="00407622"/>
    <w:rsid w:val="0040771E"/>
    <w:rsid w:val="0040771F"/>
    <w:rsid w:val="00407742"/>
    <w:rsid w:val="00407BD7"/>
    <w:rsid w:val="00407BF2"/>
    <w:rsid w:val="00407F4C"/>
    <w:rsid w:val="00410121"/>
    <w:rsid w:val="0041019D"/>
    <w:rsid w:val="00410237"/>
    <w:rsid w:val="0041027A"/>
    <w:rsid w:val="0041031D"/>
    <w:rsid w:val="004103C5"/>
    <w:rsid w:val="004103FB"/>
    <w:rsid w:val="00410428"/>
    <w:rsid w:val="004105CC"/>
    <w:rsid w:val="00410741"/>
    <w:rsid w:val="00410756"/>
    <w:rsid w:val="00410819"/>
    <w:rsid w:val="0041086B"/>
    <w:rsid w:val="004109A5"/>
    <w:rsid w:val="004109B9"/>
    <w:rsid w:val="00410BC7"/>
    <w:rsid w:val="00410C31"/>
    <w:rsid w:val="00410D06"/>
    <w:rsid w:val="00410E18"/>
    <w:rsid w:val="00410F37"/>
    <w:rsid w:val="00411028"/>
    <w:rsid w:val="004111F7"/>
    <w:rsid w:val="004114E4"/>
    <w:rsid w:val="00411554"/>
    <w:rsid w:val="004116B4"/>
    <w:rsid w:val="00411DAF"/>
    <w:rsid w:val="00411E2B"/>
    <w:rsid w:val="00411F90"/>
    <w:rsid w:val="00411F91"/>
    <w:rsid w:val="0041200B"/>
    <w:rsid w:val="0041217D"/>
    <w:rsid w:val="00412198"/>
    <w:rsid w:val="004121A0"/>
    <w:rsid w:val="00412237"/>
    <w:rsid w:val="00412335"/>
    <w:rsid w:val="004123BB"/>
    <w:rsid w:val="00412537"/>
    <w:rsid w:val="004125C6"/>
    <w:rsid w:val="0041274D"/>
    <w:rsid w:val="0041275F"/>
    <w:rsid w:val="004127E9"/>
    <w:rsid w:val="00412988"/>
    <w:rsid w:val="00412B84"/>
    <w:rsid w:val="00412BE6"/>
    <w:rsid w:val="00412C6D"/>
    <w:rsid w:val="0041316E"/>
    <w:rsid w:val="004133FF"/>
    <w:rsid w:val="00413423"/>
    <w:rsid w:val="0041365C"/>
    <w:rsid w:val="00413715"/>
    <w:rsid w:val="00413A0A"/>
    <w:rsid w:val="00413AAB"/>
    <w:rsid w:val="00413AEB"/>
    <w:rsid w:val="00413B3E"/>
    <w:rsid w:val="00413CD6"/>
    <w:rsid w:val="00413D40"/>
    <w:rsid w:val="00413E75"/>
    <w:rsid w:val="00413E78"/>
    <w:rsid w:val="00414008"/>
    <w:rsid w:val="00414053"/>
    <w:rsid w:val="004140C0"/>
    <w:rsid w:val="004140CA"/>
    <w:rsid w:val="004140DA"/>
    <w:rsid w:val="00414523"/>
    <w:rsid w:val="004145A6"/>
    <w:rsid w:val="004146B1"/>
    <w:rsid w:val="00414A23"/>
    <w:rsid w:val="00414A76"/>
    <w:rsid w:val="00414C2C"/>
    <w:rsid w:val="00414C37"/>
    <w:rsid w:val="00414DE0"/>
    <w:rsid w:val="00414F71"/>
    <w:rsid w:val="00414FD3"/>
    <w:rsid w:val="00414FEC"/>
    <w:rsid w:val="0041501C"/>
    <w:rsid w:val="004151AC"/>
    <w:rsid w:val="00415236"/>
    <w:rsid w:val="00415367"/>
    <w:rsid w:val="004153B7"/>
    <w:rsid w:val="00415438"/>
    <w:rsid w:val="004154CD"/>
    <w:rsid w:val="00415786"/>
    <w:rsid w:val="0041581F"/>
    <w:rsid w:val="0041594E"/>
    <w:rsid w:val="00415984"/>
    <w:rsid w:val="00415A9D"/>
    <w:rsid w:val="00415AB4"/>
    <w:rsid w:val="00415B13"/>
    <w:rsid w:val="00415D81"/>
    <w:rsid w:val="00416195"/>
    <w:rsid w:val="0041628D"/>
    <w:rsid w:val="004164A6"/>
    <w:rsid w:val="00416581"/>
    <w:rsid w:val="004165E7"/>
    <w:rsid w:val="0041664F"/>
    <w:rsid w:val="004166F0"/>
    <w:rsid w:val="004166FD"/>
    <w:rsid w:val="00416746"/>
    <w:rsid w:val="004167F8"/>
    <w:rsid w:val="0041686F"/>
    <w:rsid w:val="0041698A"/>
    <w:rsid w:val="00416994"/>
    <w:rsid w:val="004169E8"/>
    <w:rsid w:val="004169F6"/>
    <w:rsid w:val="00416A4D"/>
    <w:rsid w:val="00416A5C"/>
    <w:rsid w:val="00416B07"/>
    <w:rsid w:val="00416B9C"/>
    <w:rsid w:val="00416BA6"/>
    <w:rsid w:val="00416D25"/>
    <w:rsid w:val="00416D2F"/>
    <w:rsid w:val="00416D46"/>
    <w:rsid w:val="00416E0F"/>
    <w:rsid w:val="004170BE"/>
    <w:rsid w:val="004174B2"/>
    <w:rsid w:val="0041753A"/>
    <w:rsid w:val="0041761F"/>
    <w:rsid w:val="0041766C"/>
    <w:rsid w:val="004176A2"/>
    <w:rsid w:val="00417876"/>
    <w:rsid w:val="00417893"/>
    <w:rsid w:val="00417AEE"/>
    <w:rsid w:val="00417B9D"/>
    <w:rsid w:val="00417BD2"/>
    <w:rsid w:val="00417E36"/>
    <w:rsid w:val="00417EB4"/>
    <w:rsid w:val="00417EF9"/>
    <w:rsid w:val="00417F6E"/>
    <w:rsid w:val="00420001"/>
    <w:rsid w:val="00420077"/>
    <w:rsid w:val="004200D5"/>
    <w:rsid w:val="004204ED"/>
    <w:rsid w:val="00420503"/>
    <w:rsid w:val="004205E8"/>
    <w:rsid w:val="0042063C"/>
    <w:rsid w:val="004206E4"/>
    <w:rsid w:val="00420714"/>
    <w:rsid w:val="00420859"/>
    <w:rsid w:val="00420862"/>
    <w:rsid w:val="00420986"/>
    <w:rsid w:val="00420BF4"/>
    <w:rsid w:val="00420D36"/>
    <w:rsid w:val="00420D8E"/>
    <w:rsid w:val="00420DDA"/>
    <w:rsid w:val="00420DFB"/>
    <w:rsid w:val="00420F5A"/>
    <w:rsid w:val="00420FEB"/>
    <w:rsid w:val="0042110C"/>
    <w:rsid w:val="0042119A"/>
    <w:rsid w:val="004211B9"/>
    <w:rsid w:val="00421298"/>
    <w:rsid w:val="00421380"/>
    <w:rsid w:val="004214EB"/>
    <w:rsid w:val="00421502"/>
    <w:rsid w:val="004218B3"/>
    <w:rsid w:val="00421A54"/>
    <w:rsid w:val="00421A61"/>
    <w:rsid w:val="00421A89"/>
    <w:rsid w:val="00421AA9"/>
    <w:rsid w:val="00421DAB"/>
    <w:rsid w:val="00421E37"/>
    <w:rsid w:val="00421E82"/>
    <w:rsid w:val="00421EBC"/>
    <w:rsid w:val="0042209E"/>
    <w:rsid w:val="004221E5"/>
    <w:rsid w:val="00422512"/>
    <w:rsid w:val="0042264B"/>
    <w:rsid w:val="00422679"/>
    <w:rsid w:val="0042280A"/>
    <w:rsid w:val="004229C2"/>
    <w:rsid w:val="00422AAB"/>
    <w:rsid w:val="00422ABC"/>
    <w:rsid w:val="00422C96"/>
    <w:rsid w:val="00422D2E"/>
    <w:rsid w:val="00422E55"/>
    <w:rsid w:val="00422E91"/>
    <w:rsid w:val="00422F93"/>
    <w:rsid w:val="00422FA4"/>
    <w:rsid w:val="00422FE4"/>
    <w:rsid w:val="0042304B"/>
    <w:rsid w:val="0042308F"/>
    <w:rsid w:val="004230ED"/>
    <w:rsid w:val="00423194"/>
    <w:rsid w:val="004231AF"/>
    <w:rsid w:val="004233FA"/>
    <w:rsid w:val="004234B3"/>
    <w:rsid w:val="004238E5"/>
    <w:rsid w:val="00423A65"/>
    <w:rsid w:val="00423BE3"/>
    <w:rsid w:val="00423C40"/>
    <w:rsid w:val="00423CB5"/>
    <w:rsid w:val="00423D09"/>
    <w:rsid w:val="00423E61"/>
    <w:rsid w:val="00423E98"/>
    <w:rsid w:val="00423F99"/>
    <w:rsid w:val="00423FF2"/>
    <w:rsid w:val="00424084"/>
    <w:rsid w:val="004240B7"/>
    <w:rsid w:val="004240DA"/>
    <w:rsid w:val="00424144"/>
    <w:rsid w:val="004242AC"/>
    <w:rsid w:val="00424584"/>
    <w:rsid w:val="00424832"/>
    <w:rsid w:val="0042484C"/>
    <w:rsid w:val="004248AD"/>
    <w:rsid w:val="00424923"/>
    <w:rsid w:val="00424BED"/>
    <w:rsid w:val="00424D87"/>
    <w:rsid w:val="00424E91"/>
    <w:rsid w:val="00424F0B"/>
    <w:rsid w:val="00425006"/>
    <w:rsid w:val="00425331"/>
    <w:rsid w:val="004253B9"/>
    <w:rsid w:val="00425406"/>
    <w:rsid w:val="0042592F"/>
    <w:rsid w:val="00425989"/>
    <w:rsid w:val="0042598C"/>
    <w:rsid w:val="00425A98"/>
    <w:rsid w:val="00425AD9"/>
    <w:rsid w:val="00425B30"/>
    <w:rsid w:val="00425BBC"/>
    <w:rsid w:val="00425C2A"/>
    <w:rsid w:val="00425CB6"/>
    <w:rsid w:val="00425EB6"/>
    <w:rsid w:val="00425EEB"/>
    <w:rsid w:val="00425FA9"/>
    <w:rsid w:val="00426215"/>
    <w:rsid w:val="004262E7"/>
    <w:rsid w:val="00426482"/>
    <w:rsid w:val="004264BE"/>
    <w:rsid w:val="00426518"/>
    <w:rsid w:val="00426562"/>
    <w:rsid w:val="004266F6"/>
    <w:rsid w:val="00426783"/>
    <w:rsid w:val="004267C9"/>
    <w:rsid w:val="0042688A"/>
    <w:rsid w:val="00426B1F"/>
    <w:rsid w:val="00426C71"/>
    <w:rsid w:val="00426CE5"/>
    <w:rsid w:val="00426E23"/>
    <w:rsid w:val="00426EFB"/>
    <w:rsid w:val="00426F9D"/>
    <w:rsid w:val="00426FBF"/>
    <w:rsid w:val="00427166"/>
    <w:rsid w:val="00427286"/>
    <w:rsid w:val="004272CD"/>
    <w:rsid w:val="004272D8"/>
    <w:rsid w:val="004273AD"/>
    <w:rsid w:val="00427490"/>
    <w:rsid w:val="00427595"/>
    <w:rsid w:val="00427637"/>
    <w:rsid w:val="0042767D"/>
    <w:rsid w:val="0042779E"/>
    <w:rsid w:val="004277B9"/>
    <w:rsid w:val="00427911"/>
    <w:rsid w:val="00427A4E"/>
    <w:rsid w:val="00427B64"/>
    <w:rsid w:val="00427B7F"/>
    <w:rsid w:val="00427BBE"/>
    <w:rsid w:val="00427C8F"/>
    <w:rsid w:val="00427DB7"/>
    <w:rsid w:val="00427E56"/>
    <w:rsid w:val="00427ED7"/>
    <w:rsid w:val="00427FEA"/>
    <w:rsid w:val="0043007D"/>
    <w:rsid w:val="004301DF"/>
    <w:rsid w:val="00430479"/>
    <w:rsid w:val="004305AE"/>
    <w:rsid w:val="004306CE"/>
    <w:rsid w:val="00430857"/>
    <w:rsid w:val="0043090C"/>
    <w:rsid w:val="0043096E"/>
    <w:rsid w:val="00430BC5"/>
    <w:rsid w:val="00430C1A"/>
    <w:rsid w:val="00430CBF"/>
    <w:rsid w:val="00430D3E"/>
    <w:rsid w:val="00430FF2"/>
    <w:rsid w:val="00430FF5"/>
    <w:rsid w:val="0043111F"/>
    <w:rsid w:val="004312D9"/>
    <w:rsid w:val="00431606"/>
    <w:rsid w:val="004316E5"/>
    <w:rsid w:val="004317EC"/>
    <w:rsid w:val="00431800"/>
    <w:rsid w:val="00431893"/>
    <w:rsid w:val="00431BF9"/>
    <w:rsid w:val="00431E18"/>
    <w:rsid w:val="00431E4B"/>
    <w:rsid w:val="00431FBC"/>
    <w:rsid w:val="00431FC3"/>
    <w:rsid w:val="00431FCF"/>
    <w:rsid w:val="004323EE"/>
    <w:rsid w:val="00432666"/>
    <w:rsid w:val="0043267A"/>
    <w:rsid w:val="00432931"/>
    <w:rsid w:val="00432986"/>
    <w:rsid w:val="00432A8F"/>
    <w:rsid w:val="00432BC9"/>
    <w:rsid w:val="00432BD7"/>
    <w:rsid w:val="00432D9D"/>
    <w:rsid w:val="004330E7"/>
    <w:rsid w:val="00433197"/>
    <w:rsid w:val="004331B4"/>
    <w:rsid w:val="004332BA"/>
    <w:rsid w:val="0043335A"/>
    <w:rsid w:val="004333AB"/>
    <w:rsid w:val="004333C6"/>
    <w:rsid w:val="004334FE"/>
    <w:rsid w:val="00433512"/>
    <w:rsid w:val="00433541"/>
    <w:rsid w:val="0043363E"/>
    <w:rsid w:val="00433659"/>
    <w:rsid w:val="0043373B"/>
    <w:rsid w:val="00433825"/>
    <w:rsid w:val="00433A4F"/>
    <w:rsid w:val="00433AED"/>
    <w:rsid w:val="00433C07"/>
    <w:rsid w:val="00433C95"/>
    <w:rsid w:val="00433ED4"/>
    <w:rsid w:val="00433F8F"/>
    <w:rsid w:val="00434010"/>
    <w:rsid w:val="0043406B"/>
    <w:rsid w:val="004341CD"/>
    <w:rsid w:val="004343D8"/>
    <w:rsid w:val="00434680"/>
    <w:rsid w:val="004347E1"/>
    <w:rsid w:val="0043494C"/>
    <w:rsid w:val="00434A72"/>
    <w:rsid w:val="00434D0B"/>
    <w:rsid w:val="00434D4E"/>
    <w:rsid w:val="00434D56"/>
    <w:rsid w:val="00434D64"/>
    <w:rsid w:val="00434D99"/>
    <w:rsid w:val="00434D9B"/>
    <w:rsid w:val="00434DD4"/>
    <w:rsid w:val="00434E3C"/>
    <w:rsid w:val="00434ECB"/>
    <w:rsid w:val="00435032"/>
    <w:rsid w:val="00435061"/>
    <w:rsid w:val="0043512E"/>
    <w:rsid w:val="00435234"/>
    <w:rsid w:val="0043525F"/>
    <w:rsid w:val="00435281"/>
    <w:rsid w:val="0043536C"/>
    <w:rsid w:val="0043551D"/>
    <w:rsid w:val="00435633"/>
    <w:rsid w:val="00435772"/>
    <w:rsid w:val="00435A7E"/>
    <w:rsid w:val="00435A87"/>
    <w:rsid w:val="00435BF6"/>
    <w:rsid w:val="00435CCB"/>
    <w:rsid w:val="00435EA7"/>
    <w:rsid w:val="00436024"/>
    <w:rsid w:val="004363B4"/>
    <w:rsid w:val="00436495"/>
    <w:rsid w:val="00436514"/>
    <w:rsid w:val="00436810"/>
    <w:rsid w:val="004368BD"/>
    <w:rsid w:val="00436B19"/>
    <w:rsid w:val="00436C28"/>
    <w:rsid w:val="00436C98"/>
    <w:rsid w:val="00436E28"/>
    <w:rsid w:val="00436E99"/>
    <w:rsid w:val="00436ED3"/>
    <w:rsid w:val="004370DE"/>
    <w:rsid w:val="0043712C"/>
    <w:rsid w:val="00437160"/>
    <w:rsid w:val="004377C1"/>
    <w:rsid w:val="00437964"/>
    <w:rsid w:val="00437970"/>
    <w:rsid w:val="00437B00"/>
    <w:rsid w:val="00437D22"/>
    <w:rsid w:val="00437E76"/>
    <w:rsid w:val="00437EB8"/>
    <w:rsid w:val="00437ED1"/>
    <w:rsid w:val="00437F6C"/>
    <w:rsid w:val="00437F7C"/>
    <w:rsid w:val="00437FA2"/>
    <w:rsid w:val="0044002C"/>
    <w:rsid w:val="00440126"/>
    <w:rsid w:val="0044031A"/>
    <w:rsid w:val="004403AC"/>
    <w:rsid w:val="004403ED"/>
    <w:rsid w:val="00440680"/>
    <w:rsid w:val="004406E4"/>
    <w:rsid w:val="00440896"/>
    <w:rsid w:val="00440B24"/>
    <w:rsid w:val="00440B71"/>
    <w:rsid w:val="00440CCE"/>
    <w:rsid w:val="00440E10"/>
    <w:rsid w:val="00440EFC"/>
    <w:rsid w:val="00441136"/>
    <w:rsid w:val="00441236"/>
    <w:rsid w:val="00441326"/>
    <w:rsid w:val="00441534"/>
    <w:rsid w:val="00441737"/>
    <w:rsid w:val="00441890"/>
    <w:rsid w:val="00441A48"/>
    <w:rsid w:val="00441B0B"/>
    <w:rsid w:val="00441E68"/>
    <w:rsid w:val="0044217B"/>
    <w:rsid w:val="0044220B"/>
    <w:rsid w:val="004422C8"/>
    <w:rsid w:val="004422FC"/>
    <w:rsid w:val="00442323"/>
    <w:rsid w:val="004423D2"/>
    <w:rsid w:val="004423F7"/>
    <w:rsid w:val="00442980"/>
    <w:rsid w:val="00442A49"/>
    <w:rsid w:val="00442AC3"/>
    <w:rsid w:val="00442D0C"/>
    <w:rsid w:val="00442F70"/>
    <w:rsid w:val="00443081"/>
    <w:rsid w:val="004430D3"/>
    <w:rsid w:val="00443101"/>
    <w:rsid w:val="004433F3"/>
    <w:rsid w:val="00443439"/>
    <w:rsid w:val="0044353E"/>
    <w:rsid w:val="00443664"/>
    <w:rsid w:val="004437E0"/>
    <w:rsid w:val="0044395E"/>
    <w:rsid w:val="004439C4"/>
    <w:rsid w:val="004439CF"/>
    <w:rsid w:val="00443A25"/>
    <w:rsid w:val="00443A7E"/>
    <w:rsid w:val="00443C13"/>
    <w:rsid w:val="00443C86"/>
    <w:rsid w:val="00443E42"/>
    <w:rsid w:val="00443EA0"/>
    <w:rsid w:val="00444032"/>
    <w:rsid w:val="00444063"/>
    <w:rsid w:val="00444341"/>
    <w:rsid w:val="00444451"/>
    <w:rsid w:val="00444685"/>
    <w:rsid w:val="004446F3"/>
    <w:rsid w:val="00444793"/>
    <w:rsid w:val="00444962"/>
    <w:rsid w:val="00444A00"/>
    <w:rsid w:val="00444FB6"/>
    <w:rsid w:val="00445062"/>
    <w:rsid w:val="004450A2"/>
    <w:rsid w:val="0044511A"/>
    <w:rsid w:val="0044513E"/>
    <w:rsid w:val="004453E7"/>
    <w:rsid w:val="0044564A"/>
    <w:rsid w:val="00445765"/>
    <w:rsid w:val="00445907"/>
    <w:rsid w:val="00445927"/>
    <w:rsid w:val="00445964"/>
    <w:rsid w:val="00445988"/>
    <w:rsid w:val="00445A12"/>
    <w:rsid w:val="00445DD0"/>
    <w:rsid w:val="00445E85"/>
    <w:rsid w:val="00445EE6"/>
    <w:rsid w:val="00445F4D"/>
    <w:rsid w:val="00445F58"/>
    <w:rsid w:val="00446079"/>
    <w:rsid w:val="00446096"/>
    <w:rsid w:val="00446173"/>
    <w:rsid w:val="00446200"/>
    <w:rsid w:val="0044637D"/>
    <w:rsid w:val="00446398"/>
    <w:rsid w:val="0044639E"/>
    <w:rsid w:val="004464B9"/>
    <w:rsid w:val="0044657C"/>
    <w:rsid w:val="004465E4"/>
    <w:rsid w:val="00446653"/>
    <w:rsid w:val="0044671D"/>
    <w:rsid w:val="0044690B"/>
    <w:rsid w:val="00446A03"/>
    <w:rsid w:val="00446A43"/>
    <w:rsid w:val="00446BBE"/>
    <w:rsid w:val="00446BE3"/>
    <w:rsid w:val="00446C6E"/>
    <w:rsid w:val="00446CBC"/>
    <w:rsid w:val="00446CFD"/>
    <w:rsid w:val="00446D7A"/>
    <w:rsid w:val="00446D7C"/>
    <w:rsid w:val="00446DEE"/>
    <w:rsid w:val="00446FF1"/>
    <w:rsid w:val="0044709A"/>
    <w:rsid w:val="0044740D"/>
    <w:rsid w:val="00447543"/>
    <w:rsid w:val="00447629"/>
    <w:rsid w:val="0044780F"/>
    <w:rsid w:val="0044782C"/>
    <w:rsid w:val="0044786E"/>
    <w:rsid w:val="00447950"/>
    <w:rsid w:val="0044796A"/>
    <w:rsid w:val="00447987"/>
    <w:rsid w:val="004479F9"/>
    <w:rsid w:val="00447A7D"/>
    <w:rsid w:val="00447AAB"/>
    <w:rsid w:val="00447AED"/>
    <w:rsid w:val="00447B9D"/>
    <w:rsid w:val="00447C55"/>
    <w:rsid w:val="00447E69"/>
    <w:rsid w:val="00447EC5"/>
    <w:rsid w:val="00447F01"/>
    <w:rsid w:val="00447F4A"/>
    <w:rsid w:val="00447FB5"/>
    <w:rsid w:val="00450116"/>
    <w:rsid w:val="00450216"/>
    <w:rsid w:val="00450384"/>
    <w:rsid w:val="004503E6"/>
    <w:rsid w:val="00450406"/>
    <w:rsid w:val="00450527"/>
    <w:rsid w:val="004506F2"/>
    <w:rsid w:val="00450822"/>
    <w:rsid w:val="00450878"/>
    <w:rsid w:val="0045093D"/>
    <w:rsid w:val="00450974"/>
    <w:rsid w:val="004509D2"/>
    <w:rsid w:val="00450D34"/>
    <w:rsid w:val="00450D43"/>
    <w:rsid w:val="00450E71"/>
    <w:rsid w:val="00450F59"/>
    <w:rsid w:val="004512DD"/>
    <w:rsid w:val="00451638"/>
    <w:rsid w:val="00451645"/>
    <w:rsid w:val="00451738"/>
    <w:rsid w:val="004518B1"/>
    <w:rsid w:val="004518D9"/>
    <w:rsid w:val="00451E51"/>
    <w:rsid w:val="00451EC5"/>
    <w:rsid w:val="00451F22"/>
    <w:rsid w:val="00451FCC"/>
    <w:rsid w:val="0045201A"/>
    <w:rsid w:val="0045204C"/>
    <w:rsid w:val="004524F8"/>
    <w:rsid w:val="00452612"/>
    <w:rsid w:val="00452651"/>
    <w:rsid w:val="004526BF"/>
    <w:rsid w:val="00452836"/>
    <w:rsid w:val="00452B9C"/>
    <w:rsid w:val="00452C5F"/>
    <w:rsid w:val="00452EC4"/>
    <w:rsid w:val="00452F02"/>
    <w:rsid w:val="00453004"/>
    <w:rsid w:val="00453198"/>
    <w:rsid w:val="004531CF"/>
    <w:rsid w:val="00453213"/>
    <w:rsid w:val="004532EB"/>
    <w:rsid w:val="004534C4"/>
    <w:rsid w:val="004536B2"/>
    <w:rsid w:val="00453825"/>
    <w:rsid w:val="00453955"/>
    <w:rsid w:val="00453B3A"/>
    <w:rsid w:val="00453B7E"/>
    <w:rsid w:val="00453BCA"/>
    <w:rsid w:val="00453C9F"/>
    <w:rsid w:val="00453CC1"/>
    <w:rsid w:val="00453D17"/>
    <w:rsid w:val="00453F95"/>
    <w:rsid w:val="0045407A"/>
    <w:rsid w:val="00454310"/>
    <w:rsid w:val="0045456A"/>
    <w:rsid w:val="0045457B"/>
    <w:rsid w:val="004546D3"/>
    <w:rsid w:val="00454750"/>
    <w:rsid w:val="0045478F"/>
    <w:rsid w:val="004547E5"/>
    <w:rsid w:val="00454821"/>
    <w:rsid w:val="004549AF"/>
    <w:rsid w:val="00454A46"/>
    <w:rsid w:val="00454BAB"/>
    <w:rsid w:val="00454BDE"/>
    <w:rsid w:val="00454D98"/>
    <w:rsid w:val="00454E78"/>
    <w:rsid w:val="00454F42"/>
    <w:rsid w:val="00454F8E"/>
    <w:rsid w:val="004551A4"/>
    <w:rsid w:val="004551F0"/>
    <w:rsid w:val="004551FB"/>
    <w:rsid w:val="004553DA"/>
    <w:rsid w:val="004553F3"/>
    <w:rsid w:val="0045544D"/>
    <w:rsid w:val="0045557C"/>
    <w:rsid w:val="004555A2"/>
    <w:rsid w:val="00455646"/>
    <w:rsid w:val="0045575B"/>
    <w:rsid w:val="00455880"/>
    <w:rsid w:val="00455B6D"/>
    <w:rsid w:val="00455BFE"/>
    <w:rsid w:val="00455D7C"/>
    <w:rsid w:val="00455EBB"/>
    <w:rsid w:val="00455EC8"/>
    <w:rsid w:val="00455FCC"/>
    <w:rsid w:val="00456033"/>
    <w:rsid w:val="00456190"/>
    <w:rsid w:val="004561C4"/>
    <w:rsid w:val="00456287"/>
    <w:rsid w:val="0045628D"/>
    <w:rsid w:val="0045632C"/>
    <w:rsid w:val="00456620"/>
    <w:rsid w:val="0045665B"/>
    <w:rsid w:val="0045669E"/>
    <w:rsid w:val="004566C0"/>
    <w:rsid w:val="00456782"/>
    <w:rsid w:val="0045698D"/>
    <w:rsid w:val="004569EB"/>
    <w:rsid w:val="00456A6D"/>
    <w:rsid w:val="00456C4E"/>
    <w:rsid w:val="00456C62"/>
    <w:rsid w:val="00456C84"/>
    <w:rsid w:val="00456D39"/>
    <w:rsid w:val="00456D61"/>
    <w:rsid w:val="00456DA6"/>
    <w:rsid w:val="00456F4A"/>
    <w:rsid w:val="0045727F"/>
    <w:rsid w:val="00457390"/>
    <w:rsid w:val="00457469"/>
    <w:rsid w:val="004574ED"/>
    <w:rsid w:val="00457550"/>
    <w:rsid w:val="00457555"/>
    <w:rsid w:val="00457691"/>
    <w:rsid w:val="00457715"/>
    <w:rsid w:val="004577DE"/>
    <w:rsid w:val="004578C2"/>
    <w:rsid w:val="00457A81"/>
    <w:rsid w:val="00457DCD"/>
    <w:rsid w:val="00457EA8"/>
    <w:rsid w:val="0046011D"/>
    <w:rsid w:val="0046014A"/>
    <w:rsid w:val="00460199"/>
    <w:rsid w:val="00460343"/>
    <w:rsid w:val="00460378"/>
    <w:rsid w:val="0046037D"/>
    <w:rsid w:val="004605EB"/>
    <w:rsid w:val="00460A21"/>
    <w:rsid w:val="00460CB8"/>
    <w:rsid w:val="0046102A"/>
    <w:rsid w:val="004610C0"/>
    <w:rsid w:val="0046132B"/>
    <w:rsid w:val="004613AD"/>
    <w:rsid w:val="004617E9"/>
    <w:rsid w:val="0046198D"/>
    <w:rsid w:val="004619B3"/>
    <w:rsid w:val="00461AF0"/>
    <w:rsid w:val="00461B5C"/>
    <w:rsid w:val="00461CB9"/>
    <w:rsid w:val="00461D9A"/>
    <w:rsid w:val="00461DD5"/>
    <w:rsid w:val="00461E40"/>
    <w:rsid w:val="00461E7F"/>
    <w:rsid w:val="0046252E"/>
    <w:rsid w:val="00462607"/>
    <w:rsid w:val="00462627"/>
    <w:rsid w:val="00462778"/>
    <w:rsid w:val="0046284C"/>
    <w:rsid w:val="00462868"/>
    <w:rsid w:val="00462870"/>
    <w:rsid w:val="00462978"/>
    <w:rsid w:val="00462BC9"/>
    <w:rsid w:val="00462BD4"/>
    <w:rsid w:val="00462C69"/>
    <w:rsid w:val="00462E66"/>
    <w:rsid w:val="00463423"/>
    <w:rsid w:val="004637C8"/>
    <w:rsid w:val="00463CFF"/>
    <w:rsid w:val="00463D6A"/>
    <w:rsid w:val="00463ECF"/>
    <w:rsid w:val="00464071"/>
    <w:rsid w:val="004641A8"/>
    <w:rsid w:val="0046425D"/>
    <w:rsid w:val="00464284"/>
    <w:rsid w:val="004642A2"/>
    <w:rsid w:val="004643E2"/>
    <w:rsid w:val="00464576"/>
    <w:rsid w:val="004647EB"/>
    <w:rsid w:val="004647F0"/>
    <w:rsid w:val="0046489E"/>
    <w:rsid w:val="004648ED"/>
    <w:rsid w:val="0046491F"/>
    <w:rsid w:val="004649D6"/>
    <w:rsid w:val="004649E2"/>
    <w:rsid w:val="00464A2D"/>
    <w:rsid w:val="00464A44"/>
    <w:rsid w:val="00464AAC"/>
    <w:rsid w:val="00464B23"/>
    <w:rsid w:val="00464CCB"/>
    <w:rsid w:val="00464F61"/>
    <w:rsid w:val="00464F6C"/>
    <w:rsid w:val="004650A0"/>
    <w:rsid w:val="004653DC"/>
    <w:rsid w:val="00465636"/>
    <w:rsid w:val="0046567F"/>
    <w:rsid w:val="00465800"/>
    <w:rsid w:val="0046589F"/>
    <w:rsid w:val="00465955"/>
    <w:rsid w:val="00465A08"/>
    <w:rsid w:val="00465ACB"/>
    <w:rsid w:val="00465AF2"/>
    <w:rsid w:val="00465B91"/>
    <w:rsid w:val="00465E0F"/>
    <w:rsid w:val="00465E22"/>
    <w:rsid w:val="00465EEC"/>
    <w:rsid w:val="00465F05"/>
    <w:rsid w:val="00466021"/>
    <w:rsid w:val="0046632B"/>
    <w:rsid w:val="00466330"/>
    <w:rsid w:val="0046636A"/>
    <w:rsid w:val="0046636D"/>
    <w:rsid w:val="00466747"/>
    <w:rsid w:val="004667E1"/>
    <w:rsid w:val="00466842"/>
    <w:rsid w:val="004668F7"/>
    <w:rsid w:val="00466AE1"/>
    <w:rsid w:val="00466CE0"/>
    <w:rsid w:val="00466E03"/>
    <w:rsid w:val="00466E5D"/>
    <w:rsid w:val="00466E8C"/>
    <w:rsid w:val="00466F00"/>
    <w:rsid w:val="00467064"/>
    <w:rsid w:val="004671EF"/>
    <w:rsid w:val="00467299"/>
    <w:rsid w:val="00467474"/>
    <w:rsid w:val="004676CD"/>
    <w:rsid w:val="00467787"/>
    <w:rsid w:val="004678E0"/>
    <w:rsid w:val="0046796C"/>
    <w:rsid w:val="00467A78"/>
    <w:rsid w:val="00467AC5"/>
    <w:rsid w:val="00467B7B"/>
    <w:rsid w:val="00467E2E"/>
    <w:rsid w:val="00470010"/>
    <w:rsid w:val="0047003F"/>
    <w:rsid w:val="0047011D"/>
    <w:rsid w:val="004701A6"/>
    <w:rsid w:val="004701D0"/>
    <w:rsid w:val="004703AF"/>
    <w:rsid w:val="004704A3"/>
    <w:rsid w:val="00470585"/>
    <w:rsid w:val="00470676"/>
    <w:rsid w:val="00470749"/>
    <w:rsid w:val="0047087F"/>
    <w:rsid w:val="00470930"/>
    <w:rsid w:val="00470939"/>
    <w:rsid w:val="00470A5B"/>
    <w:rsid w:val="00470AFF"/>
    <w:rsid w:val="00470B4C"/>
    <w:rsid w:val="00470C09"/>
    <w:rsid w:val="00470DC8"/>
    <w:rsid w:val="00470E9E"/>
    <w:rsid w:val="00470EA8"/>
    <w:rsid w:val="00470F3D"/>
    <w:rsid w:val="00470F42"/>
    <w:rsid w:val="0047105E"/>
    <w:rsid w:val="004712E8"/>
    <w:rsid w:val="00471347"/>
    <w:rsid w:val="004714F0"/>
    <w:rsid w:val="004714F7"/>
    <w:rsid w:val="0047151C"/>
    <w:rsid w:val="004716C6"/>
    <w:rsid w:val="0047179D"/>
    <w:rsid w:val="004719C0"/>
    <w:rsid w:val="00471CBA"/>
    <w:rsid w:val="00471D0D"/>
    <w:rsid w:val="00471D1A"/>
    <w:rsid w:val="00471DC0"/>
    <w:rsid w:val="00471E34"/>
    <w:rsid w:val="00471E8C"/>
    <w:rsid w:val="00471EB6"/>
    <w:rsid w:val="00471F85"/>
    <w:rsid w:val="004720ED"/>
    <w:rsid w:val="004721AC"/>
    <w:rsid w:val="004723B2"/>
    <w:rsid w:val="00472455"/>
    <w:rsid w:val="004724B9"/>
    <w:rsid w:val="004725A1"/>
    <w:rsid w:val="0047265A"/>
    <w:rsid w:val="00472698"/>
    <w:rsid w:val="004728F3"/>
    <w:rsid w:val="00472A7B"/>
    <w:rsid w:val="00472A92"/>
    <w:rsid w:val="00472A9F"/>
    <w:rsid w:val="00472AFA"/>
    <w:rsid w:val="00472C18"/>
    <w:rsid w:val="00472D9B"/>
    <w:rsid w:val="00472F51"/>
    <w:rsid w:val="00472FD8"/>
    <w:rsid w:val="00472FE4"/>
    <w:rsid w:val="00473233"/>
    <w:rsid w:val="00473251"/>
    <w:rsid w:val="004732FA"/>
    <w:rsid w:val="004733F1"/>
    <w:rsid w:val="00473424"/>
    <w:rsid w:val="00473497"/>
    <w:rsid w:val="004736DD"/>
    <w:rsid w:val="00473710"/>
    <w:rsid w:val="0047374F"/>
    <w:rsid w:val="00473774"/>
    <w:rsid w:val="004737A6"/>
    <w:rsid w:val="00473875"/>
    <w:rsid w:val="004738A1"/>
    <w:rsid w:val="0047397C"/>
    <w:rsid w:val="00473B3E"/>
    <w:rsid w:val="00473B92"/>
    <w:rsid w:val="00473C6F"/>
    <w:rsid w:val="00473C7A"/>
    <w:rsid w:val="00473E3C"/>
    <w:rsid w:val="00474012"/>
    <w:rsid w:val="0047402D"/>
    <w:rsid w:val="00474084"/>
    <w:rsid w:val="004741B5"/>
    <w:rsid w:val="0047423B"/>
    <w:rsid w:val="004743A7"/>
    <w:rsid w:val="00474428"/>
    <w:rsid w:val="004744B9"/>
    <w:rsid w:val="00474792"/>
    <w:rsid w:val="00474799"/>
    <w:rsid w:val="004747CB"/>
    <w:rsid w:val="00474C99"/>
    <w:rsid w:val="00474D75"/>
    <w:rsid w:val="00474DB2"/>
    <w:rsid w:val="00474E01"/>
    <w:rsid w:val="00474EE6"/>
    <w:rsid w:val="00474F47"/>
    <w:rsid w:val="004750DA"/>
    <w:rsid w:val="004750EE"/>
    <w:rsid w:val="00475199"/>
    <w:rsid w:val="004752DE"/>
    <w:rsid w:val="004753AF"/>
    <w:rsid w:val="0047542B"/>
    <w:rsid w:val="004755A1"/>
    <w:rsid w:val="0047573A"/>
    <w:rsid w:val="0047586B"/>
    <w:rsid w:val="004758C4"/>
    <w:rsid w:val="004759DE"/>
    <w:rsid w:val="00475A40"/>
    <w:rsid w:val="00475BA6"/>
    <w:rsid w:val="00475C9C"/>
    <w:rsid w:val="00475D00"/>
    <w:rsid w:val="00475D0D"/>
    <w:rsid w:val="00475DF6"/>
    <w:rsid w:val="00475E1A"/>
    <w:rsid w:val="00475E69"/>
    <w:rsid w:val="00475EEC"/>
    <w:rsid w:val="00475F25"/>
    <w:rsid w:val="00476002"/>
    <w:rsid w:val="0047603E"/>
    <w:rsid w:val="0047626C"/>
    <w:rsid w:val="0047648D"/>
    <w:rsid w:val="004764C2"/>
    <w:rsid w:val="00476589"/>
    <w:rsid w:val="00476885"/>
    <w:rsid w:val="00476A45"/>
    <w:rsid w:val="00476BE8"/>
    <w:rsid w:val="00476FD0"/>
    <w:rsid w:val="00476FD7"/>
    <w:rsid w:val="00477100"/>
    <w:rsid w:val="0047714D"/>
    <w:rsid w:val="0047715A"/>
    <w:rsid w:val="004773A2"/>
    <w:rsid w:val="00477510"/>
    <w:rsid w:val="00477535"/>
    <w:rsid w:val="00477B13"/>
    <w:rsid w:val="004800EB"/>
    <w:rsid w:val="004800F0"/>
    <w:rsid w:val="00480229"/>
    <w:rsid w:val="004802C3"/>
    <w:rsid w:val="00480312"/>
    <w:rsid w:val="00480388"/>
    <w:rsid w:val="004807CF"/>
    <w:rsid w:val="00480865"/>
    <w:rsid w:val="004808BF"/>
    <w:rsid w:val="00480BDD"/>
    <w:rsid w:val="00480E6E"/>
    <w:rsid w:val="00480ED9"/>
    <w:rsid w:val="00480F5E"/>
    <w:rsid w:val="00481287"/>
    <w:rsid w:val="004814AF"/>
    <w:rsid w:val="004815B0"/>
    <w:rsid w:val="00481675"/>
    <w:rsid w:val="004816B4"/>
    <w:rsid w:val="004817FE"/>
    <w:rsid w:val="004818FA"/>
    <w:rsid w:val="0048193F"/>
    <w:rsid w:val="00481D4D"/>
    <w:rsid w:val="00481E14"/>
    <w:rsid w:val="00481E29"/>
    <w:rsid w:val="00481E45"/>
    <w:rsid w:val="004820EC"/>
    <w:rsid w:val="004820F9"/>
    <w:rsid w:val="00482170"/>
    <w:rsid w:val="00482198"/>
    <w:rsid w:val="004822B0"/>
    <w:rsid w:val="00482463"/>
    <w:rsid w:val="004824AF"/>
    <w:rsid w:val="00482521"/>
    <w:rsid w:val="004826DF"/>
    <w:rsid w:val="0048275E"/>
    <w:rsid w:val="00482804"/>
    <w:rsid w:val="004828E1"/>
    <w:rsid w:val="0048297F"/>
    <w:rsid w:val="004829D0"/>
    <w:rsid w:val="00482B47"/>
    <w:rsid w:val="00482CCD"/>
    <w:rsid w:val="00482CF7"/>
    <w:rsid w:val="00482D00"/>
    <w:rsid w:val="00482D02"/>
    <w:rsid w:val="00482E0C"/>
    <w:rsid w:val="00482E33"/>
    <w:rsid w:val="00482F26"/>
    <w:rsid w:val="00482F6B"/>
    <w:rsid w:val="00483150"/>
    <w:rsid w:val="0048316B"/>
    <w:rsid w:val="0048323E"/>
    <w:rsid w:val="004832C5"/>
    <w:rsid w:val="004835AB"/>
    <w:rsid w:val="00483662"/>
    <w:rsid w:val="0048387F"/>
    <w:rsid w:val="004839C2"/>
    <w:rsid w:val="00483B28"/>
    <w:rsid w:val="00483B7A"/>
    <w:rsid w:val="00483D3C"/>
    <w:rsid w:val="00483E73"/>
    <w:rsid w:val="00483F52"/>
    <w:rsid w:val="004842E2"/>
    <w:rsid w:val="0048460C"/>
    <w:rsid w:val="004846E3"/>
    <w:rsid w:val="004848C8"/>
    <w:rsid w:val="0048491F"/>
    <w:rsid w:val="004849B4"/>
    <w:rsid w:val="004849C8"/>
    <w:rsid w:val="00484B13"/>
    <w:rsid w:val="00484B71"/>
    <w:rsid w:val="00484C2D"/>
    <w:rsid w:val="00484CD7"/>
    <w:rsid w:val="00484D23"/>
    <w:rsid w:val="00484D9D"/>
    <w:rsid w:val="00484DC5"/>
    <w:rsid w:val="00484DF3"/>
    <w:rsid w:val="00485092"/>
    <w:rsid w:val="00485185"/>
    <w:rsid w:val="00485327"/>
    <w:rsid w:val="0048532C"/>
    <w:rsid w:val="0048533A"/>
    <w:rsid w:val="0048540A"/>
    <w:rsid w:val="00485675"/>
    <w:rsid w:val="00485989"/>
    <w:rsid w:val="004859A9"/>
    <w:rsid w:val="00485B66"/>
    <w:rsid w:val="00485DB9"/>
    <w:rsid w:val="00485E1F"/>
    <w:rsid w:val="00485E60"/>
    <w:rsid w:val="00485EE7"/>
    <w:rsid w:val="00485F78"/>
    <w:rsid w:val="00485F9B"/>
    <w:rsid w:val="004860E7"/>
    <w:rsid w:val="00486173"/>
    <w:rsid w:val="00486177"/>
    <w:rsid w:val="00486289"/>
    <w:rsid w:val="00486405"/>
    <w:rsid w:val="004866EA"/>
    <w:rsid w:val="00486839"/>
    <w:rsid w:val="0048696B"/>
    <w:rsid w:val="00486B3D"/>
    <w:rsid w:val="00486B6E"/>
    <w:rsid w:val="00486BE6"/>
    <w:rsid w:val="00486C1F"/>
    <w:rsid w:val="00486F64"/>
    <w:rsid w:val="0048712A"/>
    <w:rsid w:val="00487211"/>
    <w:rsid w:val="00487227"/>
    <w:rsid w:val="00487237"/>
    <w:rsid w:val="004873F3"/>
    <w:rsid w:val="00487462"/>
    <w:rsid w:val="00487738"/>
    <w:rsid w:val="004877A5"/>
    <w:rsid w:val="004877C7"/>
    <w:rsid w:val="0048782A"/>
    <w:rsid w:val="0048790B"/>
    <w:rsid w:val="00487A69"/>
    <w:rsid w:val="00487C4B"/>
    <w:rsid w:val="00487C85"/>
    <w:rsid w:val="00487D1A"/>
    <w:rsid w:val="00487D84"/>
    <w:rsid w:val="00487E0D"/>
    <w:rsid w:val="00490018"/>
    <w:rsid w:val="0049023B"/>
    <w:rsid w:val="0049023C"/>
    <w:rsid w:val="0049048A"/>
    <w:rsid w:val="004904F9"/>
    <w:rsid w:val="00490584"/>
    <w:rsid w:val="00490616"/>
    <w:rsid w:val="00490690"/>
    <w:rsid w:val="004906E4"/>
    <w:rsid w:val="00490791"/>
    <w:rsid w:val="00490B8C"/>
    <w:rsid w:val="00490C90"/>
    <w:rsid w:val="00490CB3"/>
    <w:rsid w:val="00490CEB"/>
    <w:rsid w:val="00490DC4"/>
    <w:rsid w:val="00490E8B"/>
    <w:rsid w:val="00490F54"/>
    <w:rsid w:val="00491376"/>
    <w:rsid w:val="0049157F"/>
    <w:rsid w:val="00491604"/>
    <w:rsid w:val="0049160E"/>
    <w:rsid w:val="004916C1"/>
    <w:rsid w:val="00491805"/>
    <w:rsid w:val="00491A27"/>
    <w:rsid w:val="00491A4D"/>
    <w:rsid w:val="00491AF6"/>
    <w:rsid w:val="00491B67"/>
    <w:rsid w:val="00491BA2"/>
    <w:rsid w:val="00491D3C"/>
    <w:rsid w:val="00491DE6"/>
    <w:rsid w:val="00492004"/>
    <w:rsid w:val="00492140"/>
    <w:rsid w:val="004922A2"/>
    <w:rsid w:val="004923B6"/>
    <w:rsid w:val="004923F1"/>
    <w:rsid w:val="0049244C"/>
    <w:rsid w:val="004925DB"/>
    <w:rsid w:val="00492631"/>
    <w:rsid w:val="004928E2"/>
    <w:rsid w:val="004928E8"/>
    <w:rsid w:val="0049297E"/>
    <w:rsid w:val="00493038"/>
    <w:rsid w:val="004932E9"/>
    <w:rsid w:val="0049338C"/>
    <w:rsid w:val="004933AC"/>
    <w:rsid w:val="00493462"/>
    <w:rsid w:val="00493689"/>
    <w:rsid w:val="004936B5"/>
    <w:rsid w:val="0049380F"/>
    <w:rsid w:val="004938B9"/>
    <w:rsid w:val="004939E0"/>
    <w:rsid w:val="00493B29"/>
    <w:rsid w:val="00493BFA"/>
    <w:rsid w:val="00493C6D"/>
    <w:rsid w:val="0049401E"/>
    <w:rsid w:val="00494258"/>
    <w:rsid w:val="00494289"/>
    <w:rsid w:val="00494383"/>
    <w:rsid w:val="00494620"/>
    <w:rsid w:val="00494678"/>
    <w:rsid w:val="00494793"/>
    <w:rsid w:val="004947FE"/>
    <w:rsid w:val="0049480B"/>
    <w:rsid w:val="00494885"/>
    <w:rsid w:val="004949E6"/>
    <w:rsid w:val="00494CE1"/>
    <w:rsid w:val="00494D5A"/>
    <w:rsid w:val="00494EF4"/>
    <w:rsid w:val="00494F64"/>
    <w:rsid w:val="00494FB3"/>
    <w:rsid w:val="0049504C"/>
    <w:rsid w:val="0049508A"/>
    <w:rsid w:val="004952A6"/>
    <w:rsid w:val="004952DE"/>
    <w:rsid w:val="00495471"/>
    <w:rsid w:val="00495768"/>
    <w:rsid w:val="0049583A"/>
    <w:rsid w:val="00495A20"/>
    <w:rsid w:val="00495D7C"/>
    <w:rsid w:val="00495E4B"/>
    <w:rsid w:val="00496076"/>
    <w:rsid w:val="0049614F"/>
    <w:rsid w:val="0049635C"/>
    <w:rsid w:val="00496425"/>
    <w:rsid w:val="004965A4"/>
    <w:rsid w:val="004965B0"/>
    <w:rsid w:val="00496641"/>
    <w:rsid w:val="00496847"/>
    <w:rsid w:val="004968AF"/>
    <w:rsid w:val="00496A5E"/>
    <w:rsid w:val="00496C7C"/>
    <w:rsid w:val="00496DD5"/>
    <w:rsid w:val="00496E9C"/>
    <w:rsid w:val="00496ED0"/>
    <w:rsid w:val="00496F86"/>
    <w:rsid w:val="00496FF7"/>
    <w:rsid w:val="00497118"/>
    <w:rsid w:val="004972A4"/>
    <w:rsid w:val="0049745C"/>
    <w:rsid w:val="004975A6"/>
    <w:rsid w:val="0049766D"/>
    <w:rsid w:val="004978AB"/>
    <w:rsid w:val="0049793B"/>
    <w:rsid w:val="00497980"/>
    <w:rsid w:val="00497A1E"/>
    <w:rsid w:val="00497AE7"/>
    <w:rsid w:val="00497B49"/>
    <w:rsid w:val="00497B9F"/>
    <w:rsid w:val="00497BC1"/>
    <w:rsid w:val="00497BED"/>
    <w:rsid w:val="00497C16"/>
    <w:rsid w:val="00497C4F"/>
    <w:rsid w:val="00497CBB"/>
    <w:rsid w:val="00497EAB"/>
    <w:rsid w:val="00497EEA"/>
    <w:rsid w:val="004A0168"/>
    <w:rsid w:val="004A0197"/>
    <w:rsid w:val="004A01C2"/>
    <w:rsid w:val="004A03CA"/>
    <w:rsid w:val="004A05DB"/>
    <w:rsid w:val="004A066F"/>
    <w:rsid w:val="004A0737"/>
    <w:rsid w:val="004A079C"/>
    <w:rsid w:val="004A079D"/>
    <w:rsid w:val="004A08FD"/>
    <w:rsid w:val="004A0AB4"/>
    <w:rsid w:val="004A0AD7"/>
    <w:rsid w:val="004A0BAF"/>
    <w:rsid w:val="004A113A"/>
    <w:rsid w:val="004A1449"/>
    <w:rsid w:val="004A1482"/>
    <w:rsid w:val="004A16C0"/>
    <w:rsid w:val="004A177C"/>
    <w:rsid w:val="004A18B0"/>
    <w:rsid w:val="004A1F29"/>
    <w:rsid w:val="004A1F8C"/>
    <w:rsid w:val="004A2084"/>
    <w:rsid w:val="004A2098"/>
    <w:rsid w:val="004A2392"/>
    <w:rsid w:val="004A24F3"/>
    <w:rsid w:val="004A283E"/>
    <w:rsid w:val="004A28EC"/>
    <w:rsid w:val="004A29AA"/>
    <w:rsid w:val="004A2C47"/>
    <w:rsid w:val="004A2CB8"/>
    <w:rsid w:val="004A2D66"/>
    <w:rsid w:val="004A2DE6"/>
    <w:rsid w:val="004A2DEF"/>
    <w:rsid w:val="004A302B"/>
    <w:rsid w:val="004A305D"/>
    <w:rsid w:val="004A306B"/>
    <w:rsid w:val="004A324E"/>
    <w:rsid w:val="004A340F"/>
    <w:rsid w:val="004A3630"/>
    <w:rsid w:val="004A36C8"/>
    <w:rsid w:val="004A38D2"/>
    <w:rsid w:val="004A392A"/>
    <w:rsid w:val="004A3C92"/>
    <w:rsid w:val="004A3D43"/>
    <w:rsid w:val="004A3E58"/>
    <w:rsid w:val="004A3FCB"/>
    <w:rsid w:val="004A4430"/>
    <w:rsid w:val="004A4549"/>
    <w:rsid w:val="004A473C"/>
    <w:rsid w:val="004A48F7"/>
    <w:rsid w:val="004A48FB"/>
    <w:rsid w:val="004A4A1C"/>
    <w:rsid w:val="004A4B6B"/>
    <w:rsid w:val="004A4B83"/>
    <w:rsid w:val="004A4BD5"/>
    <w:rsid w:val="004A4E1A"/>
    <w:rsid w:val="004A4E72"/>
    <w:rsid w:val="004A4E88"/>
    <w:rsid w:val="004A4F57"/>
    <w:rsid w:val="004A4FDF"/>
    <w:rsid w:val="004A505A"/>
    <w:rsid w:val="004A53BB"/>
    <w:rsid w:val="004A5453"/>
    <w:rsid w:val="004A5489"/>
    <w:rsid w:val="004A56AC"/>
    <w:rsid w:val="004A56E6"/>
    <w:rsid w:val="004A58C9"/>
    <w:rsid w:val="004A58ED"/>
    <w:rsid w:val="004A59A6"/>
    <w:rsid w:val="004A5E73"/>
    <w:rsid w:val="004A5F97"/>
    <w:rsid w:val="004A60D3"/>
    <w:rsid w:val="004A61CA"/>
    <w:rsid w:val="004A6354"/>
    <w:rsid w:val="004A6427"/>
    <w:rsid w:val="004A65B4"/>
    <w:rsid w:val="004A6614"/>
    <w:rsid w:val="004A677C"/>
    <w:rsid w:val="004A696D"/>
    <w:rsid w:val="004A6A01"/>
    <w:rsid w:val="004A6B7C"/>
    <w:rsid w:val="004A6DBF"/>
    <w:rsid w:val="004A6DF2"/>
    <w:rsid w:val="004A700F"/>
    <w:rsid w:val="004A708C"/>
    <w:rsid w:val="004A710D"/>
    <w:rsid w:val="004A71E9"/>
    <w:rsid w:val="004A7331"/>
    <w:rsid w:val="004A74C1"/>
    <w:rsid w:val="004A766A"/>
    <w:rsid w:val="004A76EE"/>
    <w:rsid w:val="004A77B1"/>
    <w:rsid w:val="004A77E5"/>
    <w:rsid w:val="004A786F"/>
    <w:rsid w:val="004A78FB"/>
    <w:rsid w:val="004A7A52"/>
    <w:rsid w:val="004A7A80"/>
    <w:rsid w:val="004A7F95"/>
    <w:rsid w:val="004B00D4"/>
    <w:rsid w:val="004B00FD"/>
    <w:rsid w:val="004B0128"/>
    <w:rsid w:val="004B0184"/>
    <w:rsid w:val="004B01D8"/>
    <w:rsid w:val="004B01DB"/>
    <w:rsid w:val="004B0431"/>
    <w:rsid w:val="004B07F2"/>
    <w:rsid w:val="004B082A"/>
    <w:rsid w:val="004B095D"/>
    <w:rsid w:val="004B0B2D"/>
    <w:rsid w:val="004B0B74"/>
    <w:rsid w:val="004B0B76"/>
    <w:rsid w:val="004B0DE6"/>
    <w:rsid w:val="004B0DE8"/>
    <w:rsid w:val="004B0E34"/>
    <w:rsid w:val="004B0E6E"/>
    <w:rsid w:val="004B0E83"/>
    <w:rsid w:val="004B0ECA"/>
    <w:rsid w:val="004B0ECC"/>
    <w:rsid w:val="004B0F67"/>
    <w:rsid w:val="004B0FAD"/>
    <w:rsid w:val="004B1094"/>
    <w:rsid w:val="004B1142"/>
    <w:rsid w:val="004B119D"/>
    <w:rsid w:val="004B1373"/>
    <w:rsid w:val="004B15E9"/>
    <w:rsid w:val="004B168D"/>
    <w:rsid w:val="004B16F2"/>
    <w:rsid w:val="004B18CF"/>
    <w:rsid w:val="004B19E6"/>
    <w:rsid w:val="004B19FE"/>
    <w:rsid w:val="004B1B2A"/>
    <w:rsid w:val="004B1BF8"/>
    <w:rsid w:val="004B1C9B"/>
    <w:rsid w:val="004B1D02"/>
    <w:rsid w:val="004B1D24"/>
    <w:rsid w:val="004B1D81"/>
    <w:rsid w:val="004B1DA1"/>
    <w:rsid w:val="004B1F6C"/>
    <w:rsid w:val="004B2033"/>
    <w:rsid w:val="004B205F"/>
    <w:rsid w:val="004B2204"/>
    <w:rsid w:val="004B22C8"/>
    <w:rsid w:val="004B2370"/>
    <w:rsid w:val="004B25C3"/>
    <w:rsid w:val="004B27CE"/>
    <w:rsid w:val="004B27F2"/>
    <w:rsid w:val="004B28E6"/>
    <w:rsid w:val="004B296F"/>
    <w:rsid w:val="004B2996"/>
    <w:rsid w:val="004B2A3E"/>
    <w:rsid w:val="004B2A4D"/>
    <w:rsid w:val="004B2AD9"/>
    <w:rsid w:val="004B2B79"/>
    <w:rsid w:val="004B2DB8"/>
    <w:rsid w:val="004B2DCC"/>
    <w:rsid w:val="004B2E1D"/>
    <w:rsid w:val="004B2E5D"/>
    <w:rsid w:val="004B2F45"/>
    <w:rsid w:val="004B30E9"/>
    <w:rsid w:val="004B338E"/>
    <w:rsid w:val="004B33C2"/>
    <w:rsid w:val="004B33C3"/>
    <w:rsid w:val="004B33E0"/>
    <w:rsid w:val="004B346D"/>
    <w:rsid w:val="004B3520"/>
    <w:rsid w:val="004B35CE"/>
    <w:rsid w:val="004B374D"/>
    <w:rsid w:val="004B37BF"/>
    <w:rsid w:val="004B380D"/>
    <w:rsid w:val="004B382E"/>
    <w:rsid w:val="004B3AD9"/>
    <w:rsid w:val="004B3B81"/>
    <w:rsid w:val="004B3E10"/>
    <w:rsid w:val="004B3E30"/>
    <w:rsid w:val="004B3EED"/>
    <w:rsid w:val="004B4214"/>
    <w:rsid w:val="004B42A8"/>
    <w:rsid w:val="004B43BA"/>
    <w:rsid w:val="004B441E"/>
    <w:rsid w:val="004B44B1"/>
    <w:rsid w:val="004B477A"/>
    <w:rsid w:val="004B4ACB"/>
    <w:rsid w:val="004B4C13"/>
    <w:rsid w:val="004B4DAB"/>
    <w:rsid w:val="004B4E5A"/>
    <w:rsid w:val="004B4F7F"/>
    <w:rsid w:val="004B4FC7"/>
    <w:rsid w:val="004B4FD6"/>
    <w:rsid w:val="004B4FE2"/>
    <w:rsid w:val="004B5022"/>
    <w:rsid w:val="004B52E5"/>
    <w:rsid w:val="004B55EF"/>
    <w:rsid w:val="004B5771"/>
    <w:rsid w:val="004B5BA8"/>
    <w:rsid w:val="004B5C42"/>
    <w:rsid w:val="004B5FF2"/>
    <w:rsid w:val="004B6024"/>
    <w:rsid w:val="004B6040"/>
    <w:rsid w:val="004B6125"/>
    <w:rsid w:val="004B617A"/>
    <w:rsid w:val="004B6182"/>
    <w:rsid w:val="004B634F"/>
    <w:rsid w:val="004B652F"/>
    <w:rsid w:val="004B654B"/>
    <w:rsid w:val="004B65CE"/>
    <w:rsid w:val="004B66FE"/>
    <w:rsid w:val="004B6821"/>
    <w:rsid w:val="004B6836"/>
    <w:rsid w:val="004B689D"/>
    <w:rsid w:val="004B6A3B"/>
    <w:rsid w:val="004B6B0B"/>
    <w:rsid w:val="004B6C88"/>
    <w:rsid w:val="004B6D32"/>
    <w:rsid w:val="004B6F8D"/>
    <w:rsid w:val="004B717D"/>
    <w:rsid w:val="004B71D2"/>
    <w:rsid w:val="004B724B"/>
    <w:rsid w:val="004B77EA"/>
    <w:rsid w:val="004B781B"/>
    <w:rsid w:val="004B7845"/>
    <w:rsid w:val="004B78DE"/>
    <w:rsid w:val="004B7915"/>
    <w:rsid w:val="004B793D"/>
    <w:rsid w:val="004B7B48"/>
    <w:rsid w:val="004B7EE6"/>
    <w:rsid w:val="004B7FB2"/>
    <w:rsid w:val="004C02D6"/>
    <w:rsid w:val="004C02EA"/>
    <w:rsid w:val="004C033D"/>
    <w:rsid w:val="004C0599"/>
    <w:rsid w:val="004C05EF"/>
    <w:rsid w:val="004C0662"/>
    <w:rsid w:val="004C079F"/>
    <w:rsid w:val="004C07A9"/>
    <w:rsid w:val="004C081C"/>
    <w:rsid w:val="004C0849"/>
    <w:rsid w:val="004C08C3"/>
    <w:rsid w:val="004C0926"/>
    <w:rsid w:val="004C0A09"/>
    <w:rsid w:val="004C0B84"/>
    <w:rsid w:val="004C0C0A"/>
    <w:rsid w:val="004C0DB5"/>
    <w:rsid w:val="004C0E97"/>
    <w:rsid w:val="004C1105"/>
    <w:rsid w:val="004C13C9"/>
    <w:rsid w:val="004C1566"/>
    <w:rsid w:val="004C18FB"/>
    <w:rsid w:val="004C1A23"/>
    <w:rsid w:val="004C1B1A"/>
    <w:rsid w:val="004C1B30"/>
    <w:rsid w:val="004C1B89"/>
    <w:rsid w:val="004C1C24"/>
    <w:rsid w:val="004C1C57"/>
    <w:rsid w:val="004C1D61"/>
    <w:rsid w:val="004C1F33"/>
    <w:rsid w:val="004C21A2"/>
    <w:rsid w:val="004C2225"/>
    <w:rsid w:val="004C2334"/>
    <w:rsid w:val="004C25E2"/>
    <w:rsid w:val="004C25F5"/>
    <w:rsid w:val="004C279A"/>
    <w:rsid w:val="004C2902"/>
    <w:rsid w:val="004C29A3"/>
    <w:rsid w:val="004C29D3"/>
    <w:rsid w:val="004C2A5C"/>
    <w:rsid w:val="004C2A79"/>
    <w:rsid w:val="004C2B39"/>
    <w:rsid w:val="004C2B41"/>
    <w:rsid w:val="004C2E27"/>
    <w:rsid w:val="004C2E48"/>
    <w:rsid w:val="004C2FCF"/>
    <w:rsid w:val="004C2FF2"/>
    <w:rsid w:val="004C3166"/>
    <w:rsid w:val="004C31E3"/>
    <w:rsid w:val="004C326F"/>
    <w:rsid w:val="004C32FC"/>
    <w:rsid w:val="004C340C"/>
    <w:rsid w:val="004C3499"/>
    <w:rsid w:val="004C35B7"/>
    <w:rsid w:val="004C3695"/>
    <w:rsid w:val="004C37A1"/>
    <w:rsid w:val="004C37FE"/>
    <w:rsid w:val="004C3AEB"/>
    <w:rsid w:val="004C3BE2"/>
    <w:rsid w:val="004C3C70"/>
    <w:rsid w:val="004C3C7E"/>
    <w:rsid w:val="004C3D74"/>
    <w:rsid w:val="004C3DEF"/>
    <w:rsid w:val="004C3F52"/>
    <w:rsid w:val="004C4325"/>
    <w:rsid w:val="004C48C8"/>
    <w:rsid w:val="004C49A2"/>
    <w:rsid w:val="004C49D8"/>
    <w:rsid w:val="004C4A4D"/>
    <w:rsid w:val="004C4BA7"/>
    <w:rsid w:val="004C4DE0"/>
    <w:rsid w:val="004C4E21"/>
    <w:rsid w:val="004C4EA7"/>
    <w:rsid w:val="004C4F11"/>
    <w:rsid w:val="004C50FB"/>
    <w:rsid w:val="004C51E8"/>
    <w:rsid w:val="004C52B4"/>
    <w:rsid w:val="004C5341"/>
    <w:rsid w:val="004C5832"/>
    <w:rsid w:val="004C5980"/>
    <w:rsid w:val="004C598D"/>
    <w:rsid w:val="004C5A1E"/>
    <w:rsid w:val="004C5ADF"/>
    <w:rsid w:val="004C5B23"/>
    <w:rsid w:val="004C5E57"/>
    <w:rsid w:val="004C5F93"/>
    <w:rsid w:val="004C603A"/>
    <w:rsid w:val="004C60E6"/>
    <w:rsid w:val="004C6170"/>
    <w:rsid w:val="004C61F9"/>
    <w:rsid w:val="004C622C"/>
    <w:rsid w:val="004C6319"/>
    <w:rsid w:val="004C6342"/>
    <w:rsid w:val="004C64D3"/>
    <w:rsid w:val="004C6810"/>
    <w:rsid w:val="004C6BA7"/>
    <w:rsid w:val="004C6CC0"/>
    <w:rsid w:val="004C6DCB"/>
    <w:rsid w:val="004C6EB9"/>
    <w:rsid w:val="004C6ECF"/>
    <w:rsid w:val="004C6F55"/>
    <w:rsid w:val="004C6F5E"/>
    <w:rsid w:val="004C6F6B"/>
    <w:rsid w:val="004C7009"/>
    <w:rsid w:val="004C7192"/>
    <w:rsid w:val="004C73DB"/>
    <w:rsid w:val="004C7586"/>
    <w:rsid w:val="004C7663"/>
    <w:rsid w:val="004C773C"/>
    <w:rsid w:val="004C7787"/>
    <w:rsid w:val="004C77D7"/>
    <w:rsid w:val="004C77EB"/>
    <w:rsid w:val="004C7BE5"/>
    <w:rsid w:val="004C7C04"/>
    <w:rsid w:val="004C7C88"/>
    <w:rsid w:val="004C7D32"/>
    <w:rsid w:val="004C7DFE"/>
    <w:rsid w:val="004C7F5A"/>
    <w:rsid w:val="004D0080"/>
    <w:rsid w:val="004D0111"/>
    <w:rsid w:val="004D0433"/>
    <w:rsid w:val="004D0532"/>
    <w:rsid w:val="004D056E"/>
    <w:rsid w:val="004D0655"/>
    <w:rsid w:val="004D0761"/>
    <w:rsid w:val="004D07F6"/>
    <w:rsid w:val="004D0983"/>
    <w:rsid w:val="004D0A4D"/>
    <w:rsid w:val="004D0BAF"/>
    <w:rsid w:val="004D0CF9"/>
    <w:rsid w:val="004D0D02"/>
    <w:rsid w:val="004D0DB1"/>
    <w:rsid w:val="004D0E89"/>
    <w:rsid w:val="004D0ECC"/>
    <w:rsid w:val="004D102B"/>
    <w:rsid w:val="004D103C"/>
    <w:rsid w:val="004D1120"/>
    <w:rsid w:val="004D1141"/>
    <w:rsid w:val="004D123F"/>
    <w:rsid w:val="004D12CD"/>
    <w:rsid w:val="004D144B"/>
    <w:rsid w:val="004D14B6"/>
    <w:rsid w:val="004D1574"/>
    <w:rsid w:val="004D1614"/>
    <w:rsid w:val="004D166C"/>
    <w:rsid w:val="004D17B4"/>
    <w:rsid w:val="004D1948"/>
    <w:rsid w:val="004D1BB8"/>
    <w:rsid w:val="004D1DDC"/>
    <w:rsid w:val="004D1E13"/>
    <w:rsid w:val="004D1F41"/>
    <w:rsid w:val="004D1F43"/>
    <w:rsid w:val="004D1F6A"/>
    <w:rsid w:val="004D1FE3"/>
    <w:rsid w:val="004D2303"/>
    <w:rsid w:val="004D23CA"/>
    <w:rsid w:val="004D24BA"/>
    <w:rsid w:val="004D253D"/>
    <w:rsid w:val="004D2675"/>
    <w:rsid w:val="004D27BB"/>
    <w:rsid w:val="004D28C0"/>
    <w:rsid w:val="004D2925"/>
    <w:rsid w:val="004D2DC1"/>
    <w:rsid w:val="004D2DE5"/>
    <w:rsid w:val="004D3038"/>
    <w:rsid w:val="004D31E7"/>
    <w:rsid w:val="004D321E"/>
    <w:rsid w:val="004D3688"/>
    <w:rsid w:val="004D3702"/>
    <w:rsid w:val="004D371D"/>
    <w:rsid w:val="004D3806"/>
    <w:rsid w:val="004D3836"/>
    <w:rsid w:val="004D3897"/>
    <w:rsid w:val="004D38D7"/>
    <w:rsid w:val="004D38F2"/>
    <w:rsid w:val="004D396A"/>
    <w:rsid w:val="004D3A29"/>
    <w:rsid w:val="004D3C5E"/>
    <w:rsid w:val="004D3D9D"/>
    <w:rsid w:val="004D3DD7"/>
    <w:rsid w:val="004D4391"/>
    <w:rsid w:val="004D440C"/>
    <w:rsid w:val="004D4425"/>
    <w:rsid w:val="004D45D1"/>
    <w:rsid w:val="004D4659"/>
    <w:rsid w:val="004D4665"/>
    <w:rsid w:val="004D49AC"/>
    <w:rsid w:val="004D4A63"/>
    <w:rsid w:val="004D4AAD"/>
    <w:rsid w:val="004D4C34"/>
    <w:rsid w:val="004D4C78"/>
    <w:rsid w:val="004D4D75"/>
    <w:rsid w:val="004D4DB0"/>
    <w:rsid w:val="004D4DB5"/>
    <w:rsid w:val="004D4DC9"/>
    <w:rsid w:val="004D4F11"/>
    <w:rsid w:val="004D4F40"/>
    <w:rsid w:val="004D4F5E"/>
    <w:rsid w:val="004D4F8C"/>
    <w:rsid w:val="004D4FFC"/>
    <w:rsid w:val="004D5097"/>
    <w:rsid w:val="004D51CE"/>
    <w:rsid w:val="004D51E9"/>
    <w:rsid w:val="004D53FD"/>
    <w:rsid w:val="004D54DE"/>
    <w:rsid w:val="004D554C"/>
    <w:rsid w:val="004D571B"/>
    <w:rsid w:val="004D5757"/>
    <w:rsid w:val="004D582C"/>
    <w:rsid w:val="004D5883"/>
    <w:rsid w:val="004D5A21"/>
    <w:rsid w:val="004D5B70"/>
    <w:rsid w:val="004D5B7E"/>
    <w:rsid w:val="004D5C11"/>
    <w:rsid w:val="004D5E26"/>
    <w:rsid w:val="004D5E69"/>
    <w:rsid w:val="004D5F0E"/>
    <w:rsid w:val="004D6016"/>
    <w:rsid w:val="004D6153"/>
    <w:rsid w:val="004D617B"/>
    <w:rsid w:val="004D618D"/>
    <w:rsid w:val="004D6456"/>
    <w:rsid w:val="004D653C"/>
    <w:rsid w:val="004D6579"/>
    <w:rsid w:val="004D668B"/>
    <w:rsid w:val="004D6751"/>
    <w:rsid w:val="004D6D5C"/>
    <w:rsid w:val="004D6DAE"/>
    <w:rsid w:val="004D6E1D"/>
    <w:rsid w:val="004D70B3"/>
    <w:rsid w:val="004D7158"/>
    <w:rsid w:val="004D720E"/>
    <w:rsid w:val="004D721D"/>
    <w:rsid w:val="004D75C3"/>
    <w:rsid w:val="004D75D5"/>
    <w:rsid w:val="004D7616"/>
    <w:rsid w:val="004D7676"/>
    <w:rsid w:val="004D784D"/>
    <w:rsid w:val="004D7955"/>
    <w:rsid w:val="004D7A25"/>
    <w:rsid w:val="004D7B17"/>
    <w:rsid w:val="004D7BB5"/>
    <w:rsid w:val="004D7C7D"/>
    <w:rsid w:val="004D7D19"/>
    <w:rsid w:val="004D7E3B"/>
    <w:rsid w:val="004D7F12"/>
    <w:rsid w:val="004D7F3D"/>
    <w:rsid w:val="004E003F"/>
    <w:rsid w:val="004E0092"/>
    <w:rsid w:val="004E010A"/>
    <w:rsid w:val="004E02F5"/>
    <w:rsid w:val="004E0620"/>
    <w:rsid w:val="004E0639"/>
    <w:rsid w:val="004E0665"/>
    <w:rsid w:val="004E06DC"/>
    <w:rsid w:val="004E096E"/>
    <w:rsid w:val="004E0C8B"/>
    <w:rsid w:val="004E0D08"/>
    <w:rsid w:val="004E0E62"/>
    <w:rsid w:val="004E10B6"/>
    <w:rsid w:val="004E115B"/>
    <w:rsid w:val="004E11AB"/>
    <w:rsid w:val="004E12FB"/>
    <w:rsid w:val="004E137E"/>
    <w:rsid w:val="004E13C8"/>
    <w:rsid w:val="004E13FF"/>
    <w:rsid w:val="004E1446"/>
    <w:rsid w:val="004E14B0"/>
    <w:rsid w:val="004E156A"/>
    <w:rsid w:val="004E1648"/>
    <w:rsid w:val="004E17B7"/>
    <w:rsid w:val="004E17F7"/>
    <w:rsid w:val="004E193F"/>
    <w:rsid w:val="004E1A96"/>
    <w:rsid w:val="004E1AA8"/>
    <w:rsid w:val="004E1ACF"/>
    <w:rsid w:val="004E1B6F"/>
    <w:rsid w:val="004E1B70"/>
    <w:rsid w:val="004E1D8F"/>
    <w:rsid w:val="004E1EEE"/>
    <w:rsid w:val="004E1F3F"/>
    <w:rsid w:val="004E206D"/>
    <w:rsid w:val="004E20A9"/>
    <w:rsid w:val="004E2190"/>
    <w:rsid w:val="004E22FE"/>
    <w:rsid w:val="004E247F"/>
    <w:rsid w:val="004E2481"/>
    <w:rsid w:val="004E2530"/>
    <w:rsid w:val="004E2622"/>
    <w:rsid w:val="004E2653"/>
    <w:rsid w:val="004E266F"/>
    <w:rsid w:val="004E2940"/>
    <w:rsid w:val="004E29D7"/>
    <w:rsid w:val="004E2B14"/>
    <w:rsid w:val="004E2B37"/>
    <w:rsid w:val="004E2B55"/>
    <w:rsid w:val="004E2BD6"/>
    <w:rsid w:val="004E2D56"/>
    <w:rsid w:val="004E2DFD"/>
    <w:rsid w:val="004E2E52"/>
    <w:rsid w:val="004E30A2"/>
    <w:rsid w:val="004E3126"/>
    <w:rsid w:val="004E313E"/>
    <w:rsid w:val="004E3148"/>
    <w:rsid w:val="004E3192"/>
    <w:rsid w:val="004E352F"/>
    <w:rsid w:val="004E3617"/>
    <w:rsid w:val="004E3716"/>
    <w:rsid w:val="004E3757"/>
    <w:rsid w:val="004E37FB"/>
    <w:rsid w:val="004E39A5"/>
    <w:rsid w:val="004E3A91"/>
    <w:rsid w:val="004E3BAB"/>
    <w:rsid w:val="004E3C04"/>
    <w:rsid w:val="004E3C5F"/>
    <w:rsid w:val="004E3E0A"/>
    <w:rsid w:val="004E3F35"/>
    <w:rsid w:val="004E422A"/>
    <w:rsid w:val="004E4385"/>
    <w:rsid w:val="004E44A9"/>
    <w:rsid w:val="004E4547"/>
    <w:rsid w:val="004E45B5"/>
    <w:rsid w:val="004E4651"/>
    <w:rsid w:val="004E4A3E"/>
    <w:rsid w:val="004E4A68"/>
    <w:rsid w:val="004E4BF6"/>
    <w:rsid w:val="004E4E38"/>
    <w:rsid w:val="004E4ED8"/>
    <w:rsid w:val="004E4F23"/>
    <w:rsid w:val="004E4F35"/>
    <w:rsid w:val="004E4F50"/>
    <w:rsid w:val="004E4FFA"/>
    <w:rsid w:val="004E51A3"/>
    <w:rsid w:val="004E5511"/>
    <w:rsid w:val="004E5518"/>
    <w:rsid w:val="004E555B"/>
    <w:rsid w:val="004E5616"/>
    <w:rsid w:val="004E573E"/>
    <w:rsid w:val="004E5824"/>
    <w:rsid w:val="004E5891"/>
    <w:rsid w:val="004E58C5"/>
    <w:rsid w:val="004E58EF"/>
    <w:rsid w:val="004E5956"/>
    <w:rsid w:val="004E5A7A"/>
    <w:rsid w:val="004E5B33"/>
    <w:rsid w:val="004E5BB9"/>
    <w:rsid w:val="004E5D60"/>
    <w:rsid w:val="004E5F21"/>
    <w:rsid w:val="004E5FBB"/>
    <w:rsid w:val="004E601D"/>
    <w:rsid w:val="004E61C3"/>
    <w:rsid w:val="004E6223"/>
    <w:rsid w:val="004E6287"/>
    <w:rsid w:val="004E636E"/>
    <w:rsid w:val="004E643E"/>
    <w:rsid w:val="004E6864"/>
    <w:rsid w:val="004E6951"/>
    <w:rsid w:val="004E6A2A"/>
    <w:rsid w:val="004E6A59"/>
    <w:rsid w:val="004E6BF7"/>
    <w:rsid w:val="004E6CBB"/>
    <w:rsid w:val="004E6D0F"/>
    <w:rsid w:val="004E6FC2"/>
    <w:rsid w:val="004E7085"/>
    <w:rsid w:val="004E70B3"/>
    <w:rsid w:val="004E7143"/>
    <w:rsid w:val="004E7206"/>
    <w:rsid w:val="004E745A"/>
    <w:rsid w:val="004E74EF"/>
    <w:rsid w:val="004E7648"/>
    <w:rsid w:val="004E773F"/>
    <w:rsid w:val="004E7785"/>
    <w:rsid w:val="004E77CB"/>
    <w:rsid w:val="004E7856"/>
    <w:rsid w:val="004E7A5E"/>
    <w:rsid w:val="004E7C27"/>
    <w:rsid w:val="004E7D36"/>
    <w:rsid w:val="004E7D8C"/>
    <w:rsid w:val="004E7E1F"/>
    <w:rsid w:val="004E7EDB"/>
    <w:rsid w:val="004E7F25"/>
    <w:rsid w:val="004F00C4"/>
    <w:rsid w:val="004F01A6"/>
    <w:rsid w:val="004F0384"/>
    <w:rsid w:val="004F03BD"/>
    <w:rsid w:val="004F04B4"/>
    <w:rsid w:val="004F04E6"/>
    <w:rsid w:val="004F0637"/>
    <w:rsid w:val="004F064B"/>
    <w:rsid w:val="004F0668"/>
    <w:rsid w:val="004F06CC"/>
    <w:rsid w:val="004F07CB"/>
    <w:rsid w:val="004F08B7"/>
    <w:rsid w:val="004F0AF2"/>
    <w:rsid w:val="004F0B47"/>
    <w:rsid w:val="004F0B73"/>
    <w:rsid w:val="004F0BBB"/>
    <w:rsid w:val="004F0DB1"/>
    <w:rsid w:val="004F0EF6"/>
    <w:rsid w:val="004F0F9B"/>
    <w:rsid w:val="004F103A"/>
    <w:rsid w:val="004F10A5"/>
    <w:rsid w:val="004F1356"/>
    <w:rsid w:val="004F1368"/>
    <w:rsid w:val="004F1619"/>
    <w:rsid w:val="004F16F3"/>
    <w:rsid w:val="004F185A"/>
    <w:rsid w:val="004F1896"/>
    <w:rsid w:val="004F1A58"/>
    <w:rsid w:val="004F1B19"/>
    <w:rsid w:val="004F1BE1"/>
    <w:rsid w:val="004F1C2C"/>
    <w:rsid w:val="004F1C6A"/>
    <w:rsid w:val="004F1E0E"/>
    <w:rsid w:val="004F1E8E"/>
    <w:rsid w:val="004F2013"/>
    <w:rsid w:val="004F20E3"/>
    <w:rsid w:val="004F2160"/>
    <w:rsid w:val="004F216E"/>
    <w:rsid w:val="004F2287"/>
    <w:rsid w:val="004F22A4"/>
    <w:rsid w:val="004F22E8"/>
    <w:rsid w:val="004F2352"/>
    <w:rsid w:val="004F2395"/>
    <w:rsid w:val="004F23E7"/>
    <w:rsid w:val="004F24A3"/>
    <w:rsid w:val="004F24DD"/>
    <w:rsid w:val="004F2537"/>
    <w:rsid w:val="004F286D"/>
    <w:rsid w:val="004F2CD0"/>
    <w:rsid w:val="004F2D67"/>
    <w:rsid w:val="004F2DDD"/>
    <w:rsid w:val="004F2F17"/>
    <w:rsid w:val="004F2FF0"/>
    <w:rsid w:val="004F30F0"/>
    <w:rsid w:val="004F3189"/>
    <w:rsid w:val="004F3363"/>
    <w:rsid w:val="004F34E5"/>
    <w:rsid w:val="004F3517"/>
    <w:rsid w:val="004F37F3"/>
    <w:rsid w:val="004F3840"/>
    <w:rsid w:val="004F3CC2"/>
    <w:rsid w:val="004F3CFD"/>
    <w:rsid w:val="004F3D0A"/>
    <w:rsid w:val="004F3D14"/>
    <w:rsid w:val="004F3D3D"/>
    <w:rsid w:val="004F3E2A"/>
    <w:rsid w:val="004F3F7E"/>
    <w:rsid w:val="004F4638"/>
    <w:rsid w:val="004F46B5"/>
    <w:rsid w:val="004F46E3"/>
    <w:rsid w:val="004F471B"/>
    <w:rsid w:val="004F475A"/>
    <w:rsid w:val="004F47E3"/>
    <w:rsid w:val="004F4821"/>
    <w:rsid w:val="004F4AED"/>
    <w:rsid w:val="004F4BC6"/>
    <w:rsid w:val="004F4BD6"/>
    <w:rsid w:val="004F4C69"/>
    <w:rsid w:val="004F4D01"/>
    <w:rsid w:val="004F4D7E"/>
    <w:rsid w:val="004F4FE0"/>
    <w:rsid w:val="004F5000"/>
    <w:rsid w:val="004F513C"/>
    <w:rsid w:val="004F5226"/>
    <w:rsid w:val="004F5315"/>
    <w:rsid w:val="004F532E"/>
    <w:rsid w:val="004F53AC"/>
    <w:rsid w:val="004F543C"/>
    <w:rsid w:val="004F555A"/>
    <w:rsid w:val="004F55D5"/>
    <w:rsid w:val="004F571B"/>
    <w:rsid w:val="004F5822"/>
    <w:rsid w:val="004F5873"/>
    <w:rsid w:val="004F58EA"/>
    <w:rsid w:val="004F58EF"/>
    <w:rsid w:val="004F591F"/>
    <w:rsid w:val="004F5BB7"/>
    <w:rsid w:val="004F5E26"/>
    <w:rsid w:val="004F5FDE"/>
    <w:rsid w:val="004F60C7"/>
    <w:rsid w:val="004F6333"/>
    <w:rsid w:val="004F6845"/>
    <w:rsid w:val="004F69F6"/>
    <w:rsid w:val="004F6AD3"/>
    <w:rsid w:val="004F6AF5"/>
    <w:rsid w:val="004F6B56"/>
    <w:rsid w:val="004F6B5A"/>
    <w:rsid w:val="004F6D20"/>
    <w:rsid w:val="004F6D34"/>
    <w:rsid w:val="004F6F32"/>
    <w:rsid w:val="004F6F97"/>
    <w:rsid w:val="004F7100"/>
    <w:rsid w:val="004F7220"/>
    <w:rsid w:val="004F7282"/>
    <w:rsid w:val="004F7334"/>
    <w:rsid w:val="004F73CA"/>
    <w:rsid w:val="004F74C8"/>
    <w:rsid w:val="004F7573"/>
    <w:rsid w:val="004F7763"/>
    <w:rsid w:val="004F788C"/>
    <w:rsid w:val="004F7893"/>
    <w:rsid w:val="004F7945"/>
    <w:rsid w:val="004F7A7A"/>
    <w:rsid w:val="004F7C0C"/>
    <w:rsid w:val="004F7C68"/>
    <w:rsid w:val="004F7F65"/>
    <w:rsid w:val="004F7F7C"/>
    <w:rsid w:val="004F7FB3"/>
    <w:rsid w:val="004F7FC3"/>
    <w:rsid w:val="00500190"/>
    <w:rsid w:val="0050022B"/>
    <w:rsid w:val="005003A8"/>
    <w:rsid w:val="005003C9"/>
    <w:rsid w:val="00500454"/>
    <w:rsid w:val="0050047D"/>
    <w:rsid w:val="00500481"/>
    <w:rsid w:val="00500546"/>
    <w:rsid w:val="00500558"/>
    <w:rsid w:val="00500751"/>
    <w:rsid w:val="005007B3"/>
    <w:rsid w:val="005007EA"/>
    <w:rsid w:val="005009DE"/>
    <w:rsid w:val="00500A06"/>
    <w:rsid w:val="00500A15"/>
    <w:rsid w:val="00500AAA"/>
    <w:rsid w:val="00500B10"/>
    <w:rsid w:val="00500BBF"/>
    <w:rsid w:val="00500CE5"/>
    <w:rsid w:val="00500F61"/>
    <w:rsid w:val="00500FA3"/>
    <w:rsid w:val="005011D2"/>
    <w:rsid w:val="00501339"/>
    <w:rsid w:val="00501341"/>
    <w:rsid w:val="00501386"/>
    <w:rsid w:val="0050175E"/>
    <w:rsid w:val="00501768"/>
    <w:rsid w:val="00501AE9"/>
    <w:rsid w:val="00501B0D"/>
    <w:rsid w:val="00501BD9"/>
    <w:rsid w:val="00501C25"/>
    <w:rsid w:val="00501F8E"/>
    <w:rsid w:val="00501FFF"/>
    <w:rsid w:val="0050257B"/>
    <w:rsid w:val="0050259E"/>
    <w:rsid w:val="005027A6"/>
    <w:rsid w:val="00502822"/>
    <w:rsid w:val="0050282F"/>
    <w:rsid w:val="00502A21"/>
    <w:rsid w:val="00502A8F"/>
    <w:rsid w:val="00502AF5"/>
    <w:rsid w:val="00502B0A"/>
    <w:rsid w:val="00502BAC"/>
    <w:rsid w:val="00502C51"/>
    <w:rsid w:val="00502C5B"/>
    <w:rsid w:val="00502DAE"/>
    <w:rsid w:val="00502FE9"/>
    <w:rsid w:val="00502FFB"/>
    <w:rsid w:val="00503001"/>
    <w:rsid w:val="0050301A"/>
    <w:rsid w:val="005030B8"/>
    <w:rsid w:val="00503301"/>
    <w:rsid w:val="00503410"/>
    <w:rsid w:val="005034E1"/>
    <w:rsid w:val="005034E6"/>
    <w:rsid w:val="00503551"/>
    <w:rsid w:val="005036C4"/>
    <w:rsid w:val="00503759"/>
    <w:rsid w:val="0050382C"/>
    <w:rsid w:val="005038A0"/>
    <w:rsid w:val="005038A1"/>
    <w:rsid w:val="005039AB"/>
    <w:rsid w:val="00503CDA"/>
    <w:rsid w:val="00503EC1"/>
    <w:rsid w:val="00503F7D"/>
    <w:rsid w:val="0050426A"/>
    <w:rsid w:val="005042D3"/>
    <w:rsid w:val="00504325"/>
    <w:rsid w:val="0050465C"/>
    <w:rsid w:val="005046B6"/>
    <w:rsid w:val="00504A82"/>
    <w:rsid w:val="00504D93"/>
    <w:rsid w:val="00505003"/>
    <w:rsid w:val="005050EE"/>
    <w:rsid w:val="00505259"/>
    <w:rsid w:val="005052E0"/>
    <w:rsid w:val="005053B7"/>
    <w:rsid w:val="00505481"/>
    <w:rsid w:val="0050567B"/>
    <w:rsid w:val="005057BF"/>
    <w:rsid w:val="00505A51"/>
    <w:rsid w:val="00505AF5"/>
    <w:rsid w:val="00505BB0"/>
    <w:rsid w:val="00505C3F"/>
    <w:rsid w:val="00505C43"/>
    <w:rsid w:val="00505CAC"/>
    <w:rsid w:val="00505DD9"/>
    <w:rsid w:val="00505E19"/>
    <w:rsid w:val="00505EEA"/>
    <w:rsid w:val="00506161"/>
    <w:rsid w:val="0050618A"/>
    <w:rsid w:val="00506466"/>
    <w:rsid w:val="0050666A"/>
    <w:rsid w:val="0050697B"/>
    <w:rsid w:val="00506AF5"/>
    <w:rsid w:val="00506B75"/>
    <w:rsid w:val="00506BE2"/>
    <w:rsid w:val="00506D3A"/>
    <w:rsid w:val="00506E14"/>
    <w:rsid w:val="00506ED2"/>
    <w:rsid w:val="00506EE6"/>
    <w:rsid w:val="0050700E"/>
    <w:rsid w:val="005072B9"/>
    <w:rsid w:val="00507338"/>
    <w:rsid w:val="00507379"/>
    <w:rsid w:val="005073DE"/>
    <w:rsid w:val="005074A2"/>
    <w:rsid w:val="005075A4"/>
    <w:rsid w:val="005075B0"/>
    <w:rsid w:val="005076D9"/>
    <w:rsid w:val="0050780D"/>
    <w:rsid w:val="005079B3"/>
    <w:rsid w:val="00507A50"/>
    <w:rsid w:val="00507AB8"/>
    <w:rsid w:val="00507D80"/>
    <w:rsid w:val="00507F22"/>
    <w:rsid w:val="0051004C"/>
    <w:rsid w:val="00510129"/>
    <w:rsid w:val="00510148"/>
    <w:rsid w:val="005103C5"/>
    <w:rsid w:val="005103D0"/>
    <w:rsid w:val="0051059D"/>
    <w:rsid w:val="00510705"/>
    <w:rsid w:val="0051077B"/>
    <w:rsid w:val="005107A1"/>
    <w:rsid w:val="00510849"/>
    <w:rsid w:val="00510885"/>
    <w:rsid w:val="005108A7"/>
    <w:rsid w:val="00510918"/>
    <w:rsid w:val="00510B50"/>
    <w:rsid w:val="00510BF8"/>
    <w:rsid w:val="00510C07"/>
    <w:rsid w:val="00510D97"/>
    <w:rsid w:val="00510EC8"/>
    <w:rsid w:val="0051114B"/>
    <w:rsid w:val="005111A9"/>
    <w:rsid w:val="0051156B"/>
    <w:rsid w:val="00511696"/>
    <w:rsid w:val="005118BF"/>
    <w:rsid w:val="00511980"/>
    <w:rsid w:val="00511999"/>
    <w:rsid w:val="00511A82"/>
    <w:rsid w:val="00511D90"/>
    <w:rsid w:val="00511F65"/>
    <w:rsid w:val="00511FF4"/>
    <w:rsid w:val="0051227A"/>
    <w:rsid w:val="005123B6"/>
    <w:rsid w:val="005125BE"/>
    <w:rsid w:val="00512775"/>
    <w:rsid w:val="00512955"/>
    <w:rsid w:val="00512AF2"/>
    <w:rsid w:val="00512B2B"/>
    <w:rsid w:val="00512BD7"/>
    <w:rsid w:val="00512BEA"/>
    <w:rsid w:val="00512C4C"/>
    <w:rsid w:val="00512CEA"/>
    <w:rsid w:val="00512D76"/>
    <w:rsid w:val="00512EC5"/>
    <w:rsid w:val="00512ED2"/>
    <w:rsid w:val="00512FB4"/>
    <w:rsid w:val="00512FE2"/>
    <w:rsid w:val="005131D3"/>
    <w:rsid w:val="00513208"/>
    <w:rsid w:val="005132F1"/>
    <w:rsid w:val="005134D0"/>
    <w:rsid w:val="0051352C"/>
    <w:rsid w:val="0051356A"/>
    <w:rsid w:val="005136B8"/>
    <w:rsid w:val="00513B1C"/>
    <w:rsid w:val="00513B4C"/>
    <w:rsid w:val="00513DE5"/>
    <w:rsid w:val="00513F0D"/>
    <w:rsid w:val="0051409A"/>
    <w:rsid w:val="005140D3"/>
    <w:rsid w:val="005142B4"/>
    <w:rsid w:val="00514494"/>
    <w:rsid w:val="00514551"/>
    <w:rsid w:val="005145B0"/>
    <w:rsid w:val="005147CA"/>
    <w:rsid w:val="00514824"/>
    <w:rsid w:val="0051482F"/>
    <w:rsid w:val="0051489A"/>
    <w:rsid w:val="00514C5C"/>
    <w:rsid w:val="00514D37"/>
    <w:rsid w:val="00514D41"/>
    <w:rsid w:val="00514DB2"/>
    <w:rsid w:val="00514DE7"/>
    <w:rsid w:val="00514E7C"/>
    <w:rsid w:val="00514EEE"/>
    <w:rsid w:val="00514F11"/>
    <w:rsid w:val="00514FC2"/>
    <w:rsid w:val="005153A7"/>
    <w:rsid w:val="005153C5"/>
    <w:rsid w:val="0051547D"/>
    <w:rsid w:val="00515582"/>
    <w:rsid w:val="00515629"/>
    <w:rsid w:val="00515687"/>
    <w:rsid w:val="005158C0"/>
    <w:rsid w:val="00515947"/>
    <w:rsid w:val="00515A7C"/>
    <w:rsid w:val="00515BFA"/>
    <w:rsid w:val="00515D9E"/>
    <w:rsid w:val="00515E6A"/>
    <w:rsid w:val="00515F6A"/>
    <w:rsid w:val="005161EC"/>
    <w:rsid w:val="0051630C"/>
    <w:rsid w:val="00516610"/>
    <w:rsid w:val="00516647"/>
    <w:rsid w:val="005167CE"/>
    <w:rsid w:val="005168E5"/>
    <w:rsid w:val="00516929"/>
    <w:rsid w:val="0051693A"/>
    <w:rsid w:val="00516CA5"/>
    <w:rsid w:val="00516D9F"/>
    <w:rsid w:val="00516DCF"/>
    <w:rsid w:val="00516DFA"/>
    <w:rsid w:val="00516E4E"/>
    <w:rsid w:val="00516EAA"/>
    <w:rsid w:val="00517058"/>
    <w:rsid w:val="00517117"/>
    <w:rsid w:val="00517148"/>
    <w:rsid w:val="00517397"/>
    <w:rsid w:val="005174AF"/>
    <w:rsid w:val="00517634"/>
    <w:rsid w:val="0051768C"/>
    <w:rsid w:val="0051774E"/>
    <w:rsid w:val="0051776E"/>
    <w:rsid w:val="00517A86"/>
    <w:rsid w:val="00517AA8"/>
    <w:rsid w:val="00517FA4"/>
    <w:rsid w:val="00520094"/>
    <w:rsid w:val="0052019D"/>
    <w:rsid w:val="00520296"/>
    <w:rsid w:val="005203F4"/>
    <w:rsid w:val="00520402"/>
    <w:rsid w:val="005204E5"/>
    <w:rsid w:val="00520599"/>
    <w:rsid w:val="0052066C"/>
    <w:rsid w:val="0052068E"/>
    <w:rsid w:val="0052068F"/>
    <w:rsid w:val="005206F7"/>
    <w:rsid w:val="005207ED"/>
    <w:rsid w:val="00520892"/>
    <w:rsid w:val="00520A6D"/>
    <w:rsid w:val="00520B1A"/>
    <w:rsid w:val="00520D88"/>
    <w:rsid w:val="00520DC5"/>
    <w:rsid w:val="005211E8"/>
    <w:rsid w:val="005213DF"/>
    <w:rsid w:val="005215F1"/>
    <w:rsid w:val="00521A4B"/>
    <w:rsid w:val="00521AD0"/>
    <w:rsid w:val="00521D92"/>
    <w:rsid w:val="00521DD3"/>
    <w:rsid w:val="00521F0A"/>
    <w:rsid w:val="005220D6"/>
    <w:rsid w:val="00522127"/>
    <w:rsid w:val="00522147"/>
    <w:rsid w:val="00522320"/>
    <w:rsid w:val="00522378"/>
    <w:rsid w:val="00522410"/>
    <w:rsid w:val="0052247C"/>
    <w:rsid w:val="0052248E"/>
    <w:rsid w:val="005225C5"/>
    <w:rsid w:val="005227B0"/>
    <w:rsid w:val="005228D9"/>
    <w:rsid w:val="00522CFC"/>
    <w:rsid w:val="00522DC8"/>
    <w:rsid w:val="005231FE"/>
    <w:rsid w:val="0052320E"/>
    <w:rsid w:val="0052330D"/>
    <w:rsid w:val="0052340F"/>
    <w:rsid w:val="0052349D"/>
    <w:rsid w:val="005234FC"/>
    <w:rsid w:val="005235EF"/>
    <w:rsid w:val="00523723"/>
    <w:rsid w:val="00523924"/>
    <w:rsid w:val="00523994"/>
    <w:rsid w:val="00523BB0"/>
    <w:rsid w:val="00523D3C"/>
    <w:rsid w:val="00523F3A"/>
    <w:rsid w:val="00524042"/>
    <w:rsid w:val="0052412C"/>
    <w:rsid w:val="005242D1"/>
    <w:rsid w:val="005243E0"/>
    <w:rsid w:val="0052444D"/>
    <w:rsid w:val="005245DE"/>
    <w:rsid w:val="00524849"/>
    <w:rsid w:val="00524878"/>
    <w:rsid w:val="00524BE8"/>
    <w:rsid w:val="00524E49"/>
    <w:rsid w:val="00524F7D"/>
    <w:rsid w:val="00524FEF"/>
    <w:rsid w:val="0052511F"/>
    <w:rsid w:val="00525238"/>
    <w:rsid w:val="00525246"/>
    <w:rsid w:val="0052526F"/>
    <w:rsid w:val="0052533C"/>
    <w:rsid w:val="00525376"/>
    <w:rsid w:val="00525473"/>
    <w:rsid w:val="005254FF"/>
    <w:rsid w:val="00525731"/>
    <w:rsid w:val="0052575D"/>
    <w:rsid w:val="00525820"/>
    <w:rsid w:val="00525867"/>
    <w:rsid w:val="00525971"/>
    <w:rsid w:val="00525A3B"/>
    <w:rsid w:val="00525AA6"/>
    <w:rsid w:val="00525C67"/>
    <w:rsid w:val="00525D6B"/>
    <w:rsid w:val="00525DA4"/>
    <w:rsid w:val="00525E01"/>
    <w:rsid w:val="00525F71"/>
    <w:rsid w:val="005262F4"/>
    <w:rsid w:val="00526387"/>
    <w:rsid w:val="0052642F"/>
    <w:rsid w:val="005264A6"/>
    <w:rsid w:val="00526502"/>
    <w:rsid w:val="00526584"/>
    <w:rsid w:val="0052661B"/>
    <w:rsid w:val="00526629"/>
    <w:rsid w:val="0052675D"/>
    <w:rsid w:val="0052699C"/>
    <w:rsid w:val="00526A5D"/>
    <w:rsid w:val="00526B4C"/>
    <w:rsid w:val="00526C92"/>
    <w:rsid w:val="00526E26"/>
    <w:rsid w:val="00527059"/>
    <w:rsid w:val="005270B1"/>
    <w:rsid w:val="005270F0"/>
    <w:rsid w:val="00527123"/>
    <w:rsid w:val="005271BD"/>
    <w:rsid w:val="00527261"/>
    <w:rsid w:val="005272BC"/>
    <w:rsid w:val="005274F0"/>
    <w:rsid w:val="00527511"/>
    <w:rsid w:val="005275FC"/>
    <w:rsid w:val="0052768C"/>
    <w:rsid w:val="005276A7"/>
    <w:rsid w:val="005278AE"/>
    <w:rsid w:val="00527A90"/>
    <w:rsid w:val="00527B4E"/>
    <w:rsid w:val="00527BC5"/>
    <w:rsid w:val="00527BF9"/>
    <w:rsid w:val="00527D1E"/>
    <w:rsid w:val="00527D3C"/>
    <w:rsid w:val="00527DC9"/>
    <w:rsid w:val="00527E88"/>
    <w:rsid w:val="00527EB4"/>
    <w:rsid w:val="00527FD6"/>
    <w:rsid w:val="00530142"/>
    <w:rsid w:val="0053026C"/>
    <w:rsid w:val="0053027D"/>
    <w:rsid w:val="00530376"/>
    <w:rsid w:val="00530763"/>
    <w:rsid w:val="0053082D"/>
    <w:rsid w:val="00530896"/>
    <w:rsid w:val="005308E3"/>
    <w:rsid w:val="00530924"/>
    <w:rsid w:val="00530B31"/>
    <w:rsid w:val="00530B69"/>
    <w:rsid w:val="00530CA9"/>
    <w:rsid w:val="00530D92"/>
    <w:rsid w:val="00530DE6"/>
    <w:rsid w:val="00530DEA"/>
    <w:rsid w:val="00530EB3"/>
    <w:rsid w:val="00530EC7"/>
    <w:rsid w:val="00530F39"/>
    <w:rsid w:val="00531068"/>
    <w:rsid w:val="005310AF"/>
    <w:rsid w:val="00531114"/>
    <w:rsid w:val="00531130"/>
    <w:rsid w:val="005312B5"/>
    <w:rsid w:val="005312F0"/>
    <w:rsid w:val="005315CB"/>
    <w:rsid w:val="005315FB"/>
    <w:rsid w:val="005316C6"/>
    <w:rsid w:val="00531746"/>
    <w:rsid w:val="005318FD"/>
    <w:rsid w:val="00531A71"/>
    <w:rsid w:val="00531AC0"/>
    <w:rsid w:val="00531ADC"/>
    <w:rsid w:val="00531AF3"/>
    <w:rsid w:val="00531B5E"/>
    <w:rsid w:val="00531C01"/>
    <w:rsid w:val="00531E82"/>
    <w:rsid w:val="00531FBD"/>
    <w:rsid w:val="005321E6"/>
    <w:rsid w:val="005321F6"/>
    <w:rsid w:val="00532234"/>
    <w:rsid w:val="00532247"/>
    <w:rsid w:val="005324F9"/>
    <w:rsid w:val="00532547"/>
    <w:rsid w:val="00532652"/>
    <w:rsid w:val="005326FE"/>
    <w:rsid w:val="005328EC"/>
    <w:rsid w:val="00532AE9"/>
    <w:rsid w:val="00532CD8"/>
    <w:rsid w:val="00532D43"/>
    <w:rsid w:val="00532EDE"/>
    <w:rsid w:val="00532F1C"/>
    <w:rsid w:val="005331F0"/>
    <w:rsid w:val="005332DE"/>
    <w:rsid w:val="005334D5"/>
    <w:rsid w:val="0053351B"/>
    <w:rsid w:val="005335E3"/>
    <w:rsid w:val="005336F6"/>
    <w:rsid w:val="005338C9"/>
    <w:rsid w:val="00533A50"/>
    <w:rsid w:val="00533A5B"/>
    <w:rsid w:val="00533B2D"/>
    <w:rsid w:val="00533CB5"/>
    <w:rsid w:val="00533F7C"/>
    <w:rsid w:val="00533F90"/>
    <w:rsid w:val="005340F2"/>
    <w:rsid w:val="005341E9"/>
    <w:rsid w:val="005342C3"/>
    <w:rsid w:val="005343EA"/>
    <w:rsid w:val="00534426"/>
    <w:rsid w:val="00534454"/>
    <w:rsid w:val="005344D9"/>
    <w:rsid w:val="005345C5"/>
    <w:rsid w:val="005345D5"/>
    <w:rsid w:val="005347A8"/>
    <w:rsid w:val="0053485F"/>
    <w:rsid w:val="0053498A"/>
    <w:rsid w:val="00534B7D"/>
    <w:rsid w:val="00534C47"/>
    <w:rsid w:val="00534E3E"/>
    <w:rsid w:val="00534F3A"/>
    <w:rsid w:val="005351C2"/>
    <w:rsid w:val="0053547B"/>
    <w:rsid w:val="005354CC"/>
    <w:rsid w:val="00535537"/>
    <w:rsid w:val="00535548"/>
    <w:rsid w:val="00535696"/>
    <w:rsid w:val="00535703"/>
    <w:rsid w:val="00535A75"/>
    <w:rsid w:val="00535CF8"/>
    <w:rsid w:val="00535DCE"/>
    <w:rsid w:val="00536144"/>
    <w:rsid w:val="005361A5"/>
    <w:rsid w:val="005362C2"/>
    <w:rsid w:val="005362F5"/>
    <w:rsid w:val="00536308"/>
    <w:rsid w:val="0053635E"/>
    <w:rsid w:val="00536474"/>
    <w:rsid w:val="005366D9"/>
    <w:rsid w:val="0053670B"/>
    <w:rsid w:val="00536998"/>
    <w:rsid w:val="00536AA3"/>
    <w:rsid w:val="00536BC5"/>
    <w:rsid w:val="00536CE8"/>
    <w:rsid w:val="00536E6F"/>
    <w:rsid w:val="00536EEE"/>
    <w:rsid w:val="00537007"/>
    <w:rsid w:val="00537099"/>
    <w:rsid w:val="00537132"/>
    <w:rsid w:val="00537247"/>
    <w:rsid w:val="0053725B"/>
    <w:rsid w:val="005373D6"/>
    <w:rsid w:val="0053749B"/>
    <w:rsid w:val="00537C03"/>
    <w:rsid w:val="00537CC1"/>
    <w:rsid w:val="00537FA5"/>
    <w:rsid w:val="00537FB9"/>
    <w:rsid w:val="00537FC9"/>
    <w:rsid w:val="00537FD1"/>
    <w:rsid w:val="0054010E"/>
    <w:rsid w:val="00540340"/>
    <w:rsid w:val="0054034F"/>
    <w:rsid w:val="00540430"/>
    <w:rsid w:val="00540536"/>
    <w:rsid w:val="005405FC"/>
    <w:rsid w:val="0054065D"/>
    <w:rsid w:val="005407B1"/>
    <w:rsid w:val="00540897"/>
    <w:rsid w:val="005408DF"/>
    <w:rsid w:val="00540968"/>
    <w:rsid w:val="005409A0"/>
    <w:rsid w:val="005409CF"/>
    <w:rsid w:val="00540A35"/>
    <w:rsid w:val="00540AB0"/>
    <w:rsid w:val="00540C57"/>
    <w:rsid w:val="00540CAF"/>
    <w:rsid w:val="00540CBD"/>
    <w:rsid w:val="00540CE7"/>
    <w:rsid w:val="00540D5F"/>
    <w:rsid w:val="00540DF6"/>
    <w:rsid w:val="00540F00"/>
    <w:rsid w:val="00540F88"/>
    <w:rsid w:val="00540F8A"/>
    <w:rsid w:val="0054106F"/>
    <w:rsid w:val="0054124A"/>
    <w:rsid w:val="00541278"/>
    <w:rsid w:val="00541579"/>
    <w:rsid w:val="005415C7"/>
    <w:rsid w:val="00541603"/>
    <w:rsid w:val="0054166E"/>
    <w:rsid w:val="00541685"/>
    <w:rsid w:val="005416DF"/>
    <w:rsid w:val="005417D4"/>
    <w:rsid w:val="00541854"/>
    <w:rsid w:val="00541937"/>
    <w:rsid w:val="005419CC"/>
    <w:rsid w:val="00541A13"/>
    <w:rsid w:val="00541A49"/>
    <w:rsid w:val="00541AD7"/>
    <w:rsid w:val="00541BC6"/>
    <w:rsid w:val="00541BDC"/>
    <w:rsid w:val="00541CA4"/>
    <w:rsid w:val="00541E91"/>
    <w:rsid w:val="00541EF7"/>
    <w:rsid w:val="00542313"/>
    <w:rsid w:val="00542324"/>
    <w:rsid w:val="00542480"/>
    <w:rsid w:val="00542481"/>
    <w:rsid w:val="0054264B"/>
    <w:rsid w:val="0054275E"/>
    <w:rsid w:val="00542918"/>
    <w:rsid w:val="005429EE"/>
    <w:rsid w:val="00542C11"/>
    <w:rsid w:val="00542DB7"/>
    <w:rsid w:val="00542E9C"/>
    <w:rsid w:val="00542EBC"/>
    <w:rsid w:val="00542F26"/>
    <w:rsid w:val="00542F33"/>
    <w:rsid w:val="0054300F"/>
    <w:rsid w:val="005431C2"/>
    <w:rsid w:val="00543394"/>
    <w:rsid w:val="005435A0"/>
    <w:rsid w:val="0054363C"/>
    <w:rsid w:val="005436A3"/>
    <w:rsid w:val="0054373B"/>
    <w:rsid w:val="005438E6"/>
    <w:rsid w:val="00543926"/>
    <w:rsid w:val="00543954"/>
    <w:rsid w:val="00543A48"/>
    <w:rsid w:val="00543E49"/>
    <w:rsid w:val="00543F94"/>
    <w:rsid w:val="0054411F"/>
    <w:rsid w:val="005441ED"/>
    <w:rsid w:val="005443D9"/>
    <w:rsid w:val="005444E1"/>
    <w:rsid w:val="00544545"/>
    <w:rsid w:val="00544763"/>
    <w:rsid w:val="00544843"/>
    <w:rsid w:val="00544864"/>
    <w:rsid w:val="005449E9"/>
    <w:rsid w:val="00544B03"/>
    <w:rsid w:val="00544B8C"/>
    <w:rsid w:val="00544D32"/>
    <w:rsid w:val="00544D74"/>
    <w:rsid w:val="00544DA0"/>
    <w:rsid w:val="00544EE2"/>
    <w:rsid w:val="00545079"/>
    <w:rsid w:val="0054511A"/>
    <w:rsid w:val="00545261"/>
    <w:rsid w:val="00545274"/>
    <w:rsid w:val="00545530"/>
    <w:rsid w:val="0054555D"/>
    <w:rsid w:val="005455FE"/>
    <w:rsid w:val="005456B1"/>
    <w:rsid w:val="0054578C"/>
    <w:rsid w:val="005458C1"/>
    <w:rsid w:val="0054598F"/>
    <w:rsid w:val="00545CDA"/>
    <w:rsid w:val="00545DAE"/>
    <w:rsid w:val="00545E1C"/>
    <w:rsid w:val="00545E45"/>
    <w:rsid w:val="00545FC4"/>
    <w:rsid w:val="00546032"/>
    <w:rsid w:val="005460A3"/>
    <w:rsid w:val="0054637C"/>
    <w:rsid w:val="00546428"/>
    <w:rsid w:val="00546482"/>
    <w:rsid w:val="0054650D"/>
    <w:rsid w:val="005465F7"/>
    <w:rsid w:val="00546646"/>
    <w:rsid w:val="005466E3"/>
    <w:rsid w:val="00546745"/>
    <w:rsid w:val="0054695D"/>
    <w:rsid w:val="00546A49"/>
    <w:rsid w:val="00546B5B"/>
    <w:rsid w:val="00546C62"/>
    <w:rsid w:val="00546C83"/>
    <w:rsid w:val="00546D46"/>
    <w:rsid w:val="00546DD6"/>
    <w:rsid w:val="00546E67"/>
    <w:rsid w:val="00547055"/>
    <w:rsid w:val="005470AF"/>
    <w:rsid w:val="005470C0"/>
    <w:rsid w:val="005470FB"/>
    <w:rsid w:val="00547125"/>
    <w:rsid w:val="00547154"/>
    <w:rsid w:val="005472E4"/>
    <w:rsid w:val="00547316"/>
    <w:rsid w:val="00547350"/>
    <w:rsid w:val="00547363"/>
    <w:rsid w:val="005475A1"/>
    <w:rsid w:val="005476F2"/>
    <w:rsid w:val="00547852"/>
    <w:rsid w:val="005478F0"/>
    <w:rsid w:val="0054795A"/>
    <w:rsid w:val="0054796D"/>
    <w:rsid w:val="005479AA"/>
    <w:rsid w:val="00547A20"/>
    <w:rsid w:val="00547D2C"/>
    <w:rsid w:val="00547D3D"/>
    <w:rsid w:val="00547D7D"/>
    <w:rsid w:val="0055014F"/>
    <w:rsid w:val="005501B5"/>
    <w:rsid w:val="005501E6"/>
    <w:rsid w:val="005502C4"/>
    <w:rsid w:val="00550304"/>
    <w:rsid w:val="005503AB"/>
    <w:rsid w:val="005503C6"/>
    <w:rsid w:val="00550567"/>
    <w:rsid w:val="005505DA"/>
    <w:rsid w:val="00550632"/>
    <w:rsid w:val="00550722"/>
    <w:rsid w:val="00550A2C"/>
    <w:rsid w:val="00550ADE"/>
    <w:rsid w:val="00550B8A"/>
    <w:rsid w:val="00550BFD"/>
    <w:rsid w:val="00550C66"/>
    <w:rsid w:val="00550C9A"/>
    <w:rsid w:val="00550D67"/>
    <w:rsid w:val="00550DF2"/>
    <w:rsid w:val="00550F9E"/>
    <w:rsid w:val="00550F9F"/>
    <w:rsid w:val="00551066"/>
    <w:rsid w:val="00551193"/>
    <w:rsid w:val="00551218"/>
    <w:rsid w:val="005513AC"/>
    <w:rsid w:val="0055147D"/>
    <w:rsid w:val="0055153D"/>
    <w:rsid w:val="0055175B"/>
    <w:rsid w:val="00551822"/>
    <w:rsid w:val="0055190C"/>
    <w:rsid w:val="00551940"/>
    <w:rsid w:val="00551B81"/>
    <w:rsid w:val="00551B9C"/>
    <w:rsid w:val="00551CAC"/>
    <w:rsid w:val="005522C3"/>
    <w:rsid w:val="005523CD"/>
    <w:rsid w:val="0055243F"/>
    <w:rsid w:val="00552464"/>
    <w:rsid w:val="0055279D"/>
    <w:rsid w:val="005527F2"/>
    <w:rsid w:val="0055292F"/>
    <w:rsid w:val="0055294A"/>
    <w:rsid w:val="00552AB5"/>
    <w:rsid w:val="00552CC7"/>
    <w:rsid w:val="00552ECA"/>
    <w:rsid w:val="00552F28"/>
    <w:rsid w:val="00552F54"/>
    <w:rsid w:val="00552F81"/>
    <w:rsid w:val="00552FC8"/>
    <w:rsid w:val="00553028"/>
    <w:rsid w:val="0055319B"/>
    <w:rsid w:val="005531BD"/>
    <w:rsid w:val="005534AD"/>
    <w:rsid w:val="00553823"/>
    <w:rsid w:val="00553855"/>
    <w:rsid w:val="005538FC"/>
    <w:rsid w:val="00553980"/>
    <w:rsid w:val="00553A26"/>
    <w:rsid w:val="00553A28"/>
    <w:rsid w:val="00553A59"/>
    <w:rsid w:val="00553C8D"/>
    <w:rsid w:val="00553DBE"/>
    <w:rsid w:val="00553DF8"/>
    <w:rsid w:val="00553F20"/>
    <w:rsid w:val="00553F9E"/>
    <w:rsid w:val="00553FE2"/>
    <w:rsid w:val="00554028"/>
    <w:rsid w:val="00554195"/>
    <w:rsid w:val="005542B4"/>
    <w:rsid w:val="0055434C"/>
    <w:rsid w:val="0055443D"/>
    <w:rsid w:val="0055444C"/>
    <w:rsid w:val="0055468E"/>
    <w:rsid w:val="0055472C"/>
    <w:rsid w:val="00554781"/>
    <w:rsid w:val="0055486F"/>
    <w:rsid w:val="005549E7"/>
    <w:rsid w:val="00554BA7"/>
    <w:rsid w:val="00554CD9"/>
    <w:rsid w:val="00554CE3"/>
    <w:rsid w:val="00554CF2"/>
    <w:rsid w:val="00554CFA"/>
    <w:rsid w:val="00554FA9"/>
    <w:rsid w:val="0055504C"/>
    <w:rsid w:val="005550AB"/>
    <w:rsid w:val="005551E8"/>
    <w:rsid w:val="00555271"/>
    <w:rsid w:val="0055528F"/>
    <w:rsid w:val="0055529F"/>
    <w:rsid w:val="005556A8"/>
    <w:rsid w:val="0055592B"/>
    <w:rsid w:val="00555A6A"/>
    <w:rsid w:val="00555AC1"/>
    <w:rsid w:val="00555CF1"/>
    <w:rsid w:val="005560C0"/>
    <w:rsid w:val="00556151"/>
    <w:rsid w:val="00556265"/>
    <w:rsid w:val="0055637D"/>
    <w:rsid w:val="00556422"/>
    <w:rsid w:val="00556458"/>
    <w:rsid w:val="005564C7"/>
    <w:rsid w:val="005564FA"/>
    <w:rsid w:val="0055668D"/>
    <w:rsid w:val="005567B2"/>
    <w:rsid w:val="00556806"/>
    <w:rsid w:val="005568F5"/>
    <w:rsid w:val="00556A66"/>
    <w:rsid w:val="00556A7C"/>
    <w:rsid w:val="00556B91"/>
    <w:rsid w:val="00556D4A"/>
    <w:rsid w:val="00556DAF"/>
    <w:rsid w:val="00556EB8"/>
    <w:rsid w:val="00556FC5"/>
    <w:rsid w:val="005570EF"/>
    <w:rsid w:val="00557110"/>
    <w:rsid w:val="005571B2"/>
    <w:rsid w:val="00557251"/>
    <w:rsid w:val="0055733F"/>
    <w:rsid w:val="005573A0"/>
    <w:rsid w:val="0055753E"/>
    <w:rsid w:val="005575CF"/>
    <w:rsid w:val="0055782E"/>
    <w:rsid w:val="00557870"/>
    <w:rsid w:val="0055787E"/>
    <w:rsid w:val="005578C2"/>
    <w:rsid w:val="00557A96"/>
    <w:rsid w:val="00557D26"/>
    <w:rsid w:val="00557E93"/>
    <w:rsid w:val="00557F53"/>
    <w:rsid w:val="00557FE5"/>
    <w:rsid w:val="00560129"/>
    <w:rsid w:val="00560186"/>
    <w:rsid w:val="00560277"/>
    <w:rsid w:val="0056053D"/>
    <w:rsid w:val="00560728"/>
    <w:rsid w:val="005607EE"/>
    <w:rsid w:val="0056088F"/>
    <w:rsid w:val="005608B5"/>
    <w:rsid w:val="00560938"/>
    <w:rsid w:val="0056098C"/>
    <w:rsid w:val="00560AF1"/>
    <w:rsid w:val="00560B89"/>
    <w:rsid w:val="00560BCE"/>
    <w:rsid w:val="005611C3"/>
    <w:rsid w:val="00561240"/>
    <w:rsid w:val="005612BD"/>
    <w:rsid w:val="005613D5"/>
    <w:rsid w:val="0056141E"/>
    <w:rsid w:val="00561422"/>
    <w:rsid w:val="005614C5"/>
    <w:rsid w:val="00561562"/>
    <w:rsid w:val="005615EA"/>
    <w:rsid w:val="0056177A"/>
    <w:rsid w:val="005619D9"/>
    <w:rsid w:val="005619F3"/>
    <w:rsid w:val="00561B94"/>
    <w:rsid w:val="00561CA7"/>
    <w:rsid w:val="00561D1C"/>
    <w:rsid w:val="00561DB6"/>
    <w:rsid w:val="00561E30"/>
    <w:rsid w:val="00561FF5"/>
    <w:rsid w:val="005620C5"/>
    <w:rsid w:val="0056228C"/>
    <w:rsid w:val="0056231A"/>
    <w:rsid w:val="00562490"/>
    <w:rsid w:val="005626B2"/>
    <w:rsid w:val="005626D8"/>
    <w:rsid w:val="005626DF"/>
    <w:rsid w:val="005629D7"/>
    <w:rsid w:val="00562A48"/>
    <w:rsid w:val="00562B6D"/>
    <w:rsid w:val="00562F2A"/>
    <w:rsid w:val="00562F52"/>
    <w:rsid w:val="005631CD"/>
    <w:rsid w:val="005631FA"/>
    <w:rsid w:val="00563221"/>
    <w:rsid w:val="0056324E"/>
    <w:rsid w:val="00563548"/>
    <w:rsid w:val="00563549"/>
    <w:rsid w:val="00563551"/>
    <w:rsid w:val="00563647"/>
    <w:rsid w:val="0056379F"/>
    <w:rsid w:val="00563883"/>
    <w:rsid w:val="005638BD"/>
    <w:rsid w:val="005638C0"/>
    <w:rsid w:val="00563921"/>
    <w:rsid w:val="005639CA"/>
    <w:rsid w:val="00563A24"/>
    <w:rsid w:val="00563AEA"/>
    <w:rsid w:val="00563BA9"/>
    <w:rsid w:val="00563C28"/>
    <w:rsid w:val="00563CD5"/>
    <w:rsid w:val="00563DE6"/>
    <w:rsid w:val="00563FD9"/>
    <w:rsid w:val="0056403F"/>
    <w:rsid w:val="005641FC"/>
    <w:rsid w:val="0056436D"/>
    <w:rsid w:val="005644E5"/>
    <w:rsid w:val="00564531"/>
    <w:rsid w:val="00564611"/>
    <w:rsid w:val="0056463D"/>
    <w:rsid w:val="005646AE"/>
    <w:rsid w:val="005646DE"/>
    <w:rsid w:val="0056488D"/>
    <w:rsid w:val="00564C5E"/>
    <w:rsid w:val="00564E68"/>
    <w:rsid w:val="00564E85"/>
    <w:rsid w:val="00564F4E"/>
    <w:rsid w:val="0056528D"/>
    <w:rsid w:val="005653D4"/>
    <w:rsid w:val="0056541D"/>
    <w:rsid w:val="005656EE"/>
    <w:rsid w:val="00565740"/>
    <w:rsid w:val="0056592A"/>
    <w:rsid w:val="005659D0"/>
    <w:rsid w:val="00565B38"/>
    <w:rsid w:val="00565D90"/>
    <w:rsid w:val="00565E0B"/>
    <w:rsid w:val="00565F37"/>
    <w:rsid w:val="00565F69"/>
    <w:rsid w:val="00565FCE"/>
    <w:rsid w:val="0056617B"/>
    <w:rsid w:val="00566231"/>
    <w:rsid w:val="0056628B"/>
    <w:rsid w:val="00566298"/>
    <w:rsid w:val="00566313"/>
    <w:rsid w:val="005665EC"/>
    <w:rsid w:val="005666B8"/>
    <w:rsid w:val="00566737"/>
    <w:rsid w:val="00566817"/>
    <w:rsid w:val="00566822"/>
    <w:rsid w:val="00566864"/>
    <w:rsid w:val="00566997"/>
    <w:rsid w:val="00566AB5"/>
    <w:rsid w:val="00566C01"/>
    <w:rsid w:val="00566F33"/>
    <w:rsid w:val="00566FC0"/>
    <w:rsid w:val="00566FE8"/>
    <w:rsid w:val="0056705C"/>
    <w:rsid w:val="0056710C"/>
    <w:rsid w:val="00567165"/>
    <w:rsid w:val="00567201"/>
    <w:rsid w:val="005673BC"/>
    <w:rsid w:val="005673D4"/>
    <w:rsid w:val="0056741E"/>
    <w:rsid w:val="005674A9"/>
    <w:rsid w:val="005676F3"/>
    <w:rsid w:val="00567764"/>
    <w:rsid w:val="0056787B"/>
    <w:rsid w:val="005678D9"/>
    <w:rsid w:val="005678E9"/>
    <w:rsid w:val="0056797E"/>
    <w:rsid w:val="00567BC8"/>
    <w:rsid w:val="00567C7D"/>
    <w:rsid w:val="00567CF1"/>
    <w:rsid w:val="00567ED2"/>
    <w:rsid w:val="00567F78"/>
    <w:rsid w:val="005700DA"/>
    <w:rsid w:val="0057017F"/>
    <w:rsid w:val="00570195"/>
    <w:rsid w:val="00570338"/>
    <w:rsid w:val="0057037E"/>
    <w:rsid w:val="0057044D"/>
    <w:rsid w:val="0057049E"/>
    <w:rsid w:val="0057055E"/>
    <w:rsid w:val="005705B6"/>
    <w:rsid w:val="0057061D"/>
    <w:rsid w:val="005706B5"/>
    <w:rsid w:val="00570849"/>
    <w:rsid w:val="005708F6"/>
    <w:rsid w:val="0057091E"/>
    <w:rsid w:val="00570A25"/>
    <w:rsid w:val="00570B29"/>
    <w:rsid w:val="00570B52"/>
    <w:rsid w:val="00570B53"/>
    <w:rsid w:val="00570BA8"/>
    <w:rsid w:val="00570C64"/>
    <w:rsid w:val="00570D58"/>
    <w:rsid w:val="00570EE1"/>
    <w:rsid w:val="0057100A"/>
    <w:rsid w:val="005710CC"/>
    <w:rsid w:val="00571306"/>
    <w:rsid w:val="005713A0"/>
    <w:rsid w:val="005713FD"/>
    <w:rsid w:val="00571436"/>
    <w:rsid w:val="00571523"/>
    <w:rsid w:val="00571847"/>
    <w:rsid w:val="00571897"/>
    <w:rsid w:val="00571AF9"/>
    <w:rsid w:val="00571B0B"/>
    <w:rsid w:val="00571D00"/>
    <w:rsid w:val="00571D10"/>
    <w:rsid w:val="00571E22"/>
    <w:rsid w:val="00571E86"/>
    <w:rsid w:val="00571F82"/>
    <w:rsid w:val="005723D6"/>
    <w:rsid w:val="00572506"/>
    <w:rsid w:val="00572525"/>
    <w:rsid w:val="005725E1"/>
    <w:rsid w:val="00572646"/>
    <w:rsid w:val="005728EC"/>
    <w:rsid w:val="00572955"/>
    <w:rsid w:val="00572A56"/>
    <w:rsid w:val="00572BC0"/>
    <w:rsid w:val="00572C8F"/>
    <w:rsid w:val="00572CD3"/>
    <w:rsid w:val="00572D23"/>
    <w:rsid w:val="00572D30"/>
    <w:rsid w:val="00572E81"/>
    <w:rsid w:val="00573066"/>
    <w:rsid w:val="0057336D"/>
    <w:rsid w:val="005733AC"/>
    <w:rsid w:val="00573717"/>
    <w:rsid w:val="005738A3"/>
    <w:rsid w:val="00573928"/>
    <w:rsid w:val="0057393E"/>
    <w:rsid w:val="00573955"/>
    <w:rsid w:val="005739EA"/>
    <w:rsid w:val="005739F2"/>
    <w:rsid w:val="00573A27"/>
    <w:rsid w:val="00573A6B"/>
    <w:rsid w:val="00573D29"/>
    <w:rsid w:val="00573D98"/>
    <w:rsid w:val="00573DCF"/>
    <w:rsid w:val="00573E5B"/>
    <w:rsid w:val="00573EB0"/>
    <w:rsid w:val="005740D3"/>
    <w:rsid w:val="00574361"/>
    <w:rsid w:val="0057447C"/>
    <w:rsid w:val="005746AF"/>
    <w:rsid w:val="005746CC"/>
    <w:rsid w:val="00574873"/>
    <w:rsid w:val="005748D4"/>
    <w:rsid w:val="005748E3"/>
    <w:rsid w:val="00574A6E"/>
    <w:rsid w:val="00574B6D"/>
    <w:rsid w:val="00574CF9"/>
    <w:rsid w:val="00574DCD"/>
    <w:rsid w:val="00574F39"/>
    <w:rsid w:val="00574FA5"/>
    <w:rsid w:val="00574FC4"/>
    <w:rsid w:val="00574FF8"/>
    <w:rsid w:val="0057518A"/>
    <w:rsid w:val="00575336"/>
    <w:rsid w:val="00575436"/>
    <w:rsid w:val="00575660"/>
    <w:rsid w:val="005756F8"/>
    <w:rsid w:val="00575754"/>
    <w:rsid w:val="0057575B"/>
    <w:rsid w:val="00575803"/>
    <w:rsid w:val="0057583F"/>
    <w:rsid w:val="005759C6"/>
    <w:rsid w:val="005759D6"/>
    <w:rsid w:val="00575B16"/>
    <w:rsid w:val="00575B41"/>
    <w:rsid w:val="00575B97"/>
    <w:rsid w:val="00575BB9"/>
    <w:rsid w:val="00575DBC"/>
    <w:rsid w:val="00575FD5"/>
    <w:rsid w:val="00575FEF"/>
    <w:rsid w:val="00576044"/>
    <w:rsid w:val="0057604C"/>
    <w:rsid w:val="00576118"/>
    <w:rsid w:val="005762A0"/>
    <w:rsid w:val="00576318"/>
    <w:rsid w:val="00576363"/>
    <w:rsid w:val="005763C3"/>
    <w:rsid w:val="0057649C"/>
    <w:rsid w:val="0057655A"/>
    <w:rsid w:val="005767BC"/>
    <w:rsid w:val="005768D0"/>
    <w:rsid w:val="005769C8"/>
    <w:rsid w:val="00576A01"/>
    <w:rsid w:val="00576A59"/>
    <w:rsid w:val="00576AD4"/>
    <w:rsid w:val="00576AE3"/>
    <w:rsid w:val="00576C5B"/>
    <w:rsid w:val="00576DBB"/>
    <w:rsid w:val="00576ECA"/>
    <w:rsid w:val="00576F2E"/>
    <w:rsid w:val="00576F2F"/>
    <w:rsid w:val="00576F6F"/>
    <w:rsid w:val="00577145"/>
    <w:rsid w:val="0057715E"/>
    <w:rsid w:val="005771E8"/>
    <w:rsid w:val="0057724C"/>
    <w:rsid w:val="005773AC"/>
    <w:rsid w:val="005773BE"/>
    <w:rsid w:val="00577543"/>
    <w:rsid w:val="0057767C"/>
    <w:rsid w:val="005777BC"/>
    <w:rsid w:val="005777E1"/>
    <w:rsid w:val="00577817"/>
    <w:rsid w:val="0057784E"/>
    <w:rsid w:val="00577A2F"/>
    <w:rsid w:val="00577AD0"/>
    <w:rsid w:val="00577C7F"/>
    <w:rsid w:val="00577D38"/>
    <w:rsid w:val="00577E3B"/>
    <w:rsid w:val="00577E96"/>
    <w:rsid w:val="00577FE1"/>
    <w:rsid w:val="00579B2F"/>
    <w:rsid w:val="00580158"/>
    <w:rsid w:val="0058017A"/>
    <w:rsid w:val="0058021A"/>
    <w:rsid w:val="0058023E"/>
    <w:rsid w:val="0058027E"/>
    <w:rsid w:val="005802AE"/>
    <w:rsid w:val="00580713"/>
    <w:rsid w:val="0058083E"/>
    <w:rsid w:val="005808C8"/>
    <w:rsid w:val="00580A20"/>
    <w:rsid w:val="00580DE5"/>
    <w:rsid w:val="00580FA2"/>
    <w:rsid w:val="005813A8"/>
    <w:rsid w:val="00581648"/>
    <w:rsid w:val="00581748"/>
    <w:rsid w:val="005819C0"/>
    <w:rsid w:val="00581A7A"/>
    <w:rsid w:val="00581AA3"/>
    <w:rsid w:val="00581B86"/>
    <w:rsid w:val="00581D0B"/>
    <w:rsid w:val="00581D1C"/>
    <w:rsid w:val="00581E23"/>
    <w:rsid w:val="00581E5F"/>
    <w:rsid w:val="00581EA1"/>
    <w:rsid w:val="00581EEA"/>
    <w:rsid w:val="00581F07"/>
    <w:rsid w:val="00581F18"/>
    <w:rsid w:val="00581F67"/>
    <w:rsid w:val="005820CC"/>
    <w:rsid w:val="005822F5"/>
    <w:rsid w:val="00582328"/>
    <w:rsid w:val="00582365"/>
    <w:rsid w:val="00582376"/>
    <w:rsid w:val="005823CB"/>
    <w:rsid w:val="005824C4"/>
    <w:rsid w:val="0058251A"/>
    <w:rsid w:val="0058264E"/>
    <w:rsid w:val="005826E1"/>
    <w:rsid w:val="005828A1"/>
    <w:rsid w:val="005828B1"/>
    <w:rsid w:val="00582936"/>
    <w:rsid w:val="0058293D"/>
    <w:rsid w:val="00582999"/>
    <w:rsid w:val="005829D5"/>
    <w:rsid w:val="00582BEB"/>
    <w:rsid w:val="00582D25"/>
    <w:rsid w:val="00582E32"/>
    <w:rsid w:val="00582F15"/>
    <w:rsid w:val="00582F22"/>
    <w:rsid w:val="00582FA1"/>
    <w:rsid w:val="0058315A"/>
    <w:rsid w:val="0058316E"/>
    <w:rsid w:val="0058324B"/>
    <w:rsid w:val="005832BE"/>
    <w:rsid w:val="00583395"/>
    <w:rsid w:val="00583411"/>
    <w:rsid w:val="00583422"/>
    <w:rsid w:val="00583429"/>
    <w:rsid w:val="005837D6"/>
    <w:rsid w:val="005838AC"/>
    <w:rsid w:val="005839E5"/>
    <w:rsid w:val="00583E71"/>
    <w:rsid w:val="00583FCE"/>
    <w:rsid w:val="00584070"/>
    <w:rsid w:val="005840F1"/>
    <w:rsid w:val="005841C3"/>
    <w:rsid w:val="005842AB"/>
    <w:rsid w:val="00584307"/>
    <w:rsid w:val="0058438C"/>
    <w:rsid w:val="0058445B"/>
    <w:rsid w:val="0058456F"/>
    <w:rsid w:val="005845AA"/>
    <w:rsid w:val="00584602"/>
    <w:rsid w:val="0058462A"/>
    <w:rsid w:val="0058470A"/>
    <w:rsid w:val="00584894"/>
    <w:rsid w:val="00584A67"/>
    <w:rsid w:val="00584D49"/>
    <w:rsid w:val="00584E81"/>
    <w:rsid w:val="00584EAB"/>
    <w:rsid w:val="00585042"/>
    <w:rsid w:val="005850D9"/>
    <w:rsid w:val="005851BC"/>
    <w:rsid w:val="00585229"/>
    <w:rsid w:val="0058523D"/>
    <w:rsid w:val="00585274"/>
    <w:rsid w:val="005852D4"/>
    <w:rsid w:val="00585414"/>
    <w:rsid w:val="005857A5"/>
    <w:rsid w:val="005857AA"/>
    <w:rsid w:val="0058584F"/>
    <w:rsid w:val="00585C1B"/>
    <w:rsid w:val="00585DAF"/>
    <w:rsid w:val="00585E00"/>
    <w:rsid w:val="00585E7A"/>
    <w:rsid w:val="00585FC7"/>
    <w:rsid w:val="0058616C"/>
    <w:rsid w:val="00586404"/>
    <w:rsid w:val="005864A7"/>
    <w:rsid w:val="00586563"/>
    <w:rsid w:val="005865DE"/>
    <w:rsid w:val="0058664F"/>
    <w:rsid w:val="00586851"/>
    <w:rsid w:val="00586868"/>
    <w:rsid w:val="00586A07"/>
    <w:rsid w:val="00586AF8"/>
    <w:rsid w:val="00586B22"/>
    <w:rsid w:val="00586F74"/>
    <w:rsid w:val="00587161"/>
    <w:rsid w:val="005873C3"/>
    <w:rsid w:val="005874D3"/>
    <w:rsid w:val="00587639"/>
    <w:rsid w:val="00587696"/>
    <w:rsid w:val="00587897"/>
    <w:rsid w:val="00587995"/>
    <w:rsid w:val="00587E14"/>
    <w:rsid w:val="00587E6C"/>
    <w:rsid w:val="0059012F"/>
    <w:rsid w:val="00590162"/>
    <w:rsid w:val="0059029B"/>
    <w:rsid w:val="00590727"/>
    <w:rsid w:val="00590A24"/>
    <w:rsid w:val="00590A45"/>
    <w:rsid w:val="00590A67"/>
    <w:rsid w:val="00590B65"/>
    <w:rsid w:val="00590BBA"/>
    <w:rsid w:val="00590BCC"/>
    <w:rsid w:val="00590C57"/>
    <w:rsid w:val="00590E68"/>
    <w:rsid w:val="00590F34"/>
    <w:rsid w:val="00590F37"/>
    <w:rsid w:val="00590F41"/>
    <w:rsid w:val="00591022"/>
    <w:rsid w:val="0059106A"/>
    <w:rsid w:val="00591232"/>
    <w:rsid w:val="005912A9"/>
    <w:rsid w:val="005913FA"/>
    <w:rsid w:val="00591695"/>
    <w:rsid w:val="005916B2"/>
    <w:rsid w:val="0059177E"/>
    <w:rsid w:val="0059179E"/>
    <w:rsid w:val="00591801"/>
    <w:rsid w:val="005918BA"/>
    <w:rsid w:val="00591994"/>
    <w:rsid w:val="005919A8"/>
    <w:rsid w:val="00591ADB"/>
    <w:rsid w:val="00591B7C"/>
    <w:rsid w:val="00591BE4"/>
    <w:rsid w:val="00591D32"/>
    <w:rsid w:val="00591F1C"/>
    <w:rsid w:val="00591F48"/>
    <w:rsid w:val="00592038"/>
    <w:rsid w:val="00592098"/>
    <w:rsid w:val="00592229"/>
    <w:rsid w:val="00592230"/>
    <w:rsid w:val="0059228A"/>
    <w:rsid w:val="005922F1"/>
    <w:rsid w:val="00592397"/>
    <w:rsid w:val="00592466"/>
    <w:rsid w:val="00592638"/>
    <w:rsid w:val="00592812"/>
    <w:rsid w:val="0059285B"/>
    <w:rsid w:val="005928F9"/>
    <w:rsid w:val="00592B64"/>
    <w:rsid w:val="00592CEA"/>
    <w:rsid w:val="00592D68"/>
    <w:rsid w:val="00592D9F"/>
    <w:rsid w:val="00592EC2"/>
    <w:rsid w:val="00592F28"/>
    <w:rsid w:val="00593138"/>
    <w:rsid w:val="00593531"/>
    <w:rsid w:val="0059353B"/>
    <w:rsid w:val="0059365D"/>
    <w:rsid w:val="005936EC"/>
    <w:rsid w:val="00593709"/>
    <w:rsid w:val="005937BB"/>
    <w:rsid w:val="005937C2"/>
    <w:rsid w:val="0059391A"/>
    <w:rsid w:val="0059398D"/>
    <w:rsid w:val="00593A33"/>
    <w:rsid w:val="00593A88"/>
    <w:rsid w:val="00593AFA"/>
    <w:rsid w:val="00593B72"/>
    <w:rsid w:val="00593DA9"/>
    <w:rsid w:val="00593E5F"/>
    <w:rsid w:val="00594042"/>
    <w:rsid w:val="00594049"/>
    <w:rsid w:val="0059419A"/>
    <w:rsid w:val="0059427D"/>
    <w:rsid w:val="005942BF"/>
    <w:rsid w:val="00594369"/>
    <w:rsid w:val="005943EB"/>
    <w:rsid w:val="005945E1"/>
    <w:rsid w:val="00594636"/>
    <w:rsid w:val="00594683"/>
    <w:rsid w:val="005946E6"/>
    <w:rsid w:val="005947AD"/>
    <w:rsid w:val="005947B5"/>
    <w:rsid w:val="00594A72"/>
    <w:rsid w:val="00594B6A"/>
    <w:rsid w:val="00594BD6"/>
    <w:rsid w:val="00594BF7"/>
    <w:rsid w:val="00594CB1"/>
    <w:rsid w:val="00594D29"/>
    <w:rsid w:val="00594D34"/>
    <w:rsid w:val="00594F2E"/>
    <w:rsid w:val="0059505E"/>
    <w:rsid w:val="00595267"/>
    <w:rsid w:val="00595463"/>
    <w:rsid w:val="005954A6"/>
    <w:rsid w:val="00595556"/>
    <w:rsid w:val="00595597"/>
    <w:rsid w:val="00595756"/>
    <w:rsid w:val="005959BB"/>
    <w:rsid w:val="00595B6B"/>
    <w:rsid w:val="00595C37"/>
    <w:rsid w:val="00595C87"/>
    <w:rsid w:val="00595DCF"/>
    <w:rsid w:val="00595E0F"/>
    <w:rsid w:val="00595E2B"/>
    <w:rsid w:val="00595FFF"/>
    <w:rsid w:val="0059600E"/>
    <w:rsid w:val="00596030"/>
    <w:rsid w:val="0059608D"/>
    <w:rsid w:val="005960BB"/>
    <w:rsid w:val="00596208"/>
    <w:rsid w:val="005962C1"/>
    <w:rsid w:val="005962DA"/>
    <w:rsid w:val="00596319"/>
    <w:rsid w:val="0059632E"/>
    <w:rsid w:val="00596335"/>
    <w:rsid w:val="00596567"/>
    <w:rsid w:val="00596688"/>
    <w:rsid w:val="00596830"/>
    <w:rsid w:val="0059692B"/>
    <w:rsid w:val="00596A7A"/>
    <w:rsid w:val="00596AED"/>
    <w:rsid w:val="00596FC1"/>
    <w:rsid w:val="005971ED"/>
    <w:rsid w:val="005971FD"/>
    <w:rsid w:val="0059737E"/>
    <w:rsid w:val="00597407"/>
    <w:rsid w:val="0059745C"/>
    <w:rsid w:val="005976DA"/>
    <w:rsid w:val="005977F9"/>
    <w:rsid w:val="00597986"/>
    <w:rsid w:val="005979CD"/>
    <w:rsid w:val="00597A0C"/>
    <w:rsid w:val="00597B28"/>
    <w:rsid w:val="00597B83"/>
    <w:rsid w:val="00597E43"/>
    <w:rsid w:val="00597E50"/>
    <w:rsid w:val="00597E5B"/>
    <w:rsid w:val="00597F4F"/>
    <w:rsid w:val="00597F66"/>
    <w:rsid w:val="005A0434"/>
    <w:rsid w:val="005A0496"/>
    <w:rsid w:val="005A0504"/>
    <w:rsid w:val="005A0781"/>
    <w:rsid w:val="005A08E6"/>
    <w:rsid w:val="005A0AA1"/>
    <w:rsid w:val="005A0C26"/>
    <w:rsid w:val="005A0C8B"/>
    <w:rsid w:val="005A0FA2"/>
    <w:rsid w:val="005A0FE2"/>
    <w:rsid w:val="005A102B"/>
    <w:rsid w:val="005A10FC"/>
    <w:rsid w:val="005A138D"/>
    <w:rsid w:val="005A1528"/>
    <w:rsid w:val="005A15A5"/>
    <w:rsid w:val="005A15A7"/>
    <w:rsid w:val="005A1699"/>
    <w:rsid w:val="005A16A1"/>
    <w:rsid w:val="005A16E7"/>
    <w:rsid w:val="005A16EA"/>
    <w:rsid w:val="005A170B"/>
    <w:rsid w:val="005A172F"/>
    <w:rsid w:val="005A17A8"/>
    <w:rsid w:val="005A18F9"/>
    <w:rsid w:val="005A199C"/>
    <w:rsid w:val="005A1C0D"/>
    <w:rsid w:val="005A1E56"/>
    <w:rsid w:val="005A1E81"/>
    <w:rsid w:val="005A1F60"/>
    <w:rsid w:val="005A2211"/>
    <w:rsid w:val="005A2289"/>
    <w:rsid w:val="005A22EA"/>
    <w:rsid w:val="005A239F"/>
    <w:rsid w:val="005A27B6"/>
    <w:rsid w:val="005A29C8"/>
    <w:rsid w:val="005A2A83"/>
    <w:rsid w:val="005A2AC0"/>
    <w:rsid w:val="005A2BA8"/>
    <w:rsid w:val="005A2BDF"/>
    <w:rsid w:val="005A2BE2"/>
    <w:rsid w:val="005A2EE5"/>
    <w:rsid w:val="005A306A"/>
    <w:rsid w:val="005A30C6"/>
    <w:rsid w:val="005A3293"/>
    <w:rsid w:val="005A33AB"/>
    <w:rsid w:val="005A3464"/>
    <w:rsid w:val="005A360D"/>
    <w:rsid w:val="005A36D5"/>
    <w:rsid w:val="005A36FA"/>
    <w:rsid w:val="005A3820"/>
    <w:rsid w:val="005A3C4A"/>
    <w:rsid w:val="005A3CEC"/>
    <w:rsid w:val="005A3D6A"/>
    <w:rsid w:val="005A3E7F"/>
    <w:rsid w:val="005A4001"/>
    <w:rsid w:val="005A4047"/>
    <w:rsid w:val="005A40F4"/>
    <w:rsid w:val="005A41C8"/>
    <w:rsid w:val="005A425B"/>
    <w:rsid w:val="005A42EF"/>
    <w:rsid w:val="005A4384"/>
    <w:rsid w:val="005A4415"/>
    <w:rsid w:val="005A442A"/>
    <w:rsid w:val="005A44E6"/>
    <w:rsid w:val="005A467B"/>
    <w:rsid w:val="005A479C"/>
    <w:rsid w:val="005A49FC"/>
    <w:rsid w:val="005A4ADA"/>
    <w:rsid w:val="005A4BCB"/>
    <w:rsid w:val="005A4C1A"/>
    <w:rsid w:val="005A4D85"/>
    <w:rsid w:val="005A4F1E"/>
    <w:rsid w:val="005A5008"/>
    <w:rsid w:val="005A5024"/>
    <w:rsid w:val="005A50B3"/>
    <w:rsid w:val="005A5186"/>
    <w:rsid w:val="005A52FC"/>
    <w:rsid w:val="005A5306"/>
    <w:rsid w:val="005A5331"/>
    <w:rsid w:val="005A54C6"/>
    <w:rsid w:val="005A5532"/>
    <w:rsid w:val="005A58C5"/>
    <w:rsid w:val="005A59A0"/>
    <w:rsid w:val="005A5AFF"/>
    <w:rsid w:val="005A5BE9"/>
    <w:rsid w:val="005A5D0C"/>
    <w:rsid w:val="005A5D8B"/>
    <w:rsid w:val="005A5FF3"/>
    <w:rsid w:val="005A6174"/>
    <w:rsid w:val="005A62F8"/>
    <w:rsid w:val="005A63C8"/>
    <w:rsid w:val="005A654D"/>
    <w:rsid w:val="005A663A"/>
    <w:rsid w:val="005A66C8"/>
    <w:rsid w:val="005A66F0"/>
    <w:rsid w:val="005A69E9"/>
    <w:rsid w:val="005A6A76"/>
    <w:rsid w:val="005A6A8A"/>
    <w:rsid w:val="005A6A93"/>
    <w:rsid w:val="005A6DB9"/>
    <w:rsid w:val="005A6DEA"/>
    <w:rsid w:val="005A7012"/>
    <w:rsid w:val="005A70CB"/>
    <w:rsid w:val="005A70E6"/>
    <w:rsid w:val="005A7230"/>
    <w:rsid w:val="005A741C"/>
    <w:rsid w:val="005A748B"/>
    <w:rsid w:val="005A75B2"/>
    <w:rsid w:val="005A75E3"/>
    <w:rsid w:val="005A7627"/>
    <w:rsid w:val="005A76FC"/>
    <w:rsid w:val="005A77B0"/>
    <w:rsid w:val="005A789A"/>
    <w:rsid w:val="005A7950"/>
    <w:rsid w:val="005A7A5E"/>
    <w:rsid w:val="005A7B3A"/>
    <w:rsid w:val="005A7BB6"/>
    <w:rsid w:val="005A7BC9"/>
    <w:rsid w:val="005A7D3E"/>
    <w:rsid w:val="005B0160"/>
    <w:rsid w:val="005B0334"/>
    <w:rsid w:val="005B0444"/>
    <w:rsid w:val="005B0567"/>
    <w:rsid w:val="005B0632"/>
    <w:rsid w:val="005B0A97"/>
    <w:rsid w:val="005B0D4C"/>
    <w:rsid w:val="005B0E09"/>
    <w:rsid w:val="005B1046"/>
    <w:rsid w:val="005B1073"/>
    <w:rsid w:val="005B1100"/>
    <w:rsid w:val="005B1192"/>
    <w:rsid w:val="005B1270"/>
    <w:rsid w:val="005B1317"/>
    <w:rsid w:val="005B13B7"/>
    <w:rsid w:val="005B143A"/>
    <w:rsid w:val="005B161B"/>
    <w:rsid w:val="005B16C1"/>
    <w:rsid w:val="005B17FD"/>
    <w:rsid w:val="005B1A5B"/>
    <w:rsid w:val="005B1C07"/>
    <w:rsid w:val="005B1E59"/>
    <w:rsid w:val="005B1EB9"/>
    <w:rsid w:val="005B1F30"/>
    <w:rsid w:val="005B2096"/>
    <w:rsid w:val="005B20EE"/>
    <w:rsid w:val="005B234A"/>
    <w:rsid w:val="005B2553"/>
    <w:rsid w:val="005B25CF"/>
    <w:rsid w:val="005B25E7"/>
    <w:rsid w:val="005B28BF"/>
    <w:rsid w:val="005B28E1"/>
    <w:rsid w:val="005B2971"/>
    <w:rsid w:val="005B29E3"/>
    <w:rsid w:val="005B2AA3"/>
    <w:rsid w:val="005B2BF0"/>
    <w:rsid w:val="005B2D20"/>
    <w:rsid w:val="005B2DDA"/>
    <w:rsid w:val="005B3092"/>
    <w:rsid w:val="005B30B2"/>
    <w:rsid w:val="005B3279"/>
    <w:rsid w:val="005B3308"/>
    <w:rsid w:val="005B33C0"/>
    <w:rsid w:val="005B3432"/>
    <w:rsid w:val="005B3663"/>
    <w:rsid w:val="005B36DA"/>
    <w:rsid w:val="005B38A2"/>
    <w:rsid w:val="005B38B6"/>
    <w:rsid w:val="005B3AFB"/>
    <w:rsid w:val="005B3BD6"/>
    <w:rsid w:val="005B3CC2"/>
    <w:rsid w:val="005B42DD"/>
    <w:rsid w:val="005B452A"/>
    <w:rsid w:val="005B4589"/>
    <w:rsid w:val="005B4729"/>
    <w:rsid w:val="005B49AB"/>
    <w:rsid w:val="005B4B39"/>
    <w:rsid w:val="005B4D86"/>
    <w:rsid w:val="005B4EFB"/>
    <w:rsid w:val="005B4F2B"/>
    <w:rsid w:val="005B56C2"/>
    <w:rsid w:val="005B579F"/>
    <w:rsid w:val="005B580A"/>
    <w:rsid w:val="005B5A33"/>
    <w:rsid w:val="005B5F4A"/>
    <w:rsid w:val="005B610A"/>
    <w:rsid w:val="005B61A2"/>
    <w:rsid w:val="005B62D0"/>
    <w:rsid w:val="005B6302"/>
    <w:rsid w:val="005B6362"/>
    <w:rsid w:val="005B6391"/>
    <w:rsid w:val="005B63D0"/>
    <w:rsid w:val="005B64A2"/>
    <w:rsid w:val="005B64FC"/>
    <w:rsid w:val="005B6742"/>
    <w:rsid w:val="005B681D"/>
    <w:rsid w:val="005B6888"/>
    <w:rsid w:val="005B68FA"/>
    <w:rsid w:val="005B6AFA"/>
    <w:rsid w:val="005B6BBE"/>
    <w:rsid w:val="005B6CCD"/>
    <w:rsid w:val="005B70A3"/>
    <w:rsid w:val="005B721E"/>
    <w:rsid w:val="005B7493"/>
    <w:rsid w:val="005B758E"/>
    <w:rsid w:val="005B76F0"/>
    <w:rsid w:val="005B7721"/>
    <w:rsid w:val="005B7831"/>
    <w:rsid w:val="005B7A91"/>
    <w:rsid w:val="005B7D6C"/>
    <w:rsid w:val="005B7E32"/>
    <w:rsid w:val="005B7EE2"/>
    <w:rsid w:val="005B7FCB"/>
    <w:rsid w:val="005C01C1"/>
    <w:rsid w:val="005C0427"/>
    <w:rsid w:val="005C0614"/>
    <w:rsid w:val="005C0852"/>
    <w:rsid w:val="005C0910"/>
    <w:rsid w:val="005C0919"/>
    <w:rsid w:val="005C0950"/>
    <w:rsid w:val="005C0A93"/>
    <w:rsid w:val="005C0A99"/>
    <w:rsid w:val="005C0B1C"/>
    <w:rsid w:val="005C0EE9"/>
    <w:rsid w:val="005C1045"/>
    <w:rsid w:val="005C1165"/>
    <w:rsid w:val="005C116D"/>
    <w:rsid w:val="005C117B"/>
    <w:rsid w:val="005C11BB"/>
    <w:rsid w:val="005C1219"/>
    <w:rsid w:val="005C125E"/>
    <w:rsid w:val="005C18AF"/>
    <w:rsid w:val="005C192A"/>
    <w:rsid w:val="005C19EA"/>
    <w:rsid w:val="005C1AC3"/>
    <w:rsid w:val="005C1B8F"/>
    <w:rsid w:val="005C1C43"/>
    <w:rsid w:val="005C1DB8"/>
    <w:rsid w:val="005C1DC7"/>
    <w:rsid w:val="005C1E2C"/>
    <w:rsid w:val="005C1FF6"/>
    <w:rsid w:val="005C204A"/>
    <w:rsid w:val="005C2182"/>
    <w:rsid w:val="005C21C3"/>
    <w:rsid w:val="005C21E5"/>
    <w:rsid w:val="005C2266"/>
    <w:rsid w:val="005C2283"/>
    <w:rsid w:val="005C22A2"/>
    <w:rsid w:val="005C24D5"/>
    <w:rsid w:val="005C250F"/>
    <w:rsid w:val="005C2751"/>
    <w:rsid w:val="005C298C"/>
    <w:rsid w:val="005C29E5"/>
    <w:rsid w:val="005C2AC7"/>
    <w:rsid w:val="005C2BE9"/>
    <w:rsid w:val="005C2C0F"/>
    <w:rsid w:val="005C2C75"/>
    <w:rsid w:val="005C3100"/>
    <w:rsid w:val="005C3102"/>
    <w:rsid w:val="005C3244"/>
    <w:rsid w:val="005C32B2"/>
    <w:rsid w:val="005C330C"/>
    <w:rsid w:val="005C3327"/>
    <w:rsid w:val="005C34F8"/>
    <w:rsid w:val="005C35D1"/>
    <w:rsid w:val="005C36FA"/>
    <w:rsid w:val="005C377B"/>
    <w:rsid w:val="005C384D"/>
    <w:rsid w:val="005C39C9"/>
    <w:rsid w:val="005C3A05"/>
    <w:rsid w:val="005C3C09"/>
    <w:rsid w:val="005C3C6C"/>
    <w:rsid w:val="005C3D23"/>
    <w:rsid w:val="005C3D8B"/>
    <w:rsid w:val="005C3F04"/>
    <w:rsid w:val="005C3F52"/>
    <w:rsid w:val="005C3FA3"/>
    <w:rsid w:val="005C3FFC"/>
    <w:rsid w:val="005C409C"/>
    <w:rsid w:val="005C40AB"/>
    <w:rsid w:val="005C4137"/>
    <w:rsid w:val="005C41BF"/>
    <w:rsid w:val="005C428C"/>
    <w:rsid w:val="005C4397"/>
    <w:rsid w:val="005C444D"/>
    <w:rsid w:val="005C4462"/>
    <w:rsid w:val="005C4497"/>
    <w:rsid w:val="005C45AC"/>
    <w:rsid w:val="005C4667"/>
    <w:rsid w:val="005C473F"/>
    <w:rsid w:val="005C4855"/>
    <w:rsid w:val="005C4884"/>
    <w:rsid w:val="005C4ADD"/>
    <w:rsid w:val="005C4C86"/>
    <w:rsid w:val="005C4CC1"/>
    <w:rsid w:val="005C4CF7"/>
    <w:rsid w:val="005C4D9A"/>
    <w:rsid w:val="005C4E3A"/>
    <w:rsid w:val="005C508F"/>
    <w:rsid w:val="005C52C3"/>
    <w:rsid w:val="005C52F6"/>
    <w:rsid w:val="005C5305"/>
    <w:rsid w:val="005C54B1"/>
    <w:rsid w:val="005C55A0"/>
    <w:rsid w:val="005C56F3"/>
    <w:rsid w:val="005C58AA"/>
    <w:rsid w:val="005C5915"/>
    <w:rsid w:val="005C5995"/>
    <w:rsid w:val="005C59B9"/>
    <w:rsid w:val="005C5B96"/>
    <w:rsid w:val="005C5D33"/>
    <w:rsid w:val="005C5D50"/>
    <w:rsid w:val="005C5D7B"/>
    <w:rsid w:val="005C5DD4"/>
    <w:rsid w:val="005C5EC8"/>
    <w:rsid w:val="005C632E"/>
    <w:rsid w:val="005C675B"/>
    <w:rsid w:val="005C69ED"/>
    <w:rsid w:val="005C6A48"/>
    <w:rsid w:val="005C6BF9"/>
    <w:rsid w:val="005C6CD9"/>
    <w:rsid w:val="005C6D05"/>
    <w:rsid w:val="005C6D9B"/>
    <w:rsid w:val="005C6EF0"/>
    <w:rsid w:val="005C6F86"/>
    <w:rsid w:val="005C7215"/>
    <w:rsid w:val="005C7311"/>
    <w:rsid w:val="005C7339"/>
    <w:rsid w:val="005C7365"/>
    <w:rsid w:val="005C73C4"/>
    <w:rsid w:val="005C752C"/>
    <w:rsid w:val="005C76D8"/>
    <w:rsid w:val="005C770A"/>
    <w:rsid w:val="005C7710"/>
    <w:rsid w:val="005C79B3"/>
    <w:rsid w:val="005C7A34"/>
    <w:rsid w:val="005C7A59"/>
    <w:rsid w:val="005C7A78"/>
    <w:rsid w:val="005C7ADE"/>
    <w:rsid w:val="005C7C19"/>
    <w:rsid w:val="005C7CD8"/>
    <w:rsid w:val="005C7D89"/>
    <w:rsid w:val="005D00EA"/>
    <w:rsid w:val="005D0175"/>
    <w:rsid w:val="005D01F9"/>
    <w:rsid w:val="005D023B"/>
    <w:rsid w:val="005D02C4"/>
    <w:rsid w:val="005D02D4"/>
    <w:rsid w:val="005D0394"/>
    <w:rsid w:val="005D03FC"/>
    <w:rsid w:val="005D0412"/>
    <w:rsid w:val="005D0425"/>
    <w:rsid w:val="005D045A"/>
    <w:rsid w:val="005D0487"/>
    <w:rsid w:val="005D04B7"/>
    <w:rsid w:val="005D05D1"/>
    <w:rsid w:val="005D0678"/>
    <w:rsid w:val="005D0682"/>
    <w:rsid w:val="005D0A19"/>
    <w:rsid w:val="005D0A57"/>
    <w:rsid w:val="005D0B70"/>
    <w:rsid w:val="005D0C29"/>
    <w:rsid w:val="005D0C75"/>
    <w:rsid w:val="005D0F1D"/>
    <w:rsid w:val="005D0FBC"/>
    <w:rsid w:val="005D1085"/>
    <w:rsid w:val="005D135A"/>
    <w:rsid w:val="005D1394"/>
    <w:rsid w:val="005D15D8"/>
    <w:rsid w:val="005D1727"/>
    <w:rsid w:val="005D17F0"/>
    <w:rsid w:val="005D1963"/>
    <w:rsid w:val="005D1A95"/>
    <w:rsid w:val="005D1D84"/>
    <w:rsid w:val="005D1E19"/>
    <w:rsid w:val="005D1E28"/>
    <w:rsid w:val="005D1F9B"/>
    <w:rsid w:val="005D1FD7"/>
    <w:rsid w:val="005D20CD"/>
    <w:rsid w:val="005D22C0"/>
    <w:rsid w:val="005D22F4"/>
    <w:rsid w:val="005D2304"/>
    <w:rsid w:val="005D2421"/>
    <w:rsid w:val="005D24F5"/>
    <w:rsid w:val="005D2811"/>
    <w:rsid w:val="005D28D6"/>
    <w:rsid w:val="005D2A65"/>
    <w:rsid w:val="005D2CCE"/>
    <w:rsid w:val="005D2E11"/>
    <w:rsid w:val="005D3053"/>
    <w:rsid w:val="005D32E5"/>
    <w:rsid w:val="005D32F9"/>
    <w:rsid w:val="005D334D"/>
    <w:rsid w:val="005D3565"/>
    <w:rsid w:val="005D35A5"/>
    <w:rsid w:val="005D35E9"/>
    <w:rsid w:val="005D3656"/>
    <w:rsid w:val="005D36B7"/>
    <w:rsid w:val="005D37ED"/>
    <w:rsid w:val="005D3866"/>
    <w:rsid w:val="005D3A04"/>
    <w:rsid w:val="005D3ACB"/>
    <w:rsid w:val="005D3BE7"/>
    <w:rsid w:val="005D3CFF"/>
    <w:rsid w:val="005D3D96"/>
    <w:rsid w:val="005D416A"/>
    <w:rsid w:val="005D4174"/>
    <w:rsid w:val="005D420C"/>
    <w:rsid w:val="005D4299"/>
    <w:rsid w:val="005D4408"/>
    <w:rsid w:val="005D454D"/>
    <w:rsid w:val="005D48FE"/>
    <w:rsid w:val="005D4A7E"/>
    <w:rsid w:val="005D4CD7"/>
    <w:rsid w:val="005D4D17"/>
    <w:rsid w:val="005D4D38"/>
    <w:rsid w:val="005D4DF7"/>
    <w:rsid w:val="005D4E16"/>
    <w:rsid w:val="005D4E3C"/>
    <w:rsid w:val="005D4E48"/>
    <w:rsid w:val="005D4FA7"/>
    <w:rsid w:val="005D51FC"/>
    <w:rsid w:val="005D5612"/>
    <w:rsid w:val="005D567F"/>
    <w:rsid w:val="005D56DF"/>
    <w:rsid w:val="005D5A7C"/>
    <w:rsid w:val="005D5AC4"/>
    <w:rsid w:val="005D5AD4"/>
    <w:rsid w:val="005D5B7B"/>
    <w:rsid w:val="005D5BA4"/>
    <w:rsid w:val="005D5C0E"/>
    <w:rsid w:val="005D5D19"/>
    <w:rsid w:val="005D5ECF"/>
    <w:rsid w:val="005D5FD0"/>
    <w:rsid w:val="005D5FF1"/>
    <w:rsid w:val="005D600E"/>
    <w:rsid w:val="005D621B"/>
    <w:rsid w:val="005D626A"/>
    <w:rsid w:val="005D6295"/>
    <w:rsid w:val="005D6353"/>
    <w:rsid w:val="005D641F"/>
    <w:rsid w:val="005D64F3"/>
    <w:rsid w:val="005D6636"/>
    <w:rsid w:val="005D66FA"/>
    <w:rsid w:val="005D6902"/>
    <w:rsid w:val="005D6952"/>
    <w:rsid w:val="005D696E"/>
    <w:rsid w:val="005D69C0"/>
    <w:rsid w:val="005D69D9"/>
    <w:rsid w:val="005D6A66"/>
    <w:rsid w:val="005D6C79"/>
    <w:rsid w:val="005D6E93"/>
    <w:rsid w:val="005D6E9E"/>
    <w:rsid w:val="005D6ED5"/>
    <w:rsid w:val="005D728F"/>
    <w:rsid w:val="005D7471"/>
    <w:rsid w:val="005D749D"/>
    <w:rsid w:val="005D74F9"/>
    <w:rsid w:val="005D7595"/>
    <w:rsid w:val="005D76FE"/>
    <w:rsid w:val="005D774C"/>
    <w:rsid w:val="005D7814"/>
    <w:rsid w:val="005D78AE"/>
    <w:rsid w:val="005D799C"/>
    <w:rsid w:val="005D79A2"/>
    <w:rsid w:val="005D79B7"/>
    <w:rsid w:val="005D7BBA"/>
    <w:rsid w:val="005D7CAA"/>
    <w:rsid w:val="005D7F40"/>
    <w:rsid w:val="005E0053"/>
    <w:rsid w:val="005E00EB"/>
    <w:rsid w:val="005E015C"/>
    <w:rsid w:val="005E01D7"/>
    <w:rsid w:val="005E0217"/>
    <w:rsid w:val="005E042A"/>
    <w:rsid w:val="005E04DF"/>
    <w:rsid w:val="005E05E6"/>
    <w:rsid w:val="005E064D"/>
    <w:rsid w:val="005E06B4"/>
    <w:rsid w:val="005E0760"/>
    <w:rsid w:val="005E078B"/>
    <w:rsid w:val="005E084C"/>
    <w:rsid w:val="005E0A2B"/>
    <w:rsid w:val="005E0EAD"/>
    <w:rsid w:val="005E1282"/>
    <w:rsid w:val="005E12D7"/>
    <w:rsid w:val="005E12FB"/>
    <w:rsid w:val="005E145C"/>
    <w:rsid w:val="005E15A0"/>
    <w:rsid w:val="005E1622"/>
    <w:rsid w:val="005E16DB"/>
    <w:rsid w:val="005E17C8"/>
    <w:rsid w:val="005E18F4"/>
    <w:rsid w:val="005E1B6A"/>
    <w:rsid w:val="005E1C45"/>
    <w:rsid w:val="005E1C7E"/>
    <w:rsid w:val="005E1D6D"/>
    <w:rsid w:val="005E1EEC"/>
    <w:rsid w:val="005E1F0E"/>
    <w:rsid w:val="005E1F50"/>
    <w:rsid w:val="005E2029"/>
    <w:rsid w:val="005E2062"/>
    <w:rsid w:val="005E209A"/>
    <w:rsid w:val="005E20AF"/>
    <w:rsid w:val="005E216D"/>
    <w:rsid w:val="005E218C"/>
    <w:rsid w:val="005E2231"/>
    <w:rsid w:val="005E2341"/>
    <w:rsid w:val="005E23E3"/>
    <w:rsid w:val="005E253D"/>
    <w:rsid w:val="005E2702"/>
    <w:rsid w:val="005E27B4"/>
    <w:rsid w:val="005E28B9"/>
    <w:rsid w:val="005E2957"/>
    <w:rsid w:val="005E2982"/>
    <w:rsid w:val="005E29A9"/>
    <w:rsid w:val="005E29D1"/>
    <w:rsid w:val="005E2D48"/>
    <w:rsid w:val="005E2FC8"/>
    <w:rsid w:val="005E2FF4"/>
    <w:rsid w:val="005E3101"/>
    <w:rsid w:val="005E32DC"/>
    <w:rsid w:val="005E35FE"/>
    <w:rsid w:val="005E3661"/>
    <w:rsid w:val="005E3690"/>
    <w:rsid w:val="005E36CC"/>
    <w:rsid w:val="005E3755"/>
    <w:rsid w:val="005E385A"/>
    <w:rsid w:val="005E3895"/>
    <w:rsid w:val="005E3964"/>
    <w:rsid w:val="005E39D5"/>
    <w:rsid w:val="005E3AE9"/>
    <w:rsid w:val="005E3B6E"/>
    <w:rsid w:val="005E3BB6"/>
    <w:rsid w:val="005E3BEB"/>
    <w:rsid w:val="005E3C40"/>
    <w:rsid w:val="005E3DB9"/>
    <w:rsid w:val="005E4028"/>
    <w:rsid w:val="005E4262"/>
    <w:rsid w:val="005E43D7"/>
    <w:rsid w:val="005E4695"/>
    <w:rsid w:val="005E471F"/>
    <w:rsid w:val="005E47F6"/>
    <w:rsid w:val="005E4815"/>
    <w:rsid w:val="005E4915"/>
    <w:rsid w:val="005E4A29"/>
    <w:rsid w:val="005E4BAD"/>
    <w:rsid w:val="005E4C41"/>
    <w:rsid w:val="005E4CAF"/>
    <w:rsid w:val="005E4D42"/>
    <w:rsid w:val="005E4DD1"/>
    <w:rsid w:val="005E4E63"/>
    <w:rsid w:val="005E4E74"/>
    <w:rsid w:val="005E4F92"/>
    <w:rsid w:val="005E4FAB"/>
    <w:rsid w:val="005E503C"/>
    <w:rsid w:val="005E51EC"/>
    <w:rsid w:val="005E5416"/>
    <w:rsid w:val="005E54BF"/>
    <w:rsid w:val="005E54CA"/>
    <w:rsid w:val="005E55F7"/>
    <w:rsid w:val="005E575E"/>
    <w:rsid w:val="005E5859"/>
    <w:rsid w:val="005E5874"/>
    <w:rsid w:val="005E58A4"/>
    <w:rsid w:val="005E5BFB"/>
    <w:rsid w:val="005E5C5B"/>
    <w:rsid w:val="005E5CB7"/>
    <w:rsid w:val="005E5E04"/>
    <w:rsid w:val="005E5F57"/>
    <w:rsid w:val="005E6037"/>
    <w:rsid w:val="005E60ED"/>
    <w:rsid w:val="005E61B6"/>
    <w:rsid w:val="005E6240"/>
    <w:rsid w:val="005E627B"/>
    <w:rsid w:val="005E636A"/>
    <w:rsid w:val="005E63BD"/>
    <w:rsid w:val="005E6418"/>
    <w:rsid w:val="005E64CA"/>
    <w:rsid w:val="005E6611"/>
    <w:rsid w:val="005E6655"/>
    <w:rsid w:val="005E6723"/>
    <w:rsid w:val="005E6865"/>
    <w:rsid w:val="005E696D"/>
    <w:rsid w:val="005E69DB"/>
    <w:rsid w:val="005E6B5A"/>
    <w:rsid w:val="005E6C1D"/>
    <w:rsid w:val="005E6F2B"/>
    <w:rsid w:val="005E75D5"/>
    <w:rsid w:val="005E75D7"/>
    <w:rsid w:val="005E7669"/>
    <w:rsid w:val="005E76B5"/>
    <w:rsid w:val="005E7710"/>
    <w:rsid w:val="005E78AF"/>
    <w:rsid w:val="005E7B92"/>
    <w:rsid w:val="005E7C5D"/>
    <w:rsid w:val="005E7C62"/>
    <w:rsid w:val="005E7CB8"/>
    <w:rsid w:val="005E7D82"/>
    <w:rsid w:val="005E7E40"/>
    <w:rsid w:val="005E7F39"/>
    <w:rsid w:val="005F0072"/>
    <w:rsid w:val="005F01D8"/>
    <w:rsid w:val="005F028E"/>
    <w:rsid w:val="005F055F"/>
    <w:rsid w:val="005F0570"/>
    <w:rsid w:val="005F0744"/>
    <w:rsid w:val="005F07A8"/>
    <w:rsid w:val="005F084B"/>
    <w:rsid w:val="005F0BF9"/>
    <w:rsid w:val="005F0C57"/>
    <w:rsid w:val="005F0C78"/>
    <w:rsid w:val="005F0D25"/>
    <w:rsid w:val="005F0D44"/>
    <w:rsid w:val="005F0EF1"/>
    <w:rsid w:val="005F1020"/>
    <w:rsid w:val="005F1061"/>
    <w:rsid w:val="005F1379"/>
    <w:rsid w:val="005F14B0"/>
    <w:rsid w:val="005F14B7"/>
    <w:rsid w:val="005F14C8"/>
    <w:rsid w:val="005F14E1"/>
    <w:rsid w:val="005F152E"/>
    <w:rsid w:val="005F1555"/>
    <w:rsid w:val="005F1651"/>
    <w:rsid w:val="005F16D8"/>
    <w:rsid w:val="005F1815"/>
    <w:rsid w:val="005F1A24"/>
    <w:rsid w:val="005F1A55"/>
    <w:rsid w:val="005F1E43"/>
    <w:rsid w:val="005F1E6C"/>
    <w:rsid w:val="005F1F68"/>
    <w:rsid w:val="005F1F6F"/>
    <w:rsid w:val="005F1FBB"/>
    <w:rsid w:val="005F2049"/>
    <w:rsid w:val="005F22F2"/>
    <w:rsid w:val="005F2403"/>
    <w:rsid w:val="005F24B0"/>
    <w:rsid w:val="005F24D5"/>
    <w:rsid w:val="005F256B"/>
    <w:rsid w:val="005F25E9"/>
    <w:rsid w:val="005F26E2"/>
    <w:rsid w:val="005F27D5"/>
    <w:rsid w:val="005F2816"/>
    <w:rsid w:val="005F2978"/>
    <w:rsid w:val="005F2ABC"/>
    <w:rsid w:val="005F2B15"/>
    <w:rsid w:val="005F2B65"/>
    <w:rsid w:val="005F2D38"/>
    <w:rsid w:val="005F2FA3"/>
    <w:rsid w:val="005F2FCD"/>
    <w:rsid w:val="005F2FFF"/>
    <w:rsid w:val="005F303D"/>
    <w:rsid w:val="005F307D"/>
    <w:rsid w:val="005F3156"/>
    <w:rsid w:val="005F31B8"/>
    <w:rsid w:val="005F3229"/>
    <w:rsid w:val="005F3234"/>
    <w:rsid w:val="005F3245"/>
    <w:rsid w:val="005F34C7"/>
    <w:rsid w:val="005F361E"/>
    <w:rsid w:val="005F3801"/>
    <w:rsid w:val="005F3820"/>
    <w:rsid w:val="005F387E"/>
    <w:rsid w:val="005F3992"/>
    <w:rsid w:val="005F3AB4"/>
    <w:rsid w:val="005F3BE3"/>
    <w:rsid w:val="005F3BEB"/>
    <w:rsid w:val="005F3C41"/>
    <w:rsid w:val="005F3D25"/>
    <w:rsid w:val="005F3E2B"/>
    <w:rsid w:val="005F3E7B"/>
    <w:rsid w:val="005F3F40"/>
    <w:rsid w:val="005F3F46"/>
    <w:rsid w:val="005F4028"/>
    <w:rsid w:val="005F4047"/>
    <w:rsid w:val="005F41E0"/>
    <w:rsid w:val="005F434F"/>
    <w:rsid w:val="005F43C2"/>
    <w:rsid w:val="005F43EF"/>
    <w:rsid w:val="005F4447"/>
    <w:rsid w:val="005F4470"/>
    <w:rsid w:val="005F44AB"/>
    <w:rsid w:val="005F4674"/>
    <w:rsid w:val="005F4721"/>
    <w:rsid w:val="005F4738"/>
    <w:rsid w:val="005F49C8"/>
    <w:rsid w:val="005F4A34"/>
    <w:rsid w:val="005F4AE3"/>
    <w:rsid w:val="005F4AEE"/>
    <w:rsid w:val="005F4B1E"/>
    <w:rsid w:val="005F4B37"/>
    <w:rsid w:val="005F4BC0"/>
    <w:rsid w:val="005F4C1B"/>
    <w:rsid w:val="005F4C1F"/>
    <w:rsid w:val="005F4C46"/>
    <w:rsid w:val="005F4DC6"/>
    <w:rsid w:val="005F4DEF"/>
    <w:rsid w:val="005F4E10"/>
    <w:rsid w:val="005F4FE5"/>
    <w:rsid w:val="005F51AF"/>
    <w:rsid w:val="005F521B"/>
    <w:rsid w:val="005F52B9"/>
    <w:rsid w:val="005F538D"/>
    <w:rsid w:val="005F54D3"/>
    <w:rsid w:val="005F5644"/>
    <w:rsid w:val="005F5685"/>
    <w:rsid w:val="005F5704"/>
    <w:rsid w:val="005F5748"/>
    <w:rsid w:val="005F57B6"/>
    <w:rsid w:val="005F57BC"/>
    <w:rsid w:val="005F57D1"/>
    <w:rsid w:val="005F581F"/>
    <w:rsid w:val="005F5894"/>
    <w:rsid w:val="005F5906"/>
    <w:rsid w:val="005F5972"/>
    <w:rsid w:val="005F59C4"/>
    <w:rsid w:val="005F59F5"/>
    <w:rsid w:val="005F5A18"/>
    <w:rsid w:val="005F5A9E"/>
    <w:rsid w:val="005F5ACB"/>
    <w:rsid w:val="005F5ACF"/>
    <w:rsid w:val="005F5BCE"/>
    <w:rsid w:val="005F5D59"/>
    <w:rsid w:val="005F5D7C"/>
    <w:rsid w:val="005F5EC0"/>
    <w:rsid w:val="005F5FBA"/>
    <w:rsid w:val="005F6150"/>
    <w:rsid w:val="005F6199"/>
    <w:rsid w:val="005F62AA"/>
    <w:rsid w:val="005F63AA"/>
    <w:rsid w:val="005F63F8"/>
    <w:rsid w:val="005F6593"/>
    <w:rsid w:val="005F660E"/>
    <w:rsid w:val="005F6D46"/>
    <w:rsid w:val="005F6F4A"/>
    <w:rsid w:val="005F70ED"/>
    <w:rsid w:val="005F718C"/>
    <w:rsid w:val="005F71C0"/>
    <w:rsid w:val="005F720A"/>
    <w:rsid w:val="005F7403"/>
    <w:rsid w:val="005F7427"/>
    <w:rsid w:val="005F7487"/>
    <w:rsid w:val="005F7632"/>
    <w:rsid w:val="005F76C3"/>
    <w:rsid w:val="005F776F"/>
    <w:rsid w:val="005F77D0"/>
    <w:rsid w:val="005F7A66"/>
    <w:rsid w:val="005F7C3B"/>
    <w:rsid w:val="005F7E89"/>
    <w:rsid w:val="005F7F29"/>
    <w:rsid w:val="00600214"/>
    <w:rsid w:val="00600218"/>
    <w:rsid w:val="006002CE"/>
    <w:rsid w:val="00600417"/>
    <w:rsid w:val="00600516"/>
    <w:rsid w:val="006005BA"/>
    <w:rsid w:val="0060062A"/>
    <w:rsid w:val="00600835"/>
    <w:rsid w:val="00600895"/>
    <w:rsid w:val="00600A4D"/>
    <w:rsid w:val="00600A60"/>
    <w:rsid w:val="00600B61"/>
    <w:rsid w:val="00600BC7"/>
    <w:rsid w:val="00600D88"/>
    <w:rsid w:val="00600E70"/>
    <w:rsid w:val="00600EE9"/>
    <w:rsid w:val="00600EEE"/>
    <w:rsid w:val="00600F86"/>
    <w:rsid w:val="00601137"/>
    <w:rsid w:val="0060117D"/>
    <w:rsid w:val="006013CC"/>
    <w:rsid w:val="0060147F"/>
    <w:rsid w:val="00601591"/>
    <w:rsid w:val="00601619"/>
    <w:rsid w:val="006016CB"/>
    <w:rsid w:val="00601923"/>
    <w:rsid w:val="006019EC"/>
    <w:rsid w:val="00601C11"/>
    <w:rsid w:val="00601E07"/>
    <w:rsid w:val="00601F04"/>
    <w:rsid w:val="00601F1E"/>
    <w:rsid w:val="00601F60"/>
    <w:rsid w:val="00602061"/>
    <w:rsid w:val="006022AF"/>
    <w:rsid w:val="006024E0"/>
    <w:rsid w:val="006025DE"/>
    <w:rsid w:val="00602610"/>
    <w:rsid w:val="0060261B"/>
    <w:rsid w:val="0060269E"/>
    <w:rsid w:val="0060278D"/>
    <w:rsid w:val="006027DB"/>
    <w:rsid w:val="006028A2"/>
    <w:rsid w:val="00602947"/>
    <w:rsid w:val="0060294A"/>
    <w:rsid w:val="00602BDD"/>
    <w:rsid w:val="00602D17"/>
    <w:rsid w:val="00602F43"/>
    <w:rsid w:val="00602F85"/>
    <w:rsid w:val="00602F96"/>
    <w:rsid w:val="00603023"/>
    <w:rsid w:val="00603354"/>
    <w:rsid w:val="00603518"/>
    <w:rsid w:val="00603563"/>
    <w:rsid w:val="0060373E"/>
    <w:rsid w:val="006037EE"/>
    <w:rsid w:val="00603870"/>
    <w:rsid w:val="00603A4D"/>
    <w:rsid w:val="00603AE3"/>
    <w:rsid w:val="00603B08"/>
    <w:rsid w:val="00603C20"/>
    <w:rsid w:val="00603C80"/>
    <w:rsid w:val="00603E84"/>
    <w:rsid w:val="00603E9A"/>
    <w:rsid w:val="00604224"/>
    <w:rsid w:val="006042AF"/>
    <w:rsid w:val="006045E8"/>
    <w:rsid w:val="00604639"/>
    <w:rsid w:val="00604A27"/>
    <w:rsid w:val="00604A55"/>
    <w:rsid w:val="00604C40"/>
    <w:rsid w:val="00604C4B"/>
    <w:rsid w:val="00604D53"/>
    <w:rsid w:val="00604D54"/>
    <w:rsid w:val="00604DD8"/>
    <w:rsid w:val="00604DF1"/>
    <w:rsid w:val="00604E2C"/>
    <w:rsid w:val="00604E63"/>
    <w:rsid w:val="00604EAC"/>
    <w:rsid w:val="00604F48"/>
    <w:rsid w:val="006051A1"/>
    <w:rsid w:val="006051E8"/>
    <w:rsid w:val="0060535A"/>
    <w:rsid w:val="006055B0"/>
    <w:rsid w:val="00605683"/>
    <w:rsid w:val="00605776"/>
    <w:rsid w:val="0060587C"/>
    <w:rsid w:val="006058AA"/>
    <w:rsid w:val="0060590C"/>
    <w:rsid w:val="00605A06"/>
    <w:rsid w:val="00605CAD"/>
    <w:rsid w:val="00605D38"/>
    <w:rsid w:val="00605D89"/>
    <w:rsid w:val="00605E36"/>
    <w:rsid w:val="00605EA1"/>
    <w:rsid w:val="00605F17"/>
    <w:rsid w:val="00605FA2"/>
    <w:rsid w:val="0060603F"/>
    <w:rsid w:val="00606099"/>
    <w:rsid w:val="00606237"/>
    <w:rsid w:val="0060643E"/>
    <w:rsid w:val="0060651C"/>
    <w:rsid w:val="006067FD"/>
    <w:rsid w:val="00606A4A"/>
    <w:rsid w:val="00606C3E"/>
    <w:rsid w:val="00606DB8"/>
    <w:rsid w:val="00606F81"/>
    <w:rsid w:val="00607153"/>
    <w:rsid w:val="00607283"/>
    <w:rsid w:val="006074C9"/>
    <w:rsid w:val="006075FE"/>
    <w:rsid w:val="0060767D"/>
    <w:rsid w:val="00607781"/>
    <w:rsid w:val="00607A2B"/>
    <w:rsid w:val="00607AD8"/>
    <w:rsid w:val="00607B8D"/>
    <w:rsid w:val="00607C96"/>
    <w:rsid w:val="00607D51"/>
    <w:rsid w:val="00610162"/>
    <w:rsid w:val="0061019A"/>
    <w:rsid w:val="0061030B"/>
    <w:rsid w:val="0061036C"/>
    <w:rsid w:val="006103F3"/>
    <w:rsid w:val="006104E8"/>
    <w:rsid w:val="00610772"/>
    <w:rsid w:val="006109F6"/>
    <w:rsid w:val="00610A2C"/>
    <w:rsid w:val="00610A88"/>
    <w:rsid w:val="00610A9D"/>
    <w:rsid w:val="00610ABA"/>
    <w:rsid w:val="00610BAA"/>
    <w:rsid w:val="00610C8D"/>
    <w:rsid w:val="00610CFE"/>
    <w:rsid w:val="00610E0D"/>
    <w:rsid w:val="00611295"/>
    <w:rsid w:val="00611308"/>
    <w:rsid w:val="0061133E"/>
    <w:rsid w:val="0061138F"/>
    <w:rsid w:val="00611430"/>
    <w:rsid w:val="00611448"/>
    <w:rsid w:val="006114C6"/>
    <w:rsid w:val="00611766"/>
    <w:rsid w:val="00611787"/>
    <w:rsid w:val="00611903"/>
    <w:rsid w:val="00611A81"/>
    <w:rsid w:val="00611ACA"/>
    <w:rsid w:val="00611BC1"/>
    <w:rsid w:val="00611D06"/>
    <w:rsid w:val="00611F8F"/>
    <w:rsid w:val="006122C7"/>
    <w:rsid w:val="006123CE"/>
    <w:rsid w:val="0061240F"/>
    <w:rsid w:val="006124DF"/>
    <w:rsid w:val="00612DD7"/>
    <w:rsid w:val="00612E3F"/>
    <w:rsid w:val="00612F59"/>
    <w:rsid w:val="00612FCE"/>
    <w:rsid w:val="00613037"/>
    <w:rsid w:val="006130FA"/>
    <w:rsid w:val="006131EC"/>
    <w:rsid w:val="00613228"/>
    <w:rsid w:val="006134BC"/>
    <w:rsid w:val="006134EE"/>
    <w:rsid w:val="006135AB"/>
    <w:rsid w:val="006135F5"/>
    <w:rsid w:val="006136C0"/>
    <w:rsid w:val="0061375B"/>
    <w:rsid w:val="00613814"/>
    <w:rsid w:val="006138E4"/>
    <w:rsid w:val="0061393F"/>
    <w:rsid w:val="00613AE1"/>
    <w:rsid w:val="00613B34"/>
    <w:rsid w:val="00613D83"/>
    <w:rsid w:val="0061400A"/>
    <w:rsid w:val="00614180"/>
    <w:rsid w:val="006141AA"/>
    <w:rsid w:val="006141C1"/>
    <w:rsid w:val="006141D9"/>
    <w:rsid w:val="00614263"/>
    <w:rsid w:val="00614277"/>
    <w:rsid w:val="006143E3"/>
    <w:rsid w:val="006144F6"/>
    <w:rsid w:val="00614501"/>
    <w:rsid w:val="0061463E"/>
    <w:rsid w:val="00614684"/>
    <w:rsid w:val="006146E8"/>
    <w:rsid w:val="006147C8"/>
    <w:rsid w:val="00614B38"/>
    <w:rsid w:val="00614B7A"/>
    <w:rsid w:val="00614B9B"/>
    <w:rsid w:val="00614D3E"/>
    <w:rsid w:val="00614D91"/>
    <w:rsid w:val="0061504F"/>
    <w:rsid w:val="00615154"/>
    <w:rsid w:val="0061525F"/>
    <w:rsid w:val="0061563A"/>
    <w:rsid w:val="00615687"/>
    <w:rsid w:val="006156DF"/>
    <w:rsid w:val="00615821"/>
    <w:rsid w:val="00615881"/>
    <w:rsid w:val="00615B8C"/>
    <w:rsid w:val="00615D0E"/>
    <w:rsid w:val="00615EBA"/>
    <w:rsid w:val="00615F2A"/>
    <w:rsid w:val="00615FEE"/>
    <w:rsid w:val="006160A9"/>
    <w:rsid w:val="0061620C"/>
    <w:rsid w:val="00616407"/>
    <w:rsid w:val="006164D5"/>
    <w:rsid w:val="006165A8"/>
    <w:rsid w:val="006165E9"/>
    <w:rsid w:val="0061671C"/>
    <w:rsid w:val="0061673A"/>
    <w:rsid w:val="00616A9C"/>
    <w:rsid w:val="00616C60"/>
    <w:rsid w:val="00616D2D"/>
    <w:rsid w:val="00616D82"/>
    <w:rsid w:val="00616EB5"/>
    <w:rsid w:val="00617089"/>
    <w:rsid w:val="006170FA"/>
    <w:rsid w:val="006171FF"/>
    <w:rsid w:val="00617418"/>
    <w:rsid w:val="00617574"/>
    <w:rsid w:val="006177BA"/>
    <w:rsid w:val="006177D7"/>
    <w:rsid w:val="006178D3"/>
    <w:rsid w:val="006178F3"/>
    <w:rsid w:val="006179AE"/>
    <w:rsid w:val="006179F1"/>
    <w:rsid w:val="00617A6F"/>
    <w:rsid w:val="00617A83"/>
    <w:rsid w:val="00617A89"/>
    <w:rsid w:val="00617AA2"/>
    <w:rsid w:val="00617BB5"/>
    <w:rsid w:val="00617BF5"/>
    <w:rsid w:val="00617C0F"/>
    <w:rsid w:val="00617C96"/>
    <w:rsid w:val="00617E20"/>
    <w:rsid w:val="00617EB9"/>
    <w:rsid w:val="00617F1B"/>
    <w:rsid w:val="00617F97"/>
    <w:rsid w:val="00617FD7"/>
    <w:rsid w:val="006200FB"/>
    <w:rsid w:val="00620152"/>
    <w:rsid w:val="00620257"/>
    <w:rsid w:val="006204A7"/>
    <w:rsid w:val="00620580"/>
    <w:rsid w:val="0062072B"/>
    <w:rsid w:val="0062074B"/>
    <w:rsid w:val="00620949"/>
    <w:rsid w:val="00620B09"/>
    <w:rsid w:val="00620D31"/>
    <w:rsid w:val="00620E5A"/>
    <w:rsid w:val="00620E87"/>
    <w:rsid w:val="00620EB0"/>
    <w:rsid w:val="006210C8"/>
    <w:rsid w:val="00621210"/>
    <w:rsid w:val="00621219"/>
    <w:rsid w:val="006212A3"/>
    <w:rsid w:val="00621373"/>
    <w:rsid w:val="006214C0"/>
    <w:rsid w:val="00621590"/>
    <w:rsid w:val="00621658"/>
    <w:rsid w:val="006216D2"/>
    <w:rsid w:val="00621A75"/>
    <w:rsid w:val="00621AF2"/>
    <w:rsid w:val="00621B64"/>
    <w:rsid w:val="00621C66"/>
    <w:rsid w:val="00621C90"/>
    <w:rsid w:val="00621FB6"/>
    <w:rsid w:val="00621FD9"/>
    <w:rsid w:val="00621FDB"/>
    <w:rsid w:val="006220A4"/>
    <w:rsid w:val="00622114"/>
    <w:rsid w:val="0062221F"/>
    <w:rsid w:val="006223A8"/>
    <w:rsid w:val="00622460"/>
    <w:rsid w:val="00622826"/>
    <w:rsid w:val="00622B03"/>
    <w:rsid w:val="00622DDE"/>
    <w:rsid w:val="00622EA4"/>
    <w:rsid w:val="006230AB"/>
    <w:rsid w:val="006230EA"/>
    <w:rsid w:val="006230FE"/>
    <w:rsid w:val="00623245"/>
    <w:rsid w:val="006232EC"/>
    <w:rsid w:val="00623323"/>
    <w:rsid w:val="0062366C"/>
    <w:rsid w:val="006237A7"/>
    <w:rsid w:val="00623965"/>
    <w:rsid w:val="00623BB3"/>
    <w:rsid w:val="00623BEC"/>
    <w:rsid w:val="00623C39"/>
    <w:rsid w:val="00623C4C"/>
    <w:rsid w:val="0062400F"/>
    <w:rsid w:val="006240AD"/>
    <w:rsid w:val="00624167"/>
    <w:rsid w:val="006241E9"/>
    <w:rsid w:val="006242AE"/>
    <w:rsid w:val="006242B5"/>
    <w:rsid w:val="006242EA"/>
    <w:rsid w:val="00624419"/>
    <w:rsid w:val="00624595"/>
    <w:rsid w:val="00624688"/>
    <w:rsid w:val="006246CD"/>
    <w:rsid w:val="0062477A"/>
    <w:rsid w:val="006247DF"/>
    <w:rsid w:val="006248EF"/>
    <w:rsid w:val="00624917"/>
    <w:rsid w:val="00624A2D"/>
    <w:rsid w:val="00624D4C"/>
    <w:rsid w:val="00624DE6"/>
    <w:rsid w:val="00624ED3"/>
    <w:rsid w:val="00624F02"/>
    <w:rsid w:val="006250E9"/>
    <w:rsid w:val="00625233"/>
    <w:rsid w:val="00625463"/>
    <w:rsid w:val="0062578E"/>
    <w:rsid w:val="006257E3"/>
    <w:rsid w:val="00625B54"/>
    <w:rsid w:val="00625B6F"/>
    <w:rsid w:val="00625D0C"/>
    <w:rsid w:val="00626035"/>
    <w:rsid w:val="006260DA"/>
    <w:rsid w:val="006263CD"/>
    <w:rsid w:val="006263D9"/>
    <w:rsid w:val="006264EA"/>
    <w:rsid w:val="00626809"/>
    <w:rsid w:val="00626AC7"/>
    <w:rsid w:val="00626BCB"/>
    <w:rsid w:val="00626C6A"/>
    <w:rsid w:val="00626D66"/>
    <w:rsid w:val="00626D70"/>
    <w:rsid w:val="00626E38"/>
    <w:rsid w:val="00626F03"/>
    <w:rsid w:val="00627041"/>
    <w:rsid w:val="0062715E"/>
    <w:rsid w:val="00627226"/>
    <w:rsid w:val="006273D7"/>
    <w:rsid w:val="006274A7"/>
    <w:rsid w:val="006275DE"/>
    <w:rsid w:val="0062777C"/>
    <w:rsid w:val="006277AF"/>
    <w:rsid w:val="00627929"/>
    <w:rsid w:val="006279DE"/>
    <w:rsid w:val="00627B79"/>
    <w:rsid w:val="00627D0D"/>
    <w:rsid w:val="006300F0"/>
    <w:rsid w:val="0063015B"/>
    <w:rsid w:val="006301AB"/>
    <w:rsid w:val="00630252"/>
    <w:rsid w:val="006302AC"/>
    <w:rsid w:val="006302B8"/>
    <w:rsid w:val="0063038C"/>
    <w:rsid w:val="006303B0"/>
    <w:rsid w:val="006304BB"/>
    <w:rsid w:val="0063065D"/>
    <w:rsid w:val="00630851"/>
    <w:rsid w:val="00630888"/>
    <w:rsid w:val="0063092D"/>
    <w:rsid w:val="00630BA6"/>
    <w:rsid w:val="00630C8B"/>
    <w:rsid w:val="00630C9A"/>
    <w:rsid w:val="00630CD5"/>
    <w:rsid w:val="00630D00"/>
    <w:rsid w:val="00630D60"/>
    <w:rsid w:val="00630F09"/>
    <w:rsid w:val="00630FE7"/>
    <w:rsid w:val="00631029"/>
    <w:rsid w:val="00631067"/>
    <w:rsid w:val="006310FA"/>
    <w:rsid w:val="00631187"/>
    <w:rsid w:val="00631459"/>
    <w:rsid w:val="00631799"/>
    <w:rsid w:val="006317B6"/>
    <w:rsid w:val="006318DD"/>
    <w:rsid w:val="00631975"/>
    <w:rsid w:val="006319E8"/>
    <w:rsid w:val="00631B91"/>
    <w:rsid w:val="00631BB3"/>
    <w:rsid w:val="00631BC5"/>
    <w:rsid w:val="00631C4A"/>
    <w:rsid w:val="00631C9F"/>
    <w:rsid w:val="00631D77"/>
    <w:rsid w:val="00631DC0"/>
    <w:rsid w:val="00631E02"/>
    <w:rsid w:val="00631ED0"/>
    <w:rsid w:val="00631ED3"/>
    <w:rsid w:val="00632072"/>
    <w:rsid w:val="00632172"/>
    <w:rsid w:val="00632370"/>
    <w:rsid w:val="006323F8"/>
    <w:rsid w:val="006326E1"/>
    <w:rsid w:val="00632839"/>
    <w:rsid w:val="00632900"/>
    <w:rsid w:val="0063294B"/>
    <w:rsid w:val="00632AEE"/>
    <w:rsid w:val="00632B0A"/>
    <w:rsid w:val="00632B14"/>
    <w:rsid w:val="00632B61"/>
    <w:rsid w:val="00632BA9"/>
    <w:rsid w:val="00632C2E"/>
    <w:rsid w:val="00632C47"/>
    <w:rsid w:val="00632CA6"/>
    <w:rsid w:val="006330F7"/>
    <w:rsid w:val="006331F0"/>
    <w:rsid w:val="006332D0"/>
    <w:rsid w:val="006332EA"/>
    <w:rsid w:val="006332FA"/>
    <w:rsid w:val="0063336F"/>
    <w:rsid w:val="0063360B"/>
    <w:rsid w:val="00633964"/>
    <w:rsid w:val="00633977"/>
    <w:rsid w:val="00633B2F"/>
    <w:rsid w:val="00633B3D"/>
    <w:rsid w:val="00633B73"/>
    <w:rsid w:val="00633C8A"/>
    <w:rsid w:val="00633E36"/>
    <w:rsid w:val="00633E82"/>
    <w:rsid w:val="0063422C"/>
    <w:rsid w:val="00634286"/>
    <w:rsid w:val="00634373"/>
    <w:rsid w:val="00634397"/>
    <w:rsid w:val="006346AC"/>
    <w:rsid w:val="006347D5"/>
    <w:rsid w:val="0063492B"/>
    <w:rsid w:val="006349D5"/>
    <w:rsid w:val="006349EA"/>
    <w:rsid w:val="00634C28"/>
    <w:rsid w:val="00634D7F"/>
    <w:rsid w:val="00634DD1"/>
    <w:rsid w:val="0063502B"/>
    <w:rsid w:val="0063508F"/>
    <w:rsid w:val="0063530B"/>
    <w:rsid w:val="0063538A"/>
    <w:rsid w:val="00635391"/>
    <w:rsid w:val="00635392"/>
    <w:rsid w:val="00635477"/>
    <w:rsid w:val="006354D5"/>
    <w:rsid w:val="00635509"/>
    <w:rsid w:val="00635656"/>
    <w:rsid w:val="00635914"/>
    <w:rsid w:val="00635B2A"/>
    <w:rsid w:val="00635B3B"/>
    <w:rsid w:val="00635B5B"/>
    <w:rsid w:val="00635BAA"/>
    <w:rsid w:val="00635C31"/>
    <w:rsid w:val="00635D00"/>
    <w:rsid w:val="00635D7B"/>
    <w:rsid w:val="00635DE5"/>
    <w:rsid w:val="00635F70"/>
    <w:rsid w:val="00635FEC"/>
    <w:rsid w:val="0063604C"/>
    <w:rsid w:val="006361C3"/>
    <w:rsid w:val="00636212"/>
    <w:rsid w:val="006362B0"/>
    <w:rsid w:val="006363DD"/>
    <w:rsid w:val="006363F8"/>
    <w:rsid w:val="0063642B"/>
    <w:rsid w:val="006365AF"/>
    <w:rsid w:val="00636684"/>
    <w:rsid w:val="00636718"/>
    <w:rsid w:val="0063675D"/>
    <w:rsid w:val="006367D4"/>
    <w:rsid w:val="00636A43"/>
    <w:rsid w:val="00636A44"/>
    <w:rsid w:val="00636BA1"/>
    <w:rsid w:val="00636D5B"/>
    <w:rsid w:val="00636D5E"/>
    <w:rsid w:val="00636ED0"/>
    <w:rsid w:val="00636EFF"/>
    <w:rsid w:val="00636F9D"/>
    <w:rsid w:val="006370D7"/>
    <w:rsid w:val="0063722A"/>
    <w:rsid w:val="0063727D"/>
    <w:rsid w:val="006372F9"/>
    <w:rsid w:val="0063735B"/>
    <w:rsid w:val="00637686"/>
    <w:rsid w:val="006378DF"/>
    <w:rsid w:val="006379A4"/>
    <w:rsid w:val="00637A66"/>
    <w:rsid w:val="00637B4B"/>
    <w:rsid w:val="00637BFB"/>
    <w:rsid w:val="00637E8B"/>
    <w:rsid w:val="00637EFD"/>
    <w:rsid w:val="00637FAC"/>
    <w:rsid w:val="00640025"/>
    <w:rsid w:val="006400FE"/>
    <w:rsid w:val="00640164"/>
    <w:rsid w:val="006401B6"/>
    <w:rsid w:val="006401FB"/>
    <w:rsid w:val="0064021E"/>
    <w:rsid w:val="0064023B"/>
    <w:rsid w:val="00640373"/>
    <w:rsid w:val="006403FE"/>
    <w:rsid w:val="0064057D"/>
    <w:rsid w:val="006406FE"/>
    <w:rsid w:val="00640A9E"/>
    <w:rsid w:val="00640B22"/>
    <w:rsid w:val="00640B94"/>
    <w:rsid w:val="00640C31"/>
    <w:rsid w:val="00640DD1"/>
    <w:rsid w:val="00640E0C"/>
    <w:rsid w:val="00640E16"/>
    <w:rsid w:val="00640E22"/>
    <w:rsid w:val="00640E2E"/>
    <w:rsid w:val="00640F75"/>
    <w:rsid w:val="00640FAD"/>
    <w:rsid w:val="00641008"/>
    <w:rsid w:val="0064117A"/>
    <w:rsid w:val="00641263"/>
    <w:rsid w:val="00641413"/>
    <w:rsid w:val="00641467"/>
    <w:rsid w:val="006415F3"/>
    <w:rsid w:val="00641678"/>
    <w:rsid w:val="006416A3"/>
    <w:rsid w:val="00641845"/>
    <w:rsid w:val="00641950"/>
    <w:rsid w:val="00641A8B"/>
    <w:rsid w:val="00641D04"/>
    <w:rsid w:val="00641E56"/>
    <w:rsid w:val="00641EC6"/>
    <w:rsid w:val="00641EC7"/>
    <w:rsid w:val="00641F3D"/>
    <w:rsid w:val="006420C3"/>
    <w:rsid w:val="006421D8"/>
    <w:rsid w:val="006423EA"/>
    <w:rsid w:val="00642588"/>
    <w:rsid w:val="0064260B"/>
    <w:rsid w:val="006426CC"/>
    <w:rsid w:val="006427FD"/>
    <w:rsid w:val="006429FE"/>
    <w:rsid w:val="00642BDF"/>
    <w:rsid w:val="00642C34"/>
    <w:rsid w:val="00642DAC"/>
    <w:rsid w:val="00642EA1"/>
    <w:rsid w:val="00643203"/>
    <w:rsid w:val="0064320C"/>
    <w:rsid w:val="00643226"/>
    <w:rsid w:val="00643621"/>
    <w:rsid w:val="00643654"/>
    <w:rsid w:val="006436B2"/>
    <w:rsid w:val="006437C9"/>
    <w:rsid w:val="00643930"/>
    <w:rsid w:val="00643C24"/>
    <w:rsid w:val="00643DC8"/>
    <w:rsid w:val="00643ECE"/>
    <w:rsid w:val="00643F37"/>
    <w:rsid w:val="00643F66"/>
    <w:rsid w:val="00644068"/>
    <w:rsid w:val="0064411D"/>
    <w:rsid w:val="006442BD"/>
    <w:rsid w:val="0064436F"/>
    <w:rsid w:val="0064443E"/>
    <w:rsid w:val="006445CD"/>
    <w:rsid w:val="0064465C"/>
    <w:rsid w:val="006448B9"/>
    <w:rsid w:val="00644A91"/>
    <w:rsid w:val="00644AF6"/>
    <w:rsid w:val="00644B4A"/>
    <w:rsid w:val="00644D4F"/>
    <w:rsid w:val="00644DB3"/>
    <w:rsid w:val="00644DE0"/>
    <w:rsid w:val="00644DFD"/>
    <w:rsid w:val="0064513F"/>
    <w:rsid w:val="0064515E"/>
    <w:rsid w:val="00645251"/>
    <w:rsid w:val="00645357"/>
    <w:rsid w:val="00645386"/>
    <w:rsid w:val="00645521"/>
    <w:rsid w:val="0064588C"/>
    <w:rsid w:val="00645903"/>
    <w:rsid w:val="006459EF"/>
    <w:rsid w:val="00645BEB"/>
    <w:rsid w:val="00645C54"/>
    <w:rsid w:val="00645DC8"/>
    <w:rsid w:val="00645DF9"/>
    <w:rsid w:val="006460F1"/>
    <w:rsid w:val="006461E4"/>
    <w:rsid w:val="006462D4"/>
    <w:rsid w:val="006462FC"/>
    <w:rsid w:val="0064634D"/>
    <w:rsid w:val="00646395"/>
    <w:rsid w:val="006463A1"/>
    <w:rsid w:val="00646408"/>
    <w:rsid w:val="006465AE"/>
    <w:rsid w:val="006465F3"/>
    <w:rsid w:val="00646605"/>
    <w:rsid w:val="00646712"/>
    <w:rsid w:val="00646825"/>
    <w:rsid w:val="006469A3"/>
    <w:rsid w:val="00646A12"/>
    <w:rsid w:val="00646F78"/>
    <w:rsid w:val="00647233"/>
    <w:rsid w:val="006473A8"/>
    <w:rsid w:val="0064762F"/>
    <w:rsid w:val="00647776"/>
    <w:rsid w:val="00647C17"/>
    <w:rsid w:val="00647CFB"/>
    <w:rsid w:val="00647D6D"/>
    <w:rsid w:val="00647E12"/>
    <w:rsid w:val="00647F9A"/>
    <w:rsid w:val="00650092"/>
    <w:rsid w:val="00650249"/>
    <w:rsid w:val="00650374"/>
    <w:rsid w:val="006503E5"/>
    <w:rsid w:val="006503F1"/>
    <w:rsid w:val="0065059C"/>
    <w:rsid w:val="006505CF"/>
    <w:rsid w:val="006506F4"/>
    <w:rsid w:val="006507E4"/>
    <w:rsid w:val="0065085B"/>
    <w:rsid w:val="006508C7"/>
    <w:rsid w:val="00650946"/>
    <w:rsid w:val="00650984"/>
    <w:rsid w:val="00650A08"/>
    <w:rsid w:val="00650A1A"/>
    <w:rsid w:val="00650A65"/>
    <w:rsid w:val="00650D8E"/>
    <w:rsid w:val="00650D98"/>
    <w:rsid w:val="00650DCC"/>
    <w:rsid w:val="00650EC9"/>
    <w:rsid w:val="00650ED8"/>
    <w:rsid w:val="00650F67"/>
    <w:rsid w:val="006510C0"/>
    <w:rsid w:val="00651197"/>
    <w:rsid w:val="0065121E"/>
    <w:rsid w:val="006512AC"/>
    <w:rsid w:val="00651359"/>
    <w:rsid w:val="00651362"/>
    <w:rsid w:val="006515B7"/>
    <w:rsid w:val="006515F3"/>
    <w:rsid w:val="006516DF"/>
    <w:rsid w:val="0065181D"/>
    <w:rsid w:val="0065185C"/>
    <w:rsid w:val="00651A69"/>
    <w:rsid w:val="00651A7A"/>
    <w:rsid w:val="00651C73"/>
    <w:rsid w:val="00651CD2"/>
    <w:rsid w:val="00651D03"/>
    <w:rsid w:val="00651E13"/>
    <w:rsid w:val="00651E50"/>
    <w:rsid w:val="00651F4D"/>
    <w:rsid w:val="00651F90"/>
    <w:rsid w:val="006522C8"/>
    <w:rsid w:val="00652307"/>
    <w:rsid w:val="006523CA"/>
    <w:rsid w:val="006526E5"/>
    <w:rsid w:val="00652708"/>
    <w:rsid w:val="00652DBB"/>
    <w:rsid w:val="00652E97"/>
    <w:rsid w:val="00652FCE"/>
    <w:rsid w:val="00653135"/>
    <w:rsid w:val="0065327C"/>
    <w:rsid w:val="006533A9"/>
    <w:rsid w:val="00653473"/>
    <w:rsid w:val="006534BF"/>
    <w:rsid w:val="006535C5"/>
    <w:rsid w:val="00653710"/>
    <w:rsid w:val="006537D7"/>
    <w:rsid w:val="00653860"/>
    <w:rsid w:val="00653C1C"/>
    <w:rsid w:val="00653C9C"/>
    <w:rsid w:val="00653D00"/>
    <w:rsid w:val="00653D4C"/>
    <w:rsid w:val="00653DFC"/>
    <w:rsid w:val="00653EB1"/>
    <w:rsid w:val="00654066"/>
    <w:rsid w:val="006541FF"/>
    <w:rsid w:val="00654244"/>
    <w:rsid w:val="0065427E"/>
    <w:rsid w:val="0065444A"/>
    <w:rsid w:val="0065449D"/>
    <w:rsid w:val="006545EB"/>
    <w:rsid w:val="00654783"/>
    <w:rsid w:val="00654A1E"/>
    <w:rsid w:val="00654B1E"/>
    <w:rsid w:val="00654B40"/>
    <w:rsid w:val="00654CA8"/>
    <w:rsid w:val="00654D07"/>
    <w:rsid w:val="00654D59"/>
    <w:rsid w:val="00654E18"/>
    <w:rsid w:val="00654E2F"/>
    <w:rsid w:val="00654F3D"/>
    <w:rsid w:val="00654F68"/>
    <w:rsid w:val="00654F81"/>
    <w:rsid w:val="0065534D"/>
    <w:rsid w:val="006553C8"/>
    <w:rsid w:val="006553F7"/>
    <w:rsid w:val="00655541"/>
    <w:rsid w:val="0065556F"/>
    <w:rsid w:val="0065566F"/>
    <w:rsid w:val="006556C7"/>
    <w:rsid w:val="006556F2"/>
    <w:rsid w:val="006557FD"/>
    <w:rsid w:val="006558BA"/>
    <w:rsid w:val="006559A4"/>
    <w:rsid w:val="006559CE"/>
    <w:rsid w:val="00655A1C"/>
    <w:rsid w:val="00655A2C"/>
    <w:rsid w:val="00655A57"/>
    <w:rsid w:val="00655AF2"/>
    <w:rsid w:val="00655B9B"/>
    <w:rsid w:val="00655BA5"/>
    <w:rsid w:val="00655C1E"/>
    <w:rsid w:val="00655CF9"/>
    <w:rsid w:val="00655D45"/>
    <w:rsid w:val="00655E18"/>
    <w:rsid w:val="00655E22"/>
    <w:rsid w:val="00655E54"/>
    <w:rsid w:val="00655F67"/>
    <w:rsid w:val="006560D7"/>
    <w:rsid w:val="00656232"/>
    <w:rsid w:val="00656347"/>
    <w:rsid w:val="006563B3"/>
    <w:rsid w:val="00656449"/>
    <w:rsid w:val="0065651E"/>
    <w:rsid w:val="00656819"/>
    <w:rsid w:val="0065681D"/>
    <w:rsid w:val="00656849"/>
    <w:rsid w:val="00656894"/>
    <w:rsid w:val="006568A5"/>
    <w:rsid w:val="0065693E"/>
    <w:rsid w:val="00656A2A"/>
    <w:rsid w:val="00656B32"/>
    <w:rsid w:val="00656B4E"/>
    <w:rsid w:val="0065714C"/>
    <w:rsid w:val="00657489"/>
    <w:rsid w:val="006575A0"/>
    <w:rsid w:val="006575C4"/>
    <w:rsid w:val="006577C4"/>
    <w:rsid w:val="00657832"/>
    <w:rsid w:val="00657A1B"/>
    <w:rsid w:val="00657ADD"/>
    <w:rsid w:val="00657B5E"/>
    <w:rsid w:val="00657C2D"/>
    <w:rsid w:val="00657D3C"/>
    <w:rsid w:val="00657D8C"/>
    <w:rsid w:val="0066022A"/>
    <w:rsid w:val="0066032F"/>
    <w:rsid w:val="006604CA"/>
    <w:rsid w:val="006605DA"/>
    <w:rsid w:val="00660645"/>
    <w:rsid w:val="006606AC"/>
    <w:rsid w:val="006606E4"/>
    <w:rsid w:val="00660703"/>
    <w:rsid w:val="00660775"/>
    <w:rsid w:val="00660783"/>
    <w:rsid w:val="00660879"/>
    <w:rsid w:val="00660921"/>
    <w:rsid w:val="00660A74"/>
    <w:rsid w:val="00660C4C"/>
    <w:rsid w:val="00660D69"/>
    <w:rsid w:val="00660E14"/>
    <w:rsid w:val="00660F5A"/>
    <w:rsid w:val="00660FE0"/>
    <w:rsid w:val="00660FFE"/>
    <w:rsid w:val="00661099"/>
    <w:rsid w:val="006612CB"/>
    <w:rsid w:val="0066130F"/>
    <w:rsid w:val="00661527"/>
    <w:rsid w:val="00661594"/>
    <w:rsid w:val="00661604"/>
    <w:rsid w:val="00661E08"/>
    <w:rsid w:val="00661E0B"/>
    <w:rsid w:val="00661E4A"/>
    <w:rsid w:val="0066217B"/>
    <w:rsid w:val="00662200"/>
    <w:rsid w:val="0066235D"/>
    <w:rsid w:val="0066252C"/>
    <w:rsid w:val="00662534"/>
    <w:rsid w:val="0066273B"/>
    <w:rsid w:val="00662806"/>
    <w:rsid w:val="0066282F"/>
    <w:rsid w:val="006628B0"/>
    <w:rsid w:val="006628C1"/>
    <w:rsid w:val="00662928"/>
    <w:rsid w:val="006629C9"/>
    <w:rsid w:val="00662A2C"/>
    <w:rsid w:val="00662AAB"/>
    <w:rsid w:val="00662E5F"/>
    <w:rsid w:val="00662E65"/>
    <w:rsid w:val="00662E82"/>
    <w:rsid w:val="00662E90"/>
    <w:rsid w:val="00662F38"/>
    <w:rsid w:val="006630F5"/>
    <w:rsid w:val="00663333"/>
    <w:rsid w:val="006634D3"/>
    <w:rsid w:val="0066353B"/>
    <w:rsid w:val="006636DE"/>
    <w:rsid w:val="006637A8"/>
    <w:rsid w:val="00663D37"/>
    <w:rsid w:val="00663E91"/>
    <w:rsid w:val="006640FA"/>
    <w:rsid w:val="006641ED"/>
    <w:rsid w:val="00664434"/>
    <w:rsid w:val="00664686"/>
    <w:rsid w:val="006647C6"/>
    <w:rsid w:val="00664813"/>
    <w:rsid w:val="006648E8"/>
    <w:rsid w:val="00664AED"/>
    <w:rsid w:val="00664B0D"/>
    <w:rsid w:val="00664BAE"/>
    <w:rsid w:val="00664CF7"/>
    <w:rsid w:val="00664DE2"/>
    <w:rsid w:val="00664E41"/>
    <w:rsid w:val="00664F1D"/>
    <w:rsid w:val="00664F71"/>
    <w:rsid w:val="00664FCA"/>
    <w:rsid w:val="00665160"/>
    <w:rsid w:val="00665280"/>
    <w:rsid w:val="006652B0"/>
    <w:rsid w:val="006655D2"/>
    <w:rsid w:val="006655F7"/>
    <w:rsid w:val="0066561F"/>
    <w:rsid w:val="00665715"/>
    <w:rsid w:val="00665769"/>
    <w:rsid w:val="006657FF"/>
    <w:rsid w:val="006658B2"/>
    <w:rsid w:val="006658B3"/>
    <w:rsid w:val="00665934"/>
    <w:rsid w:val="0066594F"/>
    <w:rsid w:val="00665BDB"/>
    <w:rsid w:val="00665C59"/>
    <w:rsid w:val="00666291"/>
    <w:rsid w:val="006662B8"/>
    <w:rsid w:val="0066642B"/>
    <w:rsid w:val="0066643C"/>
    <w:rsid w:val="006664F6"/>
    <w:rsid w:val="006666DA"/>
    <w:rsid w:val="00666702"/>
    <w:rsid w:val="00666877"/>
    <w:rsid w:val="00666A58"/>
    <w:rsid w:val="00666CCD"/>
    <w:rsid w:val="00666CFA"/>
    <w:rsid w:val="00666E24"/>
    <w:rsid w:val="00666F7C"/>
    <w:rsid w:val="00666FAD"/>
    <w:rsid w:val="00667027"/>
    <w:rsid w:val="0066705D"/>
    <w:rsid w:val="006670C3"/>
    <w:rsid w:val="0066737E"/>
    <w:rsid w:val="0066739F"/>
    <w:rsid w:val="0066740A"/>
    <w:rsid w:val="0066759E"/>
    <w:rsid w:val="006675B1"/>
    <w:rsid w:val="0066766A"/>
    <w:rsid w:val="00667705"/>
    <w:rsid w:val="0066783F"/>
    <w:rsid w:val="006678E7"/>
    <w:rsid w:val="00667B42"/>
    <w:rsid w:val="00667D6A"/>
    <w:rsid w:val="00667D78"/>
    <w:rsid w:val="00667FFC"/>
    <w:rsid w:val="00670082"/>
    <w:rsid w:val="00670123"/>
    <w:rsid w:val="006702A0"/>
    <w:rsid w:val="006702A4"/>
    <w:rsid w:val="00670334"/>
    <w:rsid w:val="006703B0"/>
    <w:rsid w:val="00670650"/>
    <w:rsid w:val="006707A9"/>
    <w:rsid w:val="00670915"/>
    <w:rsid w:val="006709BF"/>
    <w:rsid w:val="00670AB1"/>
    <w:rsid w:val="00670ABD"/>
    <w:rsid w:val="00670F3A"/>
    <w:rsid w:val="00671166"/>
    <w:rsid w:val="006711B4"/>
    <w:rsid w:val="006712C0"/>
    <w:rsid w:val="006712FF"/>
    <w:rsid w:val="006713C6"/>
    <w:rsid w:val="00671452"/>
    <w:rsid w:val="006714D1"/>
    <w:rsid w:val="00671655"/>
    <w:rsid w:val="00671ABC"/>
    <w:rsid w:val="00671BDB"/>
    <w:rsid w:val="00671CAA"/>
    <w:rsid w:val="00671CF7"/>
    <w:rsid w:val="00671E59"/>
    <w:rsid w:val="0067206A"/>
    <w:rsid w:val="006720D1"/>
    <w:rsid w:val="0067212B"/>
    <w:rsid w:val="0067214C"/>
    <w:rsid w:val="006721BF"/>
    <w:rsid w:val="0067240C"/>
    <w:rsid w:val="006724D8"/>
    <w:rsid w:val="006726B9"/>
    <w:rsid w:val="00672708"/>
    <w:rsid w:val="00672867"/>
    <w:rsid w:val="006729C8"/>
    <w:rsid w:val="00672D72"/>
    <w:rsid w:val="00672DF8"/>
    <w:rsid w:val="00672FD1"/>
    <w:rsid w:val="006730C7"/>
    <w:rsid w:val="006730DC"/>
    <w:rsid w:val="006731BE"/>
    <w:rsid w:val="006732E7"/>
    <w:rsid w:val="00673398"/>
    <w:rsid w:val="006736D7"/>
    <w:rsid w:val="00673CB9"/>
    <w:rsid w:val="0067406A"/>
    <w:rsid w:val="0067407B"/>
    <w:rsid w:val="0067409E"/>
    <w:rsid w:val="00674268"/>
    <w:rsid w:val="006742E8"/>
    <w:rsid w:val="00674460"/>
    <w:rsid w:val="006744AC"/>
    <w:rsid w:val="00674504"/>
    <w:rsid w:val="00674564"/>
    <w:rsid w:val="006745A5"/>
    <w:rsid w:val="006745BA"/>
    <w:rsid w:val="006745C7"/>
    <w:rsid w:val="00674635"/>
    <w:rsid w:val="006746C0"/>
    <w:rsid w:val="00674898"/>
    <w:rsid w:val="00674AEF"/>
    <w:rsid w:val="00674B66"/>
    <w:rsid w:val="00674B6F"/>
    <w:rsid w:val="00674C7D"/>
    <w:rsid w:val="00674E2E"/>
    <w:rsid w:val="00674FCD"/>
    <w:rsid w:val="00674FDC"/>
    <w:rsid w:val="00675027"/>
    <w:rsid w:val="006750C4"/>
    <w:rsid w:val="006750F3"/>
    <w:rsid w:val="0067521E"/>
    <w:rsid w:val="00675230"/>
    <w:rsid w:val="0067533C"/>
    <w:rsid w:val="00675349"/>
    <w:rsid w:val="0067539F"/>
    <w:rsid w:val="006755D3"/>
    <w:rsid w:val="00675643"/>
    <w:rsid w:val="00675737"/>
    <w:rsid w:val="00675763"/>
    <w:rsid w:val="00675986"/>
    <w:rsid w:val="00675D7A"/>
    <w:rsid w:val="00675E9D"/>
    <w:rsid w:val="00675F3F"/>
    <w:rsid w:val="00676049"/>
    <w:rsid w:val="006761F8"/>
    <w:rsid w:val="006761FC"/>
    <w:rsid w:val="0067630E"/>
    <w:rsid w:val="0067648A"/>
    <w:rsid w:val="00676723"/>
    <w:rsid w:val="0067676F"/>
    <w:rsid w:val="00676782"/>
    <w:rsid w:val="006767FA"/>
    <w:rsid w:val="00676A17"/>
    <w:rsid w:val="00676C02"/>
    <w:rsid w:val="00676C29"/>
    <w:rsid w:val="00676C73"/>
    <w:rsid w:val="00676CD1"/>
    <w:rsid w:val="00676FD3"/>
    <w:rsid w:val="00677099"/>
    <w:rsid w:val="006770D5"/>
    <w:rsid w:val="00677580"/>
    <w:rsid w:val="00677760"/>
    <w:rsid w:val="006778DC"/>
    <w:rsid w:val="006779ED"/>
    <w:rsid w:val="00677A29"/>
    <w:rsid w:val="00677A67"/>
    <w:rsid w:val="00677A69"/>
    <w:rsid w:val="00677BBE"/>
    <w:rsid w:val="00677CAD"/>
    <w:rsid w:val="00677E46"/>
    <w:rsid w:val="00677F25"/>
    <w:rsid w:val="00677FB5"/>
    <w:rsid w:val="00680033"/>
    <w:rsid w:val="00680671"/>
    <w:rsid w:val="0068079D"/>
    <w:rsid w:val="00680A06"/>
    <w:rsid w:val="00680AAD"/>
    <w:rsid w:val="00680B40"/>
    <w:rsid w:val="00680B5D"/>
    <w:rsid w:val="00680BD3"/>
    <w:rsid w:val="00680C17"/>
    <w:rsid w:val="00680E0E"/>
    <w:rsid w:val="00680E87"/>
    <w:rsid w:val="00680F34"/>
    <w:rsid w:val="00680F7A"/>
    <w:rsid w:val="006810DB"/>
    <w:rsid w:val="0068129A"/>
    <w:rsid w:val="0068142E"/>
    <w:rsid w:val="006814C6"/>
    <w:rsid w:val="00681632"/>
    <w:rsid w:val="00681684"/>
    <w:rsid w:val="00681786"/>
    <w:rsid w:val="0068187A"/>
    <w:rsid w:val="0068189F"/>
    <w:rsid w:val="006818FE"/>
    <w:rsid w:val="00681941"/>
    <w:rsid w:val="006819C0"/>
    <w:rsid w:val="00681ABC"/>
    <w:rsid w:val="00681AC0"/>
    <w:rsid w:val="00681AF7"/>
    <w:rsid w:val="00681B3A"/>
    <w:rsid w:val="00681BB3"/>
    <w:rsid w:val="00681C15"/>
    <w:rsid w:val="00681D92"/>
    <w:rsid w:val="00681DA2"/>
    <w:rsid w:val="00681E35"/>
    <w:rsid w:val="00681EC9"/>
    <w:rsid w:val="006820ED"/>
    <w:rsid w:val="006821CF"/>
    <w:rsid w:val="006822FA"/>
    <w:rsid w:val="006824C8"/>
    <w:rsid w:val="006824F9"/>
    <w:rsid w:val="006826A6"/>
    <w:rsid w:val="0068288C"/>
    <w:rsid w:val="00682A65"/>
    <w:rsid w:val="00682B1F"/>
    <w:rsid w:val="00682D5F"/>
    <w:rsid w:val="00682E37"/>
    <w:rsid w:val="00682F9E"/>
    <w:rsid w:val="00683058"/>
    <w:rsid w:val="006831E8"/>
    <w:rsid w:val="006832B5"/>
    <w:rsid w:val="00683346"/>
    <w:rsid w:val="00683628"/>
    <w:rsid w:val="006836F4"/>
    <w:rsid w:val="0068372F"/>
    <w:rsid w:val="00683794"/>
    <w:rsid w:val="00683A24"/>
    <w:rsid w:val="00683B40"/>
    <w:rsid w:val="00683C1D"/>
    <w:rsid w:val="00683D57"/>
    <w:rsid w:val="00683D5C"/>
    <w:rsid w:val="00683EBB"/>
    <w:rsid w:val="00683F36"/>
    <w:rsid w:val="00683F52"/>
    <w:rsid w:val="00684268"/>
    <w:rsid w:val="006843A6"/>
    <w:rsid w:val="00684521"/>
    <w:rsid w:val="00684583"/>
    <w:rsid w:val="006845FA"/>
    <w:rsid w:val="00684621"/>
    <w:rsid w:val="006846D8"/>
    <w:rsid w:val="0068477E"/>
    <w:rsid w:val="00684791"/>
    <w:rsid w:val="0068481F"/>
    <w:rsid w:val="0068483C"/>
    <w:rsid w:val="0068486D"/>
    <w:rsid w:val="00684BCE"/>
    <w:rsid w:val="00684D60"/>
    <w:rsid w:val="00684ED5"/>
    <w:rsid w:val="0068502C"/>
    <w:rsid w:val="00685139"/>
    <w:rsid w:val="0068522B"/>
    <w:rsid w:val="00685231"/>
    <w:rsid w:val="006852AE"/>
    <w:rsid w:val="006852BB"/>
    <w:rsid w:val="006852EE"/>
    <w:rsid w:val="00685306"/>
    <w:rsid w:val="0068533C"/>
    <w:rsid w:val="00685589"/>
    <w:rsid w:val="006857D0"/>
    <w:rsid w:val="00685940"/>
    <w:rsid w:val="00685BCE"/>
    <w:rsid w:val="00685D1D"/>
    <w:rsid w:val="00685D89"/>
    <w:rsid w:val="00685DFB"/>
    <w:rsid w:val="00685E1C"/>
    <w:rsid w:val="00685EB9"/>
    <w:rsid w:val="00685ED9"/>
    <w:rsid w:val="00685F79"/>
    <w:rsid w:val="00685F99"/>
    <w:rsid w:val="006860AC"/>
    <w:rsid w:val="00686370"/>
    <w:rsid w:val="0068637E"/>
    <w:rsid w:val="00686504"/>
    <w:rsid w:val="00686591"/>
    <w:rsid w:val="006865A0"/>
    <w:rsid w:val="006866A7"/>
    <w:rsid w:val="006867ED"/>
    <w:rsid w:val="0068682C"/>
    <w:rsid w:val="00686881"/>
    <w:rsid w:val="00686A3B"/>
    <w:rsid w:val="00686AE2"/>
    <w:rsid w:val="00686E14"/>
    <w:rsid w:val="00686F27"/>
    <w:rsid w:val="00686F69"/>
    <w:rsid w:val="00686FB2"/>
    <w:rsid w:val="006870C9"/>
    <w:rsid w:val="00687123"/>
    <w:rsid w:val="006871DC"/>
    <w:rsid w:val="0068726C"/>
    <w:rsid w:val="006874DE"/>
    <w:rsid w:val="006874E8"/>
    <w:rsid w:val="00687783"/>
    <w:rsid w:val="00687996"/>
    <w:rsid w:val="00687BA9"/>
    <w:rsid w:val="00687CB5"/>
    <w:rsid w:val="00687D89"/>
    <w:rsid w:val="00687D98"/>
    <w:rsid w:val="00687EF9"/>
    <w:rsid w:val="00690032"/>
    <w:rsid w:val="00690262"/>
    <w:rsid w:val="006902E2"/>
    <w:rsid w:val="006902E3"/>
    <w:rsid w:val="0069031E"/>
    <w:rsid w:val="0069049C"/>
    <w:rsid w:val="006904A1"/>
    <w:rsid w:val="0069060D"/>
    <w:rsid w:val="00690676"/>
    <w:rsid w:val="0069067C"/>
    <w:rsid w:val="00690757"/>
    <w:rsid w:val="006909F0"/>
    <w:rsid w:val="00690A2C"/>
    <w:rsid w:val="00690AEA"/>
    <w:rsid w:val="00690B57"/>
    <w:rsid w:val="00690CE0"/>
    <w:rsid w:val="00690D98"/>
    <w:rsid w:val="00690F61"/>
    <w:rsid w:val="00690F68"/>
    <w:rsid w:val="00691070"/>
    <w:rsid w:val="006911A9"/>
    <w:rsid w:val="006911E3"/>
    <w:rsid w:val="00691247"/>
    <w:rsid w:val="006915FE"/>
    <w:rsid w:val="00691610"/>
    <w:rsid w:val="00691832"/>
    <w:rsid w:val="0069185C"/>
    <w:rsid w:val="00691871"/>
    <w:rsid w:val="00691889"/>
    <w:rsid w:val="006918C9"/>
    <w:rsid w:val="00691975"/>
    <w:rsid w:val="00691A30"/>
    <w:rsid w:val="00691A59"/>
    <w:rsid w:val="00691A9B"/>
    <w:rsid w:val="00691C46"/>
    <w:rsid w:val="00691F3B"/>
    <w:rsid w:val="00691FBE"/>
    <w:rsid w:val="0069209F"/>
    <w:rsid w:val="006923C1"/>
    <w:rsid w:val="0069272F"/>
    <w:rsid w:val="00692831"/>
    <w:rsid w:val="00692836"/>
    <w:rsid w:val="0069286C"/>
    <w:rsid w:val="0069292C"/>
    <w:rsid w:val="00692974"/>
    <w:rsid w:val="006929D3"/>
    <w:rsid w:val="00692AEF"/>
    <w:rsid w:val="00692B1A"/>
    <w:rsid w:val="00692BC4"/>
    <w:rsid w:val="00692F40"/>
    <w:rsid w:val="00692F66"/>
    <w:rsid w:val="00693078"/>
    <w:rsid w:val="00693140"/>
    <w:rsid w:val="0069377A"/>
    <w:rsid w:val="00693847"/>
    <w:rsid w:val="006938AA"/>
    <w:rsid w:val="006938F9"/>
    <w:rsid w:val="006939A6"/>
    <w:rsid w:val="00693A8F"/>
    <w:rsid w:val="00693A94"/>
    <w:rsid w:val="00693BA7"/>
    <w:rsid w:val="00693C1A"/>
    <w:rsid w:val="00693DC6"/>
    <w:rsid w:val="00693DDE"/>
    <w:rsid w:val="006940DD"/>
    <w:rsid w:val="00694101"/>
    <w:rsid w:val="00694216"/>
    <w:rsid w:val="006943A8"/>
    <w:rsid w:val="006946DE"/>
    <w:rsid w:val="0069474B"/>
    <w:rsid w:val="0069475D"/>
    <w:rsid w:val="006948EC"/>
    <w:rsid w:val="00694A30"/>
    <w:rsid w:val="00694A97"/>
    <w:rsid w:val="00694BAC"/>
    <w:rsid w:val="00694D01"/>
    <w:rsid w:val="00694D49"/>
    <w:rsid w:val="00694F2E"/>
    <w:rsid w:val="006951DC"/>
    <w:rsid w:val="0069541D"/>
    <w:rsid w:val="00695449"/>
    <w:rsid w:val="0069547F"/>
    <w:rsid w:val="006954DA"/>
    <w:rsid w:val="00695517"/>
    <w:rsid w:val="006955A3"/>
    <w:rsid w:val="0069581D"/>
    <w:rsid w:val="006958FD"/>
    <w:rsid w:val="0069597D"/>
    <w:rsid w:val="006959B1"/>
    <w:rsid w:val="00695A90"/>
    <w:rsid w:val="00695B5B"/>
    <w:rsid w:val="00695BC2"/>
    <w:rsid w:val="00695CE5"/>
    <w:rsid w:val="00695DEC"/>
    <w:rsid w:val="00695F5F"/>
    <w:rsid w:val="0069609B"/>
    <w:rsid w:val="00696107"/>
    <w:rsid w:val="00696116"/>
    <w:rsid w:val="00696156"/>
    <w:rsid w:val="00696238"/>
    <w:rsid w:val="00696340"/>
    <w:rsid w:val="006963D7"/>
    <w:rsid w:val="006967E5"/>
    <w:rsid w:val="0069681D"/>
    <w:rsid w:val="00696A60"/>
    <w:rsid w:val="00696C03"/>
    <w:rsid w:val="00696C97"/>
    <w:rsid w:val="00696FF3"/>
    <w:rsid w:val="006970F6"/>
    <w:rsid w:val="00697189"/>
    <w:rsid w:val="006971A0"/>
    <w:rsid w:val="006973B7"/>
    <w:rsid w:val="00697448"/>
    <w:rsid w:val="00697566"/>
    <w:rsid w:val="0069776B"/>
    <w:rsid w:val="0069780B"/>
    <w:rsid w:val="0069783D"/>
    <w:rsid w:val="00697856"/>
    <w:rsid w:val="00697930"/>
    <w:rsid w:val="00697932"/>
    <w:rsid w:val="00697966"/>
    <w:rsid w:val="00697BE7"/>
    <w:rsid w:val="00697BE8"/>
    <w:rsid w:val="00697C33"/>
    <w:rsid w:val="00697C50"/>
    <w:rsid w:val="00697DEB"/>
    <w:rsid w:val="00697F14"/>
    <w:rsid w:val="006A0045"/>
    <w:rsid w:val="006A0080"/>
    <w:rsid w:val="006A0254"/>
    <w:rsid w:val="006A03B5"/>
    <w:rsid w:val="006A0435"/>
    <w:rsid w:val="006A0584"/>
    <w:rsid w:val="006A0729"/>
    <w:rsid w:val="006A09BD"/>
    <w:rsid w:val="006A0B1B"/>
    <w:rsid w:val="006A0B2F"/>
    <w:rsid w:val="006A0B55"/>
    <w:rsid w:val="006A0BE8"/>
    <w:rsid w:val="006A0D59"/>
    <w:rsid w:val="006A0E45"/>
    <w:rsid w:val="006A0F6E"/>
    <w:rsid w:val="006A10B7"/>
    <w:rsid w:val="006A10ED"/>
    <w:rsid w:val="006A1398"/>
    <w:rsid w:val="006A14EB"/>
    <w:rsid w:val="006A15D3"/>
    <w:rsid w:val="006A163E"/>
    <w:rsid w:val="006A16F5"/>
    <w:rsid w:val="006A17D8"/>
    <w:rsid w:val="006A191C"/>
    <w:rsid w:val="006A1979"/>
    <w:rsid w:val="006A1ACF"/>
    <w:rsid w:val="006A1B93"/>
    <w:rsid w:val="006A1BD8"/>
    <w:rsid w:val="006A1C40"/>
    <w:rsid w:val="006A1DFD"/>
    <w:rsid w:val="006A21F7"/>
    <w:rsid w:val="006A22CB"/>
    <w:rsid w:val="006A238D"/>
    <w:rsid w:val="006A23D7"/>
    <w:rsid w:val="006A2409"/>
    <w:rsid w:val="006A2458"/>
    <w:rsid w:val="006A250D"/>
    <w:rsid w:val="006A2600"/>
    <w:rsid w:val="006A264A"/>
    <w:rsid w:val="006A2889"/>
    <w:rsid w:val="006A290F"/>
    <w:rsid w:val="006A2A48"/>
    <w:rsid w:val="006A2A6A"/>
    <w:rsid w:val="006A2C0D"/>
    <w:rsid w:val="006A2CDF"/>
    <w:rsid w:val="006A2D42"/>
    <w:rsid w:val="006A2F69"/>
    <w:rsid w:val="006A2FBB"/>
    <w:rsid w:val="006A30A2"/>
    <w:rsid w:val="006A310C"/>
    <w:rsid w:val="006A3153"/>
    <w:rsid w:val="006A32B1"/>
    <w:rsid w:val="006A32D0"/>
    <w:rsid w:val="006A32E1"/>
    <w:rsid w:val="006A3448"/>
    <w:rsid w:val="006A3494"/>
    <w:rsid w:val="006A34E4"/>
    <w:rsid w:val="006A358D"/>
    <w:rsid w:val="006A3843"/>
    <w:rsid w:val="006A3A2B"/>
    <w:rsid w:val="006A3BBD"/>
    <w:rsid w:val="006A3C60"/>
    <w:rsid w:val="006A3CB0"/>
    <w:rsid w:val="006A3F66"/>
    <w:rsid w:val="006A3FEF"/>
    <w:rsid w:val="006A41C2"/>
    <w:rsid w:val="006A4204"/>
    <w:rsid w:val="006A4309"/>
    <w:rsid w:val="006A4318"/>
    <w:rsid w:val="006A4320"/>
    <w:rsid w:val="006A4395"/>
    <w:rsid w:val="006A4537"/>
    <w:rsid w:val="006A45C6"/>
    <w:rsid w:val="006A4691"/>
    <w:rsid w:val="006A46DC"/>
    <w:rsid w:val="006A476F"/>
    <w:rsid w:val="006A4902"/>
    <w:rsid w:val="006A4A17"/>
    <w:rsid w:val="006A4A57"/>
    <w:rsid w:val="006A4A66"/>
    <w:rsid w:val="006A4AB3"/>
    <w:rsid w:val="006A4B14"/>
    <w:rsid w:val="006A4C80"/>
    <w:rsid w:val="006A4DEC"/>
    <w:rsid w:val="006A512C"/>
    <w:rsid w:val="006A51A0"/>
    <w:rsid w:val="006A51F4"/>
    <w:rsid w:val="006A54B4"/>
    <w:rsid w:val="006A559A"/>
    <w:rsid w:val="006A588B"/>
    <w:rsid w:val="006A58B0"/>
    <w:rsid w:val="006A594B"/>
    <w:rsid w:val="006A59DA"/>
    <w:rsid w:val="006A5B83"/>
    <w:rsid w:val="006A5C2E"/>
    <w:rsid w:val="006A5E24"/>
    <w:rsid w:val="006A5FA6"/>
    <w:rsid w:val="006A5FAF"/>
    <w:rsid w:val="006A6105"/>
    <w:rsid w:val="006A6153"/>
    <w:rsid w:val="006A6271"/>
    <w:rsid w:val="006A632D"/>
    <w:rsid w:val="006A6553"/>
    <w:rsid w:val="006A661B"/>
    <w:rsid w:val="006A66DF"/>
    <w:rsid w:val="006A6837"/>
    <w:rsid w:val="006A6838"/>
    <w:rsid w:val="006A698A"/>
    <w:rsid w:val="006A6BF1"/>
    <w:rsid w:val="006A6C92"/>
    <w:rsid w:val="006A6D3E"/>
    <w:rsid w:val="006A6E19"/>
    <w:rsid w:val="006A6ED1"/>
    <w:rsid w:val="006A709A"/>
    <w:rsid w:val="006A70A7"/>
    <w:rsid w:val="006A70C9"/>
    <w:rsid w:val="006A71B4"/>
    <w:rsid w:val="006A71F6"/>
    <w:rsid w:val="006A72EF"/>
    <w:rsid w:val="006A7317"/>
    <w:rsid w:val="006A7428"/>
    <w:rsid w:val="006A74FA"/>
    <w:rsid w:val="006A7585"/>
    <w:rsid w:val="006A75D3"/>
    <w:rsid w:val="006A7732"/>
    <w:rsid w:val="006A7A46"/>
    <w:rsid w:val="006A7A56"/>
    <w:rsid w:val="006A7C26"/>
    <w:rsid w:val="006A7DBD"/>
    <w:rsid w:val="006A7F35"/>
    <w:rsid w:val="006B0131"/>
    <w:rsid w:val="006B0300"/>
    <w:rsid w:val="006B0378"/>
    <w:rsid w:val="006B05AC"/>
    <w:rsid w:val="006B05F2"/>
    <w:rsid w:val="006B0635"/>
    <w:rsid w:val="006B074A"/>
    <w:rsid w:val="006B090F"/>
    <w:rsid w:val="006B0914"/>
    <w:rsid w:val="006B0A1F"/>
    <w:rsid w:val="006B0BF3"/>
    <w:rsid w:val="006B0BF9"/>
    <w:rsid w:val="006B0E8F"/>
    <w:rsid w:val="006B0EAC"/>
    <w:rsid w:val="006B0F32"/>
    <w:rsid w:val="006B0F38"/>
    <w:rsid w:val="006B114F"/>
    <w:rsid w:val="006B11FE"/>
    <w:rsid w:val="006B167C"/>
    <w:rsid w:val="006B176C"/>
    <w:rsid w:val="006B17CE"/>
    <w:rsid w:val="006B18C7"/>
    <w:rsid w:val="006B1EC7"/>
    <w:rsid w:val="006B2149"/>
    <w:rsid w:val="006B2192"/>
    <w:rsid w:val="006B21BD"/>
    <w:rsid w:val="006B225F"/>
    <w:rsid w:val="006B2320"/>
    <w:rsid w:val="006B234A"/>
    <w:rsid w:val="006B2438"/>
    <w:rsid w:val="006B243D"/>
    <w:rsid w:val="006B24F8"/>
    <w:rsid w:val="006B2625"/>
    <w:rsid w:val="006B26A8"/>
    <w:rsid w:val="006B27F7"/>
    <w:rsid w:val="006B2877"/>
    <w:rsid w:val="006B2B09"/>
    <w:rsid w:val="006B2BB2"/>
    <w:rsid w:val="006B2BB8"/>
    <w:rsid w:val="006B2CC7"/>
    <w:rsid w:val="006B3006"/>
    <w:rsid w:val="006B3032"/>
    <w:rsid w:val="006B3055"/>
    <w:rsid w:val="006B308C"/>
    <w:rsid w:val="006B309B"/>
    <w:rsid w:val="006B3311"/>
    <w:rsid w:val="006B34AD"/>
    <w:rsid w:val="006B3532"/>
    <w:rsid w:val="006B3537"/>
    <w:rsid w:val="006B3703"/>
    <w:rsid w:val="006B3955"/>
    <w:rsid w:val="006B3958"/>
    <w:rsid w:val="006B3970"/>
    <w:rsid w:val="006B3B38"/>
    <w:rsid w:val="006B3E59"/>
    <w:rsid w:val="006B3F00"/>
    <w:rsid w:val="006B3F88"/>
    <w:rsid w:val="006B403C"/>
    <w:rsid w:val="006B42BA"/>
    <w:rsid w:val="006B4338"/>
    <w:rsid w:val="006B44A5"/>
    <w:rsid w:val="006B44B9"/>
    <w:rsid w:val="006B45F0"/>
    <w:rsid w:val="006B4719"/>
    <w:rsid w:val="006B4803"/>
    <w:rsid w:val="006B4826"/>
    <w:rsid w:val="006B4B4A"/>
    <w:rsid w:val="006B4D3A"/>
    <w:rsid w:val="006B4D8F"/>
    <w:rsid w:val="006B4E16"/>
    <w:rsid w:val="006B4F90"/>
    <w:rsid w:val="006B50A6"/>
    <w:rsid w:val="006B50D7"/>
    <w:rsid w:val="006B5215"/>
    <w:rsid w:val="006B537F"/>
    <w:rsid w:val="006B546C"/>
    <w:rsid w:val="006B54AE"/>
    <w:rsid w:val="006B554F"/>
    <w:rsid w:val="006B55E5"/>
    <w:rsid w:val="006B567B"/>
    <w:rsid w:val="006B59D6"/>
    <w:rsid w:val="006B5A73"/>
    <w:rsid w:val="006B5A7C"/>
    <w:rsid w:val="006B5C82"/>
    <w:rsid w:val="006B6086"/>
    <w:rsid w:val="006B6288"/>
    <w:rsid w:val="006B6416"/>
    <w:rsid w:val="006B6455"/>
    <w:rsid w:val="006B65E6"/>
    <w:rsid w:val="006B6688"/>
    <w:rsid w:val="006B6711"/>
    <w:rsid w:val="006B680C"/>
    <w:rsid w:val="006B6878"/>
    <w:rsid w:val="006B6940"/>
    <w:rsid w:val="006B6A30"/>
    <w:rsid w:val="006B6B6F"/>
    <w:rsid w:val="006B6C88"/>
    <w:rsid w:val="006B6E66"/>
    <w:rsid w:val="006B7103"/>
    <w:rsid w:val="006B72D1"/>
    <w:rsid w:val="006B72FB"/>
    <w:rsid w:val="006B75C6"/>
    <w:rsid w:val="006B7675"/>
    <w:rsid w:val="006B7831"/>
    <w:rsid w:val="006B7839"/>
    <w:rsid w:val="006B792C"/>
    <w:rsid w:val="006B7A48"/>
    <w:rsid w:val="006B7B09"/>
    <w:rsid w:val="006B7B68"/>
    <w:rsid w:val="006B7CFC"/>
    <w:rsid w:val="006C028A"/>
    <w:rsid w:val="006C0447"/>
    <w:rsid w:val="006C0717"/>
    <w:rsid w:val="006C078C"/>
    <w:rsid w:val="006C07AA"/>
    <w:rsid w:val="006C07F4"/>
    <w:rsid w:val="006C0A46"/>
    <w:rsid w:val="006C0B58"/>
    <w:rsid w:val="006C0D5E"/>
    <w:rsid w:val="006C0DE5"/>
    <w:rsid w:val="006C0E68"/>
    <w:rsid w:val="006C0E9D"/>
    <w:rsid w:val="006C0F3F"/>
    <w:rsid w:val="006C0F57"/>
    <w:rsid w:val="006C13D5"/>
    <w:rsid w:val="006C142E"/>
    <w:rsid w:val="006C1491"/>
    <w:rsid w:val="006C1497"/>
    <w:rsid w:val="006C154A"/>
    <w:rsid w:val="006C15F7"/>
    <w:rsid w:val="006C16C9"/>
    <w:rsid w:val="006C18AD"/>
    <w:rsid w:val="006C194F"/>
    <w:rsid w:val="006C1B15"/>
    <w:rsid w:val="006C1C6C"/>
    <w:rsid w:val="006C1E13"/>
    <w:rsid w:val="006C1E88"/>
    <w:rsid w:val="006C1FF5"/>
    <w:rsid w:val="006C208A"/>
    <w:rsid w:val="006C21D3"/>
    <w:rsid w:val="006C21E5"/>
    <w:rsid w:val="006C257F"/>
    <w:rsid w:val="006C261F"/>
    <w:rsid w:val="006C2643"/>
    <w:rsid w:val="006C2944"/>
    <w:rsid w:val="006C299F"/>
    <w:rsid w:val="006C2ADF"/>
    <w:rsid w:val="006C2D5E"/>
    <w:rsid w:val="006C2D8A"/>
    <w:rsid w:val="006C2E87"/>
    <w:rsid w:val="006C2F93"/>
    <w:rsid w:val="006C2FC6"/>
    <w:rsid w:val="006C31BC"/>
    <w:rsid w:val="006C326B"/>
    <w:rsid w:val="006C33CF"/>
    <w:rsid w:val="006C33FF"/>
    <w:rsid w:val="006C3500"/>
    <w:rsid w:val="006C354C"/>
    <w:rsid w:val="006C3678"/>
    <w:rsid w:val="006C36C9"/>
    <w:rsid w:val="006C3700"/>
    <w:rsid w:val="006C3AB6"/>
    <w:rsid w:val="006C3AE7"/>
    <w:rsid w:val="006C3B76"/>
    <w:rsid w:val="006C3F35"/>
    <w:rsid w:val="006C3F96"/>
    <w:rsid w:val="006C3FD6"/>
    <w:rsid w:val="006C4070"/>
    <w:rsid w:val="006C40D6"/>
    <w:rsid w:val="006C410C"/>
    <w:rsid w:val="006C4317"/>
    <w:rsid w:val="006C436F"/>
    <w:rsid w:val="006C43D6"/>
    <w:rsid w:val="006C44FF"/>
    <w:rsid w:val="006C455B"/>
    <w:rsid w:val="006C4572"/>
    <w:rsid w:val="006C457B"/>
    <w:rsid w:val="006C4647"/>
    <w:rsid w:val="006C473C"/>
    <w:rsid w:val="006C4840"/>
    <w:rsid w:val="006C48F6"/>
    <w:rsid w:val="006C4B39"/>
    <w:rsid w:val="006C4BDE"/>
    <w:rsid w:val="006C4CC1"/>
    <w:rsid w:val="006C4D46"/>
    <w:rsid w:val="006C4F9A"/>
    <w:rsid w:val="006C4F9B"/>
    <w:rsid w:val="006C53B0"/>
    <w:rsid w:val="006C53C5"/>
    <w:rsid w:val="006C53C9"/>
    <w:rsid w:val="006C5525"/>
    <w:rsid w:val="006C580B"/>
    <w:rsid w:val="006C5914"/>
    <w:rsid w:val="006C5943"/>
    <w:rsid w:val="006C5A0E"/>
    <w:rsid w:val="006C5AC9"/>
    <w:rsid w:val="006C5ADB"/>
    <w:rsid w:val="006C5C6C"/>
    <w:rsid w:val="006C5DEE"/>
    <w:rsid w:val="006C5E28"/>
    <w:rsid w:val="006C5E93"/>
    <w:rsid w:val="006C5F3D"/>
    <w:rsid w:val="006C5F8B"/>
    <w:rsid w:val="006C5FBC"/>
    <w:rsid w:val="006C6041"/>
    <w:rsid w:val="006C6080"/>
    <w:rsid w:val="006C60DF"/>
    <w:rsid w:val="006C61A9"/>
    <w:rsid w:val="006C6209"/>
    <w:rsid w:val="006C62D4"/>
    <w:rsid w:val="006C63AA"/>
    <w:rsid w:val="006C6616"/>
    <w:rsid w:val="006C66FB"/>
    <w:rsid w:val="006C6741"/>
    <w:rsid w:val="006C67EB"/>
    <w:rsid w:val="006C680F"/>
    <w:rsid w:val="006C68AF"/>
    <w:rsid w:val="006C692D"/>
    <w:rsid w:val="006C6B3B"/>
    <w:rsid w:val="006C6DD8"/>
    <w:rsid w:val="006C6E87"/>
    <w:rsid w:val="006C703A"/>
    <w:rsid w:val="006C70D6"/>
    <w:rsid w:val="006C7231"/>
    <w:rsid w:val="006C728D"/>
    <w:rsid w:val="006C7509"/>
    <w:rsid w:val="006C7648"/>
    <w:rsid w:val="006C7694"/>
    <w:rsid w:val="006C770E"/>
    <w:rsid w:val="006C794B"/>
    <w:rsid w:val="006C7992"/>
    <w:rsid w:val="006C7A8B"/>
    <w:rsid w:val="006C7B03"/>
    <w:rsid w:val="006C7B12"/>
    <w:rsid w:val="006C7D43"/>
    <w:rsid w:val="006C7F5F"/>
    <w:rsid w:val="006D00FA"/>
    <w:rsid w:val="006D0221"/>
    <w:rsid w:val="006D028C"/>
    <w:rsid w:val="006D02CB"/>
    <w:rsid w:val="006D0463"/>
    <w:rsid w:val="006D0572"/>
    <w:rsid w:val="006D0601"/>
    <w:rsid w:val="006D091C"/>
    <w:rsid w:val="006D09B1"/>
    <w:rsid w:val="006D0A5F"/>
    <w:rsid w:val="006D0EC2"/>
    <w:rsid w:val="006D0FDA"/>
    <w:rsid w:val="006D10F4"/>
    <w:rsid w:val="006D123B"/>
    <w:rsid w:val="006D1319"/>
    <w:rsid w:val="006D1539"/>
    <w:rsid w:val="006D17E5"/>
    <w:rsid w:val="006D181F"/>
    <w:rsid w:val="006D18C7"/>
    <w:rsid w:val="006D1959"/>
    <w:rsid w:val="006D1C97"/>
    <w:rsid w:val="006D1DAD"/>
    <w:rsid w:val="006D1E22"/>
    <w:rsid w:val="006D1E91"/>
    <w:rsid w:val="006D2147"/>
    <w:rsid w:val="006D2206"/>
    <w:rsid w:val="006D2345"/>
    <w:rsid w:val="006D23BB"/>
    <w:rsid w:val="006D24EF"/>
    <w:rsid w:val="006D2689"/>
    <w:rsid w:val="006D2812"/>
    <w:rsid w:val="006D282E"/>
    <w:rsid w:val="006D287B"/>
    <w:rsid w:val="006D29D9"/>
    <w:rsid w:val="006D2B1F"/>
    <w:rsid w:val="006D2F4C"/>
    <w:rsid w:val="006D3204"/>
    <w:rsid w:val="006D3493"/>
    <w:rsid w:val="006D36E2"/>
    <w:rsid w:val="006D3742"/>
    <w:rsid w:val="006D37F3"/>
    <w:rsid w:val="006D3AE9"/>
    <w:rsid w:val="006D3CF4"/>
    <w:rsid w:val="006D3D00"/>
    <w:rsid w:val="006D3F30"/>
    <w:rsid w:val="006D406B"/>
    <w:rsid w:val="006D40AE"/>
    <w:rsid w:val="006D40D3"/>
    <w:rsid w:val="006D4225"/>
    <w:rsid w:val="006D43C1"/>
    <w:rsid w:val="006D43F7"/>
    <w:rsid w:val="006D447B"/>
    <w:rsid w:val="006D459C"/>
    <w:rsid w:val="006D46A7"/>
    <w:rsid w:val="006D4830"/>
    <w:rsid w:val="006D4844"/>
    <w:rsid w:val="006D4971"/>
    <w:rsid w:val="006D4BD1"/>
    <w:rsid w:val="006D4C72"/>
    <w:rsid w:val="006D4C94"/>
    <w:rsid w:val="006D4E4C"/>
    <w:rsid w:val="006D5067"/>
    <w:rsid w:val="006D5094"/>
    <w:rsid w:val="006D5343"/>
    <w:rsid w:val="006D5351"/>
    <w:rsid w:val="006D552E"/>
    <w:rsid w:val="006D5585"/>
    <w:rsid w:val="006D5706"/>
    <w:rsid w:val="006D57AF"/>
    <w:rsid w:val="006D57D4"/>
    <w:rsid w:val="006D5AC6"/>
    <w:rsid w:val="006D5B71"/>
    <w:rsid w:val="006D5C94"/>
    <w:rsid w:val="006D5CB1"/>
    <w:rsid w:val="006D5F76"/>
    <w:rsid w:val="006D5F7D"/>
    <w:rsid w:val="006D60EA"/>
    <w:rsid w:val="006D612F"/>
    <w:rsid w:val="006D6352"/>
    <w:rsid w:val="006D63B9"/>
    <w:rsid w:val="006D63D1"/>
    <w:rsid w:val="006D6460"/>
    <w:rsid w:val="006D6526"/>
    <w:rsid w:val="006D6556"/>
    <w:rsid w:val="006D656F"/>
    <w:rsid w:val="006D6764"/>
    <w:rsid w:val="006D6813"/>
    <w:rsid w:val="006D68A7"/>
    <w:rsid w:val="006D6AAA"/>
    <w:rsid w:val="006D6AE1"/>
    <w:rsid w:val="006D6BAF"/>
    <w:rsid w:val="006D6D96"/>
    <w:rsid w:val="006D6D9D"/>
    <w:rsid w:val="006D6EC7"/>
    <w:rsid w:val="006D6F0C"/>
    <w:rsid w:val="006D6F11"/>
    <w:rsid w:val="006D6F85"/>
    <w:rsid w:val="006D7057"/>
    <w:rsid w:val="006D712F"/>
    <w:rsid w:val="006D7211"/>
    <w:rsid w:val="006D7262"/>
    <w:rsid w:val="006D7588"/>
    <w:rsid w:val="006D75C8"/>
    <w:rsid w:val="006D7685"/>
    <w:rsid w:val="006D7705"/>
    <w:rsid w:val="006D771C"/>
    <w:rsid w:val="006D7765"/>
    <w:rsid w:val="006D7818"/>
    <w:rsid w:val="006D7823"/>
    <w:rsid w:val="006D7891"/>
    <w:rsid w:val="006D78F7"/>
    <w:rsid w:val="006D7A42"/>
    <w:rsid w:val="006D7B9F"/>
    <w:rsid w:val="006D7BDC"/>
    <w:rsid w:val="006D7DA4"/>
    <w:rsid w:val="006D7E02"/>
    <w:rsid w:val="006D7E36"/>
    <w:rsid w:val="006E00F7"/>
    <w:rsid w:val="006E018F"/>
    <w:rsid w:val="006E01B0"/>
    <w:rsid w:val="006E03F2"/>
    <w:rsid w:val="006E04B5"/>
    <w:rsid w:val="006E055E"/>
    <w:rsid w:val="006E08C0"/>
    <w:rsid w:val="006E0A10"/>
    <w:rsid w:val="006E0A3F"/>
    <w:rsid w:val="006E0A6D"/>
    <w:rsid w:val="006E0DD2"/>
    <w:rsid w:val="006E0E2E"/>
    <w:rsid w:val="006E0F68"/>
    <w:rsid w:val="006E0FE1"/>
    <w:rsid w:val="006E1034"/>
    <w:rsid w:val="006E117E"/>
    <w:rsid w:val="006E11C7"/>
    <w:rsid w:val="006E11CB"/>
    <w:rsid w:val="006E138C"/>
    <w:rsid w:val="006E1579"/>
    <w:rsid w:val="006E1788"/>
    <w:rsid w:val="006E18F4"/>
    <w:rsid w:val="006E19DB"/>
    <w:rsid w:val="006E1A07"/>
    <w:rsid w:val="006E1B15"/>
    <w:rsid w:val="006E1BCA"/>
    <w:rsid w:val="006E1CB1"/>
    <w:rsid w:val="006E1F1D"/>
    <w:rsid w:val="006E1FC3"/>
    <w:rsid w:val="006E1FD4"/>
    <w:rsid w:val="006E20B5"/>
    <w:rsid w:val="006E2125"/>
    <w:rsid w:val="006E2152"/>
    <w:rsid w:val="006E2344"/>
    <w:rsid w:val="006E239D"/>
    <w:rsid w:val="006E2884"/>
    <w:rsid w:val="006E28A0"/>
    <w:rsid w:val="006E28AE"/>
    <w:rsid w:val="006E28B4"/>
    <w:rsid w:val="006E2A02"/>
    <w:rsid w:val="006E2B08"/>
    <w:rsid w:val="006E2BA2"/>
    <w:rsid w:val="006E2BDA"/>
    <w:rsid w:val="006E2D86"/>
    <w:rsid w:val="006E2F67"/>
    <w:rsid w:val="006E305F"/>
    <w:rsid w:val="006E309D"/>
    <w:rsid w:val="006E3177"/>
    <w:rsid w:val="006E33E0"/>
    <w:rsid w:val="006E3405"/>
    <w:rsid w:val="006E343A"/>
    <w:rsid w:val="006E3575"/>
    <w:rsid w:val="006E38F6"/>
    <w:rsid w:val="006E3925"/>
    <w:rsid w:val="006E3BC2"/>
    <w:rsid w:val="006E3CAF"/>
    <w:rsid w:val="006E3CC1"/>
    <w:rsid w:val="006E3D66"/>
    <w:rsid w:val="006E3D72"/>
    <w:rsid w:val="006E3EE7"/>
    <w:rsid w:val="006E4011"/>
    <w:rsid w:val="006E40C1"/>
    <w:rsid w:val="006E41D6"/>
    <w:rsid w:val="006E43EF"/>
    <w:rsid w:val="006E43FE"/>
    <w:rsid w:val="006E441E"/>
    <w:rsid w:val="006E45D4"/>
    <w:rsid w:val="006E4647"/>
    <w:rsid w:val="006E490E"/>
    <w:rsid w:val="006E49F4"/>
    <w:rsid w:val="006E4A46"/>
    <w:rsid w:val="006E4A4E"/>
    <w:rsid w:val="006E4D9F"/>
    <w:rsid w:val="006E4E5B"/>
    <w:rsid w:val="006E50D6"/>
    <w:rsid w:val="006E50F0"/>
    <w:rsid w:val="006E5146"/>
    <w:rsid w:val="006E51A7"/>
    <w:rsid w:val="006E5310"/>
    <w:rsid w:val="006E534B"/>
    <w:rsid w:val="006E540E"/>
    <w:rsid w:val="006E5422"/>
    <w:rsid w:val="006E5508"/>
    <w:rsid w:val="006E558D"/>
    <w:rsid w:val="006E56C2"/>
    <w:rsid w:val="006E575D"/>
    <w:rsid w:val="006E576D"/>
    <w:rsid w:val="006E58E1"/>
    <w:rsid w:val="006E59C6"/>
    <w:rsid w:val="006E5A83"/>
    <w:rsid w:val="006E5B01"/>
    <w:rsid w:val="006E5D61"/>
    <w:rsid w:val="006E5EA5"/>
    <w:rsid w:val="006E5EEA"/>
    <w:rsid w:val="006E6007"/>
    <w:rsid w:val="006E6038"/>
    <w:rsid w:val="006E60BC"/>
    <w:rsid w:val="006E614F"/>
    <w:rsid w:val="006E61A5"/>
    <w:rsid w:val="006E675F"/>
    <w:rsid w:val="006E6893"/>
    <w:rsid w:val="006E69D5"/>
    <w:rsid w:val="006E6A6B"/>
    <w:rsid w:val="006E6C72"/>
    <w:rsid w:val="006E6C7A"/>
    <w:rsid w:val="006E6DAD"/>
    <w:rsid w:val="006E6DE4"/>
    <w:rsid w:val="006E6FD1"/>
    <w:rsid w:val="006E712D"/>
    <w:rsid w:val="006E7238"/>
    <w:rsid w:val="006E744E"/>
    <w:rsid w:val="006E745E"/>
    <w:rsid w:val="006E754F"/>
    <w:rsid w:val="006E75AF"/>
    <w:rsid w:val="006E76D8"/>
    <w:rsid w:val="006E7851"/>
    <w:rsid w:val="006E79A6"/>
    <w:rsid w:val="006E7BB6"/>
    <w:rsid w:val="006E7BFF"/>
    <w:rsid w:val="006E7E0E"/>
    <w:rsid w:val="006E7FCA"/>
    <w:rsid w:val="006E7FCC"/>
    <w:rsid w:val="006F0050"/>
    <w:rsid w:val="006F012C"/>
    <w:rsid w:val="006F01D8"/>
    <w:rsid w:val="006F0386"/>
    <w:rsid w:val="006F0437"/>
    <w:rsid w:val="006F0555"/>
    <w:rsid w:val="006F07D1"/>
    <w:rsid w:val="006F09FB"/>
    <w:rsid w:val="006F0AED"/>
    <w:rsid w:val="006F0BAE"/>
    <w:rsid w:val="006F0C84"/>
    <w:rsid w:val="006F0D46"/>
    <w:rsid w:val="006F0DAC"/>
    <w:rsid w:val="006F0DF1"/>
    <w:rsid w:val="006F0DF7"/>
    <w:rsid w:val="006F0F04"/>
    <w:rsid w:val="006F0FD6"/>
    <w:rsid w:val="006F1222"/>
    <w:rsid w:val="006F1295"/>
    <w:rsid w:val="006F1331"/>
    <w:rsid w:val="006F1334"/>
    <w:rsid w:val="006F148A"/>
    <w:rsid w:val="006F15AC"/>
    <w:rsid w:val="006F1651"/>
    <w:rsid w:val="006F1668"/>
    <w:rsid w:val="006F1684"/>
    <w:rsid w:val="006F181A"/>
    <w:rsid w:val="006F1B02"/>
    <w:rsid w:val="006F1B94"/>
    <w:rsid w:val="006F1BD7"/>
    <w:rsid w:val="006F1C35"/>
    <w:rsid w:val="006F1D03"/>
    <w:rsid w:val="006F1D64"/>
    <w:rsid w:val="006F1F47"/>
    <w:rsid w:val="006F219B"/>
    <w:rsid w:val="006F21B5"/>
    <w:rsid w:val="006F22F0"/>
    <w:rsid w:val="006F2340"/>
    <w:rsid w:val="006F23DD"/>
    <w:rsid w:val="006F24B3"/>
    <w:rsid w:val="006F250E"/>
    <w:rsid w:val="006F258B"/>
    <w:rsid w:val="006F2708"/>
    <w:rsid w:val="006F2A0D"/>
    <w:rsid w:val="006F2B3F"/>
    <w:rsid w:val="006F2C65"/>
    <w:rsid w:val="006F2CA4"/>
    <w:rsid w:val="006F2CD0"/>
    <w:rsid w:val="006F2E9C"/>
    <w:rsid w:val="006F2F27"/>
    <w:rsid w:val="006F32D9"/>
    <w:rsid w:val="006F32EC"/>
    <w:rsid w:val="006F337A"/>
    <w:rsid w:val="006F37FE"/>
    <w:rsid w:val="006F3856"/>
    <w:rsid w:val="006F3A6D"/>
    <w:rsid w:val="006F3C7B"/>
    <w:rsid w:val="006F3CD2"/>
    <w:rsid w:val="006F3F07"/>
    <w:rsid w:val="006F408F"/>
    <w:rsid w:val="006F4100"/>
    <w:rsid w:val="006F4237"/>
    <w:rsid w:val="006F430C"/>
    <w:rsid w:val="006F486D"/>
    <w:rsid w:val="006F4883"/>
    <w:rsid w:val="006F49AE"/>
    <w:rsid w:val="006F4DEE"/>
    <w:rsid w:val="006F4ED8"/>
    <w:rsid w:val="006F4FCB"/>
    <w:rsid w:val="006F50CC"/>
    <w:rsid w:val="006F5158"/>
    <w:rsid w:val="006F5195"/>
    <w:rsid w:val="006F5228"/>
    <w:rsid w:val="006F532C"/>
    <w:rsid w:val="006F53B2"/>
    <w:rsid w:val="006F541C"/>
    <w:rsid w:val="006F55BE"/>
    <w:rsid w:val="006F55E6"/>
    <w:rsid w:val="006F581A"/>
    <w:rsid w:val="006F58AB"/>
    <w:rsid w:val="006F59AE"/>
    <w:rsid w:val="006F5B2F"/>
    <w:rsid w:val="006F5D7C"/>
    <w:rsid w:val="006F5DFB"/>
    <w:rsid w:val="006F5E22"/>
    <w:rsid w:val="006F5E28"/>
    <w:rsid w:val="006F5FB1"/>
    <w:rsid w:val="006F609F"/>
    <w:rsid w:val="006F6148"/>
    <w:rsid w:val="006F6202"/>
    <w:rsid w:val="006F64AD"/>
    <w:rsid w:val="006F6706"/>
    <w:rsid w:val="006F670F"/>
    <w:rsid w:val="006F6927"/>
    <w:rsid w:val="006F696F"/>
    <w:rsid w:val="006F6B8A"/>
    <w:rsid w:val="006F6C4A"/>
    <w:rsid w:val="006F6C73"/>
    <w:rsid w:val="006F6EF6"/>
    <w:rsid w:val="006F7347"/>
    <w:rsid w:val="006F73A9"/>
    <w:rsid w:val="006F73EB"/>
    <w:rsid w:val="006F7529"/>
    <w:rsid w:val="006F7746"/>
    <w:rsid w:val="006F7750"/>
    <w:rsid w:val="006F7958"/>
    <w:rsid w:val="006F798D"/>
    <w:rsid w:val="006F7C2C"/>
    <w:rsid w:val="006F7CA7"/>
    <w:rsid w:val="006F7CCB"/>
    <w:rsid w:val="006F7E88"/>
    <w:rsid w:val="00700059"/>
    <w:rsid w:val="00700078"/>
    <w:rsid w:val="0070007B"/>
    <w:rsid w:val="007000FD"/>
    <w:rsid w:val="00700171"/>
    <w:rsid w:val="007005FE"/>
    <w:rsid w:val="00700633"/>
    <w:rsid w:val="00700664"/>
    <w:rsid w:val="007006E1"/>
    <w:rsid w:val="007007CF"/>
    <w:rsid w:val="00700950"/>
    <w:rsid w:val="007009E2"/>
    <w:rsid w:val="00700B49"/>
    <w:rsid w:val="00700EA8"/>
    <w:rsid w:val="00700F81"/>
    <w:rsid w:val="00700FB7"/>
    <w:rsid w:val="00701136"/>
    <w:rsid w:val="007011A6"/>
    <w:rsid w:val="007012D5"/>
    <w:rsid w:val="0070148E"/>
    <w:rsid w:val="007015E3"/>
    <w:rsid w:val="007017C4"/>
    <w:rsid w:val="0070185E"/>
    <w:rsid w:val="007018FC"/>
    <w:rsid w:val="007019A3"/>
    <w:rsid w:val="00701A9E"/>
    <w:rsid w:val="00701CE9"/>
    <w:rsid w:val="00701DF5"/>
    <w:rsid w:val="00701FEA"/>
    <w:rsid w:val="0070206E"/>
    <w:rsid w:val="0070210A"/>
    <w:rsid w:val="007021D2"/>
    <w:rsid w:val="007026A9"/>
    <w:rsid w:val="007027D3"/>
    <w:rsid w:val="007027F4"/>
    <w:rsid w:val="007027FA"/>
    <w:rsid w:val="0070291F"/>
    <w:rsid w:val="00702951"/>
    <w:rsid w:val="00702C7B"/>
    <w:rsid w:val="00702D78"/>
    <w:rsid w:val="00702DE0"/>
    <w:rsid w:val="00702F03"/>
    <w:rsid w:val="00703021"/>
    <w:rsid w:val="007030A8"/>
    <w:rsid w:val="0070319A"/>
    <w:rsid w:val="00703223"/>
    <w:rsid w:val="00703289"/>
    <w:rsid w:val="00703311"/>
    <w:rsid w:val="0070342A"/>
    <w:rsid w:val="007034AC"/>
    <w:rsid w:val="00703680"/>
    <w:rsid w:val="007036C0"/>
    <w:rsid w:val="00703700"/>
    <w:rsid w:val="007037E9"/>
    <w:rsid w:val="007038B5"/>
    <w:rsid w:val="007039B6"/>
    <w:rsid w:val="00703AB6"/>
    <w:rsid w:val="00703AD4"/>
    <w:rsid w:val="00703B53"/>
    <w:rsid w:val="00703B60"/>
    <w:rsid w:val="00703BEB"/>
    <w:rsid w:val="00703CB4"/>
    <w:rsid w:val="00703D12"/>
    <w:rsid w:val="00703E54"/>
    <w:rsid w:val="007042A0"/>
    <w:rsid w:val="00704478"/>
    <w:rsid w:val="00704531"/>
    <w:rsid w:val="0070462D"/>
    <w:rsid w:val="00704693"/>
    <w:rsid w:val="0070496E"/>
    <w:rsid w:val="00704A5A"/>
    <w:rsid w:val="00704B3E"/>
    <w:rsid w:val="00704D13"/>
    <w:rsid w:val="00704D4D"/>
    <w:rsid w:val="00704F07"/>
    <w:rsid w:val="00704FFA"/>
    <w:rsid w:val="00705092"/>
    <w:rsid w:val="007054EB"/>
    <w:rsid w:val="00705517"/>
    <w:rsid w:val="00705669"/>
    <w:rsid w:val="00705726"/>
    <w:rsid w:val="00705872"/>
    <w:rsid w:val="0070590F"/>
    <w:rsid w:val="00705A5F"/>
    <w:rsid w:val="00705B8E"/>
    <w:rsid w:val="00705D1E"/>
    <w:rsid w:val="00705DD1"/>
    <w:rsid w:val="00705E5A"/>
    <w:rsid w:val="00705F42"/>
    <w:rsid w:val="00705F5E"/>
    <w:rsid w:val="00705F6F"/>
    <w:rsid w:val="00706058"/>
    <w:rsid w:val="0070622E"/>
    <w:rsid w:val="00706277"/>
    <w:rsid w:val="0070631F"/>
    <w:rsid w:val="0070639B"/>
    <w:rsid w:val="00706580"/>
    <w:rsid w:val="00706773"/>
    <w:rsid w:val="00706797"/>
    <w:rsid w:val="007067CB"/>
    <w:rsid w:val="00706BE5"/>
    <w:rsid w:val="00706F48"/>
    <w:rsid w:val="00706FBB"/>
    <w:rsid w:val="00706FC3"/>
    <w:rsid w:val="00707000"/>
    <w:rsid w:val="007071C8"/>
    <w:rsid w:val="007072B5"/>
    <w:rsid w:val="007073ED"/>
    <w:rsid w:val="007073EE"/>
    <w:rsid w:val="0070774D"/>
    <w:rsid w:val="0070785C"/>
    <w:rsid w:val="00707AB6"/>
    <w:rsid w:val="00707B70"/>
    <w:rsid w:val="00707C18"/>
    <w:rsid w:val="00707C62"/>
    <w:rsid w:val="00707C87"/>
    <w:rsid w:val="00707CA2"/>
    <w:rsid w:val="00707D4B"/>
    <w:rsid w:val="00707DBA"/>
    <w:rsid w:val="00707E11"/>
    <w:rsid w:val="00707E7C"/>
    <w:rsid w:val="00707EDA"/>
    <w:rsid w:val="00707F6D"/>
    <w:rsid w:val="007102A0"/>
    <w:rsid w:val="007103A9"/>
    <w:rsid w:val="00710410"/>
    <w:rsid w:val="0071049C"/>
    <w:rsid w:val="007104EB"/>
    <w:rsid w:val="00710538"/>
    <w:rsid w:val="00710621"/>
    <w:rsid w:val="007106FD"/>
    <w:rsid w:val="007107B5"/>
    <w:rsid w:val="0071086C"/>
    <w:rsid w:val="00710A21"/>
    <w:rsid w:val="00710A55"/>
    <w:rsid w:val="00710B46"/>
    <w:rsid w:val="00710F65"/>
    <w:rsid w:val="00711028"/>
    <w:rsid w:val="0071112E"/>
    <w:rsid w:val="0071113A"/>
    <w:rsid w:val="00711387"/>
    <w:rsid w:val="00711575"/>
    <w:rsid w:val="007116CE"/>
    <w:rsid w:val="0071170A"/>
    <w:rsid w:val="0071171E"/>
    <w:rsid w:val="00711C9E"/>
    <w:rsid w:val="0071219B"/>
    <w:rsid w:val="007121BF"/>
    <w:rsid w:val="007122DE"/>
    <w:rsid w:val="0071262A"/>
    <w:rsid w:val="007126EC"/>
    <w:rsid w:val="007127BD"/>
    <w:rsid w:val="007128A0"/>
    <w:rsid w:val="00712905"/>
    <w:rsid w:val="00712A11"/>
    <w:rsid w:val="00712C68"/>
    <w:rsid w:val="00712C8D"/>
    <w:rsid w:val="00712D38"/>
    <w:rsid w:val="00712FDD"/>
    <w:rsid w:val="00712FEB"/>
    <w:rsid w:val="0071314B"/>
    <w:rsid w:val="007131C0"/>
    <w:rsid w:val="00713296"/>
    <w:rsid w:val="00713317"/>
    <w:rsid w:val="007133D3"/>
    <w:rsid w:val="007134D4"/>
    <w:rsid w:val="007137A8"/>
    <w:rsid w:val="007139AB"/>
    <w:rsid w:val="00713B2E"/>
    <w:rsid w:val="00713BC6"/>
    <w:rsid w:val="00713BD8"/>
    <w:rsid w:val="00713BE7"/>
    <w:rsid w:val="00713C1F"/>
    <w:rsid w:val="00713E2C"/>
    <w:rsid w:val="00713E3D"/>
    <w:rsid w:val="00713EAF"/>
    <w:rsid w:val="00713FF5"/>
    <w:rsid w:val="0071407E"/>
    <w:rsid w:val="007140F1"/>
    <w:rsid w:val="00714246"/>
    <w:rsid w:val="0071428D"/>
    <w:rsid w:val="00714337"/>
    <w:rsid w:val="007143DD"/>
    <w:rsid w:val="00714478"/>
    <w:rsid w:val="007144B4"/>
    <w:rsid w:val="007144C6"/>
    <w:rsid w:val="00714500"/>
    <w:rsid w:val="00714520"/>
    <w:rsid w:val="0071478C"/>
    <w:rsid w:val="00714A73"/>
    <w:rsid w:val="00714A93"/>
    <w:rsid w:val="00714BBB"/>
    <w:rsid w:val="00714C21"/>
    <w:rsid w:val="00714F0D"/>
    <w:rsid w:val="00715104"/>
    <w:rsid w:val="00715283"/>
    <w:rsid w:val="00715417"/>
    <w:rsid w:val="00715439"/>
    <w:rsid w:val="00715447"/>
    <w:rsid w:val="0071559C"/>
    <w:rsid w:val="00715603"/>
    <w:rsid w:val="00715613"/>
    <w:rsid w:val="00715707"/>
    <w:rsid w:val="00715760"/>
    <w:rsid w:val="00715B53"/>
    <w:rsid w:val="00715C4C"/>
    <w:rsid w:val="00715D00"/>
    <w:rsid w:val="00715E52"/>
    <w:rsid w:val="00715EFD"/>
    <w:rsid w:val="007161F1"/>
    <w:rsid w:val="007162CE"/>
    <w:rsid w:val="007163A4"/>
    <w:rsid w:val="00716511"/>
    <w:rsid w:val="00716534"/>
    <w:rsid w:val="00716718"/>
    <w:rsid w:val="0071673F"/>
    <w:rsid w:val="007168A8"/>
    <w:rsid w:val="00716A11"/>
    <w:rsid w:val="00716A60"/>
    <w:rsid w:val="00716AD2"/>
    <w:rsid w:val="00716B9C"/>
    <w:rsid w:val="00716CC4"/>
    <w:rsid w:val="00716D01"/>
    <w:rsid w:val="00716D87"/>
    <w:rsid w:val="0071774A"/>
    <w:rsid w:val="0071786E"/>
    <w:rsid w:val="00717932"/>
    <w:rsid w:val="00717957"/>
    <w:rsid w:val="007179BF"/>
    <w:rsid w:val="00717A07"/>
    <w:rsid w:val="00717AE5"/>
    <w:rsid w:val="00717B16"/>
    <w:rsid w:val="00717B8A"/>
    <w:rsid w:val="00717C6A"/>
    <w:rsid w:val="00717D54"/>
    <w:rsid w:val="00717D85"/>
    <w:rsid w:val="00717F35"/>
    <w:rsid w:val="00717F6A"/>
    <w:rsid w:val="00720018"/>
    <w:rsid w:val="00720073"/>
    <w:rsid w:val="0072019E"/>
    <w:rsid w:val="0072035C"/>
    <w:rsid w:val="007203CA"/>
    <w:rsid w:val="0072046F"/>
    <w:rsid w:val="00720577"/>
    <w:rsid w:val="00720582"/>
    <w:rsid w:val="0072064E"/>
    <w:rsid w:val="007206BE"/>
    <w:rsid w:val="007207B4"/>
    <w:rsid w:val="00720843"/>
    <w:rsid w:val="00720AC5"/>
    <w:rsid w:val="00720AD5"/>
    <w:rsid w:val="00720AFD"/>
    <w:rsid w:val="00720B48"/>
    <w:rsid w:val="00720B9D"/>
    <w:rsid w:val="00720BAD"/>
    <w:rsid w:val="00720BB9"/>
    <w:rsid w:val="00720C9A"/>
    <w:rsid w:val="00720DBE"/>
    <w:rsid w:val="00720DF5"/>
    <w:rsid w:val="00720E33"/>
    <w:rsid w:val="00720E80"/>
    <w:rsid w:val="00720F1D"/>
    <w:rsid w:val="007210EB"/>
    <w:rsid w:val="007211C1"/>
    <w:rsid w:val="007216C9"/>
    <w:rsid w:val="00721942"/>
    <w:rsid w:val="00721A16"/>
    <w:rsid w:val="00721B40"/>
    <w:rsid w:val="00721C37"/>
    <w:rsid w:val="0072210B"/>
    <w:rsid w:val="0072213E"/>
    <w:rsid w:val="00722380"/>
    <w:rsid w:val="007223E7"/>
    <w:rsid w:val="00722510"/>
    <w:rsid w:val="007225CA"/>
    <w:rsid w:val="00722648"/>
    <w:rsid w:val="007226F5"/>
    <w:rsid w:val="00722723"/>
    <w:rsid w:val="007227C1"/>
    <w:rsid w:val="007228AF"/>
    <w:rsid w:val="0072293A"/>
    <w:rsid w:val="00722ACD"/>
    <w:rsid w:val="00722CC7"/>
    <w:rsid w:val="00722DD6"/>
    <w:rsid w:val="00722EBB"/>
    <w:rsid w:val="00722F82"/>
    <w:rsid w:val="00722FFD"/>
    <w:rsid w:val="00723013"/>
    <w:rsid w:val="0072316A"/>
    <w:rsid w:val="00723259"/>
    <w:rsid w:val="007232B7"/>
    <w:rsid w:val="007233A7"/>
    <w:rsid w:val="007233C4"/>
    <w:rsid w:val="007233D6"/>
    <w:rsid w:val="00723468"/>
    <w:rsid w:val="007236B4"/>
    <w:rsid w:val="007238B4"/>
    <w:rsid w:val="00723948"/>
    <w:rsid w:val="00723A38"/>
    <w:rsid w:val="00723B2C"/>
    <w:rsid w:val="00723BE6"/>
    <w:rsid w:val="00723C44"/>
    <w:rsid w:val="00723C9C"/>
    <w:rsid w:val="00723E1A"/>
    <w:rsid w:val="00723FFF"/>
    <w:rsid w:val="00724352"/>
    <w:rsid w:val="0072443A"/>
    <w:rsid w:val="0072450C"/>
    <w:rsid w:val="007245A1"/>
    <w:rsid w:val="007245F4"/>
    <w:rsid w:val="007249EE"/>
    <w:rsid w:val="00724A02"/>
    <w:rsid w:val="00724A82"/>
    <w:rsid w:val="00724BF5"/>
    <w:rsid w:val="00724E54"/>
    <w:rsid w:val="00724ED0"/>
    <w:rsid w:val="00724EF5"/>
    <w:rsid w:val="00724F53"/>
    <w:rsid w:val="00724F92"/>
    <w:rsid w:val="007250FC"/>
    <w:rsid w:val="007251FF"/>
    <w:rsid w:val="00725374"/>
    <w:rsid w:val="007253D6"/>
    <w:rsid w:val="00725442"/>
    <w:rsid w:val="0072578A"/>
    <w:rsid w:val="0072582A"/>
    <w:rsid w:val="00725891"/>
    <w:rsid w:val="007258D4"/>
    <w:rsid w:val="0072597A"/>
    <w:rsid w:val="00725ABF"/>
    <w:rsid w:val="00725AE0"/>
    <w:rsid w:val="00725D5C"/>
    <w:rsid w:val="00725F20"/>
    <w:rsid w:val="0072604D"/>
    <w:rsid w:val="007261C9"/>
    <w:rsid w:val="00726276"/>
    <w:rsid w:val="007263BE"/>
    <w:rsid w:val="00726431"/>
    <w:rsid w:val="0072647E"/>
    <w:rsid w:val="007264E5"/>
    <w:rsid w:val="00726638"/>
    <w:rsid w:val="00726683"/>
    <w:rsid w:val="0072671B"/>
    <w:rsid w:val="007267E9"/>
    <w:rsid w:val="00726817"/>
    <w:rsid w:val="00726B67"/>
    <w:rsid w:val="00726BFF"/>
    <w:rsid w:val="00726C58"/>
    <w:rsid w:val="00726CB4"/>
    <w:rsid w:val="00726D7A"/>
    <w:rsid w:val="00726E2B"/>
    <w:rsid w:val="00726E63"/>
    <w:rsid w:val="00726ED4"/>
    <w:rsid w:val="00726F14"/>
    <w:rsid w:val="00727027"/>
    <w:rsid w:val="0072705C"/>
    <w:rsid w:val="00727182"/>
    <w:rsid w:val="00727258"/>
    <w:rsid w:val="0072728C"/>
    <w:rsid w:val="00727577"/>
    <w:rsid w:val="00727638"/>
    <w:rsid w:val="00727798"/>
    <w:rsid w:val="00727866"/>
    <w:rsid w:val="00727891"/>
    <w:rsid w:val="00727978"/>
    <w:rsid w:val="007279A0"/>
    <w:rsid w:val="00727B94"/>
    <w:rsid w:val="00727D43"/>
    <w:rsid w:val="00727DE3"/>
    <w:rsid w:val="00727F08"/>
    <w:rsid w:val="00730096"/>
    <w:rsid w:val="007300D4"/>
    <w:rsid w:val="007300F4"/>
    <w:rsid w:val="00730135"/>
    <w:rsid w:val="007301DB"/>
    <w:rsid w:val="007303BA"/>
    <w:rsid w:val="007303F2"/>
    <w:rsid w:val="007304AC"/>
    <w:rsid w:val="00730550"/>
    <w:rsid w:val="007305F1"/>
    <w:rsid w:val="00730701"/>
    <w:rsid w:val="007308AC"/>
    <w:rsid w:val="00730A46"/>
    <w:rsid w:val="00730BC9"/>
    <w:rsid w:val="00730BD9"/>
    <w:rsid w:val="00730C53"/>
    <w:rsid w:val="00730D26"/>
    <w:rsid w:val="00730E83"/>
    <w:rsid w:val="00730EFD"/>
    <w:rsid w:val="00731233"/>
    <w:rsid w:val="007315A6"/>
    <w:rsid w:val="007315E7"/>
    <w:rsid w:val="007315F4"/>
    <w:rsid w:val="00731651"/>
    <w:rsid w:val="0073168B"/>
    <w:rsid w:val="00731696"/>
    <w:rsid w:val="00731733"/>
    <w:rsid w:val="00731777"/>
    <w:rsid w:val="007318C4"/>
    <w:rsid w:val="007319AE"/>
    <w:rsid w:val="007319CF"/>
    <w:rsid w:val="00731B04"/>
    <w:rsid w:val="00731F2B"/>
    <w:rsid w:val="0073207F"/>
    <w:rsid w:val="00732090"/>
    <w:rsid w:val="00732126"/>
    <w:rsid w:val="0073214B"/>
    <w:rsid w:val="0073231A"/>
    <w:rsid w:val="00732488"/>
    <w:rsid w:val="0073253A"/>
    <w:rsid w:val="00732B5A"/>
    <w:rsid w:val="00732C1C"/>
    <w:rsid w:val="00732D46"/>
    <w:rsid w:val="00732DFC"/>
    <w:rsid w:val="00732EB7"/>
    <w:rsid w:val="00732F6B"/>
    <w:rsid w:val="00733063"/>
    <w:rsid w:val="00733174"/>
    <w:rsid w:val="007332BA"/>
    <w:rsid w:val="00733315"/>
    <w:rsid w:val="00733354"/>
    <w:rsid w:val="00733381"/>
    <w:rsid w:val="0073343A"/>
    <w:rsid w:val="0073397B"/>
    <w:rsid w:val="007339CB"/>
    <w:rsid w:val="00733BBB"/>
    <w:rsid w:val="00733D94"/>
    <w:rsid w:val="00733DE2"/>
    <w:rsid w:val="00733DEF"/>
    <w:rsid w:val="00733EE1"/>
    <w:rsid w:val="00733EED"/>
    <w:rsid w:val="0073425F"/>
    <w:rsid w:val="007343F5"/>
    <w:rsid w:val="007344F2"/>
    <w:rsid w:val="0073478D"/>
    <w:rsid w:val="00734BC6"/>
    <w:rsid w:val="00734C16"/>
    <w:rsid w:val="00734D97"/>
    <w:rsid w:val="00734D9E"/>
    <w:rsid w:val="00734DA6"/>
    <w:rsid w:val="00734E6D"/>
    <w:rsid w:val="00734E8D"/>
    <w:rsid w:val="00735009"/>
    <w:rsid w:val="0073508A"/>
    <w:rsid w:val="00735128"/>
    <w:rsid w:val="007351AC"/>
    <w:rsid w:val="00735202"/>
    <w:rsid w:val="00735227"/>
    <w:rsid w:val="0073542E"/>
    <w:rsid w:val="0073560B"/>
    <w:rsid w:val="00735696"/>
    <w:rsid w:val="0073573D"/>
    <w:rsid w:val="00735908"/>
    <w:rsid w:val="00735B08"/>
    <w:rsid w:val="00735B11"/>
    <w:rsid w:val="00735BB0"/>
    <w:rsid w:val="00735BCE"/>
    <w:rsid w:val="00735CC0"/>
    <w:rsid w:val="00735D67"/>
    <w:rsid w:val="00735F30"/>
    <w:rsid w:val="007360F6"/>
    <w:rsid w:val="00736100"/>
    <w:rsid w:val="0073617F"/>
    <w:rsid w:val="0073657E"/>
    <w:rsid w:val="00736709"/>
    <w:rsid w:val="007367AC"/>
    <w:rsid w:val="00736C9F"/>
    <w:rsid w:val="00736D1D"/>
    <w:rsid w:val="00736F45"/>
    <w:rsid w:val="00737077"/>
    <w:rsid w:val="00737271"/>
    <w:rsid w:val="00737342"/>
    <w:rsid w:val="00737492"/>
    <w:rsid w:val="007375C0"/>
    <w:rsid w:val="007375C9"/>
    <w:rsid w:val="007376E0"/>
    <w:rsid w:val="00737710"/>
    <w:rsid w:val="00737885"/>
    <w:rsid w:val="0073789B"/>
    <w:rsid w:val="0073792C"/>
    <w:rsid w:val="00737A40"/>
    <w:rsid w:val="00737BE0"/>
    <w:rsid w:val="00737CA2"/>
    <w:rsid w:val="00737CFB"/>
    <w:rsid w:val="00737D89"/>
    <w:rsid w:val="00737F81"/>
    <w:rsid w:val="00740176"/>
    <w:rsid w:val="0074039F"/>
    <w:rsid w:val="007404CA"/>
    <w:rsid w:val="00740521"/>
    <w:rsid w:val="007407B8"/>
    <w:rsid w:val="007408DA"/>
    <w:rsid w:val="007409E5"/>
    <w:rsid w:val="00740A1D"/>
    <w:rsid w:val="00740C65"/>
    <w:rsid w:val="00740CA3"/>
    <w:rsid w:val="00740E32"/>
    <w:rsid w:val="00740EA5"/>
    <w:rsid w:val="00740F22"/>
    <w:rsid w:val="00740FD8"/>
    <w:rsid w:val="007411F2"/>
    <w:rsid w:val="0074139A"/>
    <w:rsid w:val="0074142C"/>
    <w:rsid w:val="00741486"/>
    <w:rsid w:val="00741645"/>
    <w:rsid w:val="0074164C"/>
    <w:rsid w:val="0074180F"/>
    <w:rsid w:val="0074185A"/>
    <w:rsid w:val="00741877"/>
    <w:rsid w:val="007418DC"/>
    <w:rsid w:val="007418E3"/>
    <w:rsid w:val="0074193B"/>
    <w:rsid w:val="00741A41"/>
    <w:rsid w:val="00741B42"/>
    <w:rsid w:val="00741D08"/>
    <w:rsid w:val="007420A0"/>
    <w:rsid w:val="007421C8"/>
    <w:rsid w:val="007423C8"/>
    <w:rsid w:val="0074257A"/>
    <w:rsid w:val="007426C3"/>
    <w:rsid w:val="007427C0"/>
    <w:rsid w:val="007428ED"/>
    <w:rsid w:val="00742A50"/>
    <w:rsid w:val="00742A52"/>
    <w:rsid w:val="00742A9D"/>
    <w:rsid w:val="00742ACD"/>
    <w:rsid w:val="00742D3F"/>
    <w:rsid w:val="00742DB6"/>
    <w:rsid w:val="00742DB8"/>
    <w:rsid w:val="00742E69"/>
    <w:rsid w:val="00742E92"/>
    <w:rsid w:val="00742F40"/>
    <w:rsid w:val="00743151"/>
    <w:rsid w:val="00743831"/>
    <w:rsid w:val="0074389B"/>
    <w:rsid w:val="00743966"/>
    <w:rsid w:val="007439D3"/>
    <w:rsid w:val="007439E3"/>
    <w:rsid w:val="00743A6F"/>
    <w:rsid w:val="00743AF8"/>
    <w:rsid w:val="00743B7D"/>
    <w:rsid w:val="00743BE6"/>
    <w:rsid w:val="00743E80"/>
    <w:rsid w:val="0074401A"/>
    <w:rsid w:val="00744140"/>
    <w:rsid w:val="00744159"/>
    <w:rsid w:val="00744212"/>
    <w:rsid w:val="00744409"/>
    <w:rsid w:val="0074445C"/>
    <w:rsid w:val="0074449D"/>
    <w:rsid w:val="0074454A"/>
    <w:rsid w:val="007447CD"/>
    <w:rsid w:val="00744941"/>
    <w:rsid w:val="00744975"/>
    <w:rsid w:val="00744B17"/>
    <w:rsid w:val="00744C36"/>
    <w:rsid w:val="00744C6A"/>
    <w:rsid w:val="00744CDA"/>
    <w:rsid w:val="00744CFF"/>
    <w:rsid w:val="00744D84"/>
    <w:rsid w:val="00744D95"/>
    <w:rsid w:val="00744EFC"/>
    <w:rsid w:val="00744FDE"/>
    <w:rsid w:val="00745023"/>
    <w:rsid w:val="007450DC"/>
    <w:rsid w:val="007450F7"/>
    <w:rsid w:val="00745168"/>
    <w:rsid w:val="007451C1"/>
    <w:rsid w:val="007451DA"/>
    <w:rsid w:val="007457F2"/>
    <w:rsid w:val="00745841"/>
    <w:rsid w:val="00745877"/>
    <w:rsid w:val="00745892"/>
    <w:rsid w:val="007459D2"/>
    <w:rsid w:val="00745BDB"/>
    <w:rsid w:val="00745D13"/>
    <w:rsid w:val="00745EAD"/>
    <w:rsid w:val="00745ED9"/>
    <w:rsid w:val="00745F82"/>
    <w:rsid w:val="00745FB2"/>
    <w:rsid w:val="007460E8"/>
    <w:rsid w:val="00746118"/>
    <w:rsid w:val="007461A8"/>
    <w:rsid w:val="00746201"/>
    <w:rsid w:val="007462B2"/>
    <w:rsid w:val="00746438"/>
    <w:rsid w:val="0074659A"/>
    <w:rsid w:val="007465BB"/>
    <w:rsid w:val="007465E0"/>
    <w:rsid w:val="00746691"/>
    <w:rsid w:val="007466D9"/>
    <w:rsid w:val="007467AE"/>
    <w:rsid w:val="007467D8"/>
    <w:rsid w:val="007469EF"/>
    <w:rsid w:val="00746A46"/>
    <w:rsid w:val="00746AA6"/>
    <w:rsid w:val="00746B0C"/>
    <w:rsid w:val="00746B27"/>
    <w:rsid w:val="00746C8E"/>
    <w:rsid w:val="00746EAF"/>
    <w:rsid w:val="007470E7"/>
    <w:rsid w:val="00747391"/>
    <w:rsid w:val="0074739A"/>
    <w:rsid w:val="007473A0"/>
    <w:rsid w:val="00747405"/>
    <w:rsid w:val="00747434"/>
    <w:rsid w:val="007475CB"/>
    <w:rsid w:val="007476C6"/>
    <w:rsid w:val="007477F6"/>
    <w:rsid w:val="00747827"/>
    <w:rsid w:val="0074788B"/>
    <w:rsid w:val="0074799E"/>
    <w:rsid w:val="00747A48"/>
    <w:rsid w:val="00747BB1"/>
    <w:rsid w:val="00747C5C"/>
    <w:rsid w:val="00747C92"/>
    <w:rsid w:val="00747DB3"/>
    <w:rsid w:val="00747E00"/>
    <w:rsid w:val="00747EC9"/>
    <w:rsid w:val="00747ED8"/>
    <w:rsid w:val="00747F4F"/>
    <w:rsid w:val="00750034"/>
    <w:rsid w:val="007501A4"/>
    <w:rsid w:val="00750311"/>
    <w:rsid w:val="00750355"/>
    <w:rsid w:val="00750769"/>
    <w:rsid w:val="00750777"/>
    <w:rsid w:val="0075088B"/>
    <w:rsid w:val="00750B87"/>
    <w:rsid w:val="00750D6A"/>
    <w:rsid w:val="00750DD5"/>
    <w:rsid w:val="00750F4F"/>
    <w:rsid w:val="00751015"/>
    <w:rsid w:val="007510C7"/>
    <w:rsid w:val="00751184"/>
    <w:rsid w:val="0075127C"/>
    <w:rsid w:val="00751345"/>
    <w:rsid w:val="0075137C"/>
    <w:rsid w:val="00751486"/>
    <w:rsid w:val="0075170D"/>
    <w:rsid w:val="00751749"/>
    <w:rsid w:val="0075179A"/>
    <w:rsid w:val="00751851"/>
    <w:rsid w:val="00751B09"/>
    <w:rsid w:val="00751D8D"/>
    <w:rsid w:val="00751DA2"/>
    <w:rsid w:val="00751E06"/>
    <w:rsid w:val="0075208E"/>
    <w:rsid w:val="00752105"/>
    <w:rsid w:val="00752114"/>
    <w:rsid w:val="0075213E"/>
    <w:rsid w:val="0075233B"/>
    <w:rsid w:val="0075235E"/>
    <w:rsid w:val="00752456"/>
    <w:rsid w:val="00752485"/>
    <w:rsid w:val="00752497"/>
    <w:rsid w:val="0075254C"/>
    <w:rsid w:val="0075260D"/>
    <w:rsid w:val="00752B14"/>
    <w:rsid w:val="00752B50"/>
    <w:rsid w:val="00752B7B"/>
    <w:rsid w:val="00752B86"/>
    <w:rsid w:val="00752F4B"/>
    <w:rsid w:val="00753199"/>
    <w:rsid w:val="00753309"/>
    <w:rsid w:val="0075338E"/>
    <w:rsid w:val="007535DE"/>
    <w:rsid w:val="0075385B"/>
    <w:rsid w:val="00753974"/>
    <w:rsid w:val="00753BE0"/>
    <w:rsid w:val="00753C1F"/>
    <w:rsid w:val="00753C3C"/>
    <w:rsid w:val="00753DC9"/>
    <w:rsid w:val="00753DD1"/>
    <w:rsid w:val="00753EE1"/>
    <w:rsid w:val="00753EE5"/>
    <w:rsid w:val="00753F14"/>
    <w:rsid w:val="00753F82"/>
    <w:rsid w:val="0075402C"/>
    <w:rsid w:val="007540E4"/>
    <w:rsid w:val="0075418A"/>
    <w:rsid w:val="0075435E"/>
    <w:rsid w:val="007543BC"/>
    <w:rsid w:val="007544C1"/>
    <w:rsid w:val="0075452B"/>
    <w:rsid w:val="00754533"/>
    <w:rsid w:val="0075454F"/>
    <w:rsid w:val="007546E0"/>
    <w:rsid w:val="00754A3D"/>
    <w:rsid w:val="00754DB9"/>
    <w:rsid w:val="00754E7A"/>
    <w:rsid w:val="00754F7F"/>
    <w:rsid w:val="00755057"/>
    <w:rsid w:val="00755148"/>
    <w:rsid w:val="0075550A"/>
    <w:rsid w:val="00755622"/>
    <w:rsid w:val="0075575F"/>
    <w:rsid w:val="00755761"/>
    <w:rsid w:val="00755863"/>
    <w:rsid w:val="0075599E"/>
    <w:rsid w:val="007559CE"/>
    <w:rsid w:val="00755A6A"/>
    <w:rsid w:val="00755BD3"/>
    <w:rsid w:val="00755CD4"/>
    <w:rsid w:val="00755E49"/>
    <w:rsid w:val="00755F5E"/>
    <w:rsid w:val="00756075"/>
    <w:rsid w:val="00756175"/>
    <w:rsid w:val="007561FF"/>
    <w:rsid w:val="00756236"/>
    <w:rsid w:val="0075625E"/>
    <w:rsid w:val="007562BC"/>
    <w:rsid w:val="00756374"/>
    <w:rsid w:val="007564FB"/>
    <w:rsid w:val="0075671E"/>
    <w:rsid w:val="007568AF"/>
    <w:rsid w:val="007568B9"/>
    <w:rsid w:val="007568C8"/>
    <w:rsid w:val="0075692B"/>
    <w:rsid w:val="0075696C"/>
    <w:rsid w:val="007569C1"/>
    <w:rsid w:val="00756A5E"/>
    <w:rsid w:val="00756A91"/>
    <w:rsid w:val="00756AF9"/>
    <w:rsid w:val="00756C21"/>
    <w:rsid w:val="00756CC6"/>
    <w:rsid w:val="00756DDD"/>
    <w:rsid w:val="00756E09"/>
    <w:rsid w:val="00756E22"/>
    <w:rsid w:val="00757006"/>
    <w:rsid w:val="007570B5"/>
    <w:rsid w:val="007570EB"/>
    <w:rsid w:val="007572DC"/>
    <w:rsid w:val="007574D5"/>
    <w:rsid w:val="00757591"/>
    <w:rsid w:val="0075760F"/>
    <w:rsid w:val="00757717"/>
    <w:rsid w:val="007579DB"/>
    <w:rsid w:val="00757C4A"/>
    <w:rsid w:val="00757CB5"/>
    <w:rsid w:val="00757D9C"/>
    <w:rsid w:val="00757E4E"/>
    <w:rsid w:val="00757F4F"/>
    <w:rsid w:val="00757FE1"/>
    <w:rsid w:val="0076002D"/>
    <w:rsid w:val="007603D8"/>
    <w:rsid w:val="00760451"/>
    <w:rsid w:val="00760475"/>
    <w:rsid w:val="007604E4"/>
    <w:rsid w:val="00760533"/>
    <w:rsid w:val="00760A81"/>
    <w:rsid w:val="00760D8C"/>
    <w:rsid w:val="00760E36"/>
    <w:rsid w:val="00760FD0"/>
    <w:rsid w:val="00761138"/>
    <w:rsid w:val="00761221"/>
    <w:rsid w:val="00761348"/>
    <w:rsid w:val="00761520"/>
    <w:rsid w:val="00761607"/>
    <w:rsid w:val="00761831"/>
    <w:rsid w:val="00761872"/>
    <w:rsid w:val="00761C83"/>
    <w:rsid w:val="00761CAD"/>
    <w:rsid w:val="00761CF1"/>
    <w:rsid w:val="00761DD6"/>
    <w:rsid w:val="00761E51"/>
    <w:rsid w:val="00761E57"/>
    <w:rsid w:val="00761EDA"/>
    <w:rsid w:val="00761F4D"/>
    <w:rsid w:val="00762050"/>
    <w:rsid w:val="007622CC"/>
    <w:rsid w:val="007623A0"/>
    <w:rsid w:val="00762514"/>
    <w:rsid w:val="0076260D"/>
    <w:rsid w:val="0076273B"/>
    <w:rsid w:val="007627D0"/>
    <w:rsid w:val="0076286E"/>
    <w:rsid w:val="00762918"/>
    <w:rsid w:val="007629AE"/>
    <w:rsid w:val="00762A64"/>
    <w:rsid w:val="00762A6B"/>
    <w:rsid w:val="00762C85"/>
    <w:rsid w:val="00762D47"/>
    <w:rsid w:val="00762F2F"/>
    <w:rsid w:val="00763104"/>
    <w:rsid w:val="007631A8"/>
    <w:rsid w:val="007631B1"/>
    <w:rsid w:val="0076330F"/>
    <w:rsid w:val="00763391"/>
    <w:rsid w:val="0076349B"/>
    <w:rsid w:val="007634E9"/>
    <w:rsid w:val="007634F0"/>
    <w:rsid w:val="0076355B"/>
    <w:rsid w:val="0076364F"/>
    <w:rsid w:val="007638A4"/>
    <w:rsid w:val="0076396B"/>
    <w:rsid w:val="00763976"/>
    <w:rsid w:val="00763ADA"/>
    <w:rsid w:val="00763B77"/>
    <w:rsid w:val="00763BEC"/>
    <w:rsid w:val="00763C40"/>
    <w:rsid w:val="00763C9A"/>
    <w:rsid w:val="00764053"/>
    <w:rsid w:val="0076410F"/>
    <w:rsid w:val="00764181"/>
    <w:rsid w:val="007641DC"/>
    <w:rsid w:val="00764469"/>
    <w:rsid w:val="00764533"/>
    <w:rsid w:val="00764BB7"/>
    <w:rsid w:val="00764DE6"/>
    <w:rsid w:val="00764E39"/>
    <w:rsid w:val="00764F2C"/>
    <w:rsid w:val="00764FBE"/>
    <w:rsid w:val="0076509A"/>
    <w:rsid w:val="007653B2"/>
    <w:rsid w:val="00765441"/>
    <w:rsid w:val="00765594"/>
    <w:rsid w:val="00765618"/>
    <w:rsid w:val="0076571F"/>
    <w:rsid w:val="00765777"/>
    <w:rsid w:val="007658E8"/>
    <w:rsid w:val="00765994"/>
    <w:rsid w:val="00765A61"/>
    <w:rsid w:val="00765B52"/>
    <w:rsid w:val="00765BC5"/>
    <w:rsid w:val="00765C5E"/>
    <w:rsid w:val="00765DBB"/>
    <w:rsid w:val="00765E7B"/>
    <w:rsid w:val="00765FCE"/>
    <w:rsid w:val="00766066"/>
    <w:rsid w:val="0076612B"/>
    <w:rsid w:val="0076623B"/>
    <w:rsid w:val="00766254"/>
    <w:rsid w:val="0076638C"/>
    <w:rsid w:val="007663DE"/>
    <w:rsid w:val="007663FD"/>
    <w:rsid w:val="00766592"/>
    <w:rsid w:val="007666B1"/>
    <w:rsid w:val="00766728"/>
    <w:rsid w:val="00766959"/>
    <w:rsid w:val="00766A66"/>
    <w:rsid w:val="00766B6E"/>
    <w:rsid w:val="00766C79"/>
    <w:rsid w:val="00766C7C"/>
    <w:rsid w:val="00766CBB"/>
    <w:rsid w:val="00766CC8"/>
    <w:rsid w:val="00766D30"/>
    <w:rsid w:val="00766ECB"/>
    <w:rsid w:val="00766ED9"/>
    <w:rsid w:val="0076702C"/>
    <w:rsid w:val="007670B7"/>
    <w:rsid w:val="0076710A"/>
    <w:rsid w:val="007671AA"/>
    <w:rsid w:val="0076733F"/>
    <w:rsid w:val="0076736C"/>
    <w:rsid w:val="007675ED"/>
    <w:rsid w:val="0076776F"/>
    <w:rsid w:val="00767995"/>
    <w:rsid w:val="007679E3"/>
    <w:rsid w:val="00767A43"/>
    <w:rsid w:val="00767DC0"/>
    <w:rsid w:val="00767EF2"/>
    <w:rsid w:val="00767F38"/>
    <w:rsid w:val="00767F6C"/>
    <w:rsid w:val="0077009A"/>
    <w:rsid w:val="00770230"/>
    <w:rsid w:val="007702F9"/>
    <w:rsid w:val="0077042E"/>
    <w:rsid w:val="00770455"/>
    <w:rsid w:val="0077064E"/>
    <w:rsid w:val="00770698"/>
    <w:rsid w:val="007708E9"/>
    <w:rsid w:val="00770A4F"/>
    <w:rsid w:val="00770DCD"/>
    <w:rsid w:val="00770E5C"/>
    <w:rsid w:val="00770F0F"/>
    <w:rsid w:val="00770FB0"/>
    <w:rsid w:val="0077103B"/>
    <w:rsid w:val="00771147"/>
    <w:rsid w:val="00771167"/>
    <w:rsid w:val="007711AE"/>
    <w:rsid w:val="007713A8"/>
    <w:rsid w:val="00771531"/>
    <w:rsid w:val="007715E6"/>
    <w:rsid w:val="00771736"/>
    <w:rsid w:val="00771781"/>
    <w:rsid w:val="007717CF"/>
    <w:rsid w:val="0077184C"/>
    <w:rsid w:val="0077196E"/>
    <w:rsid w:val="0077197B"/>
    <w:rsid w:val="00771A79"/>
    <w:rsid w:val="00771BA3"/>
    <w:rsid w:val="00771D46"/>
    <w:rsid w:val="00771DCE"/>
    <w:rsid w:val="00771FDA"/>
    <w:rsid w:val="007720AD"/>
    <w:rsid w:val="00772373"/>
    <w:rsid w:val="007724BC"/>
    <w:rsid w:val="007724C9"/>
    <w:rsid w:val="007724F7"/>
    <w:rsid w:val="00772597"/>
    <w:rsid w:val="007726C4"/>
    <w:rsid w:val="00772829"/>
    <w:rsid w:val="007728C9"/>
    <w:rsid w:val="00772923"/>
    <w:rsid w:val="00772A9D"/>
    <w:rsid w:val="00772AAC"/>
    <w:rsid w:val="00772B4D"/>
    <w:rsid w:val="00772BC0"/>
    <w:rsid w:val="00772C54"/>
    <w:rsid w:val="00772CBB"/>
    <w:rsid w:val="00772F7C"/>
    <w:rsid w:val="00772FE2"/>
    <w:rsid w:val="00773258"/>
    <w:rsid w:val="00773279"/>
    <w:rsid w:val="007732EC"/>
    <w:rsid w:val="0077330E"/>
    <w:rsid w:val="00773469"/>
    <w:rsid w:val="00773927"/>
    <w:rsid w:val="00773A63"/>
    <w:rsid w:val="00773AAC"/>
    <w:rsid w:val="00773ABE"/>
    <w:rsid w:val="00773B4C"/>
    <w:rsid w:val="00773B58"/>
    <w:rsid w:val="00773BC9"/>
    <w:rsid w:val="00773C8A"/>
    <w:rsid w:val="00773E88"/>
    <w:rsid w:val="00774086"/>
    <w:rsid w:val="007747EA"/>
    <w:rsid w:val="0077495C"/>
    <w:rsid w:val="00774B64"/>
    <w:rsid w:val="00774C6B"/>
    <w:rsid w:val="00774C73"/>
    <w:rsid w:val="00774DEE"/>
    <w:rsid w:val="00774DF1"/>
    <w:rsid w:val="00774FA4"/>
    <w:rsid w:val="00774FB2"/>
    <w:rsid w:val="00775138"/>
    <w:rsid w:val="0077519A"/>
    <w:rsid w:val="00775534"/>
    <w:rsid w:val="00775565"/>
    <w:rsid w:val="007756C9"/>
    <w:rsid w:val="00775762"/>
    <w:rsid w:val="007757DC"/>
    <w:rsid w:val="00775859"/>
    <w:rsid w:val="00775864"/>
    <w:rsid w:val="00775883"/>
    <w:rsid w:val="007758A4"/>
    <w:rsid w:val="007759A3"/>
    <w:rsid w:val="00775AE2"/>
    <w:rsid w:val="00775C21"/>
    <w:rsid w:val="00775D4A"/>
    <w:rsid w:val="00775E64"/>
    <w:rsid w:val="00775F7C"/>
    <w:rsid w:val="0077643A"/>
    <w:rsid w:val="007765F2"/>
    <w:rsid w:val="00776755"/>
    <w:rsid w:val="00776844"/>
    <w:rsid w:val="00776970"/>
    <w:rsid w:val="00776B26"/>
    <w:rsid w:val="00776DDB"/>
    <w:rsid w:val="00776FF1"/>
    <w:rsid w:val="00777024"/>
    <w:rsid w:val="007771C9"/>
    <w:rsid w:val="007771F2"/>
    <w:rsid w:val="007773E4"/>
    <w:rsid w:val="00777537"/>
    <w:rsid w:val="0077765A"/>
    <w:rsid w:val="007776C0"/>
    <w:rsid w:val="007776FB"/>
    <w:rsid w:val="00777748"/>
    <w:rsid w:val="00777848"/>
    <w:rsid w:val="00777860"/>
    <w:rsid w:val="00777893"/>
    <w:rsid w:val="007779D3"/>
    <w:rsid w:val="007779E1"/>
    <w:rsid w:val="00777A1D"/>
    <w:rsid w:val="00777AE7"/>
    <w:rsid w:val="00777B46"/>
    <w:rsid w:val="00777B8B"/>
    <w:rsid w:val="00777C12"/>
    <w:rsid w:val="00777CDB"/>
    <w:rsid w:val="00777E5B"/>
    <w:rsid w:val="007801F2"/>
    <w:rsid w:val="007802C5"/>
    <w:rsid w:val="007805C2"/>
    <w:rsid w:val="0078062F"/>
    <w:rsid w:val="00780876"/>
    <w:rsid w:val="00780A26"/>
    <w:rsid w:val="00780B43"/>
    <w:rsid w:val="00780CC0"/>
    <w:rsid w:val="00780EE6"/>
    <w:rsid w:val="00780F44"/>
    <w:rsid w:val="007812AD"/>
    <w:rsid w:val="00781301"/>
    <w:rsid w:val="00781362"/>
    <w:rsid w:val="00781444"/>
    <w:rsid w:val="00781475"/>
    <w:rsid w:val="00781566"/>
    <w:rsid w:val="007815E2"/>
    <w:rsid w:val="0078163A"/>
    <w:rsid w:val="007816F1"/>
    <w:rsid w:val="00781735"/>
    <w:rsid w:val="0078173F"/>
    <w:rsid w:val="00781789"/>
    <w:rsid w:val="0078192E"/>
    <w:rsid w:val="0078193B"/>
    <w:rsid w:val="007819B2"/>
    <w:rsid w:val="00781AA3"/>
    <w:rsid w:val="00781AB4"/>
    <w:rsid w:val="00781AD6"/>
    <w:rsid w:val="00781B5D"/>
    <w:rsid w:val="00781CB9"/>
    <w:rsid w:val="00781E00"/>
    <w:rsid w:val="00781EA1"/>
    <w:rsid w:val="00782018"/>
    <w:rsid w:val="00782181"/>
    <w:rsid w:val="007821F7"/>
    <w:rsid w:val="00782756"/>
    <w:rsid w:val="0078276E"/>
    <w:rsid w:val="007829B1"/>
    <w:rsid w:val="00782B61"/>
    <w:rsid w:val="00782D2A"/>
    <w:rsid w:val="00782EB5"/>
    <w:rsid w:val="007831D8"/>
    <w:rsid w:val="007833D7"/>
    <w:rsid w:val="0078341B"/>
    <w:rsid w:val="00783508"/>
    <w:rsid w:val="00783555"/>
    <w:rsid w:val="00783656"/>
    <w:rsid w:val="007836D8"/>
    <w:rsid w:val="007837B8"/>
    <w:rsid w:val="007837BA"/>
    <w:rsid w:val="0078387D"/>
    <w:rsid w:val="00783881"/>
    <w:rsid w:val="00783893"/>
    <w:rsid w:val="00783B7B"/>
    <w:rsid w:val="00783C6C"/>
    <w:rsid w:val="00783DA8"/>
    <w:rsid w:val="00783EA5"/>
    <w:rsid w:val="00783FA0"/>
    <w:rsid w:val="00783FA5"/>
    <w:rsid w:val="00783FD5"/>
    <w:rsid w:val="00784042"/>
    <w:rsid w:val="00784198"/>
    <w:rsid w:val="007841A1"/>
    <w:rsid w:val="00784210"/>
    <w:rsid w:val="00784296"/>
    <w:rsid w:val="0078430A"/>
    <w:rsid w:val="00784341"/>
    <w:rsid w:val="0078434F"/>
    <w:rsid w:val="007843B1"/>
    <w:rsid w:val="0078440C"/>
    <w:rsid w:val="00784549"/>
    <w:rsid w:val="00784B65"/>
    <w:rsid w:val="00784C7D"/>
    <w:rsid w:val="00784F36"/>
    <w:rsid w:val="00784F8E"/>
    <w:rsid w:val="007851F2"/>
    <w:rsid w:val="00785273"/>
    <w:rsid w:val="007852E9"/>
    <w:rsid w:val="00785313"/>
    <w:rsid w:val="00785409"/>
    <w:rsid w:val="00785517"/>
    <w:rsid w:val="0078555F"/>
    <w:rsid w:val="007855D7"/>
    <w:rsid w:val="00785760"/>
    <w:rsid w:val="00785799"/>
    <w:rsid w:val="007858CD"/>
    <w:rsid w:val="0078591E"/>
    <w:rsid w:val="00785927"/>
    <w:rsid w:val="0078593A"/>
    <w:rsid w:val="007859DF"/>
    <w:rsid w:val="00785A20"/>
    <w:rsid w:val="00785A51"/>
    <w:rsid w:val="00785BD2"/>
    <w:rsid w:val="00785CAD"/>
    <w:rsid w:val="00785D3D"/>
    <w:rsid w:val="00785DFD"/>
    <w:rsid w:val="00785E1C"/>
    <w:rsid w:val="00785F71"/>
    <w:rsid w:val="00785FCA"/>
    <w:rsid w:val="00785FD0"/>
    <w:rsid w:val="0078610C"/>
    <w:rsid w:val="0078634D"/>
    <w:rsid w:val="007865B9"/>
    <w:rsid w:val="0078663A"/>
    <w:rsid w:val="0078679D"/>
    <w:rsid w:val="00786B46"/>
    <w:rsid w:val="00786C35"/>
    <w:rsid w:val="00786D3A"/>
    <w:rsid w:val="00786D4B"/>
    <w:rsid w:val="0078702C"/>
    <w:rsid w:val="007878EA"/>
    <w:rsid w:val="00787965"/>
    <w:rsid w:val="007879CB"/>
    <w:rsid w:val="00787A46"/>
    <w:rsid w:val="00787A63"/>
    <w:rsid w:val="00787A82"/>
    <w:rsid w:val="00787B0B"/>
    <w:rsid w:val="00787D74"/>
    <w:rsid w:val="00787DC3"/>
    <w:rsid w:val="007902B8"/>
    <w:rsid w:val="007903CC"/>
    <w:rsid w:val="00790476"/>
    <w:rsid w:val="0079083A"/>
    <w:rsid w:val="0079094C"/>
    <w:rsid w:val="00790AC8"/>
    <w:rsid w:val="00790B15"/>
    <w:rsid w:val="00790B85"/>
    <w:rsid w:val="00790BEF"/>
    <w:rsid w:val="00790D57"/>
    <w:rsid w:val="00790D82"/>
    <w:rsid w:val="00790DA9"/>
    <w:rsid w:val="00790DE1"/>
    <w:rsid w:val="00790EF4"/>
    <w:rsid w:val="00790F49"/>
    <w:rsid w:val="00790F71"/>
    <w:rsid w:val="0079109C"/>
    <w:rsid w:val="007910AB"/>
    <w:rsid w:val="007911A5"/>
    <w:rsid w:val="007911F5"/>
    <w:rsid w:val="0079145A"/>
    <w:rsid w:val="007916C1"/>
    <w:rsid w:val="0079182E"/>
    <w:rsid w:val="00791E62"/>
    <w:rsid w:val="00791FCF"/>
    <w:rsid w:val="0079200D"/>
    <w:rsid w:val="0079208D"/>
    <w:rsid w:val="007920A1"/>
    <w:rsid w:val="00792184"/>
    <w:rsid w:val="007921FD"/>
    <w:rsid w:val="007921FE"/>
    <w:rsid w:val="00792308"/>
    <w:rsid w:val="00792328"/>
    <w:rsid w:val="007923C2"/>
    <w:rsid w:val="0079242E"/>
    <w:rsid w:val="00792527"/>
    <w:rsid w:val="007926EA"/>
    <w:rsid w:val="007926FF"/>
    <w:rsid w:val="007927F8"/>
    <w:rsid w:val="0079293B"/>
    <w:rsid w:val="007929AD"/>
    <w:rsid w:val="007929CB"/>
    <w:rsid w:val="00792BFC"/>
    <w:rsid w:val="00792D29"/>
    <w:rsid w:val="00792D80"/>
    <w:rsid w:val="00792E05"/>
    <w:rsid w:val="00792E91"/>
    <w:rsid w:val="00792F2B"/>
    <w:rsid w:val="00792F86"/>
    <w:rsid w:val="00793182"/>
    <w:rsid w:val="007931CB"/>
    <w:rsid w:val="0079324A"/>
    <w:rsid w:val="0079332D"/>
    <w:rsid w:val="0079342D"/>
    <w:rsid w:val="00793481"/>
    <w:rsid w:val="00793606"/>
    <w:rsid w:val="0079368D"/>
    <w:rsid w:val="007936B4"/>
    <w:rsid w:val="0079382B"/>
    <w:rsid w:val="0079394C"/>
    <w:rsid w:val="00793A74"/>
    <w:rsid w:val="00793BF3"/>
    <w:rsid w:val="00793C55"/>
    <w:rsid w:val="0079406F"/>
    <w:rsid w:val="007940B3"/>
    <w:rsid w:val="007941B2"/>
    <w:rsid w:val="007941F8"/>
    <w:rsid w:val="00794223"/>
    <w:rsid w:val="007942A0"/>
    <w:rsid w:val="00794390"/>
    <w:rsid w:val="0079449E"/>
    <w:rsid w:val="007944E2"/>
    <w:rsid w:val="00794558"/>
    <w:rsid w:val="0079467E"/>
    <w:rsid w:val="007946AF"/>
    <w:rsid w:val="007948D0"/>
    <w:rsid w:val="007949B3"/>
    <w:rsid w:val="00794A3E"/>
    <w:rsid w:val="00794B45"/>
    <w:rsid w:val="00794EC0"/>
    <w:rsid w:val="0079504B"/>
    <w:rsid w:val="007950CF"/>
    <w:rsid w:val="0079517A"/>
    <w:rsid w:val="007951C3"/>
    <w:rsid w:val="007951D4"/>
    <w:rsid w:val="00795338"/>
    <w:rsid w:val="007953C5"/>
    <w:rsid w:val="00795458"/>
    <w:rsid w:val="00795473"/>
    <w:rsid w:val="007954B3"/>
    <w:rsid w:val="00795701"/>
    <w:rsid w:val="0079573C"/>
    <w:rsid w:val="007958C3"/>
    <w:rsid w:val="007959FA"/>
    <w:rsid w:val="00795A18"/>
    <w:rsid w:val="00795A19"/>
    <w:rsid w:val="00795A67"/>
    <w:rsid w:val="00795AB8"/>
    <w:rsid w:val="00795BB5"/>
    <w:rsid w:val="00795D12"/>
    <w:rsid w:val="00795D41"/>
    <w:rsid w:val="00795E3A"/>
    <w:rsid w:val="00795EB7"/>
    <w:rsid w:val="00795EF8"/>
    <w:rsid w:val="00795F60"/>
    <w:rsid w:val="007961F8"/>
    <w:rsid w:val="00796235"/>
    <w:rsid w:val="007965C9"/>
    <w:rsid w:val="00796660"/>
    <w:rsid w:val="0079692B"/>
    <w:rsid w:val="007969B4"/>
    <w:rsid w:val="00796AD6"/>
    <w:rsid w:val="00796DB6"/>
    <w:rsid w:val="00796FA0"/>
    <w:rsid w:val="007971B8"/>
    <w:rsid w:val="007971F7"/>
    <w:rsid w:val="007972A8"/>
    <w:rsid w:val="0079732B"/>
    <w:rsid w:val="007973AC"/>
    <w:rsid w:val="00797599"/>
    <w:rsid w:val="007976DF"/>
    <w:rsid w:val="00797796"/>
    <w:rsid w:val="00797AFC"/>
    <w:rsid w:val="00797BC0"/>
    <w:rsid w:val="00797C22"/>
    <w:rsid w:val="00797C46"/>
    <w:rsid w:val="00797CCC"/>
    <w:rsid w:val="00797D4F"/>
    <w:rsid w:val="00797D79"/>
    <w:rsid w:val="007A02FB"/>
    <w:rsid w:val="007A05A8"/>
    <w:rsid w:val="007A06E6"/>
    <w:rsid w:val="007A08BD"/>
    <w:rsid w:val="007A0910"/>
    <w:rsid w:val="007A0A3A"/>
    <w:rsid w:val="007A0C54"/>
    <w:rsid w:val="007A0DBD"/>
    <w:rsid w:val="007A0FBA"/>
    <w:rsid w:val="007A0FF5"/>
    <w:rsid w:val="007A1116"/>
    <w:rsid w:val="007A1149"/>
    <w:rsid w:val="007A11BC"/>
    <w:rsid w:val="007A12A2"/>
    <w:rsid w:val="007A165C"/>
    <w:rsid w:val="007A1767"/>
    <w:rsid w:val="007A17A9"/>
    <w:rsid w:val="007A19F6"/>
    <w:rsid w:val="007A1AA3"/>
    <w:rsid w:val="007A1ACB"/>
    <w:rsid w:val="007A1BC1"/>
    <w:rsid w:val="007A1BE0"/>
    <w:rsid w:val="007A1C6B"/>
    <w:rsid w:val="007A1CE6"/>
    <w:rsid w:val="007A1D5F"/>
    <w:rsid w:val="007A1D9F"/>
    <w:rsid w:val="007A1ECA"/>
    <w:rsid w:val="007A1ED4"/>
    <w:rsid w:val="007A2048"/>
    <w:rsid w:val="007A21D7"/>
    <w:rsid w:val="007A221E"/>
    <w:rsid w:val="007A226B"/>
    <w:rsid w:val="007A254B"/>
    <w:rsid w:val="007A2566"/>
    <w:rsid w:val="007A25D8"/>
    <w:rsid w:val="007A2612"/>
    <w:rsid w:val="007A26FA"/>
    <w:rsid w:val="007A27E2"/>
    <w:rsid w:val="007A29E7"/>
    <w:rsid w:val="007A2A5B"/>
    <w:rsid w:val="007A2A61"/>
    <w:rsid w:val="007A2B65"/>
    <w:rsid w:val="007A2C74"/>
    <w:rsid w:val="007A2CAF"/>
    <w:rsid w:val="007A2D9F"/>
    <w:rsid w:val="007A2DDA"/>
    <w:rsid w:val="007A3060"/>
    <w:rsid w:val="007A3187"/>
    <w:rsid w:val="007A3459"/>
    <w:rsid w:val="007A345B"/>
    <w:rsid w:val="007A354A"/>
    <w:rsid w:val="007A3674"/>
    <w:rsid w:val="007A36AD"/>
    <w:rsid w:val="007A373B"/>
    <w:rsid w:val="007A3769"/>
    <w:rsid w:val="007A3B18"/>
    <w:rsid w:val="007A3BEB"/>
    <w:rsid w:val="007A3C12"/>
    <w:rsid w:val="007A3CA3"/>
    <w:rsid w:val="007A3D50"/>
    <w:rsid w:val="007A3D6A"/>
    <w:rsid w:val="007A3DC2"/>
    <w:rsid w:val="007A4041"/>
    <w:rsid w:val="007A4127"/>
    <w:rsid w:val="007A4184"/>
    <w:rsid w:val="007A427A"/>
    <w:rsid w:val="007A428C"/>
    <w:rsid w:val="007A439C"/>
    <w:rsid w:val="007A439D"/>
    <w:rsid w:val="007A43FA"/>
    <w:rsid w:val="007A443E"/>
    <w:rsid w:val="007A44B7"/>
    <w:rsid w:val="007A452A"/>
    <w:rsid w:val="007A45F8"/>
    <w:rsid w:val="007A4705"/>
    <w:rsid w:val="007A470E"/>
    <w:rsid w:val="007A4CF6"/>
    <w:rsid w:val="007A4DBD"/>
    <w:rsid w:val="007A4E61"/>
    <w:rsid w:val="007A4F3A"/>
    <w:rsid w:val="007A4F90"/>
    <w:rsid w:val="007A4FFD"/>
    <w:rsid w:val="007A5041"/>
    <w:rsid w:val="007A50DC"/>
    <w:rsid w:val="007A5179"/>
    <w:rsid w:val="007A5197"/>
    <w:rsid w:val="007A5219"/>
    <w:rsid w:val="007A52FF"/>
    <w:rsid w:val="007A54FF"/>
    <w:rsid w:val="007A5617"/>
    <w:rsid w:val="007A576C"/>
    <w:rsid w:val="007A5976"/>
    <w:rsid w:val="007A59E4"/>
    <w:rsid w:val="007A5A2F"/>
    <w:rsid w:val="007A5C7E"/>
    <w:rsid w:val="007A6078"/>
    <w:rsid w:val="007A60CF"/>
    <w:rsid w:val="007A64A4"/>
    <w:rsid w:val="007A6606"/>
    <w:rsid w:val="007A66C1"/>
    <w:rsid w:val="007A67A4"/>
    <w:rsid w:val="007A6A66"/>
    <w:rsid w:val="007A6AD2"/>
    <w:rsid w:val="007A6C6E"/>
    <w:rsid w:val="007A7026"/>
    <w:rsid w:val="007A7030"/>
    <w:rsid w:val="007A7099"/>
    <w:rsid w:val="007A726F"/>
    <w:rsid w:val="007A736A"/>
    <w:rsid w:val="007A73B9"/>
    <w:rsid w:val="007A7480"/>
    <w:rsid w:val="007A7495"/>
    <w:rsid w:val="007A766A"/>
    <w:rsid w:val="007A76C0"/>
    <w:rsid w:val="007A7734"/>
    <w:rsid w:val="007A7963"/>
    <w:rsid w:val="007A799B"/>
    <w:rsid w:val="007A79DE"/>
    <w:rsid w:val="007A7A8B"/>
    <w:rsid w:val="007A7ACE"/>
    <w:rsid w:val="007A7C38"/>
    <w:rsid w:val="007A7C77"/>
    <w:rsid w:val="007A7CB0"/>
    <w:rsid w:val="007A7D96"/>
    <w:rsid w:val="007A7D98"/>
    <w:rsid w:val="007A7F49"/>
    <w:rsid w:val="007B0075"/>
    <w:rsid w:val="007B00B5"/>
    <w:rsid w:val="007B0210"/>
    <w:rsid w:val="007B0245"/>
    <w:rsid w:val="007B0293"/>
    <w:rsid w:val="007B03F4"/>
    <w:rsid w:val="007B051A"/>
    <w:rsid w:val="007B0520"/>
    <w:rsid w:val="007B0530"/>
    <w:rsid w:val="007B0537"/>
    <w:rsid w:val="007B058B"/>
    <w:rsid w:val="007B066F"/>
    <w:rsid w:val="007B083F"/>
    <w:rsid w:val="007B0880"/>
    <w:rsid w:val="007B096D"/>
    <w:rsid w:val="007B09C5"/>
    <w:rsid w:val="007B0A24"/>
    <w:rsid w:val="007B0A9F"/>
    <w:rsid w:val="007B0ADE"/>
    <w:rsid w:val="007B0C28"/>
    <w:rsid w:val="007B0C43"/>
    <w:rsid w:val="007B0D01"/>
    <w:rsid w:val="007B0DD7"/>
    <w:rsid w:val="007B13C1"/>
    <w:rsid w:val="007B1464"/>
    <w:rsid w:val="007B146A"/>
    <w:rsid w:val="007B14A1"/>
    <w:rsid w:val="007B1560"/>
    <w:rsid w:val="007B163B"/>
    <w:rsid w:val="007B1800"/>
    <w:rsid w:val="007B1886"/>
    <w:rsid w:val="007B19CC"/>
    <w:rsid w:val="007B1B14"/>
    <w:rsid w:val="007B1B49"/>
    <w:rsid w:val="007B1D6E"/>
    <w:rsid w:val="007B1F55"/>
    <w:rsid w:val="007B1FD0"/>
    <w:rsid w:val="007B2085"/>
    <w:rsid w:val="007B21CE"/>
    <w:rsid w:val="007B21D3"/>
    <w:rsid w:val="007B21F7"/>
    <w:rsid w:val="007B2289"/>
    <w:rsid w:val="007B2308"/>
    <w:rsid w:val="007B2562"/>
    <w:rsid w:val="007B2796"/>
    <w:rsid w:val="007B2901"/>
    <w:rsid w:val="007B293E"/>
    <w:rsid w:val="007B2A83"/>
    <w:rsid w:val="007B2DA8"/>
    <w:rsid w:val="007B2E87"/>
    <w:rsid w:val="007B2EEB"/>
    <w:rsid w:val="007B2FDC"/>
    <w:rsid w:val="007B3016"/>
    <w:rsid w:val="007B30DF"/>
    <w:rsid w:val="007B3121"/>
    <w:rsid w:val="007B328B"/>
    <w:rsid w:val="007B33C9"/>
    <w:rsid w:val="007B340E"/>
    <w:rsid w:val="007B3444"/>
    <w:rsid w:val="007B34BF"/>
    <w:rsid w:val="007B34CD"/>
    <w:rsid w:val="007B3582"/>
    <w:rsid w:val="007B36D3"/>
    <w:rsid w:val="007B3851"/>
    <w:rsid w:val="007B38A0"/>
    <w:rsid w:val="007B38B7"/>
    <w:rsid w:val="007B396D"/>
    <w:rsid w:val="007B39FC"/>
    <w:rsid w:val="007B3AA4"/>
    <w:rsid w:val="007B3BD6"/>
    <w:rsid w:val="007B3CCF"/>
    <w:rsid w:val="007B3E0D"/>
    <w:rsid w:val="007B4076"/>
    <w:rsid w:val="007B4105"/>
    <w:rsid w:val="007B4122"/>
    <w:rsid w:val="007B4224"/>
    <w:rsid w:val="007B43E7"/>
    <w:rsid w:val="007B4427"/>
    <w:rsid w:val="007B4460"/>
    <w:rsid w:val="007B4599"/>
    <w:rsid w:val="007B461B"/>
    <w:rsid w:val="007B49F1"/>
    <w:rsid w:val="007B4B2B"/>
    <w:rsid w:val="007B4C69"/>
    <w:rsid w:val="007B4CC7"/>
    <w:rsid w:val="007B4F7B"/>
    <w:rsid w:val="007B4FBE"/>
    <w:rsid w:val="007B517A"/>
    <w:rsid w:val="007B56D7"/>
    <w:rsid w:val="007B57B3"/>
    <w:rsid w:val="007B583D"/>
    <w:rsid w:val="007B5842"/>
    <w:rsid w:val="007B5AC0"/>
    <w:rsid w:val="007B5CBC"/>
    <w:rsid w:val="007B5CCF"/>
    <w:rsid w:val="007B5D2C"/>
    <w:rsid w:val="007B5EA5"/>
    <w:rsid w:val="007B6032"/>
    <w:rsid w:val="007B6053"/>
    <w:rsid w:val="007B6074"/>
    <w:rsid w:val="007B607E"/>
    <w:rsid w:val="007B6085"/>
    <w:rsid w:val="007B6089"/>
    <w:rsid w:val="007B6194"/>
    <w:rsid w:val="007B62A0"/>
    <w:rsid w:val="007B63AB"/>
    <w:rsid w:val="007B6436"/>
    <w:rsid w:val="007B64C1"/>
    <w:rsid w:val="007B65E0"/>
    <w:rsid w:val="007B6684"/>
    <w:rsid w:val="007B670D"/>
    <w:rsid w:val="007B67FE"/>
    <w:rsid w:val="007B683B"/>
    <w:rsid w:val="007B6A13"/>
    <w:rsid w:val="007B6B21"/>
    <w:rsid w:val="007B6DB7"/>
    <w:rsid w:val="007B6DC0"/>
    <w:rsid w:val="007B6F35"/>
    <w:rsid w:val="007B7024"/>
    <w:rsid w:val="007B717E"/>
    <w:rsid w:val="007B721A"/>
    <w:rsid w:val="007B722E"/>
    <w:rsid w:val="007B7300"/>
    <w:rsid w:val="007B7348"/>
    <w:rsid w:val="007B7367"/>
    <w:rsid w:val="007B73D5"/>
    <w:rsid w:val="007B7429"/>
    <w:rsid w:val="007B7487"/>
    <w:rsid w:val="007B7494"/>
    <w:rsid w:val="007B7564"/>
    <w:rsid w:val="007B7634"/>
    <w:rsid w:val="007B770D"/>
    <w:rsid w:val="007B78EB"/>
    <w:rsid w:val="007B7916"/>
    <w:rsid w:val="007B7971"/>
    <w:rsid w:val="007B7A8B"/>
    <w:rsid w:val="007B7CE7"/>
    <w:rsid w:val="007B7D03"/>
    <w:rsid w:val="007B7E6F"/>
    <w:rsid w:val="007B7FE7"/>
    <w:rsid w:val="007BA574"/>
    <w:rsid w:val="007C01C0"/>
    <w:rsid w:val="007C0390"/>
    <w:rsid w:val="007C0436"/>
    <w:rsid w:val="007C0510"/>
    <w:rsid w:val="007C05A3"/>
    <w:rsid w:val="007C06A2"/>
    <w:rsid w:val="007C0707"/>
    <w:rsid w:val="007C07E0"/>
    <w:rsid w:val="007C0808"/>
    <w:rsid w:val="007C081A"/>
    <w:rsid w:val="007C094E"/>
    <w:rsid w:val="007C097A"/>
    <w:rsid w:val="007C09DA"/>
    <w:rsid w:val="007C0A65"/>
    <w:rsid w:val="007C0A66"/>
    <w:rsid w:val="007C0A6D"/>
    <w:rsid w:val="007C0AE9"/>
    <w:rsid w:val="007C0B5C"/>
    <w:rsid w:val="007C0B9F"/>
    <w:rsid w:val="007C0E6D"/>
    <w:rsid w:val="007C0FB2"/>
    <w:rsid w:val="007C0FDF"/>
    <w:rsid w:val="007C1249"/>
    <w:rsid w:val="007C129B"/>
    <w:rsid w:val="007C12C4"/>
    <w:rsid w:val="007C134C"/>
    <w:rsid w:val="007C1376"/>
    <w:rsid w:val="007C14A2"/>
    <w:rsid w:val="007C174E"/>
    <w:rsid w:val="007C17DF"/>
    <w:rsid w:val="007C18AA"/>
    <w:rsid w:val="007C18E7"/>
    <w:rsid w:val="007C19FE"/>
    <w:rsid w:val="007C1A2F"/>
    <w:rsid w:val="007C1AA8"/>
    <w:rsid w:val="007C1C6F"/>
    <w:rsid w:val="007C1CC3"/>
    <w:rsid w:val="007C1E52"/>
    <w:rsid w:val="007C1E66"/>
    <w:rsid w:val="007C1F49"/>
    <w:rsid w:val="007C2001"/>
    <w:rsid w:val="007C20A7"/>
    <w:rsid w:val="007C214E"/>
    <w:rsid w:val="007C2280"/>
    <w:rsid w:val="007C2328"/>
    <w:rsid w:val="007C23F8"/>
    <w:rsid w:val="007C2527"/>
    <w:rsid w:val="007C2AE0"/>
    <w:rsid w:val="007C2CAD"/>
    <w:rsid w:val="007C2D26"/>
    <w:rsid w:val="007C2F83"/>
    <w:rsid w:val="007C300E"/>
    <w:rsid w:val="007C310F"/>
    <w:rsid w:val="007C3282"/>
    <w:rsid w:val="007C328D"/>
    <w:rsid w:val="007C336F"/>
    <w:rsid w:val="007C33F3"/>
    <w:rsid w:val="007C3489"/>
    <w:rsid w:val="007C34AE"/>
    <w:rsid w:val="007C3554"/>
    <w:rsid w:val="007C3597"/>
    <w:rsid w:val="007C38C8"/>
    <w:rsid w:val="007C3A47"/>
    <w:rsid w:val="007C3C4D"/>
    <w:rsid w:val="007C3C64"/>
    <w:rsid w:val="007C3C7F"/>
    <w:rsid w:val="007C3CA2"/>
    <w:rsid w:val="007C3D16"/>
    <w:rsid w:val="007C3E33"/>
    <w:rsid w:val="007C3EF9"/>
    <w:rsid w:val="007C3F8F"/>
    <w:rsid w:val="007C4032"/>
    <w:rsid w:val="007C4033"/>
    <w:rsid w:val="007C41B1"/>
    <w:rsid w:val="007C41C6"/>
    <w:rsid w:val="007C41E5"/>
    <w:rsid w:val="007C4229"/>
    <w:rsid w:val="007C42CC"/>
    <w:rsid w:val="007C42F2"/>
    <w:rsid w:val="007C4556"/>
    <w:rsid w:val="007C462F"/>
    <w:rsid w:val="007C4678"/>
    <w:rsid w:val="007C47EE"/>
    <w:rsid w:val="007C4867"/>
    <w:rsid w:val="007C491A"/>
    <w:rsid w:val="007C4A33"/>
    <w:rsid w:val="007C4B09"/>
    <w:rsid w:val="007C4B2B"/>
    <w:rsid w:val="007C4C3B"/>
    <w:rsid w:val="007C4D2B"/>
    <w:rsid w:val="007C4D7A"/>
    <w:rsid w:val="007C4E1A"/>
    <w:rsid w:val="007C4F9D"/>
    <w:rsid w:val="007C5034"/>
    <w:rsid w:val="007C50BE"/>
    <w:rsid w:val="007C52B3"/>
    <w:rsid w:val="007C5452"/>
    <w:rsid w:val="007C546E"/>
    <w:rsid w:val="007C549F"/>
    <w:rsid w:val="007C56BE"/>
    <w:rsid w:val="007C56D7"/>
    <w:rsid w:val="007C5B0D"/>
    <w:rsid w:val="007C5C59"/>
    <w:rsid w:val="007C5C87"/>
    <w:rsid w:val="007C5E08"/>
    <w:rsid w:val="007C6107"/>
    <w:rsid w:val="007C610A"/>
    <w:rsid w:val="007C61DE"/>
    <w:rsid w:val="007C6415"/>
    <w:rsid w:val="007C6542"/>
    <w:rsid w:val="007C6614"/>
    <w:rsid w:val="007C66FF"/>
    <w:rsid w:val="007C6785"/>
    <w:rsid w:val="007C695E"/>
    <w:rsid w:val="007C6AFC"/>
    <w:rsid w:val="007C6BEA"/>
    <w:rsid w:val="007C6CEC"/>
    <w:rsid w:val="007C6D6C"/>
    <w:rsid w:val="007C6DD1"/>
    <w:rsid w:val="007C6E60"/>
    <w:rsid w:val="007C6E99"/>
    <w:rsid w:val="007C6ECC"/>
    <w:rsid w:val="007C6FF6"/>
    <w:rsid w:val="007C70B3"/>
    <w:rsid w:val="007C70D4"/>
    <w:rsid w:val="007C7140"/>
    <w:rsid w:val="007C7168"/>
    <w:rsid w:val="007C716A"/>
    <w:rsid w:val="007C7213"/>
    <w:rsid w:val="007C7336"/>
    <w:rsid w:val="007C7628"/>
    <w:rsid w:val="007C78AB"/>
    <w:rsid w:val="007C7ACA"/>
    <w:rsid w:val="007C7B2A"/>
    <w:rsid w:val="007C7D1F"/>
    <w:rsid w:val="007C7E37"/>
    <w:rsid w:val="007D0252"/>
    <w:rsid w:val="007D028B"/>
    <w:rsid w:val="007D03F4"/>
    <w:rsid w:val="007D052D"/>
    <w:rsid w:val="007D0549"/>
    <w:rsid w:val="007D05A0"/>
    <w:rsid w:val="007D05BA"/>
    <w:rsid w:val="007D0700"/>
    <w:rsid w:val="007D087B"/>
    <w:rsid w:val="007D0881"/>
    <w:rsid w:val="007D093C"/>
    <w:rsid w:val="007D0964"/>
    <w:rsid w:val="007D0977"/>
    <w:rsid w:val="007D0A89"/>
    <w:rsid w:val="007D0ADB"/>
    <w:rsid w:val="007D0AF8"/>
    <w:rsid w:val="007D0B9D"/>
    <w:rsid w:val="007D0BF3"/>
    <w:rsid w:val="007D0CB1"/>
    <w:rsid w:val="007D0D77"/>
    <w:rsid w:val="007D0ED3"/>
    <w:rsid w:val="007D0F4D"/>
    <w:rsid w:val="007D0FB5"/>
    <w:rsid w:val="007D0FBA"/>
    <w:rsid w:val="007D111D"/>
    <w:rsid w:val="007D11C2"/>
    <w:rsid w:val="007D13B3"/>
    <w:rsid w:val="007D142F"/>
    <w:rsid w:val="007D1563"/>
    <w:rsid w:val="007D158A"/>
    <w:rsid w:val="007D1596"/>
    <w:rsid w:val="007D179A"/>
    <w:rsid w:val="007D187A"/>
    <w:rsid w:val="007D18A3"/>
    <w:rsid w:val="007D1C06"/>
    <w:rsid w:val="007D1E8F"/>
    <w:rsid w:val="007D23B4"/>
    <w:rsid w:val="007D24DE"/>
    <w:rsid w:val="007D2520"/>
    <w:rsid w:val="007D2598"/>
    <w:rsid w:val="007D25F8"/>
    <w:rsid w:val="007D2634"/>
    <w:rsid w:val="007D264A"/>
    <w:rsid w:val="007D2AC3"/>
    <w:rsid w:val="007D2C99"/>
    <w:rsid w:val="007D2D13"/>
    <w:rsid w:val="007D2D6E"/>
    <w:rsid w:val="007D2E38"/>
    <w:rsid w:val="007D2E65"/>
    <w:rsid w:val="007D2F22"/>
    <w:rsid w:val="007D2FEC"/>
    <w:rsid w:val="007D30B7"/>
    <w:rsid w:val="007D3184"/>
    <w:rsid w:val="007D32C4"/>
    <w:rsid w:val="007D336C"/>
    <w:rsid w:val="007D3587"/>
    <w:rsid w:val="007D3783"/>
    <w:rsid w:val="007D3A16"/>
    <w:rsid w:val="007D3A92"/>
    <w:rsid w:val="007D3AAA"/>
    <w:rsid w:val="007D3C86"/>
    <w:rsid w:val="007D3C9C"/>
    <w:rsid w:val="007D4097"/>
    <w:rsid w:val="007D4181"/>
    <w:rsid w:val="007D41B4"/>
    <w:rsid w:val="007D4451"/>
    <w:rsid w:val="007D44B3"/>
    <w:rsid w:val="007D4611"/>
    <w:rsid w:val="007D4774"/>
    <w:rsid w:val="007D4786"/>
    <w:rsid w:val="007D47D9"/>
    <w:rsid w:val="007D4839"/>
    <w:rsid w:val="007D491C"/>
    <w:rsid w:val="007D4C44"/>
    <w:rsid w:val="007D4DC3"/>
    <w:rsid w:val="007D51EB"/>
    <w:rsid w:val="007D525F"/>
    <w:rsid w:val="007D53EF"/>
    <w:rsid w:val="007D55CF"/>
    <w:rsid w:val="007D5613"/>
    <w:rsid w:val="007D5767"/>
    <w:rsid w:val="007D5827"/>
    <w:rsid w:val="007D5951"/>
    <w:rsid w:val="007D59C1"/>
    <w:rsid w:val="007D5FE4"/>
    <w:rsid w:val="007D609B"/>
    <w:rsid w:val="007D624D"/>
    <w:rsid w:val="007D63DE"/>
    <w:rsid w:val="007D640D"/>
    <w:rsid w:val="007D6555"/>
    <w:rsid w:val="007D66BA"/>
    <w:rsid w:val="007D670A"/>
    <w:rsid w:val="007D684B"/>
    <w:rsid w:val="007D69CF"/>
    <w:rsid w:val="007D6A0D"/>
    <w:rsid w:val="007D6B19"/>
    <w:rsid w:val="007D6CAA"/>
    <w:rsid w:val="007D734A"/>
    <w:rsid w:val="007D7687"/>
    <w:rsid w:val="007D7825"/>
    <w:rsid w:val="007D78D7"/>
    <w:rsid w:val="007D78D9"/>
    <w:rsid w:val="007D79E4"/>
    <w:rsid w:val="007D7A22"/>
    <w:rsid w:val="007D7B7F"/>
    <w:rsid w:val="007D7C5C"/>
    <w:rsid w:val="007D7D1C"/>
    <w:rsid w:val="007D7D25"/>
    <w:rsid w:val="007D7F61"/>
    <w:rsid w:val="007D7F9C"/>
    <w:rsid w:val="007D7FCF"/>
    <w:rsid w:val="007E0042"/>
    <w:rsid w:val="007E0074"/>
    <w:rsid w:val="007E00DD"/>
    <w:rsid w:val="007E0154"/>
    <w:rsid w:val="007E0193"/>
    <w:rsid w:val="007E04BA"/>
    <w:rsid w:val="007E053F"/>
    <w:rsid w:val="007E0722"/>
    <w:rsid w:val="007E083F"/>
    <w:rsid w:val="007E0AC4"/>
    <w:rsid w:val="007E0CDC"/>
    <w:rsid w:val="007E0CF6"/>
    <w:rsid w:val="007E0D05"/>
    <w:rsid w:val="007E0E67"/>
    <w:rsid w:val="007E0EE7"/>
    <w:rsid w:val="007E0EE9"/>
    <w:rsid w:val="007E1039"/>
    <w:rsid w:val="007E115E"/>
    <w:rsid w:val="007E121C"/>
    <w:rsid w:val="007E1447"/>
    <w:rsid w:val="007E1548"/>
    <w:rsid w:val="007E15AD"/>
    <w:rsid w:val="007E1670"/>
    <w:rsid w:val="007E171D"/>
    <w:rsid w:val="007E197E"/>
    <w:rsid w:val="007E1A43"/>
    <w:rsid w:val="007E1BB4"/>
    <w:rsid w:val="007E1D14"/>
    <w:rsid w:val="007E1E4E"/>
    <w:rsid w:val="007E1E78"/>
    <w:rsid w:val="007E1EE3"/>
    <w:rsid w:val="007E2095"/>
    <w:rsid w:val="007E213D"/>
    <w:rsid w:val="007E2290"/>
    <w:rsid w:val="007E23B0"/>
    <w:rsid w:val="007E2536"/>
    <w:rsid w:val="007E25ED"/>
    <w:rsid w:val="007E277D"/>
    <w:rsid w:val="007E2861"/>
    <w:rsid w:val="007E2A0A"/>
    <w:rsid w:val="007E2ADF"/>
    <w:rsid w:val="007E2BC0"/>
    <w:rsid w:val="007E2D0A"/>
    <w:rsid w:val="007E2E64"/>
    <w:rsid w:val="007E2EE3"/>
    <w:rsid w:val="007E3166"/>
    <w:rsid w:val="007E3205"/>
    <w:rsid w:val="007E32AB"/>
    <w:rsid w:val="007E3305"/>
    <w:rsid w:val="007E34D0"/>
    <w:rsid w:val="007E3528"/>
    <w:rsid w:val="007E3559"/>
    <w:rsid w:val="007E36A7"/>
    <w:rsid w:val="007E3813"/>
    <w:rsid w:val="007E3847"/>
    <w:rsid w:val="007E39B4"/>
    <w:rsid w:val="007E3B0C"/>
    <w:rsid w:val="007E3B3B"/>
    <w:rsid w:val="007E3BBF"/>
    <w:rsid w:val="007E3C01"/>
    <w:rsid w:val="007E3D67"/>
    <w:rsid w:val="007E3DBD"/>
    <w:rsid w:val="007E3E82"/>
    <w:rsid w:val="007E3E9D"/>
    <w:rsid w:val="007E4010"/>
    <w:rsid w:val="007E4045"/>
    <w:rsid w:val="007E4076"/>
    <w:rsid w:val="007E41A6"/>
    <w:rsid w:val="007E4260"/>
    <w:rsid w:val="007E4305"/>
    <w:rsid w:val="007E4319"/>
    <w:rsid w:val="007E4399"/>
    <w:rsid w:val="007E43B6"/>
    <w:rsid w:val="007E43D7"/>
    <w:rsid w:val="007E43F7"/>
    <w:rsid w:val="007E4402"/>
    <w:rsid w:val="007E4668"/>
    <w:rsid w:val="007E46E6"/>
    <w:rsid w:val="007E487B"/>
    <w:rsid w:val="007E49AC"/>
    <w:rsid w:val="007E4AB0"/>
    <w:rsid w:val="007E4C84"/>
    <w:rsid w:val="007E4CF9"/>
    <w:rsid w:val="007E4D33"/>
    <w:rsid w:val="007E4D97"/>
    <w:rsid w:val="007E4E44"/>
    <w:rsid w:val="007E4FF7"/>
    <w:rsid w:val="007E533E"/>
    <w:rsid w:val="007E58E4"/>
    <w:rsid w:val="007E59B5"/>
    <w:rsid w:val="007E5B95"/>
    <w:rsid w:val="007E5C38"/>
    <w:rsid w:val="007E5CB0"/>
    <w:rsid w:val="007E5CEB"/>
    <w:rsid w:val="007E5DA9"/>
    <w:rsid w:val="007E5F22"/>
    <w:rsid w:val="007E60A8"/>
    <w:rsid w:val="007E60F8"/>
    <w:rsid w:val="007E61D8"/>
    <w:rsid w:val="007E65A9"/>
    <w:rsid w:val="007E66F5"/>
    <w:rsid w:val="007E68D8"/>
    <w:rsid w:val="007E69AA"/>
    <w:rsid w:val="007E6D68"/>
    <w:rsid w:val="007E6D84"/>
    <w:rsid w:val="007E6EF1"/>
    <w:rsid w:val="007E6F3B"/>
    <w:rsid w:val="007E6F65"/>
    <w:rsid w:val="007E7025"/>
    <w:rsid w:val="007E70F8"/>
    <w:rsid w:val="007E718B"/>
    <w:rsid w:val="007E720C"/>
    <w:rsid w:val="007E750F"/>
    <w:rsid w:val="007E755C"/>
    <w:rsid w:val="007E75A5"/>
    <w:rsid w:val="007E76EA"/>
    <w:rsid w:val="007E7865"/>
    <w:rsid w:val="007E7963"/>
    <w:rsid w:val="007E7AFB"/>
    <w:rsid w:val="007E7C40"/>
    <w:rsid w:val="007E7DB5"/>
    <w:rsid w:val="007E7E2B"/>
    <w:rsid w:val="007E7FAF"/>
    <w:rsid w:val="007F0016"/>
    <w:rsid w:val="007F02A1"/>
    <w:rsid w:val="007F02FD"/>
    <w:rsid w:val="007F04A3"/>
    <w:rsid w:val="007F0507"/>
    <w:rsid w:val="007F0667"/>
    <w:rsid w:val="007F0890"/>
    <w:rsid w:val="007F08ED"/>
    <w:rsid w:val="007F092F"/>
    <w:rsid w:val="007F0AE4"/>
    <w:rsid w:val="007F0BB9"/>
    <w:rsid w:val="007F0C98"/>
    <w:rsid w:val="007F0CF7"/>
    <w:rsid w:val="007F0EFA"/>
    <w:rsid w:val="007F0F1D"/>
    <w:rsid w:val="007F0FB0"/>
    <w:rsid w:val="007F104D"/>
    <w:rsid w:val="007F107C"/>
    <w:rsid w:val="007F10E8"/>
    <w:rsid w:val="007F1171"/>
    <w:rsid w:val="007F191D"/>
    <w:rsid w:val="007F1A0E"/>
    <w:rsid w:val="007F1B0A"/>
    <w:rsid w:val="007F1B18"/>
    <w:rsid w:val="007F1B3C"/>
    <w:rsid w:val="007F1CC8"/>
    <w:rsid w:val="007F1D4B"/>
    <w:rsid w:val="007F1F1C"/>
    <w:rsid w:val="007F1F22"/>
    <w:rsid w:val="007F2051"/>
    <w:rsid w:val="007F206C"/>
    <w:rsid w:val="007F219A"/>
    <w:rsid w:val="007F226D"/>
    <w:rsid w:val="007F22C8"/>
    <w:rsid w:val="007F22D3"/>
    <w:rsid w:val="007F22DB"/>
    <w:rsid w:val="007F22F7"/>
    <w:rsid w:val="007F2389"/>
    <w:rsid w:val="007F23AF"/>
    <w:rsid w:val="007F2573"/>
    <w:rsid w:val="007F26FC"/>
    <w:rsid w:val="007F2719"/>
    <w:rsid w:val="007F2766"/>
    <w:rsid w:val="007F286F"/>
    <w:rsid w:val="007F28BC"/>
    <w:rsid w:val="007F2B5E"/>
    <w:rsid w:val="007F2D04"/>
    <w:rsid w:val="007F2DE0"/>
    <w:rsid w:val="007F2F45"/>
    <w:rsid w:val="007F2FC3"/>
    <w:rsid w:val="007F3016"/>
    <w:rsid w:val="007F30C6"/>
    <w:rsid w:val="007F3214"/>
    <w:rsid w:val="007F327C"/>
    <w:rsid w:val="007F32E7"/>
    <w:rsid w:val="007F33DD"/>
    <w:rsid w:val="007F35EF"/>
    <w:rsid w:val="007F3602"/>
    <w:rsid w:val="007F3982"/>
    <w:rsid w:val="007F3B3D"/>
    <w:rsid w:val="007F3C13"/>
    <w:rsid w:val="007F3C2A"/>
    <w:rsid w:val="007F3D38"/>
    <w:rsid w:val="007F3EAF"/>
    <w:rsid w:val="007F3F6E"/>
    <w:rsid w:val="007F4040"/>
    <w:rsid w:val="007F408B"/>
    <w:rsid w:val="007F40DA"/>
    <w:rsid w:val="007F444D"/>
    <w:rsid w:val="007F44D3"/>
    <w:rsid w:val="007F4775"/>
    <w:rsid w:val="007F4867"/>
    <w:rsid w:val="007F4BB0"/>
    <w:rsid w:val="007F4F66"/>
    <w:rsid w:val="007F5009"/>
    <w:rsid w:val="007F504E"/>
    <w:rsid w:val="007F5100"/>
    <w:rsid w:val="007F526D"/>
    <w:rsid w:val="007F546B"/>
    <w:rsid w:val="007F5736"/>
    <w:rsid w:val="007F5791"/>
    <w:rsid w:val="007F5883"/>
    <w:rsid w:val="007F59A9"/>
    <w:rsid w:val="007F59C4"/>
    <w:rsid w:val="007F5A5A"/>
    <w:rsid w:val="007F62B3"/>
    <w:rsid w:val="007F64FB"/>
    <w:rsid w:val="007F65CC"/>
    <w:rsid w:val="007F677D"/>
    <w:rsid w:val="007F67E9"/>
    <w:rsid w:val="007F696F"/>
    <w:rsid w:val="007F6A1F"/>
    <w:rsid w:val="007F6A3D"/>
    <w:rsid w:val="007F6CCC"/>
    <w:rsid w:val="007F6D59"/>
    <w:rsid w:val="007F6F07"/>
    <w:rsid w:val="007F6FFB"/>
    <w:rsid w:val="007F7184"/>
    <w:rsid w:val="007F7259"/>
    <w:rsid w:val="007F72A1"/>
    <w:rsid w:val="007F732A"/>
    <w:rsid w:val="007F7388"/>
    <w:rsid w:val="007F7429"/>
    <w:rsid w:val="007F74AF"/>
    <w:rsid w:val="007F754E"/>
    <w:rsid w:val="007F755E"/>
    <w:rsid w:val="007F75DB"/>
    <w:rsid w:val="007F774C"/>
    <w:rsid w:val="007F7785"/>
    <w:rsid w:val="007F77B3"/>
    <w:rsid w:val="007F792F"/>
    <w:rsid w:val="007F79F4"/>
    <w:rsid w:val="007F7A16"/>
    <w:rsid w:val="007F7BBD"/>
    <w:rsid w:val="007F7C53"/>
    <w:rsid w:val="007F7C7B"/>
    <w:rsid w:val="007F7DD7"/>
    <w:rsid w:val="007F7E81"/>
    <w:rsid w:val="007F7ED2"/>
    <w:rsid w:val="0080012D"/>
    <w:rsid w:val="0080016C"/>
    <w:rsid w:val="00800181"/>
    <w:rsid w:val="008001F9"/>
    <w:rsid w:val="008002B5"/>
    <w:rsid w:val="00800587"/>
    <w:rsid w:val="0080061D"/>
    <w:rsid w:val="0080061F"/>
    <w:rsid w:val="008006C8"/>
    <w:rsid w:val="00800A4F"/>
    <w:rsid w:val="00800B3E"/>
    <w:rsid w:val="00800BC2"/>
    <w:rsid w:val="00800C13"/>
    <w:rsid w:val="00800C30"/>
    <w:rsid w:val="00800C9E"/>
    <w:rsid w:val="00800DB1"/>
    <w:rsid w:val="00800DB7"/>
    <w:rsid w:val="00800DE4"/>
    <w:rsid w:val="00800ED1"/>
    <w:rsid w:val="008012D6"/>
    <w:rsid w:val="00801418"/>
    <w:rsid w:val="0080147B"/>
    <w:rsid w:val="0080178E"/>
    <w:rsid w:val="0080181A"/>
    <w:rsid w:val="00801832"/>
    <w:rsid w:val="00801989"/>
    <w:rsid w:val="008019E7"/>
    <w:rsid w:val="00801E4E"/>
    <w:rsid w:val="00802049"/>
    <w:rsid w:val="0080207C"/>
    <w:rsid w:val="008020B7"/>
    <w:rsid w:val="00802252"/>
    <w:rsid w:val="008022C8"/>
    <w:rsid w:val="00802501"/>
    <w:rsid w:val="0080286A"/>
    <w:rsid w:val="008028A6"/>
    <w:rsid w:val="0080294E"/>
    <w:rsid w:val="00802AFA"/>
    <w:rsid w:val="00802B98"/>
    <w:rsid w:val="00802BB0"/>
    <w:rsid w:val="00802E9B"/>
    <w:rsid w:val="00802EA4"/>
    <w:rsid w:val="00802EFF"/>
    <w:rsid w:val="00803243"/>
    <w:rsid w:val="008032BB"/>
    <w:rsid w:val="008032F1"/>
    <w:rsid w:val="0080336E"/>
    <w:rsid w:val="00803499"/>
    <w:rsid w:val="008035EC"/>
    <w:rsid w:val="00803628"/>
    <w:rsid w:val="00803842"/>
    <w:rsid w:val="00803873"/>
    <w:rsid w:val="008038BB"/>
    <w:rsid w:val="008038E0"/>
    <w:rsid w:val="00803A55"/>
    <w:rsid w:val="00803B95"/>
    <w:rsid w:val="00803C00"/>
    <w:rsid w:val="00803C76"/>
    <w:rsid w:val="00803CED"/>
    <w:rsid w:val="00803E4E"/>
    <w:rsid w:val="00803F8D"/>
    <w:rsid w:val="008040A2"/>
    <w:rsid w:val="008040A3"/>
    <w:rsid w:val="008043A1"/>
    <w:rsid w:val="008044F9"/>
    <w:rsid w:val="00804632"/>
    <w:rsid w:val="00804633"/>
    <w:rsid w:val="00804776"/>
    <w:rsid w:val="00804AD0"/>
    <w:rsid w:val="00804B89"/>
    <w:rsid w:val="00804C97"/>
    <w:rsid w:val="00804E84"/>
    <w:rsid w:val="00804F44"/>
    <w:rsid w:val="0080502D"/>
    <w:rsid w:val="00805105"/>
    <w:rsid w:val="0080518A"/>
    <w:rsid w:val="00805215"/>
    <w:rsid w:val="00805260"/>
    <w:rsid w:val="008054CA"/>
    <w:rsid w:val="008054D9"/>
    <w:rsid w:val="008056DC"/>
    <w:rsid w:val="008059AE"/>
    <w:rsid w:val="00805BC1"/>
    <w:rsid w:val="00805C8B"/>
    <w:rsid w:val="00805D9C"/>
    <w:rsid w:val="00805E43"/>
    <w:rsid w:val="00805F55"/>
    <w:rsid w:val="0080604D"/>
    <w:rsid w:val="008060AD"/>
    <w:rsid w:val="00806191"/>
    <w:rsid w:val="008062C6"/>
    <w:rsid w:val="0080664E"/>
    <w:rsid w:val="00806688"/>
    <w:rsid w:val="0080671E"/>
    <w:rsid w:val="008067EC"/>
    <w:rsid w:val="008067F0"/>
    <w:rsid w:val="00806853"/>
    <w:rsid w:val="00806870"/>
    <w:rsid w:val="00806987"/>
    <w:rsid w:val="00806A42"/>
    <w:rsid w:val="00806AD5"/>
    <w:rsid w:val="00806BB5"/>
    <w:rsid w:val="00806D39"/>
    <w:rsid w:val="00806D4D"/>
    <w:rsid w:val="008070D9"/>
    <w:rsid w:val="008075C7"/>
    <w:rsid w:val="008076A4"/>
    <w:rsid w:val="00807764"/>
    <w:rsid w:val="008077DC"/>
    <w:rsid w:val="0080784E"/>
    <w:rsid w:val="0080792B"/>
    <w:rsid w:val="00807A3E"/>
    <w:rsid w:val="00807CA5"/>
    <w:rsid w:val="00807EF5"/>
    <w:rsid w:val="00807F61"/>
    <w:rsid w:val="0081012B"/>
    <w:rsid w:val="00810160"/>
    <w:rsid w:val="00810295"/>
    <w:rsid w:val="008102E8"/>
    <w:rsid w:val="00810338"/>
    <w:rsid w:val="008104A4"/>
    <w:rsid w:val="00810554"/>
    <w:rsid w:val="00810614"/>
    <w:rsid w:val="0081067A"/>
    <w:rsid w:val="00810743"/>
    <w:rsid w:val="0081089E"/>
    <w:rsid w:val="008109A3"/>
    <w:rsid w:val="00810AC6"/>
    <w:rsid w:val="00810B2C"/>
    <w:rsid w:val="00810D59"/>
    <w:rsid w:val="0081125D"/>
    <w:rsid w:val="00811388"/>
    <w:rsid w:val="008113E1"/>
    <w:rsid w:val="008114E7"/>
    <w:rsid w:val="008115F2"/>
    <w:rsid w:val="0081164B"/>
    <w:rsid w:val="008117B8"/>
    <w:rsid w:val="008117FD"/>
    <w:rsid w:val="00811BBC"/>
    <w:rsid w:val="00811E95"/>
    <w:rsid w:val="008120E5"/>
    <w:rsid w:val="008121C0"/>
    <w:rsid w:val="00812282"/>
    <w:rsid w:val="008122D4"/>
    <w:rsid w:val="0081239E"/>
    <w:rsid w:val="0081248B"/>
    <w:rsid w:val="008124DC"/>
    <w:rsid w:val="00812601"/>
    <w:rsid w:val="0081262A"/>
    <w:rsid w:val="008126D8"/>
    <w:rsid w:val="008128D2"/>
    <w:rsid w:val="00812938"/>
    <w:rsid w:val="00812B0F"/>
    <w:rsid w:val="00812B25"/>
    <w:rsid w:val="00812C49"/>
    <w:rsid w:val="00812EB4"/>
    <w:rsid w:val="00812EEE"/>
    <w:rsid w:val="0081305C"/>
    <w:rsid w:val="008130ED"/>
    <w:rsid w:val="008133BD"/>
    <w:rsid w:val="0081346A"/>
    <w:rsid w:val="008134A8"/>
    <w:rsid w:val="008135AD"/>
    <w:rsid w:val="008135C7"/>
    <w:rsid w:val="00813725"/>
    <w:rsid w:val="0081376E"/>
    <w:rsid w:val="00813864"/>
    <w:rsid w:val="00813896"/>
    <w:rsid w:val="00813A50"/>
    <w:rsid w:val="00813B8B"/>
    <w:rsid w:val="00813CB9"/>
    <w:rsid w:val="00813E94"/>
    <w:rsid w:val="00813EB7"/>
    <w:rsid w:val="00813F0F"/>
    <w:rsid w:val="00813F1B"/>
    <w:rsid w:val="0081422F"/>
    <w:rsid w:val="00814301"/>
    <w:rsid w:val="00814532"/>
    <w:rsid w:val="00814555"/>
    <w:rsid w:val="00814561"/>
    <w:rsid w:val="008145EB"/>
    <w:rsid w:val="008148E4"/>
    <w:rsid w:val="00814AD2"/>
    <w:rsid w:val="00814B67"/>
    <w:rsid w:val="00814D83"/>
    <w:rsid w:val="00815214"/>
    <w:rsid w:val="008153FD"/>
    <w:rsid w:val="008153FF"/>
    <w:rsid w:val="008154FD"/>
    <w:rsid w:val="008155D6"/>
    <w:rsid w:val="0081578A"/>
    <w:rsid w:val="008157F1"/>
    <w:rsid w:val="008158A6"/>
    <w:rsid w:val="00815B13"/>
    <w:rsid w:val="00815B57"/>
    <w:rsid w:val="00815C0C"/>
    <w:rsid w:val="00815C33"/>
    <w:rsid w:val="00815C3A"/>
    <w:rsid w:val="00815C71"/>
    <w:rsid w:val="00815C80"/>
    <w:rsid w:val="00815C9F"/>
    <w:rsid w:val="00815CE4"/>
    <w:rsid w:val="00815D90"/>
    <w:rsid w:val="00815E84"/>
    <w:rsid w:val="00815FAB"/>
    <w:rsid w:val="00816082"/>
    <w:rsid w:val="00816118"/>
    <w:rsid w:val="00816122"/>
    <w:rsid w:val="00816245"/>
    <w:rsid w:val="008163DB"/>
    <w:rsid w:val="00816409"/>
    <w:rsid w:val="008164D3"/>
    <w:rsid w:val="00816795"/>
    <w:rsid w:val="008167A8"/>
    <w:rsid w:val="008167DF"/>
    <w:rsid w:val="00816946"/>
    <w:rsid w:val="00816A15"/>
    <w:rsid w:val="00816B11"/>
    <w:rsid w:val="00816D95"/>
    <w:rsid w:val="00816E83"/>
    <w:rsid w:val="00816EC2"/>
    <w:rsid w:val="00816FD1"/>
    <w:rsid w:val="00817064"/>
    <w:rsid w:val="008171D6"/>
    <w:rsid w:val="00817369"/>
    <w:rsid w:val="008173DA"/>
    <w:rsid w:val="0081750B"/>
    <w:rsid w:val="00817644"/>
    <w:rsid w:val="00817C59"/>
    <w:rsid w:val="00817E1D"/>
    <w:rsid w:val="008200ED"/>
    <w:rsid w:val="00820110"/>
    <w:rsid w:val="008201B6"/>
    <w:rsid w:val="00820594"/>
    <w:rsid w:val="008205B9"/>
    <w:rsid w:val="008207DB"/>
    <w:rsid w:val="0082092C"/>
    <w:rsid w:val="00820B82"/>
    <w:rsid w:val="00820C51"/>
    <w:rsid w:val="00820C5B"/>
    <w:rsid w:val="00820DAA"/>
    <w:rsid w:val="00820FBE"/>
    <w:rsid w:val="00820FD1"/>
    <w:rsid w:val="008210E2"/>
    <w:rsid w:val="0082117E"/>
    <w:rsid w:val="008211C3"/>
    <w:rsid w:val="008212F8"/>
    <w:rsid w:val="008213CA"/>
    <w:rsid w:val="00821477"/>
    <w:rsid w:val="0082160D"/>
    <w:rsid w:val="00821715"/>
    <w:rsid w:val="008219B2"/>
    <w:rsid w:val="00821A23"/>
    <w:rsid w:val="00821A28"/>
    <w:rsid w:val="00821BF4"/>
    <w:rsid w:val="00821C44"/>
    <w:rsid w:val="00821CAC"/>
    <w:rsid w:val="00821D79"/>
    <w:rsid w:val="00821D96"/>
    <w:rsid w:val="00822278"/>
    <w:rsid w:val="00822315"/>
    <w:rsid w:val="0082232A"/>
    <w:rsid w:val="00822437"/>
    <w:rsid w:val="00822551"/>
    <w:rsid w:val="0082263A"/>
    <w:rsid w:val="008226D5"/>
    <w:rsid w:val="008227A3"/>
    <w:rsid w:val="0082289A"/>
    <w:rsid w:val="008228CD"/>
    <w:rsid w:val="0082292F"/>
    <w:rsid w:val="00822999"/>
    <w:rsid w:val="008229F4"/>
    <w:rsid w:val="00822B7D"/>
    <w:rsid w:val="00822C0D"/>
    <w:rsid w:val="00822F30"/>
    <w:rsid w:val="0082326B"/>
    <w:rsid w:val="008232CE"/>
    <w:rsid w:val="008232D3"/>
    <w:rsid w:val="00823329"/>
    <w:rsid w:val="0082332F"/>
    <w:rsid w:val="008236E1"/>
    <w:rsid w:val="0082374A"/>
    <w:rsid w:val="0082379B"/>
    <w:rsid w:val="00823825"/>
    <w:rsid w:val="0082389C"/>
    <w:rsid w:val="008238FF"/>
    <w:rsid w:val="00823C0E"/>
    <w:rsid w:val="00823C23"/>
    <w:rsid w:val="00823C97"/>
    <w:rsid w:val="00823D0B"/>
    <w:rsid w:val="00823E7C"/>
    <w:rsid w:val="00823EA9"/>
    <w:rsid w:val="00823FE2"/>
    <w:rsid w:val="00824027"/>
    <w:rsid w:val="008241AE"/>
    <w:rsid w:val="00824458"/>
    <w:rsid w:val="00824621"/>
    <w:rsid w:val="00824760"/>
    <w:rsid w:val="008248DC"/>
    <w:rsid w:val="0082496E"/>
    <w:rsid w:val="008249DC"/>
    <w:rsid w:val="008249F7"/>
    <w:rsid w:val="008249FB"/>
    <w:rsid w:val="00824B74"/>
    <w:rsid w:val="00824C46"/>
    <w:rsid w:val="00824D3E"/>
    <w:rsid w:val="00824DEE"/>
    <w:rsid w:val="00825003"/>
    <w:rsid w:val="00825127"/>
    <w:rsid w:val="008251DA"/>
    <w:rsid w:val="008252D8"/>
    <w:rsid w:val="00825311"/>
    <w:rsid w:val="00825409"/>
    <w:rsid w:val="008257E7"/>
    <w:rsid w:val="008258B4"/>
    <w:rsid w:val="008259A6"/>
    <w:rsid w:val="00825C3E"/>
    <w:rsid w:val="00825C58"/>
    <w:rsid w:val="00825C72"/>
    <w:rsid w:val="00825D0F"/>
    <w:rsid w:val="00825D75"/>
    <w:rsid w:val="00825DBB"/>
    <w:rsid w:val="00825F9D"/>
    <w:rsid w:val="008261A2"/>
    <w:rsid w:val="008261CC"/>
    <w:rsid w:val="00826281"/>
    <w:rsid w:val="008262AC"/>
    <w:rsid w:val="008263AB"/>
    <w:rsid w:val="00826409"/>
    <w:rsid w:val="00826556"/>
    <w:rsid w:val="008265C4"/>
    <w:rsid w:val="008265EA"/>
    <w:rsid w:val="008267E5"/>
    <w:rsid w:val="0082681D"/>
    <w:rsid w:val="00826834"/>
    <w:rsid w:val="00826945"/>
    <w:rsid w:val="008269AF"/>
    <w:rsid w:val="00826B3A"/>
    <w:rsid w:val="00826B5E"/>
    <w:rsid w:val="00826D2E"/>
    <w:rsid w:val="00826FD8"/>
    <w:rsid w:val="00827027"/>
    <w:rsid w:val="00827076"/>
    <w:rsid w:val="00827198"/>
    <w:rsid w:val="00827274"/>
    <w:rsid w:val="0082767A"/>
    <w:rsid w:val="00827833"/>
    <w:rsid w:val="00827A87"/>
    <w:rsid w:val="00827AE6"/>
    <w:rsid w:val="00827C15"/>
    <w:rsid w:val="00827C4D"/>
    <w:rsid w:val="00827D00"/>
    <w:rsid w:val="00827D3D"/>
    <w:rsid w:val="00827DD7"/>
    <w:rsid w:val="00827DF7"/>
    <w:rsid w:val="008300FF"/>
    <w:rsid w:val="00830172"/>
    <w:rsid w:val="0083020B"/>
    <w:rsid w:val="00830433"/>
    <w:rsid w:val="00830597"/>
    <w:rsid w:val="00830629"/>
    <w:rsid w:val="00830B85"/>
    <w:rsid w:val="00830D11"/>
    <w:rsid w:val="00830E25"/>
    <w:rsid w:val="00830F44"/>
    <w:rsid w:val="0083113A"/>
    <w:rsid w:val="0083121A"/>
    <w:rsid w:val="008312A9"/>
    <w:rsid w:val="008314D3"/>
    <w:rsid w:val="008314EA"/>
    <w:rsid w:val="0083153E"/>
    <w:rsid w:val="008317A1"/>
    <w:rsid w:val="008317E9"/>
    <w:rsid w:val="008318F0"/>
    <w:rsid w:val="00831931"/>
    <w:rsid w:val="00831977"/>
    <w:rsid w:val="00831A66"/>
    <w:rsid w:val="00831AD3"/>
    <w:rsid w:val="00831B9E"/>
    <w:rsid w:val="00831FBB"/>
    <w:rsid w:val="00832037"/>
    <w:rsid w:val="008321EE"/>
    <w:rsid w:val="00832352"/>
    <w:rsid w:val="008323A1"/>
    <w:rsid w:val="00832667"/>
    <w:rsid w:val="00832A89"/>
    <w:rsid w:val="00832C17"/>
    <w:rsid w:val="00832D3F"/>
    <w:rsid w:val="00832E06"/>
    <w:rsid w:val="00832E5A"/>
    <w:rsid w:val="00832FB1"/>
    <w:rsid w:val="00833177"/>
    <w:rsid w:val="00833652"/>
    <w:rsid w:val="0083368B"/>
    <w:rsid w:val="00833A41"/>
    <w:rsid w:val="00833A6F"/>
    <w:rsid w:val="00833B9E"/>
    <w:rsid w:val="00833D1B"/>
    <w:rsid w:val="00833F3B"/>
    <w:rsid w:val="00834085"/>
    <w:rsid w:val="00834142"/>
    <w:rsid w:val="00834177"/>
    <w:rsid w:val="0083432C"/>
    <w:rsid w:val="0083435C"/>
    <w:rsid w:val="0083436D"/>
    <w:rsid w:val="0083449B"/>
    <w:rsid w:val="0083460B"/>
    <w:rsid w:val="0083468E"/>
    <w:rsid w:val="00834706"/>
    <w:rsid w:val="00834784"/>
    <w:rsid w:val="00834802"/>
    <w:rsid w:val="008348A3"/>
    <w:rsid w:val="008348CA"/>
    <w:rsid w:val="00834B0A"/>
    <w:rsid w:val="00834B6A"/>
    <w:rsid w:val="00834BA4"/>
    <w:rsid w:val="00834F97"/>
    <w:rsid w:val="008350C0"/>
    <w:rsid w:val="008350C3"/>
    <w:rsid w:val="0083518A"/>
    <w:rsid w:val="00835371"/>
    <w:rsid w:val="00835390"/>
    <w:rsid w:val="00835438"/>
    <w:rsid w:val="008354C5"/>
    <w:rsid w:val="0083551D"/>
    <w:rsid w:val="00835689"/>
    <w:rsid w:val="008356D1"/>
    <w:rsid w:val="00835765"/>
    <w:rsid w:val="008357ED"/>
    <w:rsid w:val="00835930"/>
    <w:rsid w:val="00835A1E"/>
    <w:rsid w:val="00835A2D"/>
    <w:rsid w:val="00835A77"/>
    <w:rsid w:val="00835BDA"/>
    <w:rsid w:val="00835C12"/>
    <w:rsid w:val="00835CC2"/>
    <w:rsid w:val="00835D38"/>
    <w:rsid w:val="00835D61"/>
    <w:rsid w:val="00835EC9"/>
    <w:rsid w:val="00835FE7"/>
    <w:rsid w:val="0083634A"/>
    <w:rsid w:val="00836532"/>
    <w:rsid w:val="00836689"/>
    <w:rsid w:val="008366CA"/>
    <w:rsid w:val="00836D05"/>
    <w:rsid w:val="00836DB8"/>
    <w:rsid w:val="00836E02"/>
    <w:rsid w:val="00836E86"/>
    <w:rsid w:val="00836EAF"/>
    <w:rsid w:val="00836F9B"/>
    <w:rsid w:val="00837040"/>
    <w:rsid w:val="0083719B"/>
    <w:rsid w:val="008371E0"/>
    <w:rsid w:val="00837304"/>
    <w:rsid w:val="00837348"/>
    <w:rsid w:val="00837688"/>
    <w:rsid w:val="008376B8"/>
    <w:rsid w:val="00837A76"/>
    <w:rsid w:val="00837B43"/>
    <w:rsid w:val="00837C81"/>
    <w:rsid w:val="00840001"/>
    <w:rsid w:val="0084026D"/>
    <w:rsid w:val="008402C1"/>
    <w:rsid w:val="00840501"/>
    <w:rsid w:val="00840529"/>
    <w:rsid w:val="00840642"/>
    <w:rsid w:val="00840991"/>
    <w:rsid w:val="00840A7C"/>
    <w:rsid w:val="00840BAD"/>
    <w:rsid w:val="00840F54"/>
    <w:rsid w:val="0084108D"/>
    <w:rsid w:val="008411E8"/>
    <w:rsid w:val="00841388"/>
    <w:rsid w:val="00841407"/>
    <w:rsid w:val="00841470"/>
    <w:rsid w:val="008414A7"/>
    <w:rsid w:val="008414D3"/>
    <w:rsid w:val="008415CC"/>
    <w:rsid w:val="008418C6"/>
    <w:rsid w:val="00841937"/>
    <w:rsid w:val="00841970"/>
    <w:rsid w:val="008419D5"/>
    <w:rsid w:val="00841DCA"/>
    <w:rsid w:val="00841E2A"/>
    <w:rsid w:val="00841EB6"/>
    <w:rsid w:val="00841EB9"/>
    <w:rsid w:val="00841EFB"/>
    <w:rsid w:val="00841F44"/>
    <w:rsid w:val="00841F8B"/>
    <w:rsid w:val="0084200B"/>
    <w:rsid w:val="00842225"/>
    <w:rsid w:val="008422F0"/>
    <w:rsid w:val="008422F7"/>
    <w:rsid w:val="008423E1"/>
    <w:rsid w:val="00842407"/>
    <w:rsid w:val="0084254B"/>
    <w:rsid w:val="008425FC"/>
    <w:rsid w:val="00842963"/>
    <w:rsid w:val="00842975"/>
    <w:rsid w:val="00842A46"/>
    <w:rsid w:val="00842A95"/>
    <w:rsid w:val="00842C82"/>
    <w:rsid w:val="00842CE5"/>
    <w:rsid w:val="00842D9A"/>
    <w:rsid w:val="00842EE1"/>
    <w:rsid w:val="00842FE2"/>
    <w:rsid w:val="00843084"/>
    <w:rsid w:val="008430BF"/>
    <w:rsid w:val="0084313F"/>
    <w:rsid w:val="008433B2"/>
    <w:rsid w:val="00843549"/>
    <w:rsid w:val="0084366B"/>
    <w:rsid w:val="00843688"/>
    <w:rsid w:val="008436D7"/>
    <w:rsid w:val="0084375B"/>
    <w:rsid w:val="008437C1"/>
    <w:rsid w:val="008437C3"/>
    <w:rsid w:val="00843936"/>
    <w:rsid w:val="00843A22"/>
    <w:rsid w:val="00843A42"/>
    <w:rsid w:val="00843AE0"/>
    <w:rsid w:val="00843DA4"/>
    <w:rsid w:val="00843DA5"/>
    <w:rsid w:val="00843E31"/>
    <w:rsid w:val="00843E9F"/>
    <w:rsid w:val="00843EC1"/>
    <w:rsid w:val="008440FE"/>
    <w:rsid w:val="00844152"/>
    <w:rsid w:val="0084428C"/>
    <w:rsid w:val="0084437F"/>
    <w:rsid w:val="0084440D"/>
    <w:rsid w:val="008444E1"/>
    <w:rsid w:val="008444F3"/>
    <w:rsid w:val="0084453F"/>
    <w:rsid w:val="008446A3"/>
    <w:rsid w:val="008447A0"/>
    <w:rsid w:val="008447D9"/>
    <w:rsid w:val="00844872"/>
    <w:rsid w:val="008448EF"/>
    <w:rsid w:val="00844940"/>
    <w:rsid w:val="00844A16"/>
    <w:rsid w:val="00844A5C"/>
    <w:rsid w:val="00844A81"/>
    <w:rsid w:val="00844BC6"/>
    <w:rsid w:val="00844C57"/>
    <w:rsid w:val="00844C99"/>
    <w:rsid w:val="00844EAD"/>
    <w:rsid w:val="00844F3D"/>
    <w:rsid w:val="00845095"/>
    <w:rsid w:val="00845110"/>
    <w:rsid w:val="00845174"/>
    <w:rsid w:val="00845415"/>
    <w:rsid w:val="008455DA"/>
    <w:rsid w:val="00845666"/>
    <w:rsid w:val="0084567C"/>
    <w:rsid w:val="00845767"/>
    <w:rsid w:val="008457F5"/>
    <w:rsid w:val="008458A5"/>
    <w:rsid w:val="00845A5F"/>
    <w:rsid w:val="00845A84"/>
    <w:rsid w:val="00845B49"/>
    <w:rsid w:val="00845BA1"/>
    <w:rsid w:val="00845C0A"/>
    <w:rsid w:val="00845E37"/>
    <w:rsid w:val="00845F3D"/>
    <w:rsid w:val="00845F9A"/>
    <w:rsid w:val="00846119"/>
    <w:rsid w:val="0084633D"/>
    <w:rsid w:val="00846346"/>
    <w:rsid w:val="008463C6"/>
    <w:rsid w:val="008463F3"/>
    <w:rsid w:val="0084648C"/>
    <w:rsid w:val="008464AC"/>
    <w:rsid w:val="00846501"/>
    <w:rsid w:val="008466E8"/>
    <w:rsid w:val="00846828"/>
    <w:rsid w:val="00846969"/>
    <w:rsid w:val="0084698B"/>
    <w:rsid w:val="00846A88"/>
    <w:rsid w:val="00846AD5"/>
    <w:rsid w:val="00846AE7"/>
    <w:rsid w:val="00846C03"/>
    <w:rsid w:val="00846CC7"/>
    <w:rsid w:val="00846D74"/>
    <w:rsid w:val="00846DD6"/>
    <w:rsid w:val="00846F96"/>
    <w:rsid w:val="00847001"/>
    <w:rsid w:val="00847040"/>
    <w:rsid w:val="008470CC"/>
    <w:rsid w:val="0084715C"/>
    <w:rsid w:val="00847203"/>
    <w:rsid w:val="00847231"/>
    <w:rsid w:val="00847238"/>
    <w:rsid w:val="00847252"/>
    <w:rsid w:val="008472A9"/>
    <w:rsid w:val="0084737B"/>
    <w:rsid w:val="008473B9"/>
    <w:rsid w:val="00847490"/>
    <w:rsid w:val="008474C5"/>
    <w:rsid w:val="008474E3"/>
    <w:rsid w:val="0084767B"/>
    <w:rsid w:val="00847854"/>
    <w:rsid w:val="00847878"/>
    <w:rsid w:val="008478EB"/>
    <w:rsid w:val="008479BE"/>
    <w:rsid w:val="00847A0B"/>
    <w:rsid w:val="00847A8F"/>
    <w:rsid w:val="00847B5A"/>
    <w:rsid w:val="00847B8C"/>
    <w:rsid w:val="00847BCB"/>
    <w:rsid w:val="00847DB4"/>
    <w:rsid w:val="00847E94"/>
    <w:rsid w:val="00847F72"/>
    <w:rsid w:val="00847FFB"/>
    <w:rsid w:val="00847FFE"/>
    <w:rsid w:val="0085006E"/>
    <w:rsid w:val="008500AC"/>
    <w:rsid w:val="00850108"/>
    <w:rsid w:val="008501B1"/>
    <w:rsid w:val="008502B3"/>
    <w:rsid w:val="008502EF"/>
    <w:rsid w:val="00850556"/>
    <w:rsid w:val="0085060B"/>
    <w:rsid w:val="0085065A"/>
    <w:rsid w:val="008506BB"/>
    <w:rsid w:val="00850737"/>
    <w:rsid w:val="0085087A"/>
    <w:rsid w:val="008508F4"/>
    <w:rsid w:val="00850967"/>
    <w:rsid w:val="0085096D"/>
    <w:rsid w:val="00850A62"/>
    <w:rsid w:val="00850B5B"/>
    <w:rsid w:val="00850C99"/>
    <w:rsid w:val="00850CEB"/>
    <w:rsid w:val="00850CED"/>
    <w:rsid w:val="00850D95"/>
    <w:rsid w:val="00850F2B"/>
    <w:rsid w:val="008511C7"/>
    <w:rsid w:val="00851298"/>
    <w:rsid w:val="008512C6"/>
    <w:rsid w:val="00851378"/>
    <w:rsid w:val="00851428"/>
    <w:rsid w:val="0085165D"/>
    <w:rsid w:val="008517E4"/>
    <w:rsid w:val="008518B5"/>
    <w:rsid w:val="00851955"/>
    <w:rsid w:val="00851C17"/>
    <w:rsid w:val="00851D86"/>
    <w:rsid w:val="00851DB6"/>
    <w:rsid w:val="00851E2A"/>
    <w:rsid w:val="00851ECE"/>
    <w:rsid w:val="00851F0C"/>
    <w:rsid w:val="00852076"/>
    <w:rsid w:val="008520D5"/>
    <w:rsid w:val="00852105"/>
    <w:rsid w:val="00852168"/>
    <w:rsid w:val="008521C2"/>
    <w:rsid w:val="008523B1"/>
    <w:rsid w:val="008527ED"/>
    <w:rsid w:val="00852852"/>
    <w:rsid w:val="0085286F"/>
    <w:rsid w:val="00852925"/>
    <w:rsid w:val="00852A4F"/>
    <w:rsid w:val="00852A63"/>
    <w:rsid w:val="00852C40"/>
    <w:rsid w:val="00852CA1"/>
    <w:rsid w:val="00852E44"/>
    <w:rsid w:val="00852F92"/>
    <w:rsid w:val="00853067"/>
    <w:rsid w:val="00853108"/>
    <w:rsid w:val="0085328C"/>
    <w:rsid w:val="008534E1"/>
    <w:rsid w:val="008537F7"/>
    <w:rsid w:val="008538D8"/>
    <w:rsid w:val="00853958"/>
    <w:rsid w:val="0085396B"/>
    <w:rsid w:val="00853AD6"/>
    <w:rsid w:val="00853D47"/>
    <w:rsid w:val="00853DF3"/>
    <w:rsid w:val="008540CA"/>
    <w:rsid w:val="008542A2"/>
    <w:rsid w:val="0085447F"/>
    <w:rsid w:val="00854482"/>
    <w:rsid w:val="008544EF"/>
    <w:rsid w:val="008545BC"/>
    <w:rsid w:val="00854615"/>
    <w:rsid w:val="00854635"/>
    <w:rsid w:val="008546BE"/>
    <w:rsid w:val="008546C9"/>
    <w:rsid w:val="0085471E"/>
    <w:rsid w:val="0085476B"/>
    <w:rsid w:val="008547ED"/>
    <w:rsid w:val="008549A9"/>
    <w:rsid w:val="00854A94"/>
    <w:rsid w:val="00854BD6"/>
    <w:rsid w:val="00854C06"/>
    <w:rsid w:val="00854DCE"/>
    <w:rsid w:val="00854E2D"/>
    <w:rsid w:val="00854EBC"/>
    <w:rsid w:val="00854FD0"/>
    <w:rsid w:val="00854FD6"/>
    <w:rsid w:val="0085503E"/>
    <w:rsid w:val="008550C8"/>
    <w:rsid w:val="00855136"/>
    <w:rsid w:val="008551D1"/>
    <w:rsid w:val="00855233"/>
    <w:rsid w:val="008554B7"/>
    <w:rsid w:val="00855529"/>
    <w:rsid w:val="0085556E"/>
    <w:rsid w:val="0085564F"/>
    <w:rsid w:val="00855870"/>
    <w:rsid w:val="0085589C"/>
    <w:rsid w:val="008558CF"/>
    <w:rsid w:val="00855BC8"/>
    <w:rsid w:val="00855BEA"/>
    <w:rsid w:val="00855C59"/>
    <w:rsid w:val="00855E2F"/>
    <w:rsid w:val="00855EA7"/>
    <w:rsid w:val="00856074"/>
    <w:rsid w:val="00856259"/>
    <w:rsid w:val="0085636F"/>
    <w:rsid w:val="00856794"/>
    <w:rsid w:val="0085689C"/>
    <w:rsid w:val="0085695E"/>
    <w:rsid w:val="00856C0F"/>
    <w:rsid w:val="00856C30"/>
    <w:rsid w:val="00856D81"/>
    <w:rsid w:val="00856E07"/>
    <w:rsid w:val="00856FDF"/>
    <w:rsid w:val="0085700E"/>
    <w:rsid w:val="00857017"/>
    <w:rsid w:val="00857048"/>
    <w:rsid w:val="008570E4"/>
    <w:rsid w:val="00857236"/>
    <w:rsid w:val="00857300"/>
    <w:rsid w:val="00857315"/>
    <w:rsid w:val="0085734F"/>
    <w:rsid w:val="008575D3"/>
    <w:rsid w:val="0085791F"/>
    <w:rsid w:val="00857949"/>
    <w:rsid w:val="0085795C"/>
    <w:rsid w:val="00857A4A"/>
    <w:rsid w:val="00857AE2"/>
    <w:rsid w:val="00857D26"/>
    <w:rsid w:val="00860013"/>
    <w:rsid w:val="0086001A"/>
    <w:rsid w:val="00860221"/>
    <w:rsid w:val="008603B1"/>
    <w:rsid w:val="00860471"/>
    <w:rsid w:val="00860493"/>
    <w:rsid w:val="00860793"/>
    <w:rsid w:val="008608BE"/>
    <w:rsid w:val="00860A13"/>
    <w:rsid w:val="00860AC6"/>
    <w:rsid w:val="00860B50"/>
    <w:rsid w:val="0086115E"/>
    <w:rsid w:val="008613ED"/>
    <w:rsid w:val="008614DA"/>
    <w:rsid w:val="0086165E"/>
    <w:rsid w:val="0086181B"/>
    <w:rsid w:val="008619E8"/>
    <w:rsid w:val="00861ADA"/>
    <w:rsid w:val="00861B63"/>
    <w:rsid w:val="00861BDC"/>
    <w:rsid w:val="00861BFA"/>
    <w:rsid w:val="00861C6F"/>
    <w:rsid w:val="00861E14"/>
    <w:rsid w:val="00861F05"/>
    <w:rsid w:val="0086203A"/>
    <w:rsid w:val="00862402"/>
    <w:rsid w:val="00862571"/>
    <w:rsid w:val="00862594"/>
    <w:rsid w:val="00862630"/>
    <w:rsid w:val="008626BC"/>
    <w:rsid w:val="008627D9"/>
    <w:rsid w:val="0086280E"/>
    <w:rsid w:val="00862860"/>
    <w:rsid w:val="0086296B"/>
    <w:rsid w:val="00862A28"/>
    <w:rsid w:val="00862AE1"/>
    <w:rsid w:val="00862C01"/>
    <w:rsid w:val="00862C0D"/>
    <w:rsid w:val="00862D20"/>
    <w:rsid w:val="00862E19"/>
    <w:rsid w:val="00862EA5"/>
    <w:rsid w:val="00862F1E"/>
    <w:rsid w:val="0086304C"/>
    <w:rsid w:val="0086312C"/>
    <w:rsid w:val="00863316"/>
    <w:rsid w:val="00863471"/>
    <w:rsid w:val="0086354B"/>
    <w:rsid w:val="00863579"/>
    <w:rsid w:val="0086397A"/>
    <w:rsid w:val="00863DA4"/>
    <w:rsid w:val="00863EF5"/>
    <w:rsid w:val="0086400B"/>
    <w:rsid w:val="008640F0"/>
    <w:rsid w:val="00864116"/>
    <w:rsid w:val="008642E0"/>
    <w:rsid w:val="008645F8"/>
    <w:rsid w:val="008647FA"/>
    <w:rsid w:val="0086491F"/>
    <w:rsid w:val="00864BB5"/>
    <w:rsid w:val="00864C66"/>
    <w:rsid w:val="00864E01"/>
    <w:rsid w:val="00864E71"/>
    <w:rsid w:val="00864F78"/>
    <w:rsid w:val="0086500A"/>
    <w:rsid w:val="00865018"/>
    <w:rsid w:val="0086503C"/>
    <w:rsid w:val="00865208"/>
    <w:rsid w:val="00865395"/>
    <w:rsid w:val="00865491"/>
    <w:rsid w:val="008654B0"/>
    <w:rsid w:val="0086562E"/>
    <w:rsid w:val="0086563C"/>
    <w:rsid w:val="00865956"/>
    <w:rsid w:val="00865C77"/>
    <w:rsid w:val="00865D6E"/>
    <w:rsid w:val="00865DA2"/>
    <w:rsid w:val="00865E35"/>
    <w:rsid w:val="00865FF2"/>
    <w:rsid w:val="008661B8"/>
    <w:rsid w:val="00866243"/>
    <w:rsid w:val="008666D2"/>
    <w:rsid w:val="00866832"/>
    <w:rsid w:val="008669A7"/>
    <w:rsid w:val="00866BFE"/>
    <w:rsid w:val="00866C1D"/>
    <w:rsid w:val="00866E0C"/>
    <w:rsid w:val="00866EB5"/>
    <w:rsid w:val="008670E4"/>
    <w:rsid w:val="00867295"/>
    <w:rsid w:val="0086730F"/>
    <w:rsid w:val="00867384"/>
    <w:rsid w:val="0086752D"/>
    <w:rsid w:val="008677C4"/>
    <w:rsid w:val="00867A91"/>
    <w:rsid w:val="00867D21"/>
    <w:rsid w:val="00867D37"/>
    <w:rsid w:val="00867D62"/>
    <w:rsid w:val="00867F5D"/>
    <w:rsid w:val="00870083"/>
    <w:rsid w:val="008700FD"/>
    <w:rsid w:val="008703BD"/>
    <w:rsid w:val="0087042D"/>
    <w:rsid w:val="008704C3"/>
    <w:rsid w:val="008705E6"/>
    <w:rsid w:val="00870642"/>
    <w:rsid w:val="008706B7"/>
    <w:rsid w:val="00870735"/>
    <w:rsid w:val="00870862"/>
    <w:rsid w:val="0087088A"/>
    <w:rsid w:val="00870A9C"/>
    <w:rsid w:val="00870B95"/>
    <w:rsid w:val="00870CF1"/>
    <w:rsid w:val="00870DFE"/>
    <w:rsid w:val="00870E74"/>
    <w:rsid w:val="00870F90"/>
    <w:rsid w:val="00870FB8"/>
    <w:rsid w:val="008713CB"/>
    <w:rsid w:val="008714C5"/>
    <w:rsid w:val="008714CC"/>
    <w:rsid w:val="0087157F"/>
    <w:rsid w:val="00871980"/>
    <w:rsid w:val="0087199C"/>
    <w:rsid w:val="008719C2"/>
    <w:rsid w:val="00871AF8"/>
    <w:rsid w:val="00871CF8"/>
    <w:rsid w:val="00871D1F"/>
    <w:rsid w:val="00871E34"/>
    <w:rsid w:val="00871FF3"/>
    <w:rsid w:val="00872004"/>
    <w:rsid w:val="0087206E"/>
    <w:rsid w:val="00872259"/>
    <w:rsid w:val="008723D2"/>
    <w:rsid w:val="008723EB"/>
    <w:rsid w:val="00872416"/>
    <w:rsid w:val="00872608"/>
    <w:rsid w:val="0087277A"/>
    <w:rsid w:val="008728A6"/>
    <w:rsid w:val="008728AA"/>
    <w:rsid w:val="0087292F"/>
    <w:rsid w:val="00872A47"/>
    <w:rsid w:val="00872BAF"/>
    <w:rsid w:val="00872BB2"/>
    <w:rsid w:val="00872E32"/>
    <w:rsid w:val="00872F45"/>
    <w:rsid w:val="00872FE7"/>
    <w:rsid w:val="008731DC"/>
    <w:rsid w:val="0087332D"/>
    <w:rsid w:val="0087361B"/>
    <w:rsid w:val="00873638"/>
    <w:rsid w:val="008736E2"/>
    <w:rsid w:val="008737B4"/>
    <w:rsid w:val="008737EB"/>
    <w:rsid w:val="00873854"/>
    <w:rsid w:val="00873857"/>
    <w:rsid w:val="0087399B"/>
    <w:rsid w:val="008739E1"/>
    <w:rsid w:val="008739FA"/>
    <w:rsid w:val="00873D83"/>
    <w:rsid w:val="00873DC6"/>
    <w:rsid w:val="00873F56"/>
    <w:rsid w:val="008742BF"/>
    <w:rsid w:val="008742C3"/>
    <w:rsid w:val="00874424"/>
    <w:rsid w:val="00874439"/>
    <w:rsid w:val="008744A6"/>
    <w:rsid w:val="00874565"/>
    <w:rsid w:val="0087458B"/>
    <w:rsid w:val="0087465B"/>
    <w:rsid w:val="00874699"/>
    <w:rsid w:val="008746A9"/>
    <w:rsid w:val="008746BB"/>
    <w:rsid w:val="008747CF"/>
    <w:rsid w:val="008747EA"/>
    <w:rsid w:val="00874958"/>
    <w:rsid w:val="008749A3"/>
    <w:rsid w:val="008749DD"/>
    <w:rsid w:val="00874A3C"/>
    <w:rsid w:val="00874B4F"/>
    <w:rsid w:val="00874BD7"/>
    <w:rsid w:val="00874D11"/>
    <w:rsid w:val="00874EAA"/>
    <w:rsid w:val="00874EE2"/>
    <w:rsid w:val="008751DF"/>
    <w:rsid w:val="00875259"/>
    <w:rsid w:val="0087532B"/>
    <w:rsid w:val="008754DD"/>
    <w:rsid w:val="008757FC"/>
    <w:rsid w:val="0087583C"/>
    <w:rsid w:val="00875945"/>
    <w:rsid w:val="0087599A"/>
    <w:rsid w:val="008759E6"/>
    <w:rsid w:val="008759EB"/>
    <w:rsid w:val="00875BA5"/>
    <w:rsid w:val="00875ED7"/>
    <w:rsid w:val="00876116"/>
    <w:rsid w:val="00876194"/>
    <w:rsid w:val="008761B4"/>
    <w:rsid w:val="00876403"/>
    <w:rsid w:val="008764A6"/>
    <w:rsid w:val="00876666"/>
    <w:rsid w:val="0087668B"/>
    <w:rsid w:val="0087673A"/>
    <w:rsid w:val="008767C6"/>
    <w:rsid w:val="00876A0B"/>
    <w:rsid w:val="00876A1D"/>
    <w:rsid w:val="00876BB6"/>
    <w:rsid w:val="00876BBA"/>
    <w:rsid w:val="00876C91"/>
    <w:rsid w:val="00876DB7"/>
    <w:rsid w:val="00876FC2"/>
    <w:rsid w:val="00877053"/>
    <w:rsid w:val="008770A5"/>
    <w:rsid w:val="0087715F"/>
    <w:rsid w:val="00877247"/>
    <w:rsid w:val="008773AF"/>
    <w:rsid w:val="0087762C"/>
    <w:rsid w:val="00877888"/>
    <w:rsid w:val="008778CF"/>
    <w:rsid w:val="0087799E"/>
    <w:rsid w:val="008779C0"/>
    <w:rsid w:val="00877C89"/>
    <w:rsid w:val="00877E3D"/>
    <w:rsid w:val="00877EEE"/>
    <w:rsid w:val="00880030"/>
    <w:rsid w:val="0088008D"/>
    <w:rsid w:val="008800B7"/>
    <w:rsid w:val="0088013D"/>
    <w:rsid w:val="008801AE"/>
    <w:rsid w:val="008801E4"/>
    <w:rsid w:val="00880329"/>
    <w:rsid w:val="00880360"/>
    <w:rsid w:val="008804FB"/>
    <w:rsid w:val="008805D6"/>
    <w:rsid w:val="00880745"/>
    <w:rsid w:val="008808E3"/>
    <w:rsid w:val="00880A39"/>
    <w:rsid w:val="00880AA3"/>
    <w:rsid w:val="00880AEE"/>
    <w:rsid w:val="00880CF5"/>
    <w:rsid w:val="00880E23"/>
    <w:rsid w:val="00880EC1"/>
    <w:rsid w:val="00880F3E"/>
    <w:rsid w:val="00880FAD"/>
    <w:rsid w:val="00880FBE"/>
    <w:rsid w:val="00881060"/>
    <w:rsid w:val="0088124E"/>
    <w:rsid w:val="00881335"/>
    <w:rsid w:val="0088134B"/>
    <w:rsid w:val="00881487"/>
    <w:rsid w:val="008815F2"/>
    <w:rsid w:val="0088167A"/>
    <w:rsid w:val="00881703"/>
    <w:rsid w:val="0088175D"/>
    <w:rsid w:val="00881A17"/>
    <w:rsid w:val="00881D4F"/>
    <w:rsid w:val="00881D96"/>
    <w:rsid w:val="00881EBA"/>
    <w:rsid w:val="00881EC3"/>
    <w:rsid w:val="00882041"/>
    <w:rsid w:val="0088206C"/>
    <w:rsid w:val="008820AF"/>
    <w:rsid w:val="008821FC"/>
    <w:rsid w:val="00882413"/>
    <w:rsid w:val="0088242D"/>
    <w:rsid w:val="00882572"/>
    <w:rsid w:val="0088259B"/>
    <w:rsid w:val="00882698"/>
    <w:rsid w:val="008828BD"/>
    <w:rsid w:val="00882915"/>
    <w:rsid w:val="00882A56"/>
    <w:rsid w:val="00882BEC"/>
    <w:rsid w:val="00882FF3"/>
    <w:rsid w:val="0088304A"/>
    <w:rsid w:val="0088312E"/>
    <w:rsid w:val="008831AE"/>
    <w:rsid w:val="0088352A"/>
    <w:rsid w:val="00883535"/>
    <w:rsid w:val="0088360B"/>
    <w:rsid w:val="008836BA"/>
    <w:rsid w:val="008837E2"/>
    <w:rsid w:val="0088383F"/>
    <w:rsid w:val="008838B7"/>
    <w:rsid w:val="00883972"/>
    <w:rsid w:val="00883BCC"/>
    <w:rsid w:val="00883E02"/>
    <w:rsid w:val="00883E07"/>
    <w:rsid w:val="00883F29"/>
    <w:rsid w:val="00883F98"/>
    <w:rsid w:val="00883FB8"/>
    <w:rsid w:val="0088404B"/>
    <w:rsid w:val="008841F9"/>
    <w:rsid w:val="0088421C"/>
    <w:rsid w:val="008843CF"/>
    <w:rsid w:val="0088445B"/>
    <w:rsid w:val="008845BB"/>
    <w:rsid w:val="00884688"/>
    <w:rsid w:val="008846D5"/>
    <w:rsid w:val="00884830"/>
    <w:rsid w:val="00884916"/>
    <w:rsid w:val="00884940"/>
    <w:rsid w:val="008849A1"/>
    <w:rsid w:val="00884F6B"/>
    <w:rsid w:val="00885050"/>
    <w:rsid w:val="008854E2"/>
    <w:rsid w:val="00885597"/>
    <w:rsid w:val="00885AAD"/>
    <w:rsid w:val="00885B5F"/>
    <w:rsid w:val="00885BF3"/>
    <w:rsid w:val="00885C2F"/>
    <w:rsid w:val="00885C76"/>
    <w:rsid w:val="00885F0A"/>
    <w:rsid w:val="00885FA2"/>
    <w:rsid w:val="0088600E"/>
    <w:rsid w:val="00886118"/>
    <w:rsid w:val="0088613B"/>
    <w:rsid w:val="008861A9"/>
    <w:rsid w:val="008863C4"/>
    <w:rsid w:val="008865F7"/>
    <w:rsid w:val="008866D3"/>
    <w:rsid w:val="00886733"/>
    <w:rsid w:val="00886777"/>
    <w:rsid w:val="008868E1"/>
    <w:rsid w:val="00886B2E"/>
    <w:rsid w:val="00886BD4"/>
    <w:rsid w:val="00886D62"/>
    <w:rsid w:val="00886DB8"/>
    <w:rsid w:val="00886FB5"/>
    <w:rsid w:val="0088714B"/>
    <w:rsid w:val="00887394"/>
    <w:rsid w:val="00887511"/>
    <w:rsid w:val="00887577"/>
    <w:rsid w:val="008875A7"/>
    <w:rsid w:val="00887649"/>
    <w:rsid w:val="00887977"/>
    <w:rsid w:val="00887984"/>
    <w:rsid w:val="008879B0"/>
    <w:rsid w:val="00887ACE"/>
    <w:rsid w:val="00887B08"/>
    <w:rsid w:val="00887BC1"/>
    <w:rsid w:val="00887CDB"/>
    <w:rsid w:val="00887CFF"/>
    <w:rsid w:val="00887DA8"/>
    <w:rsid w:val="00887F97"/>
    <w:rsid w:val="00890004"/>
    <w:rsid w:val="0089017F"/>
    <w:rsid w:val="008901A3"/>
    <w:rsid w:val="008904E4"/>
    <w:rsid w:val="0089073C"/>
    <w:rsid w:val="008907D8"/>
    <w:rsid w:val="00890810"/>
    <w:rsid w:val="00890941"/>
    <w:rsid w:val="0089099A"/>
    <w:rsid w:val="00890A88"/>
    <w:rsid w:val="00890AC5"/>
    <w:rsid w:val="00890AF7"/>
    <w:rsid w:val="00890C06"/>
    <w:rsid w:val="00890D29"/>
    <w:rsid w:val="00890D7C"/>
    <w:rsid w:val="00890E25"/>
    <w:rsid w:val="00890EFB"/>
    <w:rsid w:val="00890F11"/>
    <w:rsid w:val="00890F87"/>
    <w:rsid w:val="00891087"/>
    <w:rsid w:val="0089114A"/>
    <w:rsid w:val="008911CD"/>
    <w:rsid w:val="008912AB"/>
    <w:rsid w:val="008914DC"/>
    <w:rsid w:val="008915CB"/>
    <w:rsid w:val="00891632"/>
    <w:rsid w:val="00891720"/>
    <w:rsid w:val="008917EB"/>
    <w:rsid w:val="008918A5"/>
    <w:rsid w:val="00891A36"/>
    <w:rsid w:val="00891AE8"/>
    <w:rsid w:val="00891AF6"/>
    <w:rsid w:val="00891B0C"/>
    <w:rsid w:val="00891BC3"/>
    <w:rsid w:val="00891C83"/>
    <w:rsid w:val="00891D56"/>
    <w:rsid w:val="00891D96"/>
    <w:rsid w:val="00891DB9"/>
    <w:rsid w:val="00891E51"/>
    <w:rsid w:val="0089215C"/>
    <w:rsid w:val="008921E4"/>
    <w:rsid w:val="00892294"/>
    <w:rsid w:val="00892299"/>
    <w:rsid w:val="008922C6"/>
    <w:rsid w:val="00892705"/>
    <w:rsid w:val="0089279A"/>
    <w:rsid w:val="00892820"/>
    <w:rsid w:val="008929D0"/>
    <w:rsid w:val="00892A2D"/>
    <w:rsid w:val="00892C5C"/>
    <w:rsid w:val="00892E29"/>
    <w:rsid w:val="00892FC2"/>
    <w:rsid w:val="008930B1"/>
    <w:rsid w:val="008931FB"/>
    <w:rsid w:val="008932D8"/>
    <w:rsid w:val="00893348"/>
    <w:rsid w:val="008933BC"/>
    <w:rsid w:val="008933CD"/>
    <w:rsid w:val="008935D5"/>
    <w:rsid w:val="008935F6"/>
    <w:rsid w:val="00893669"/>
    <w:rsid w:val="008937C8"/>
    <w:rsid w:val="00893817"/>
    <w:rsid w:val="00893B01"/>
    <w:rsid w:val="00893B5C"/>
    <w:rsid w:val="00893C91"/>
    <w:rsid w:val="00893DE8"/>
    <w:rsid w:val="00893EAA"/>
    <w:rsid w:val="00893ECD"/>
    <w:rsid w:val="008940A1"/>
    <w:rsid w:val="008941F6"/>
    <w:rsid w:val="00894370"/>
    <w:rsid w:val="008943A2"/>
    <w:rsid w:val="0089444C"/>
    <w:rsid w:val="00894473"/>
    <w:rsid w:val="0089458E"/>
    <w:rsid w:val="008945FB"/>
    <w:rsid w:val="0089479B"/>
    <w:rsid w:val="00894AFD"/>
    <w:rsid w:val="00894CA3"/>
    <w:rsid w:val="00894DF4"/>
    <w:rsid w:val="00895184"/>
    <w:rsid w:val="0089544D"/>
    <w:rsid w:val="00895495"/>
    <w:rsid w:val="008954B0"/>
    <w:rsid w:val="0089559E"/>
    <w:rsid w:val="00895699"/>
    <w:rsid w:val="00895805"/>
    <w:rsid w:val="00895B5A"/>
    <w:rsid w:val="00895E17"/>
    <w:rsid w:val="00895F56"/>
    <w:rsid w:val="008960A9"/>
    <w:rsid w:val="00896184"/>
    <w:rsid w:val="008961AA"/>
    <w:rsid w:val="00896235"/>
    <w:rsid w:val="008963F9"/>
    <w:rsid w:val="0089643A"/>
    <w:rsid w:val="00896623"/>
    <w:rsid w:val="008966BE"/>
    <w:rsid w:val="008967C4"/>
    <w:rsid w:val="008967CA"/>
    <w:rsid w:val="008969CF"/>
    <w:rsid w:val="00896BB0"/>
    <w:rsid w:val="00896D0E"/>
    <w:rsid w:val="00896D6D"/>
    <w:rsid w:val="00896DA2"/>
    <w:rsid w:val="00896E06"/>
    <w:rsid w:val="00897198"/>
    <w:rsid w:val="00897298"/>
    <w:rsid w:val="00897490"/>
    <w:rsid w:val="008975C4"/>
    <w:rsid w:val="00897804"/>
    <w:rsid w:val="0089788D"/>
    <w:rsid w:val="008978B5"/>
    <w:rsid w:val="008978C3"/>
    <w:rsid w:val="008978FA"/>
    <w:rsid w:val="00897980"/>
    <w:rsid w:val="00897DBB"/>
    <w:rsid w:val="00897DF8"/>
    <w:rsid w:val="00897E3D"/>
    <w:rsid w:val="00897EF3"/>
    <w:rsid w:val="00897EFF"/>
    <w:rsid w:val="00897F1D"/>
    <w:rsid w:val="008A000A"/>
    <w:rsid w:val="008A015D"/>
    <w:rsid w:val="008A052E"/>
    <w:rsid w:val="008A0579"/>
    <w:rsid w:val="008A08EB"/>
    <w:rsid w:val="008A0B2D"/>
    <w:rsid w:val="008A0B77"/>
    <w:rsid w:val="008A0C05"/>
    <w:rsid w:val="008A0D2A"/>
    <w:rsid w:val="008A0DD5"/>
    <w:rsid w:val="008A0E08"/>
    <w:rsid w:val="008A0FD1"/>
    <w:rsid w:val="008A109E"/>
    <w:rsid w:val="008A1454"/>
    <w:rsid w:val="008A14FF"/>
    <w:rsid w:val="008A1546"/>
    <w:rsid w:val="008A1693"/>
    <w:rsid w:val="008A1773"/>
    <w:rsid w:val="008A181C"/>
    <w:rsid w:val="008A1848"/>
    <w:rsid w:val="008A1945"/>
    <w:rsid w:val="008A1992"/>
    <w:rsid w:val="008A1B6F"/>
    <w:rsid w:val="008A1C24"/>
    <w:rsid w:val="008A1C9C"/>
    <w:rsid w:val="008A1DEB"/>
    <w:rsid w:val="008A1F51"/>
    <w:rsid w:val="008A2112"/>
    <w:rsid w:val="008A2176"/>
    <w:rsid w:val="008A2190"/>
    <w:rsid w:val="008A22E0"/>
    <w:rsid w:val="008A2435"/>
    <w:rsid w:val="008A254F"/>
    <w:rsid w:val="008A256E"/>
    <w:rsid w:val="008A2630"/>
    <w:rsid w:val="008A280A"/>
    <w:rsid w:val="008A28E3"/>
    <w:rsid w:val="008A28F3"/>
    <w:rsid w:val="008A29E9"/>
    <w:rsid w:val="008A2AE6"/>
    <w:rsid w:val="008A2B01"/>
    <w:rsid w:val="008A2C8B"/>
    <w:rsid w:val="008A2CA1"/>
    <w:rsid w:val="008A2DBD"/>
    <w:rsid w:val="008A30F8"/>
    <w:rsid w:val="008A349C"/>
    <w:rsid w:val="008A3569"/>
    <w:rsid w:val="008A3578"/>
    <w:rsid w:val="008A365F"/>
    <w:rsid w:val="008A368C"/>
    <w:rsid w:val="008A36C5"/>
    <w:rsid w:val="008A3736"/>
    <w:rsid w:val="008A387F"/>
    <w:rsid w:val="008A39DD"/>
    <w:rsid w:val="008A3A1A"/>
    <w:rsid w:val="008A3C29"/>
    <w:rsid w:val="008A3C32"/>
    <w:rsid w:val="008A3CA8"/>
    <w:rsid w:val="008A3D02"/>
    <w:rsid w:val="008A3F08"/>
    <w:rsid w:val="008A40AD"/>
    <w:rsid w:val="008A41DA"/>
    <w:rsid w:val="008A42A5"/>
    <w:rsid w:val="008A4369"/>
    <w:rsid w:val="008A4475"/>
    <w:rsid w:val="008A4567"/>
    <w:rsid w:val="008A46CC"/>
    <w:rsid w:val="008A496F"/>
    <w:rsid w:val="008A4D93"/>
    <w:rsid w:val="008A501D"/>
    <w:rsid w:val="008A51D3"/>
    <w:rsid w:val="008A5338"/>
    <w:rsid w:val="008A538B"/>
    <w:rsid w:val="008A54CD"/>
    <w:rsid w:val="008A54FE"/>
    <w:rsid w:val="008A5579"/>
    <w:rsid w:val="008A574F"/>
    <w:rsid w:val="008A575D"/>
    <w:rsid w:val="008A57F6"/>
    <w:rsid w:val="008A5833"/>
    <w:rsid w:val="008A5909"/>
    <w:rsid w:val="008A5A34"/>
    <w:rsid w:val="008A5CAC"/>
    <w:rsid w:val="008A5CE7"/>
    <w:rsid w:val="008A5D59"/>
    <w:rsid w:val="008A5E15"/>
    <w:rsid w:val="008A5F76"/>
    <w:rsid w:val="008A5FD6"/>
    <w:rsid w:val="008A604C"/>
    <w:rsid w:val="008A613A"/>
    <w:rsid w:val="008A61DB"/>
    <w:rsid w:val="008A628B"/>
    <w:rsid w:val="008A62FF"/>
    <w:rsid w:val="008A6660"/>
    <w:rsid w:val="008A681B"/>
    <w:rsid w:val="008A6938"/>
    <w:rsid w:val="008A69C7"/>
    <w:rsid w:val="008A6AE7"/>
    <w:rsid w:val="008A6AF3"/>
    <w:rsid w:val="008A6B8A"/>
    <w:rsid w:val="008A6E38"/>
    <w:rsid w:val="008A6E70"/>
    <w:rsid w:val="008A7062"/>
    <w:rsid w:val="008A7136"/>
    <w:rsid w:val="008A71EF"/>
    <w:rsid w:val="008A7256"/>
    <w:rsid w:val="008A728C"/>
    <w:rsid w:val="008A7432"/>
    <w:rsid w:val="008A7434"/>
    <w:rsid w:val="008A74CB"/>
    <w:rsid w:val="008A75AE"/>
    <w:rsid w:val="008A75F4"/>
    <w:rsid w:val="008A765E"/>
    <w:rsid w:val="008A7745"/>
    <w:rsid w:val="008A77DF"/>
    <w:rsid w:val="008A7801"/>
    <w:rsid w:val="008A786C"/>
    <w:rsid w:val="008A78B9"/>
    <w:rsid w:val="008A7BF4"/>
    <w:rsid w:val="008A7C40"/>
    <w:rsid w:val="008A7D89"/>
    <w:rsid w:val="008B0004"/>
    <w:rsid w:val="008B006E"/>
    <w:rsid w:val="008B0476"/>
    <w:rsid w:val="008B04F5"/>
    <w:rsid w:val="008B05CB"/>
    <w:rsid w:val="008B0610"/>
    <w:rsid w:val="008B0835"/>
    <w:rsid w:val="008B0842"/>
    <w:rsid w:val="008B090C"/>
    <w:rsid w:val="008B0ABF"/>
    <w:rsid w:val="008B0B07"/>
    <w:rsid w:val="008B0B79"/>
    <w:rsid w:val="008B0D1B"/>
    <w:rsid w:val="008B0D2E"/>
    <w:rsid w:val="008B0D54"/>
    <w:rsid w:val="008B0DCA"/>
    <w:rsid w:val="008B0E08"/>
    <w:rsid w:val="008B0E30"/>
    <w:rsid w:val="008B0E59"/>
    <w:rsid w:val="008B106F"/>
    <w:rsid w:val="008B10BD"/>
    <w:rsid w:val="008B10C5"/>
    <w:rsid w:val="008B122D"/>
    <w:rsid w:val="008B16A8"/>
    <w:rsid w:val="008B1A31"/>
    <w:rsid w:val="008B1C39"/>
    <w:rsid w:val="008B1C8A"/>
    <w:rsid w:val="008B1F2D"/>
    <w:rsid w:val="008B2011"/>
    <w:rsid w:val="008B20C1"/>
    <w:rsid w:val="008B21F5"/>
    <w:rsid w:val="008B24A1"/>
    <w:rsid w:val="008B266D"/>
    <w:rsid w:val="008B26B4"/>
    <w:rsid w:val="008B2750"/>
    <w:rsid w:val="008B2767"/>
    <w:rsid w:val="008B2A34"/>
    <w:rsid w:val="008B2ACD"/>
    <w:rsid w:val="008B2D25"/>
    <w:rsid w:val="008B2D65"/>
    <w:rsid w:val="008B2DAE"/>
    <w:rsid w:val="008B2FBB"/>
    <w:rsid w:val="008B3025"/>
    <w:rsid w:val="008B30F6"/>
    <w:rsid w:val="008B31F3"/>
    <w:rsid w:val="008B38B3"/>
    <w:rsid w:val="008B3931"/>
    <w:rsid w:val="008B3A88"/>
    <w:rsid w:val="008B4051"/>
    <w:rsid w:val="008B41C4"/>
    <w:rsid w:val="008B4210"/>
    <w:rsid w:val="008B451A"/>
    <w:rsid w:val="008B484A"/>
    <w:rsid w:val="008B486A"/>
    <w:rsid w:val="008B4983"/>
    <w:rsid w:val="008B4B3E"/>
    <w:rsid w:val="008B4B8F"/>
    <w:rsid w:val="008B4BFC"/>
    <w:rsid w:val="008B4C90"/>
    <w:rsid w:val="008B4D1B"/>
    <w:rsid w:val="008B4DC8"/>
    <w:rsid w:val="008B4F9E"/>
    <w:rsid w:val="008B5174"/>
    <w:rsid w:val="008B5189"/>
    <w:rsid w:val="008B51AA"/>
    <w:rsid w:val="008B51B4"/>
    <w:rsid w:val="008B5237"/>
    <w:rsid w:val="008B524E"/>
    <w:rsid w:val="008B52E9"/>
    <w:rsid w:val="008B535C"/>
    <w:rsid w:val="008B54A4"/>
    <w:rsid w:val="008B552A"/>
    <w:rsid w:val="008B56A6"/>
    <w:rsid w:val="008B56F6"/>
    <w:rsid w:val="008B5944"/>
    <w:rsid w:val="008B5B67"/>
    <w:rsid w:val="008B5BC1"/>
    <w:rsid w:val="008B5BDD"/>
    <w:rsid w:val="008B5D7A"/>
    <w:rsid w:val="008B5DE4"/>
    <w:rsid w:val="008B60A4"/>
    <w:rsid w:val="008B610C"/>
    <w:rsid w:val="008B61BE"/>
    <w:rsid w:val="008B6274"/>
    <w:rsid w:val="008B62E1"/>
    <w:rsid w:val="008B6398"/>
    <w:rsid w:val="008B63E0"/>
    <w:rsid w:val="008B63E7"/>
    <w:rsid w:val="008B646B"/>
    <w:rsid w:val="008B6644"/>
    <w:rsid w:val="008B66B4"/>
    <w:rsid w:val="008B66C8"/>
    <w:rsid w:val="008B66E3"/>
    <w:rsid w:val="008B678F"/>
    <w:rsid w:val="008B67AE"/>
    <w:rsid w:val="008B6871"/>
    <w:rsid w:val="008B6A16"/>
    <w:rsid w:val="008B6C66"/>
    <w:rsid w:val="008B6CB5"/>
    <w:rsid w:val="008B6D02"/>
    <w:rsid w:val="008B6E05"/>
    <w:rsid w:val="008B7085"/>
    <w:rsid w:val="008B7111"/>
    <w:rsid w:val="008B71F2"/>
    <w:rsid w:val="008B73A4"/>
    <w:rsid w:val="008B73C4"/>
    <w:rsid w:val="008B743C"/>
    <w:rsid w:val="008B74FB"/>
    <w:rsid w:val="008B758B"/>
    <w:rsid w:val="008B76B6"/>
    <w:rsid w:val="008B76D6"/>
    <w:rsid w:val="008B7848"/>
    <w:rsid w:val="008B78D4"/>
    <w:rsid w:val="008B790B"/>
    <w:rsid w:val="008B7B41"/>
    <w:rsid w:val="008B7BA3"/>
    <w:rsid w:val="008B7D19"/>
    <w:rsid w:val="008B7DEB"/>
    <w:rsid w:val="008B7E8C"/>
    <w:rsid w:val="008B7F1A"/>
    <w:rsid w:val="008B7FA7"/>
    <w:rsid w:val="008C01A3"/>
    <w:rsid w:val="008C0229"/>
    <w:rsid w:val="008C02BB"/>
    <w:rsid w:val="008C0360"/>
    <w:rsid w:val="008C0403"/>
    <w:rsid w:val="008C0440"/>
    <w:rsid w:val="008C06F1"/>
    <w:rsid w:val="008C0773"/>
    <w:rsid w:val="008C085B"/>
    <w:rsid w:val="008C08FE"/>
    <w:rsid w:val="008C0A45"/>
    <w:rsid w:val="008C0C4E"/>
    <w:rsid w:val="008C0C70"/>
    <w:rsid w:val="008C0CDA"/>
    <w:rsid w:val="008C0D77"/>
    <w:rsid w:val="008C0DE8"/>
    <w:rsid w:val="008C1122"/>
    <w:rsid w:val="008C1191"/>
    <w:rsid w:val="008C1202"/>
    <w:rsid w:val="008C1308"/>
    <w:rsid w:val="008C1434"/>
    <w:rsid w:val="008C1524"/>
    <w:rsid w:val="008C15BC"/>
    <w:rsid w:val="008C180E"/>
    <w:rsid w:val="008C1914"/>
    <w:rsid w:val="008C1917"/>
    <w:rsid w:val="008C198F"/>
    <w:rsid w:val="008C1CC3"/>
    <w:rsid w:val="008C1E05"/>
    <w:rsid w:val="008C1F30"/>
    <w:rsid w:val="008C1FA1"/>
    <w:rsid w:val="008C209F"/>
    <w:rsid w:val="008C21EF"/>
    <w:rsid w:val="008C2269"/>
    <w:rsid w:val="008C230C"/>
    <w:rsid w:val="008C2347"/>
    <w:rsid w:val="008C24E1"/>
    <w:rsid w:val="008C27D0"/>
    <w:rsid w:val="008C283E"/>
    <w:rsid w:val="008C289E"/>
    <w:rsid w:val="008C28F2"/>
    <w:rsid w:val="008C2C05"/>
    <w:rsid w:val="008C2D45"/>
    <w:rsid w:val="008C2D70"/>
    <w:rsid w:val="008C2F94"/>
    <w:rsid w:val="008C2FB5"/>
    <w:rsid w:val="008C3023"/>
    <w:rsid w:val="008C309E"/>
    <w:rsid w:val="008C31AF"/>
    <w:rsid w:val="008C33C0"/>
    <w:rsid w:val="008C34BB"/>
    <w:rsid w:val="008C35F2"/>
    <w:rsid w:val="008C3875"/>
    <w:rsid w:val="008C387E"/>
    <w:rsid w:val="008C397C"/>
    <w:rsid w:val="008C3A70"/>
    <w:rsid w:val="008C3AFB"/>
    <w:rsid w:val="008C3CC8"/>
    <w:rsid w:val="008C3DFC"/>
    <w:rsid w:val="008C3F55"/>
    <w:rsid w:val="008C3FF3"/>
    <w:rsid w:val="008C4314"/>
    <w:rsid w:val="008C43C6"/>
    <w:rsid w:val="008C45E2"/>
    <w:rsid w:val="008C4747"/>
    <w:rsid w:val="008C47DC"/>
    <w:rsid w:val="008C48C1"/>
    <w:rsid w:val="008C49A5"/>
    <w:rsid w:val="008C49BA"/>
    <w:rsid w:val="008C4A8F"/>
    <w:rsid w:val="008C4C0A"/>
    <w:rsid w:val="008C4CB4"/>
    <w:rsid w:val="008C4DA3"/>
    <w:rsid w:val="008C4DD9"/>
    <w:rsid w:val="008C510A"/>
    <w:rsid w:val="008C512B"/>
    <w:rsid w:val="008C5183"/>
    <w:rsid w:val="008C554E"/>
    <w:rsid w:val="008C5832"/>
    <w:rsid w:val="008C5859"/>
    <w:rsid w:val="008C5A06"/>
    <w:rsid w:val="008C5C7F"/>
    <w:rsid w:val="008C5F59"/>
    <w:rsid w:val="008C5FA3"/>
    <w:rsid w:val="008C606A"/>
    <w:rsid w:val="008C6111"/>
    <w:rsid w:val="008C6117"/>
    <w:rsid w:val="008C616A"/>
    <w:rsid w:val="008C619F"/>
    <w:rsid w:val="008C63C4"/>
    <w:rsid w:val="008C6428"/>
    <w:rsid w:val="008C668D"/>
    <w:rsid w:val="008C6834"/>
    <w:rsid w:val="008C68CB"/>
    <w:rsid w:val="008C6AA9"/>
    <w:rsid w:val="008C6B54"/>
    <w:rsid w:val="008C6D31"/>
    <w:rsid w:val="008C6D8A"/>
    <w:rsid w:val="008C6DCC"/>
    <w:rsid w:val="008C6E70"/>
    <w:rsid w:val="008C6E92"/>
    <w:rsid w:val="008C701F"/>
    <w:rsid w:val="008C7072"/>
    <w:rsid w:val="008C70DE"/>
    <w:rsid w:val="008C7138"/>
    <w:rsid w:val="008C7184"/>
    <w:rsid w:val="008C71A5"/>
    <w:rsid w:val="008C746C"/>
    <w:rsid w:val="008C7475"/>
    <w:rsid w:val="008C75DD"/>
    <w:rsid w:val="008C7786"/>
    <w:rsid w:val="008C78B0"/>
    <w:rsid w:val="008C7986"/>
    <w:rsid w:val="008C79C8"/>
    <w:rsid w:val="008C7A1A"/>
    <w:rsid w:val="008C7A45"/>
    <w:rsid w:val="008C7B0A"/>
    <w:rsid w:val="008C7BA3"/>
    <w:rsid w:val="008C7BD5"/>
    <w:rsid w:val="008C7BED"/>
    <w:rsid w:val="008C7C47"/>
    <w:rsid w:val="008C7CB4"/>
    <w:rsid w:val="008C7E69"/>
    <w:rsid w:val="008C7F1F"/>
    <w:rsid w:val="008C7F88"/>
    <w:rsid w:val="008D003D"/>
    <w:rsid w:val="008D00EB"/>
    <w:rsid w:val="008D01AB"/>
    <w:rsid w:val="008D0580"/>
    <w:rsid w:val="008D0666"/>
    <w:rsid w:val="008D07E4"/>
    <w:rsid w:val="008D086A"/>
    <w:rsid w:val="008D0943"/>
    <w:rsid w:val="008D0A3F"/>
    <w:rsid w:val="008D0B0C"/>
    <w:rsid w:val="008D0D93"/>
    <w:rsid w:val="008D0DAF"/>
    <w:rsid w:val="008D0E8A"/>
    <w:rsid w:val="008D0F99"/>
    <w:rsid w:val="008D113B"/>
    <w:rsid w:val="008D1250"/>
    <w:rsid w:val="008D1331"/>
    <w:rsid w:val="008D1347"/>
    <w:rsid w:val="008D154D"/>
    <w:rsid w:val="008D165F"/>
    <w:rsid w:val="008D183D"/>
    <w:rsid w:val="008D1926"/>
    <w:rsid w:val="008D1967"/>
    <w:rsid w:val="008D1995"/>
    <w:rsid w:val="008D1A9B"/>
    <w:rsid w:val="008D1E0B"/>
    <w:rsid w:val="008D1E0D"/>
    <w:rsid w:val="008D1F91"/>
    <w:rsid w:val="008D1FAF"/>
    <w:rsid w:val="008D1FB9"/>
    <w:rsid w:val="008D1FCE"/>
    <w:rsid w:val="008D2139"/>
    <w:rsid w:val="008D213D"/>
    <w:rsid w:val="008D217F"/>
    <w:rsid w:val="008D2193"/>
    <w:rsid w:val="008D21D4"/>
    <w:rsid w:val="008D233E"/>
    <w:rsid w:val="008D23CA"/>
    <w:rsid w:val="008D2722"/>
    <w:rsid w:val="008D2B05"/>
    <w:rsid w:val="008D2C7B"/>
    <w:rsid w:val="008D2DDD"/>
    <w:rsid w:val="008D2DDE"/>
    <w:rsid w:val="008D2FD6"/>
    <w:rsid w:val="008D3050"/>
    <w:rsid w:val="008D305A"/>
    <w:rsid w:val="008D3156"/>
    <w:rsid w:val="008D3364"/>
    <w:rsid w:val="008D36DF"/>
    <w:rsid w:val="008D36EE"/>
    <w:rsid w:val="008D3726"/>
    <w:rsid w:val="008D3754"/>
    <w:rsid w:val="008D375F"/>
    <w:rsid w:val="008D37ED"/>
    <w:rsid w:val="008D3999"/>
    <w:rsid w:val="008D39BB"/>
    <w:rsid w:val="008D3AB4"/>
    <w:rsid w:val="008D3ADD"/>
    <w:rsid w:val="008D3C2D"/>
    <w:rsid w:val="008D3C30"/>
    <w:rsid w:val="008D3CC8"/>
    <w:rsid w:val="008D3D0D"/>
    <w:rsid w:val="008D3E18"/>
    <w:rsid w:val="008D4073"/>
    <w:rsid w:val="008D41B8"/>
    <w:rsid w:val="008D426D"/>
    <w:rsid w:val="008D4353"/>
    <w:rsid w:val="008D4380"/>
    <w:rsid w:val="008D43C8"/>
    <w:rsid w:val="008D4488"/>
    <w:rsid w:val="008D467E"/>
    <w:rsid w:val="008D47A2"/>
    <w:rsid w:val="008D48C4"/>
    <w:rsid w:val="008D4A0B"/>
    <w:rsid w:val="008D4B10"/>
    <w:rsid w:val="008D4CB0"/>
    <w:rsid w:val="008D4DE6"/>
    <w:rsid w:val="008D4EC6"/>
    <w:rsid w:val="008D4F19"/>
    <w:rsid w:val="008D4F89"/>
    <w:rsid w:val="008D51A3"/>
    <w:rsid w:val="008D51CF"/>
    <w:rsid w:val="008D51D7"/>
    <w:rsid w:val="008D542C"/>
    <w:rsid w:val="008D5572"/>
    <w:rsid w:val="008D5675"/>
    <w:rsid w:val="008D5696"/>
    <w:rsid w:val="008D58DA"/>
    <w:rsid w:val="008D5990"/>
    <w:rsid w:val="008D5B3A"/>
    <w:rsid w:val="008D5B87"/>
    <w:rsid w:val="008D5C19"/>
    <w:rsid w:val="008D5C23"/>
    <w:rsid w:val="008D5DF7"/>
    <w:rsid w:val="008D5FD7"/>
    <w:rsid w:val="008D6142"/>
    <w:rsid w:val="008D61E1"/>
    <w:rsid w:val="008D6397"/>
    <w:rsid w:val="008D63F8"/>
    <w:rsid w:val="008D6432"/>
    <w:rsid w:val="008D65CA"/>
    <w:rsid w:val="008D669D"/>
    <w:rsid w:val="008D6742"/>
    <w:rsid w:val="008D6782"/>
    <w:rsid w:val="008D67A1"/>
    <w:rsid w:val="008D67FD"/>
    <w:rsid w:val="008D6ADF"/>
    <w:rsid w:val="008D6BA9"/>
    <w:rsid w:val="008D6CD5"/>
    <w:rsid w:val="008D6F52"/>
    <w:rsid w:val="008D7032"/>
    <w:rsid w:val="008D71C2"/>
    <w:rsid w:val="008D7332"/>
    <w:rsid w:val="008D73AD"/>
    <w:rsid w:val="008D73C9"/>
    <w:rsid w:val="008D7469"/>
    <w:rsid w:val="008D7509"/>
    <w:rsid w:val="008D755F"/>
    <w:rsid w:val="008D773C"/>
    <w:rsid w:val="008D7832"/>
    <w:rsid w:val="008D7858"/>
    <w:rsid w:val="008D7A09"/>
    <w:rsid w:val="008D7A28"/>
    <w:rsid w:val="008D7A76"/>
    <w:rsid w:val="008D7A9B"/>
    <w:rsid w:val="008D7ACD"/>
    <w:rsid w:val="008D7C0F"/>
    <w:rsid w:val="008D7CC4"/>
    <w:rsid w:val="008D7D33"/>
    <w:rsid w:val="008D7ED6"/>
    <w:rsid w:val="008D7F1E"/>
    <w:rsid w:val="008D7F6C"/>
    <w:rsid w:val="008E00D9"/>
    <w:rsid w:val="008E0170"/>
    <w:rsid w:val="008E029E"/>
    <w:rsid w:val="008E038B"/>
    <w:rsid w:val="008E03E9"/>
    <w:rsid w:val="008E04D5"/>
    <w:rsid w:val="008E0518"/>
    <w:rsid w:val="008E0636"/>
    <w:rsid w:val="008E0762"/>
    <w:rsid w:val="008E0775"/>
    <w:rsid w:val="008E0812"/>
    <w:rsid w:val="008E0ADF"/>
    <w:rsid w:val="008E0BE8"/>
    <w:rsid w:val="008E0D27"/>
    <w:rsid w:val="008E10B2"/>
    <w:rsid w:val="008E10D4"/>
    <w:rsid w:val="008E10E1"/>
    <w:rsid w:val="008E12B6"/>
    <w:rsid w:val="008E13FA"/>
    <w:rsid w:val="008E15A9"/>
    <w:rsid w:val="008E16BF"/>
    <w:rsid w:val="008E16E5"/>
    <w:rsid w:val="008E17D4"/>
    <w:rsid w:val="008E1997"/>
    <w:rsid w:val="008E1A42"/>
    <w:rsid w:val="008E1AA8"/>
    <w:rsid w:val="008E1B6D"/>
    <w:rsid w:val="008E1C62"/>
    <w:rsid w:val="008E1C7B"/>
    <w:rsid w:val="008E1DC3"/>
    <w:rsid w:val="008E1E0C"/>
    <w:rsid w:val="008E1E4B"/>
    <w:rsid w:val="008E1E6F"/>
    <w:rsid w:val="008E1F7D"/>
    <w:rsid w:val="008E224D"/>
    <w:rsid w:val="008E2250"/>
    <w:rsid w:val="008E22E3"/>
    <w:rsid w:val="008E2336"/>
    <w:rsid w:val="008E23C4"/>
    <w:rsid w:val="008E24D7"/>
    <w:rsid w:val="008E252B"/>
    <w:rsid w:val="008E29EF"/>
    <w:rsid w:val="008E2CCF"/>
    <w:rsid w:val="008E2F46"/>
    <w:rsid w:val="008E3049"/>
    <w:rsid w:val="008E3098"/>
    <w:rsid w:val="008E310E"/>
    <w:rsid w:val="008E31BF"/>
    <w:rsid w:val="008E338A"/>
    <w:rsid w:val="008E33B7"/>
    <w:rsid w:val="008E33FC"/>
    <w:rsid w:val="008E34E1"/>
    <w:rsid w:val="008E358D"/>
    <w:rsid w:val="008E35A3"/>
    <w:rsid w:val="008E3B3F"/>
    <w:rsid w:val="008E3C9D"/>
    <w:rsid w:val="008E3D3F"/>
    <w:rsid w:val="008E3E6E"/>
    <w:rsid w:val="008E40E7"/>
    <w:rsid w:val="008E4204"/>
    <w:rsid w:val="008E42A5"/>
    <w:rsid w:val="008E43B4"/>
    <w:rsid w:val="008E4A41"/>
    <w:rsid w:val="008E4A75"/>
    <w:rsid w:val="008E4AD3"/>
    <w:rsid w:val="008E4BAD"/>
    <w:rsid w:val="008E4DF5"/>
    <w:rsid w:val="008E50F8"/>
    <w:rsid w:val="008E519B"/>
    <w:rsid w:val="008E5215"/>
    <w:rsid w:val="008E53AB"/>
    <w:rsid w:val="008E5426"/>
    <w:rsid w:val="008E5495"/>
    <w:rsid w:val="008E557F"/>
    <w:rsid w:val="008E5873"/>
    <w:rsid w:val="008E5BA1"/>
    <w:rsid w:val="008E5D24"/>
    <w:rsid w:val="008E5F4D"/>
    <w:rsid w:val="008E602C"/>
    <w:rsid w:val="008E6079"/>
    <w:rsid w:val="008E608B"/>
    <w:rsid w:val="008E6171"/>
    <w:rsid w:val="008E61E5"/>
    <w:rsid w:val="008E62C9"/>
    <w:rsid w:val="008E649E"/>
    <w:rsid w:val="008E65B2"/>
    <w:rsid w:val="008E66E2"/>
    <w:rsid w:val="008E66F9"/>
    <w:rsid w:val="008E67D7"/>
    <w:rsid w:val="008E6815"/>
    <w:rsid w:val="008E6919"/>
    <w:rsid w:val="008E69BF"/>
    <w:rsid w:val="008E6A99"/>
    <w:rsid w:val="008E6D0D"/>
    <w:rsid w:val="008E6D86"/>
    <w:rsid w:val="008E6E7E"/>
    <w:rsid w:val="008E6E88"/>
    <w:rsid w:val="008E709D"/>
    <w:rsid w:val="008E70D6"/>
    <w:rsid w:val="008E715B"/>
    <w:rsid w:val="008E722E"/>
    <w:rsid w:val="008E7274"/>
    <w:rsid w:val="008E782E"/>
    <w:rsid w:val="008E7840"/>
    <w:rsid w:val="008E7AC5"/>
    <w:rsid w:val="008E7B76"/>
    <w:rsid w:val="008E7C66"/>
    <w:rsid w:val="008F0106"/>
    <w:rsid w:val="008F0322"/>
    <w:rsid w:val="008F04AA"/>
    <w:rsid w:val="008F0562"/>
    <w:rsid w:val="008F06CB"/>
    <w:rsid w:val="008F06DF"/>
    <w:rsid w:val="008F0710"/>
    <w:rsid w:val="008F071F"/>
    <w:rsid w:val="008F07E4"/>
    <w:rsid w:val="008F0827"/>
    <w:rsid w:val="008F0A7C"/>
    <w:rsid w:val="008F0BF7"/>
    <w:rsid w:val="008F0D5D"/>
    <w:rsid w:val="008F0DB8"/>
    <w:rsid w:val="008F0DD9"/>
    <w:rsid w:val="008F0F53"/>
    <w:rsid w:val="008F1039"/>
    <w:rsid w:val="008F108A"/>
    <w:rsid w:val="008F10C8"/>
    <w:rsid w:val="008F10D0"/>
    <w:rsid w:val="008F10E2"/>
    <w:rsid w:val="008F110D"/>
    <w:rsid w:val="008F1182"/>
    <w:rsid w:val="008F1227"/>
    <w:rsid w:val="008F1304"/>
    <w:rsid w:val="008F13A1"/>
    <w:rsid w:val="008F13A5"/>
    <w:rsid w:val="008F13C9"/>
    <w:rsid w:val="008F1534"/>
    <w:rsid w:val="008F168F"/>
    <w:rsid w:val="008F1822"/>
    <w:rsid w:val="008F18A3"/>
    <w:rsid w:val="008F1A02"/>
    <w:rsid w:val="008F1D34"/>
    <w:rsid w:val="008F1E25"/>
    <w:rsid w:val="008F1EA1"/>
    <w:rsid w:val="008F1FBC"/>
    <w:rsid w:val="008F20AC"/>
    <w:rsid w:val="008F21B1"/>
    <w:rsid w:val="008F2232"/>
    <w:rsid w:val="008F2298"/>
    <w:rsid w:val="008F23C0"/>
    <w:rsid w:val="008F260B"/>
    <w:rsid w:val="008F260E"/>
    <w:rsid w:val="008F2766"/>
    <w:rsid w:val="008F2794"/>
    <w:rsid w:val="008F2840"/>
    <w:rsid w:val="008F2A3D"/>
    <w:rsid w:val="008F2A93"/>
    <w:rsid w:val="008F2AD4"/>
    <w:rsid w:val="008F2B3E"/>
    <w:rsid w:val="008F2BC8"/>
    <w:rsid w:val="008F2CDD"/>
    <w:rsid w:val="008F343F"/>
    <w:rsid w:val="008F3498"/>
    <w:rsid w:val="008F3580"/>
    <w:rsid w:val="008F37D1"/>
    <w:rsid w:val="008F3802"/>
    <w:rsid w:val="008F3822"/>
    <w:rsid w:val="008F3899"/>
    <w:rsid w:val="008F38AC"/>
    <w:rsid w:val="008F3ADF"/>
    <w:rsid w:val="008F3BE3"/>
    <w:rsid w:val="008F4081"/>
    <w:rsid w:val="008F40B9"/>
    <w:rsid w:val="008F41FC"/>
    <w:rsid w:val="008F4262"/>
    <w:rsid w:val="008F42EF"/>
    <w:rsid w:val="008F436E"/>
    <w:rsid w:val="008F43C1"/>
    <w:rsid w:val="008F4439"/>
    <w:rsid w:val="008F46F5"/>
    <w:rsid w:val="008F477E"/>
    <w:rsid w:val="008F47ED"/>
    <w:rsid w:val="008F4884"/>
    <w:rsid w:val="008F48C8"/>
    <w:rsid w:val="008F494B"/>
    <w:rsid w:val="008F4954"/>
    <w:rsid w:val="008F4A22"/>
    <w:rsid w:val="008F4B96"/>
    <w:rsid w:val="008F4D2B"/>
    <w:rsid w:val="008F4E1C"/>
    <w:rsid w:val="008F4E67"/>
    <w:rsid w:val="008F50A5"/>
    <w:rsid w:val="008F517D"/>
    <w:rsid w:val="008F5333"/>
    <w:rsid w:val="008F53A8"/>
    <w:rsid w:val="008F572A"/>
    <w:rsid w:val="008F5738"/>
    <w:rsid w:val="008F5828"/>
    <w:rsid w:val="008F5867"/>
    <w:rsid w:val="008F58D7"/>
    <w:rsid w:val="008F5A15"/>
    <w:rsid w:val="008F5A30"/>
    <w:rsid w:val="008F5AA0"/>
    <w:rsid w:val="008F5DAC"/>
    <w:rsid w:val="008F5E73"/>
    <w:rsid w:val="008F5E91"/>
    <w:rsid w:val="008F5EBB"/>
    <w:rsid w:val="008F5F79"/>
    <w:rsid w:val="008F6119"/>
    <w:rsid w:val="008F61F2"/>
    <w:rsid w:val="008F6203"/>
    <w:rsid w:val="008F622E"/>
    <w:rsid w:val="008F62FB"/>
    <w:rsid w:val="008F6520"/>
    <w:rsid w:val="008F6564"/>
    <w:rsid w:val="008F660B"/>
    <w:rsid w:val="008F66C3"/>
    <w:rsid w:val="008F68CA"/>
    <w:rsid w:val="008F690E"/>
    <w:rsid w:val="008F6D97"/>
    <w:rsid w:val="008F6DD4"/>
    <w:rsid w:val="008F7104"/>
    <w:rsid w:val="008F730A"/>
    <w:rsid w:val="008F74C3"/>
    <w:rsid w:val="008F75C4"/>
    <w:rsid w:val="008F765B"/>
    <w:rsid w:val="008F766A"/>
    <w:rsid w:val="008F7782"/>
    <w:rsid w:val="008F7799"/>
    <w:rsid w:val="008F77D4"/>
    <w:rsid w:val="008F79A4"/>
    <w:rsid w:val="008F7A42"/>
    <w:rsid w:val="008F7BA7"/>
    <w:rsid w:val="008F7BCE"/>
    <w:rsid w:val="008F7C8D"/>
    <w:rsid w:val="008F7CAB"/>
    <w:rsid w:val="0090010C"/>
    <w:rsid w:val="00900205"/>
    <w:rsid w:val="009005EE"/>
    <w:rsid w:val="00900A4A"/>
    <w:rsid w:val="00900A56"/>
    <w:rsid w:val="00900B4D"/>
    <w:rsid w:val="00900C43"/>
    <w:rsid w:val="00900FBA"/>
    <w:rsid w:val="0090134A"/>
    <w:rsid w:val="009015A6"/>
    <w:rsid w:val="0090167B"/>
    <w:rsid w:val="009016F7"/>
    <w:rsid w:val="009019E3"/>
    <w:rsid w:val="009019F5"/>
    <w:rsid w:val="00901B57"/>
    <w:rsid w:val="00901C18"/>
    <w:rsid w:val="00901CD5"/>
    <w:rsid w:val="00901D57"/>
    <w:rsid w:val="00901EB5"/>
    <w:rsid w:val="00901F96"/>
    <w:rsid w:val="00902246"/>
    <w:rsid w:val="00902398"/>
    <w:rsid w:val="0090249A"/>
    <w:rsid w:val="009026DA"/>
    <w:rsid w:val="00902763"/>
    <w:rsid w:val="00902793"/>
    <w:rsid w:val="009027C1"/>
    <w:rsid w:val="0090287E"/>
    <w:rsid w:val="00902996"/>
    <w:rsid w:val="009029E6"/>
    <w:rsid w:val="00902A86"/>
    <w:rsid w:val="00902C69"/>
    <w:rsid w:val="00902CF7"/>
    <w:rsid w:val="00902DD2"/>
    <w:rsid w:val="00902EB6"/>
    <w:rsid w:val="00902FF5"/>
    <w:rsid w:val="00903088"/>
    <w:rsid w:val="009030C6"/>
    <w:rsid w:val="00903123"/>
    <w:rsid w:val="00903288"/>
    <w:rsid w:val="00903342"/>
    <w:rsid w:val="00903383"/>
    <w:rsid w:val="0090355A"/>
    <w:rsid w:val="00903632"/>
    <w:rsid w:val="0090381A"/>
    <w:rsid w:val="009038BF"/>
    <w:rsid w:val="00903904"/>
    <w:rsid w:val="009039F1"/>
    <w:rsid w:val="00903AA4"/>
    <w:rsid w:val="00903B0B"/>
    <w:rsid w:val="00903B67"/>
    <w:rsid w:val="00903B93"/>
    <w:rsid w:val="0090408F"/>
    <w:rsid w:val="0090415D"/>
    <w:rsid w:val="0090428F"/>
    <w:rsid w:val="00904366"/>
    <w:rsid w:val="00904442"/>
    <w:rsid w:val="00904444"/>
    <w:rsid w:val="009044B3"/>
    <w:rsid w:val="00904547"/>
    <w:rsid w:val="00904630"/>
    <w:rsid w:val="00904646"/>
    <w:rsid w:val="009046BE"/>
    <w:rsid w:val="00904AF8"/>
    <w:rsid w:val="00904B16"/>
    <w:rsid w:val="00904BE4"/>
    <w:rsid w:val="00904C70"/>
    <w:rsid w:val="00904EEE"/>
    <w:rsid w:val="00904F8B"/>
    <w:rsid w:val="009050C7"/>
    <w:rsid w:val="0090530D"/>
    <w:rsid w:val="00905312"/>
    <w:rsid w:val="0090531A"/>
    <w:rsid w:val="00905514"/>
    <w:rsid w:val="00905573"/>
    <w:rsid w:val="00905716"/>
    <w:rsid w:val="00905740"/>
    <w:rsid w:val="0090577F"/>
    <w:rsid w:val="00905901"/>
    <w:rsid w:val="00905923"/>
    <w:rsid w:val="0090595B"/>
    <w:rsid w:val="00905A54"/>
    <w:rsid w:val="00905AFB"/>
    <w:rsid w:val="00905C54"/>
    <w:rsid w:val="00905D93"/>
    <w:rsid w:val="00905FAF"/>
    <w:rsid w:val="00905FC8"/>
    <w:rsid w:val="009060F4"/>
    <w:rsid w:val="00906286"/>
    <w:rsid w:val="0090645C"/>
    <w:rsid w:val="00906821"/>
    <w:rsid w:val="00906985"/>
    <w:rsid w:val="00906A82"/>
    <w:rsid w:val="00906AA1"/>
    <w:rsid w:val="00906ABB"/>
    <w:rsid w:val="00906CF8"/>
    <w:rsid w:val="00906D1A"/>
    <w:rsid w:val="00906DEF"/>
    <w:rsid w:val="00906E3E"/>
    <w:rsid w:val="00906E65"/>
    <w:rsid w:val="00906EFD"/>
    <w:rsid w:val="00906FAF"/>
    <w:rsid w:val="00906FD9"/>
    <w:rsid w:val="00907037"/>
    <w:rsid w:val="0090704D"/>
    <w:rsid w:val="00907066"/>
    <w:rsid w:val="009070A1"/>
    <w:rsid w:val="00907256"/>
    <w:rsid w:val="009072B7"/>
    <w:rsid w:val="009073E2"/>
    <w:rsid w:val="0090758E"/>
    <w:rsid w:val="009077BD"/>
    <w:rsid w:val="009077C6"/>
    <w:rsid w:val="009079DF"/>
    <w:rsid w:val="00907B4B"/>
    <w:rsid w:val="00907DAB"/>
    <w:rsid w:val="00907EF2"/>
    <w:rsid w:val="00907FD9"/>
    <w:rsid w:val="0091003C"/>
    <w:rsid w:val="00910240"/>
    <w:rsid w:val="0091064D"/>
    <w:rsid w:val="00910717"/>
    <w:rsid w:val="00910848"/>
    <w:rsid w:val="0091093E"/>
    <w:rsid w:val="00910A9C"/>
    <w:rsid w:val="00910C39"/>
    <w:rsid w:val="00910D7A"/>
    <w:rsid w:val="00910DF2"/>
    <w:rsid w:val="00910FD3"/>
    <w:rsid w:val="00911053"/>
    <w:rsid w:val="0091107F"/>
    <w:rsid w:val="00911331"/>
    <w:rsid w:val="0091145F"/>
    <w:rsid w:val="00911474"/>
    <w:rsid w:val="00911498"/>
    <w:rsid w:val="009115A0"/>
    <w:rsid w:val="00911614"/>
    <w:rsid w:val="009116BB"/>
    <w:rsid w:val="00911719"/>
    <w:rsid w:val="00911771"/>
    <w:rsid w:val="00911842"/>
    <w:rsid w:val="00911F10"/>
    <w:rsid w:val="00911FB8"/>
    <w:rsid w:val="009122D1"/>
    <w:rsid w:val="009122E2"/>
    <w:rsid w:val="00912385"/>
    <w:rsid w:val="00912735"/>
    <w:rsid w:val="009127AD"/>
    <w:rsid w:val="009128D1"/>
    <w:rsid w:val="009128F5"/>
    <w:rsid w:val="0091295C"/>
    <w:rsid w:val="00912A8B"/>
    <w:rsid w:val="00912B18"/>
    <w:rsid w:val="00912B5F"/>
    <w:rsid w:val="00912C9D"/>
    <w:rsid w:val="00912CB0"/>
    <w:rsid w:val="00912CB5"/>
    <w:rsid w:val="00913160"/>
    <w:rsid w:val="0091350F"/>
    <w:rsid w:val="009137B7"/>
    <w:rsid w:val="00913ACE"/>
    <w:rsid w:val="00913CF3"/>
    <w:rsid w:val="00913CF5"/>
    <w:rsid w:val="00913D80"/>
    <w:rsid w:val="00913D8A"/>
    <w:rsid w:val="00913EC4"/>
    <w:rsid w:val="00913FC3"/>
    <w:rsid w:val="00914124"/>
    <w:rsid w:val="009141A1"/>
    <w:rsid w:val="00914287"/>
    <w:rsid w:val="00914433"/>
    <w:rsid w:val="00914481"/>
    <w:rsid w:val="009144D5"/>
    <w:rsid w:val="00914635"/>
    <w:rsid w:val="009146EA"/>
    <w:rsid w:val="00914755"/>
    <w:rsid w:val="009147B0"/>
    <w:rsid w:val="00914B44"/>
    <w:rsid w:val="00914B5D"/>
    <w:rsid w:val="00914BF2"/>
    <w:rsid w:val="00914C2F"/>
    <w:rsid w:val="00914D43"/>
    <w:rsid w:val="00914DF9"/>
    <w:rsid w:val="00914E02"/>
    <w:rsid w:val="00914F35"/>
    <w:rsid w:val="00914F8E"/>
    <w:rsid w:val="0091523E"/>
    <w:rsid w:val="0091530A"/>
    <w:rsid w:val="00915361"/>
    <w:rsid w:val="0091568B"/>
    <w:rsid w:val="009156E5"/>
    <w:rsid w:val="009158A2"/>
    <w:rsid w:val="009158B3"/>
    <w:rsid w:val="0091590A"/>
    <w:rsid w:val="0091596C"/>
    <w:rsid w:val="00915BCF"/>
    <w:rsid w:val="00915D2B"/>
    <w:rsid w:val="00915DCF"/>
    <w:rsid w:val="00915EB5"/>
    <w:rsid w:val="00915F76"/>
    <w:rsid w:val="00915F98"/>
    <w:rsid w:val="00915FA3"/>
    <w:rsid w:val="0091618D"/>
    <w:rsid w:val="0091645E"/>
    <w:rsid w:val="009164AB"/>
    <w:rsid w:val="0091652D"/>
    <w:rsid w:val="00916618"/>
    <w:rsid w:val="009166A3"/>
    <w:rsid w:val="00916960"/>
    <w:rsid w:val="00916A19"/>
    <w:rsid w:val="00916C3F"/>
    <w:rsid w:val="00916CF5"/>
    <w:rsid w:val="00916E68"/>
    <w:rsid w:val="00916F15"/>
    <w:rsid w:val="0091702B"/>
    <w:rsid w:val="00917080"/>
    <w:rsid w:val="0091712E"/>
    <w:rsid w:val="0091727D"/>
    <w:rsid w:val="009172D2"/>
    <w:rsid w:val="009177A7"/>
    <w:rsid w:val="0091782A"/>
    <w:rsid w:val="00917953"/>
    <w:rsid w:val="0091795F"/>
    <w:rsid w:val="00917C0B"/>
    <w:rsid w:val="00917CE8"/>
    <w:rsid w:val="00917FEC"/>
    <w:rsid w:val="0092000E"/>
    <w:rsid w:val="00920060"/>
    <w:rsid w:val="009200AF"/>
    <w:rsid w:val="009204CF"/>
    <w:rsid w:val="0092072A"/>
    <w:rsid w:val="00920780"/>
    <w:rsid w:val="009207E1"/>
    <w:rsid w:val="00920834"/>
    <w:rsid w:val="0092095A"/>
    <w:rsid w:val="00920964"/>
    <w:rsid w:val="00920A2D"/>
    <w:rsid w:val="00920A4E"/>
    <w:rsid w:val="00920AF1"/>
    <w:rsid w:val="00920C9A"/>
    <w:rsid w:val="00920CC3"/>
    <w:rsid w:val="00920CDA"/>
    <w:rsid w:val="00920D1D"/>
    <w:rsid w:val="00920EA6"/>
    <w:rsid w:val="00920F43"/>
    <w:rsid w:val="0092128B"/>
    <w:rsid w:val="0092141E"/>
    <w:rsid w:val="00921494"/>
    <w:rsid w:val="0092163C"/>
    <w:rsid w:val="00921714"/>
    <w:rsid w:val="009217A5"/>
    <w:rsid w:val="009217F8"/>
    <w:rsid w:val="0092199E"/>
    <w:rsid w:val="00921ACE"/>
    <w:rsid w:val="009220B0"/>
    <w:rsid w:val="009221FE"/>
    <w:rsid w:val="0092240D"/>
    <w:rsid w:val="0092243F"/>
    <w:rsid w:val="0092249E"/>
    <w:rsid w:val="009224C9"/>
    <w:rsid w:val="0092251B"/>
    <w:rsid w:val="00922596"/>
    <w:rsid w:val="00922908"/>
    <w:rsid w:val="00922B5B"/>
    <w:rsid w:val="00922B60"/>
    <w:rsid w:val="00922B9B"/>
    <w:rsid w:val="00922BAA"/>
    <w:rsid w:val="00922FB2"/>
    <w:rsid w:val="009230B7"/>
    <w:rsid w:val="009232CE"/>
    <w:rsid w:val="0092365B"/>
    <w:rsid w:val="009237B6"/>
    <w:rsid w:val="00923950"/>
    <w:rsid w:val="009239F2"/>
    <w:rsid w:val="00923A32"/>
    <w:rsid w:val="00923B6C"/>
    <w:rsid w:val="00923C04"/>
    <w:rsid w:val="00923C52"/>
    <w:rsid w:val="00923C6D"/>
    <w:rsid w:val="00923D2B"/>
    <w:rsid w:val="00923D7A"/>
    <w:rsid w:val="00923FC2"/>
    <w:rsid w:val="00924179"/>
    <w:rsid w:val="00924242"/>
    <w:rsid w:val="00924264"/>
    <w:rsid w:val="0092436E"/>
    <w:rsid w:val="00924377"/>
    <w:rsid w:val="0092448A"/>
    <w:rsid w:val="009244D5"/>
    <w:rsid w:val="00924547"/>
    <w:rsid w:val="009245C1"/>
    <w:rsid w:val="0092470E"/>
    <w:rsid w:val="009247D8"/>
    <w:rsid w:val="00924842"/>
    <w:rsid w:val="00924BD0"/>
    <w:rsid w:val="00924D27"/>
    <w:rsid w:val="00924E74"/>
    <w:rsid w:val="00925036"/>
    <w:rsid w:val="00925187"/>
    <w:rsid w:val="009251C2"/>
    <w:rsid w:val="009251E2"/>
    <w:rsid w:val="0092523D"/>
    <w:rsid w:val="0092541E"/>
    <w:rsid w:val="0092543A"/>
    <w:rsid w:val="009254A7"/>
    <w:rsid w:val="009254B5"/>
    <w:rsid w:val="009254C2"/>
    <w:rsid w:val="00925545"/>
    <w:rsid w:val="009255B0"/>
    <w:rsid w:val="0092573B"/>
    <w:rsid w:val="00925759"/>
    <w:rsid w:val="0092586F"/>
    <w:rsid w:val="009259EA"/>
    <w:rsid w:val="00926078"/>
    <w:rsid w:val="00926599"/>
    <w:rsid w:val="009266B4"/>
    <w:rsid w:val="009266C0"/>
    <w:rsid w:val="0092671C"/>
    <w:rsid w:val="009267C1"/>
    <w:rsid w:val="009268AF"/>
    <w:rsid w:val="00926939"/>
    <w:rsid w:val="009269CE"/>
    <w:rsid w:val="00926A64"/>
    <w:rsid w:val="00926B09"/>
    <w:rsid w:val="00926BB5"/>
    <w:rsid w:val="00926C48"/>
    <w:rsid w:val="00926D1A"/>
    <w:rsid w:val="00926DA5"/>
    <w:rsid w:val="0092702E"/>
    <w:rsid w:val="0092709C"/>
    <w:rsid w:val="009270AE"/>
    <w:rsid w:val="0092717F"/>
    <w:rsid w:val="009272C2"/>
    <w:rsid w:val="00927565"/>
    <w:rsid w:val="0092763E"/>
    <w:rsid w:val="00927670"/>
    <w:rsid w:val="00927744"/>
    <w:rsid w:val="009278DA"/>
    <w:rsid w:val="00927B05"/>
    <w:rsid w:val="00927C27"/>
    <w:rsid w:val="00927D26"/>
    <w:rsid w:val="00927D30"/>
    <w:rsid w:val="00927ED2"/>
    <w:rsid w:val="00927F43"/>
    <w:rsid w:val="00927F8E"/>
    <w:rsid w:val="00930190"/>
    <w:rsid w:val="00930216"/>
    <w:rsid w:val="009302BA"/>
    <w:rsid w:val="0093046D"/>
    <w:rsid w:val="00930784"/>
    <w:rsid w:val="00930872"/>
    <w:rsid w:val="009308D0"/>
    <w:rsid w:val="0093099A"/>
    <w:rsid w:val="009309C2"/>
    <w:rsid w:val="00930AA1"/>
    <w:rsid w:val="00930AA8"/>
    <w:rsid w:val="00930C37"/>
    <w:rsid w:val="00930C62"/>
    <w:rsid w:val="00930CD3"/>
    <w:rsid w:val="00930F4E"/>
    <w:rsid w:val="0093114E"/>
    <w:rsid w:val="0093122C"/>
    <w:rsid w:val="0093126E"/>
    <w:rsid w:val="009312A7"/>
    <w:rsid w:val="00931308"/>
    <w:rsid w:val="00931406"/>
    <w:rsid w:val="00931441"/>
    <w:rsid w:val="00931463"/>
    <w:rsid w:val="00931516"/>
    <w:rsid w:val="00931632"/>
    <w:rsid w:val="0093168E"/>
    <w:rsid w:val="009319D4"/>
    <w:rsid w:val="00931BBA"/>
    <w:rsid w:val="00931BEA"/>
    <w:rsid w:val="00931BF2"/>
    <w:rsid w:val="00931C0A"/>
    <w:rsid w:val="00931CAE"/>
    <w:rsid w:val="00931E4A"/>
    <w:rsid w:val="00931E65"/>
    <w:rsid w:val="00931F25"/>
    <w:rsid w:val="00931F73"/>
    <w:rsid w:val="00932139"/>
    <w:rsid w:val="00932266"/>
    <w:rsid w:val="0093242B"/>
    <w:rsid w:val="0093242C"/>
    <w:rsid w:val="00932562"/>
    <w:rsid w:val="0093272C"/>
    <w:rsid w:val="00932786"/>
    <w:rsid w:val="00932BFA"/>
    <w:rsid w:val="00932C5C"/>
    <w:rsid w:val="00932DCC"/>
    <w:rsid w:val="00932E78"/>
    <w:rsid w:val="00932EA2"/>
    <w:rsid w:val="00932F31"/>
    <w:rsid w:val="00932FCF"/>
    <w:rsid w:val="00933099"/>
    <w:rsid w:val="00933132"/>
    <w:rsid w:val="009331C7"/>
    <w:rsid w:val="00933228"/>
    <w:rsid w:val="00933362"/>
    <w:rsid w:val="009334FB"/>
    <w:rsid w:val="0093351B"/>
    <w:rsid w:val="009337C5"/>
    <w:rsid w:val="009337EB"/>
    <w:rsid w:val="0093388A"/>
    <w:rsid w:val="0093390B"/>
    <w:rsid w:val="00933A6E"/>
    <w:rsid w:val="00933BB0"/>
    <w:rsid w:val="00933CA4"/>
    <w:rsid w:val="00933CE8"/>
    <w:rsid w:val="00933D46"/>
    <w:rsid w:val="00933DF5"/>
    <w:rsid w:val="00933F02"/>
    <w:rsid w:val="00934317"/>
    <w:rsid w:val="00934382"/>
    <w:rsid w:val="00934396"/>
    <w:rsid w:val="0093447D"/>
    <w:rsid w:val="00934499"/>
    <w:rsid w:val="009346C0"/>
    <w:rsid w:val="00934739"/>
    <w:rsid w:val="0093496B"/>
    <w:rsid w:val="00934C91"/>
    <w:rsid w:val="00934D6D"/>
    <w:rsid w:val="00934DE7"/>
    <w:rsid w:val="00934ED1"/>
    <w:rsid w:val="00934F02"/>
    <w:rsid w:val="00934FF3"/>
    <w:rsid w:val="009350A3"/>
    <w:rsid w:val="009350BB"/>
    <w:rsid w:val="0093523A"/>
    <w:rsid w:val="00935297"/>
    <w:rsid w:val="0093559F"/>
    <w:rsid w:val="009355AC"/>
    <w:rsid w:val="009356D2"/>
    <w:rsid w:val="00935709"/>
    <w:rsid w:val="00935865"/>
    <w:rsid w:val="0093592D"/>
    <w:rsid w:val="00935B2B"/>
    <w:rsid w:val="00935CD9"/>
    <w:rsid w:val="00935CEA"/>
    <w:rsid w:val="00935D3E"/>
    <w:rsid w:val="00936062"/>
    <w:rsid w:val="0093628D"/>
    <w:rsid w:val="009363CF"/>
    <w:rsid w:val="00936536"/>
    <w:rsid w:val="00936549"/>
    <w:rsid w:val="00936641"/>
    <w:rsid w:val="009366DE"/>
    <w:rsid w:val="0093672F"/>
    <w:rsid w:val="00936865"/>
    <w:rsid w:val="009368A3"/>
    <w:rsid w:val="009369CD"/>
    <w:rsid w:val="00936B69"/>
    <w:rsid w:val="00936CAA"/>
    <w:rsid w:val="00936CB3"/>
    <w:rsid w:val="00936CD6"/>
    <w:rsid w:val="00936D5D"/>
    <w:rsid w:val="00936ECD"/>
    <w:rsid w:val="00936F7D"/>
    <w:rsid w:val="009373E9"/>
    <w:rsid w:val="009376A7"/>
    <w:rsid w:val="009376FD"/>
    <w:rsid w:val="0093796B"/>
    <w:rsid w:val="00937B43"/>
    <w:rsid w:val="00937CBE"/>
    <w:rsid w:val="00937E50"/>
    <w:rsid w:val="00937E6C"/>
    <w:rsid w:val="00937EFC"/>
    <w:rsid w:val="00940159"/>
    <w:rsid w:val="0094016D"/>
    <w:rsid w:val="009401BC"/>
    <w:rsid w:val="00940232"/>
    <w:rsid w:val="009403D9"/>
    <w:rsid w:val="009404EB"/>
    <w:rsid w:val="00940631"/>
    <w:rsid w:val="00940738"/>
    <w:rsid w:val="0094078B"/>
    <w:rsid w:val="0094098A"/>
    <w:rsid w:val="00940A92"/>
    <w:rsid w:val="00940AB7"/>
    <w:rsid w:val="00940F73"/>
    <w:rsid w:val="009410A7"/>
    <w:rsid w:val="00941119"/>
    <w:rsid w:val="0094111A"/>
    <w:rsid w:val="00941168"/>
    <w:rsid w:val="009412EC"/>
    <w:rsid w:val="009413ED"/>
    <w:rsid w:val="00941545"/>
    <w:rsid w:val="00941555"/>
    <w:rsid w:val="009415A2"/>
    <w:rsid w:val="009416B6"/>
    <w:rsid w:val="00941A46"/>
    <w:rsid w:val="00941D74"/>
    <w:rsid w:val="00941DF2"/>
    <w:rsid w:val="00941ED1"/>
    <w:rsid w:val="00941F33"/>
    <w:rsid w:val="00941F65"/>
    <w:rsid w:val="00941FC2"/>
    <w:rsid w:val="00942054"/>
    <w:rsid w:val="009420D5"/>
    <w:rsid w:val="0094225E"/>
    <w:rsid w:val="009422D4"/>
    <w:rsid w:val="009425F5"/>
    <w:rsid w:val="009426D4"/>
    <w:rsid w:val="0094274E"/>
    <w:rsid w:val="009428D6"/>
    <w:rsid w:val="00942923"/>
    <w:rsid w:val="0094299A"/>
    <w:rsid w:val="00942A6F"/>
    <w:rsid w:val="00942B31"/>
    <w:rsid w:val="00942D9A"/>
    <w:rsid w:val="00942E3E"/>
    <w:rsid w:val="00942FFF"/>
    <w:rsid w:val="0094302E"/>
    <w:rsid w:val="0094303B"/>
    <w:rsid w:val="00943077"/>
    <w:rsid w:val="009431BE"/>
    <w:rsid w:val="009431EF"/>
    <w:rsid w:val="009435B5"/>
    <w:rsid w:val="00943811"/>
    <w:rsid w:val="0094392D"/>
    <w:rsid w:val="0094398F"/>
    <w:rsid w:val="00943A5F"/>
    <w:rsid w:val="00943E06"/>
    <w:rsid w:val="00943E73"/>
    <w:rsid w:val="00943FD8"/>
    <w:rsid w:val="0094401E"/>
    <w:rsid w:val="00944072"/>
    <w:rsid w:val="00944082"/>
    <w:rsid w:val="00944087"/>
    <w:rsid w:val="009440E3"/>
    <w:rsid w:val="009440F1"/>
    <w:rsid w:val="00944144"/>
    <w:rsid w:val="0094436D"/>
    <w:rsid w:val="009443A4"/>
    <w:rsid w:val="00944419"/>
    <w:rsid w:val="009444EF"/>
    <w:rsid w:val="0094454F"/>
    <w:rsid w:val="0094459B"/>
    <w:rsid w:val="009445ED"/>
    <w:rsid w:val="0094467E"/>
    <w:rsid w:val="009446BC"/>
    <w:rsid w:val="009447B5"/>
    <w:rsid w:val="00944A11"/>
    <w:rsid w:val="00944BB3"/>
    <w:rsid w:val="00944DEC"/>
    <w:rsid w:val="00944E74"/>
    <w:rsid w:val="00944F4B"/>
    <w:rsid w:val="009450FF"/>
    <w:rsid w:val="00945191"/>
    <w:rsid w:val="00945301"/>
    <w:rsid w:val="009453EF"/>
    <w:rsid w:val="009453F4"/>
    <w:rsid w:val="00945402"/>
    <w:rsid w:val="00945486"/>
    <w:rsid w:val="009454F2"/>
    <w:rsid w:val="0094582F"/>
    <w:rsid w:val="009459D5"/>
    <w:rsid w:val="00945A82"/>
    <w:rsid w:val="00945D8C"/>
    <w:rsid w:val="00945E2C"/>
    <w:rsid w:val="00946138"/>
    <w:rsid w:val="0094674E"/>
    <w:rsid w:val="00946851"/>
    <w:rsid w:val="00946AD8"/>
    <w:rsid w:val="00946BBE"/>
    <w:rsid w:val="00946DFD"/>
    <w:rsid w:val="00946E80"/>
    <w:rsid w:val="00946FC8"/>
    <w:rsid w:val="00946FE6"/>
    <w:rsid w:val="00946FF4"/>
    <w:rsid w:val="0094703B"/>
    <w:rsid w:val="00947042"/>
    <w:rsid w:val="009471BE"/>
    <w:rsid w:val="009474D5"/>
    <w:rsid w:val="00947570"/>
    <w:rsid w:val="0094772E"/>
    <w:rsid w:val="009477BC"/>
    <w:rsid w:val="00947818"/>
    <w:rsid w:val="0094783D"/>
    <w:rsid w:val="009479C8"/>
    <w:rsid w:val="00947AC2"/>
    <w:rsid w:val="00947AD3"/>
    <w:rsid w:val="00947C40"/>
    <w:rsid w:val="00947CD7"/>
    <w:rsid w:val="00947D49"/>
    <w:rsid w:val="00947EC8"/>
    <w:rsid w:val="00947FD9"/>
    <w:rsid w:val="00950116"/>
    <w:rsid w:val="00950119"/>
    <w:rsid w:val="0095012E"/>
    <w:rsid w:val="00950310"/>
    <w:rsid w:val="00950356"/>
    <w:rsid w:val="009503F8"/>
    <w:rsid w:val="00950415"/>
    <w:rsid w:val="0095046E"/>
    <w:rsid w:val="0095053E"/>
    <w:rsid w:val="00950677"/>
    <w:rsid w:val="0095068A"/>
    <w:rsid w:val="009506A4"/>
    <w:rsid w:val="00950700"/>
    <w:rsid w:val="0095073B"/>
    <w:rsid w:val="0095079D"/>
    <w:rsid w:val="0095080F"/>
    <w:rsid w:val="0095087E"/>
    <w:rsid w:val="009509F3"/>
    <w:rsid w:val="00950A12"/>
    <w:rsid w:val="00950A3D"/>
    <w:rsid w:val="00950AC3"/>
    <w:rsid w:val="00950D0E"/>
    <w:rsid w:val="00950D4E"/>
    <w:rsid w:val="00950F18"/>
    <w:rsid w:val="00950F55"/>
    <w:rsid w:val="00950FB7"/>
    <w:rsid w:val="009510F4"/>
    <w:rsid w:val="009512F0"/>
    <w:rsid w:val="0095142A"/>
    <w:rsid w:val="00951521"/>
    <w:rsid w:val="00951532"/>
    <w:rsid w:val="0095159D"/>
    <w:rsid w:val="009515BA"/>
    <w:rsid w:val="00951643"/>
    <w:rsid w:val="009516D8"/>
    <w:rsid w:val="009518D8"/>
    <w:rsid w:val="00951934"/>
    <w:rsid w:val="00951978"/>
    <w:rsid w:val="009519E4"/>
    <w:rsid w:val="00951A74"/>
    <w:rsid w:val="00951AFD"/>
    <w:rsid w:val="00951B1E"/>
    <w:rsid w:val="00951B58"/>
    <w:rsid w:val="00951BD4"/>
    <w:rsid w:val="00951C34"/>
    <w:rsid w:val="00951C48"/>
    <w:rsid w:val="00951CDB"/>
    <w:rsid w:val="00951FE1"/>
    <w:rsid w:val="0095201B"/>
    <w:rsid w:val="00952039"/>
    <w:rsid w:val="0095207B"/>
    <w:rsid w:val="009521C1"/>
    <w:rsid w:val="00952397"/>
    <w:rsid w:val="009524B7"/>
    <w:rsid w:val="009524CA"/>
    <w:rsid w:val="0095268B"/>
    <w:rsid w:val="00952B34"/>
    <w:rsid w:val="00952C69"/>
    <w:rsid w:val="00952D7D"/>
    <w:rsid w:val="00952F9C"/>
    <w:rsid w:val="0095308F"/>
    <w:rsid w:val="009530F4"/>
    <w:rsid w:val="0095315B"/>
    <w:rsid w:val="009534F4"/>
    <w:rsid w:val="009535B5"/>
    <w:rsid w:val="009535EF"/>
    <w:rsid w:val="00953DAB"/>
    <w:rsid w:val="00954031"/>
    <w:rsid w:val="00954223"/>
    <w:rsid w:val="0095424B"/>
    <w:rsid w:val="009543F7"/>
    <w:rsid w:val="00954515"/>
    <w:rsid w:val="0095467A"/>
    <w:rsid w:val="009546BA"/>
    <w:rsid w:val="00954AEC"/>
    <w:rsid w:val="00954B23"/>
    <w:rsid w:val="00954B39"/>
    <w:rsid w:val="00954B57"/>
    <w:rsid w:val="00954C8C"/>
    <w:rsid w:val="00954DA2"/>
    <w:rsid w:val="00954DE2"/>
    <w:rsid w:val="00954FBF"/>
    <w:rsid w:val="00954FF6"/>
    <w:rsid w:val="00955098"/>
    <w:rsid w:val="009551C7"/>
    <w:rsid w:val="00955207"/>
    <w:rsid w:val="009556D6"/>
    <w:rsid w:val="009556E6"/>
    <w:rsid w:val="00955758"/>
    <w:rsid w:val="0095577F"/>
    <w:rsid w:val="00955814"/>
    <w:rsid w:val="00955998"/>
    <w:rsid w:val="00955B82"/>
    <w:rsid w:val="00955C21"/>
    <w:rsid w:val="00955D27"/>
    <w:rsid w:val="00955D53"/>
    <w:rsid w:val="00955EDC"/>
    <w:rsid w:val="00955F4D"/>
    <w:rsid w:val="00955FD8"/>
    <w:rsid w:val="00956053"/>
    <w:rsid w:val="009560F4"/>
    <w:rsid w:val="00956305"/>
    <w:rsid w:val="0095665F"/>
    <w:rsid w:val="0095673E"/>
    <w:rsid w:val="00956ACE"/>
    <w:rsid w:val="00956CD8"/>
    <w:rsid w:val="00956D98"/>
    <w:rsid w:val="00956F54"/>
    <w:rsid w:val="00956F99"/>
    <w:rsid w:val="00956FBE"/>
    <w:rsid w:val="009570D7"/>
    <w:rsid w:val="009572A0"/>
    <w:rsid w:val="00957331"/>
    <w:rsid w:val="00957357"/>
    <w:rsid w:val="00957393"/>
    <w:rsid w:val="009573A8"/>
    <w:rsid w:val="0095741B"/>
    <w:rsid w:val="00957582"/>
    <w:rsid w:val="0095775F"/>
    <w:rsid w:val="00957782"/>
    <w:rsid w:val="009577AE"/>
    <w:rsid w:val="009578CA"/>
    <w:rsid w:val="009578EB"/>
    <w:rsid w:val="009579F9"/>
    <w:rsid w:val="00957D18"/>
    <w:rsid w:val="00957D24"/>
    <w:rsid w:val="00957E2B"/>
    <w:rsid w:val="00957E69"/>
    <w:rsid w:val="00957F76"/>
    <w:rsid w:val="00957FC4"/>
    <w:rsid w:val="00960039"/>
    <w:rsid w:val="00960068"/>
    <w:rsid w:val="00960082"/>
    <w:rsid w:val="009600E4"/>
    <w:rsid w:val="0096012A"/>
    <w:rsid w:val="00960196"/>
    <w:rsid w:val="009601B2"/>
    <w:rsid w:val="00960486"/>
    <w:rsid w:val="009604D5"/>
    <w:rsid w:val="0096054C"/>
    <w:rsid w:val="00960809"/>
    <w:rsid w:val="009608B5"/>
    <w:rsid w:val="00960C49"/>
    <w:rsid w:val="00960C90"/>
    <w:rsid w:val="00960DB7"/>
    <w:rsid w:val="00960DCF"/>
    <w:rsid w:val="00960FB0"/>
    <w:rsid w:val="0096103D"/>
    <w:rsid w:val="0096105D"/>
    <w:rsid w:val="0096110F"/>
    <w:rsid w:val="00961197"/>
    <w:rsid w:val="0096126F"/>
    <w:rsid w:val="0096127C"/>
    <w:rsid w:val="00961297"/>
    <w:rsid w:val="00961366"/>
    <w:rsid w:val="0096140E"/>
    <w:rsid w:val="0096151F"/>
    <w:rsid w:val="00961666"/>
    <w:rsid w:val="0096166B"/>
    <w:rsid w:val="00961709"/>
    <w:rsid w:val="00961726"/>
    <w:rsid w:val="00961758"/>
    <w:rsid w:val="00961991"/>
    <w:rsid w:val="00961B53"/>
    <w:rsid w:val="00961D02"/>
    <w:rsid w:val="00961E1C"/>
    <w:rsid w:val="009624D2"/>
    <w:rsid w:val="009624D5"/>
    <w:rsid w:val="009626D9"/>
    <w:rsid w:val="00962735"/>
    <w:rsid w:val="0096278F"/>
    <w:rsid w:val="0096288D"/>
    <w:rsid w:val="009629FF"/>
    <w:rsid w:val="00962D7F"/>
    <w:rsid w:val="00962E71"/>
    <w:rsid w:val="00962EC0"/>
    <w:rsid w:val="00962F3E"/>
    <w:rsid w:val="00963076"/>
    <w:rsid w:val="0096309B"/>
    <w:rsid w:val="009631E8"/>
    <w:rsid w:val="009631F3"/>
    <w:rsid w:val="00963264"/>
    <w:rsid w:val="00963273"/>
    <w:rsid w:val="00963367"/>
    <w:rsid w:val="00963441"/>
    <w:rsid w:val="0096347C"/>
    <w:rsid w:val="009636C7"/>
    <w:rsid w:val="0096379B"/>
    <w:rsid w:val="009637BF"/>
    <w:rsid w:val="0096389D"/>
    <w:rsid w:val="009638AC"/>
    <w:rsid w:val="00963B8B"/>
    <w:rsid w:val="00963C15"/>
    <w:rsid w:val="00963E61"/>
    <w:rsid w:val="00963E79"/>
    <w:rsid w:val="009640C6"/>
    <w:rsid w:val="00964222"/>
    <w:rsid w:val="009642D9"/>
    <w:rsid w:val="009644ED"/>
    <w:rsid w:val="009645DC"/>
    <w:rsid w:val="009646B6"/>
    <w:rsid w:val="0096479E"/>
    <w:rsid w:val="0096489F"/>
    <w:rsid w:val="00964AC5"/>
    <w:rsid w:val="00964C4A"/>
    <w:rsid w:val="00964EEB"/>
    <w:rsid w:val="00965043"/>
    <w:rsid w:val="0096516E"/>
    <w:rsid w:val="009653A4"/>
    <w:rsid w:val="009653DE"/>
    <w:rsid w:val="00965417"/>
    <w:rsid w:val="00965497"/>
    <w:rsid w:val="009654F3"/>
    <w:rsid w:val="009656C8"/>
    <w:rsid w:val="009656EB"/>
    <w:rsid w:val="0096573A"/>
    <w:rsid w:val="0096582E"/>
    <w:rsid w:val="009658B6"/>
    <w:rsid w:val="00965AC2"/>
    <w:rsid w:val="00965B3F"/>
    <w:rsid w:val="00965B7C"/>
    <w:rsid w:val="00965B80"/>
    <w:rsid w:val="00965E7E"/>
    <w:rsid w:val="00965FB9"/>
    <w:rsid w:val="00966018"/>
    <w:rsid w:val="0096607E"/>
    <w:rsid w:val="0096638A"/>
    <w:rsid w:val="00966453"/>
    <w:rsid w:val="0096648F"/>
    <w:rsid w:val="00966495"/>
    <w:rsid w:val="0096652F"/>
    <w:rsid w:val="00966606"/>
    <w:rsid w:val="0096667A"/>
    <w:rsid w:val="00966717"/>
    <w:rsid w:val="009667CA"/>
    <w:rsid w:val="00966820"/>
    <w:rsid w:val="00966B8D"/>
    <w:rsid w:val="00966CDC"/>
    <w:rsid w:val="00966D30"/>
    <w:rsid w:val="00966D71"/>
    <w:rsid w:val="00966DD9"/>
    <w:rsid w:val="00966E41"/>
    <w:rsid w:val="00966ECD"/>
    <w:rsid w:val="00967285"/>
    <w:rsid w:val="0096729A"/>
    <w:rsid w:val="0096747F"/>
    <w:rsid w:val="009676C0"/>
    <w:rsid w:val="00967799"/>
    <w:rsid w:val="0096787F"/>
    <w:rsid w:val="009678A2"/>
    <w:rsid w:val="0096795B"/>
    <w:rsid w:val="00967A82"/>
    <w:rsid w:val="00967B06"/>
    <w:rsid w:val="00967BF5"/>
    <w:rsid w:val="00967C8E"/>
    <w:rsid w:val="00967EE2"/>
    <w:rsid w:val="00967F2E"/>
    <w:rsid w:val="009701A8"/>
    <w:rsid w:val="00970543"/>
    <w:rsid w:val="00970775"/>
    <w:rsid w:val="00970847"/>
    <w:rsid w:val="00970885"/>
    <w:rsid w:val="009708ED"/>
    <w:rsid w:val="00970A31"/>
    <w:rsid w:val="00970AFD"/>
    <w:rsid w:val="00970B32"/>
    <w:rsid w:val="00970E2B"/>
    <w:rsid w:val="00970E8A"/>
    <w:rsid w:val="00970FC0"/>
    <w:rsid w:val="0097105E"/>
    <w:rsid w:val="009711E2"/>
    <w:rsid w:val="00971249"/>
    <w:rsid w:val="0097145F"/>
    <w:rsid w:val="00971494"/>
    <w:rsid w:val="00971626"/>
    <w:rsid w:val="009719B8"/>
    <w:rsid w:val="00971A12"/>
    <w:rsid w:val="00971B5F"/>
    <w:rsid w:val="00971BAA"/>
    <w:rsid w:val="00971F2E"/>
    <w:rsid w:val="00971F7D"/>
    <w:rsid w:val="0097229B"/>
    <w:rsid w:val="0097229E"/>
    <w:rsid w:val="009723DA"/>
    <w:rsid w:val="009723DC"/>
    <w:rsid w:val="0097243F"/>
    <w:rsid w:val="009727AD"/>
    <w:rsid w:val="009727CA"/>
    <w:rsid w:val="00972815"/>
    <w:rsid w:val="00972898"/>
    <w:rsid w:val="009728D1"/>
    <w:rsid w:val="009729A2"/>
    <w:rsid w:val="00972ABE"/>
    <w:rsid w:val="00972BD1"/>
    <w:rsid w:val="00972BD5"/>
    <w:rsid w:val="00972D4F"/>
    <w:rsid w:val="00972E2E"/>
    <w:rsid w:val="00973013"/>
    <w:rsid w:val="00973129"/>
    <w:rsid w:val="009732BF"/>
    <w:rsid w:val="009732C1"/>
    <w:rsid w:val="00973307"/>
    <w:rsid w:val="009733F0"/>
    <w:rsid w:val="0097343D"/>
    <w:rsid w:val="00973703"/>
    <w:rsid w:val="0097370B"/>
    <w:rsid w:val="009737AC"/>
    <w:rsid w:val="00973965"/>
    <w:rsid w:val="00973A57"/>
    <w:rsid w:val="00973B5B"/>
    <w:rsid w:val="00973B8A"/>
    <w:rsid w:val="00973BA7"/>
    <w:rsid w:val="00973D50"/>
    <w:rsid w:val="00973EE5"/>
    <w:rsid w:val="0097429A"/>
    <w:rsid w:val="00974341"/>
    <w:rsid w:val="0097439F"/>
    <w:rsid w:val="009743A5"/>
    <w:rsid w:val="00974491"/>
    <w:rsid w:val="00974648"/>
    <w:rsid w:val="009746CB"/>
    <w:rsid w:val="009747B9"/>
    <w:rsid w:val="00974870"/>
    <w:rsid w:val="009749D4"/>
    <w:rsid w:val="00974ACF"/>
    <w:rsid w:val="00974BB2"/>
    <w:rsid w:val="00974C3C"/>
    <w:rsid w:val="00974D46"/>
    <w:rsid w:val="00974D6F"/>
    <w:rsid w:val="00974DBB"/>
    <w:rsid w:val="00974EA8"/>
    <w:rsid w:val="00974EE2"/>
    <w:rsid w:val="00974F58"/>
    <w:rsid w:val="00974FDE"/>
    <w:rsid w:val="0097515A"/>
    <w:rsid w:val="009752CE"/>
    <w:rsid w:val="00975320"/>
    <w:rsid w:val="009753BA"/>
    <w:rsid w:val="009754E5"/>
    <w:rsid w:val="009756EB"/>
    <w:rsid w:val="009757E2"/>
    <w:rsid w:val="009757EB"/>
    <w:rsid w:val="009757F9"/>
    <w:rsid w:val="00975900"/>
    <w:rsid w:val="00975B82"/>
    <w:rsid w:val="00975BCB"/>
    <w:rsid w:val="00975C07"/>
    <w:rsid w:val="00975E95"/>
    <w:rsid w:val="0097600C"/>
    <w:rsid w:val="009760E4"/>
    <w:rsid w:val="009761C7"/>
    <w:rsid w:val="00976419"/>
    <w:rsid w:val="009764DD"/>
    <w:rsid w:val="00976620"/>
    <w:rsid w:val="00976753"/>
    <w:rsid w:val="0097689C"/>
    <w:rsid w:val="009769F4"/>
    <w:rsid w:val="00976A64"/>
    <w:rsid w:val="00976B9C"/>
    <w:rsid w:val="00976C34"/>
    <w:rsid w:val="00976C58"/>
    <w:rsid w:val="00976CD3"/>
    <w:rsid w:val="00977159"/>
    <w:rsid w:val="0097722E"/>
    <w:rsid w:val="0097728F"/>
    <w:rsid w:val="00977397"/>
    <w:rsid w:val="009776C5"/>
    <w:rsid w:val="009777FA"/>
    <w:rsid w:val="00977845"/>
    <w:rsid w:val="00977B42"/>
    <w:rsid w:val="00977CCC"/>
    <w:rsid w:val="00977FDF"/>
    <w:rsid w:val="00980009"/>
    <w:rsid w:val="009803A9"/>
    <w:rsid w:val="009803CB"/>
    <w:rsid w:val="009803D4"/>
    <w:rsid w:val="0098047E"/>
    <w:rsid w:val="0098064B"/>
    <w:rsid w:val="00980756"/>
    <w:rsid w:val="009807A2"/>
    <w:rsid w:val="009807B1"/>
    <w:rsid w:val="009807EC"/>
    <w:rsid w:val="00980834"/>
    <w:rsid w:val="00980898"/>
    <w:rsid w:val="00980963"/>
    <w:rsid w:val="00980A13"/>
    <w:rsid w:val="00980AF4"/>
    <w:rsid w:val="00980B95"/>
    <w:rsid w:val="00980EBF"/>
    <w:rsid w:val="00981121"/>
    <w:rsid w:val="00981196"/>
    <w:rsid w:val="009811E0"/>
    <w:rsid w:val="009812CA"/>
    <w:rsid w:val="00981328"/>
    <w:rsid w:val="00981405"/>
    <w:rsid w:val="0098140A"/>
    <w:rsid w:val="00981466"/>
    <w:rsid w:val="00981473"/>
    <w:rsid w:val="009814D5"/>
    <w:rsid w:val="00981706"/>
    <w:rsid w:val="00981741"/>
    <w:rsid w:val="00981877"/>
    <w:rsid w:val="0098199C"/>
    <w:rsid w:val="009819F7"/>
    <w:rsid w:val="00981A94"/>
    <w:rsid w:val="00981BA3"/>
    <w:rsid w:val="00981E5F"/>
    <w:rsid w:val="00981F76"/>
    <w:rsid w:val="00981FD1"/>
    <w:rsid w:val="00982065"/>
    <w:rsid w:val="00982394"/>
    <w:rsid w:val="009826E3"/>
    <w:rsid w:val="009827C9"/>
    <w:rsid w:val="009828AB"/>
    <w:rsid w:val="009828F2"/>
    <w:rsid w:val="00982975"/>
    <w:rsid w:val="00982C6F"/>
    <w:rsid w:val="00982C8C"/>
    <w:rsid w:val="00982CB5"/>
    <w:rsid w:val="00982CED"/>
    <w:rsid w:val="00982DA6"/>
    <w:rsid w:val="00982EF1"/>
    <w:rsid w:val="00982F36"/>
    <w:rsid w:val="00982FA5"/>
    <w:rsid w:val="00982FA8"/>
    <w:rsid w:val="00983019"/>
    <w:rsid w:val="009830B4"/>
    <w:rsid w:val="0098332C"/>
    <w:rsid w:val="009834A7"/>
    <w:rsid w:val="009834CB"/>
    <w:rsid w:val="00983756"/>
    <w:rsid w:val="009838D1"/>
    <w:rsid w:val="00983905"/>
    <w:rsid w:val="009839A4"/>
    <w:rsid w:val="009839B1"/>
    <w:rsid w:val="00983A90"/>
    <w:rsid w:val="00983C25"/>
    <w:rsid w:val="00983C2C"/>
    <w:rsid w:val="00983EA0"/>
    <w:rsid w:val="00983F4E"/>
    <w:rsid w:val="00983F71"/>
    <w:rsid w:val="0098401B"/>
    <w:rsid w:val="009841DF"/>
    <w:rsid w:val="009843A1"/>
    <w:rsid w:val="009843FF"/>
    <w:rsid w:val="009844F3"/>
    <w:rsid w:val="009849E9"/>
    <w:rsid w:val="00984A27"/>
    <w:rsid w:val="00984CC7"/>
    <w:rsid w:val="00984D6D"/>
    <w:rsid w:val="00984DC4"/>
    <w:rsid w:val="00984E6B"/>
    <w:rsid w:val="00984F6E"/>
    <w:rsid w:val="0098531F"/>
    <w:rsid w:val="0098535A"/>
    <w:rsid w:val="0098544E"/>
    <w:rsid w:val="009854BB"/>
    <w:rsid w:val="00985520"/>
    <w:rsid w:val="00985542"/>
    <w:rsid w:val="0098554D"/>
    <w:rsid w:val="00985746"/>
    <w:rsid w:val="009857B2"/>
    <w:rsid w:val="00985A89"/>
    <w:rsid w:val="00985C65"/>
    <w:rsid w:val="00985C79"/>
    <w:rsid w:val="00985C7A"/>
    <w:rsid w:val="00985D0E"/>
    <w:rsid w:val="00985D4A"/>
    <w:rsid w:val="00985E1D"/>
    <w:rsid w:val="00985E83"/>
    <w:rsid w:val="00986026"/>
    <w:rsid w:val="0098606C"/>
    <w:rsid w:val="00986127"/>
    <w:rsid w:val="0098613B"/>
    <w:rsid w:val="00986219"/>
    <w:rsid w:val="009862AF"/>
    <w:rsid w:val="00986489"/>
    <w:rsid w:val="009866B2"/>
    <w:rsid w:val="0098672F"/>
    <w:rsid w:val="0098679B"/>
    <w:rsid w:val="009869E0"/>
    <w:rsid w:val="00986A3E"/>
    <w:rsid w:val="00986A97"/>
    <w:rsid w:val="00986AA6"/>
    <w:rsid w:val="00986B27"/>
    <w:rsid w:val="00986B5F"/>
    <w:rsid w:val="00986D0F"/>
    <w:rsid w:val="00986D4D"/>
    <w:rsid w:val="00986D60"/>
    <w:rsid w:val="00986F1A"/>
    <w:rsid w:val="00986F4D"/>
    <w:rsid w:val="00987032"/>
    <w:rsid w:val="0098723B"/>
    <w:rsid w:val="009873F0"/>
    <w:rsid w:val="009873F3"/>
    <w:rsid w:val="009874C3"/>
    <w:rsid w:val="009874EE"/>
    <w:rsid w:val="0098773B"/>
    <w:rsid w:val="009877B5"/>
    <w:rsid w:val="00987822"/>
    <w:rsid w:val="0098792F"/>
    <w:rsid w:val="00987A8B"/>
    <w:rsid w:val="00987C1E"/>
    <w:rsid w:val="00987DB7"/>
    <w:rsid w:val="00987DE0"/>
    <w:rsid w:val="0099024C"/>
    <w:rsid w:val="009902C0"/>
    <w:rsid w:val="00990614"/>
    <w:rsid w:val="009906BF"/>
    <w:rsid w:val="009907C2"/>
    <w:rsid w:val="009907E5"/>
    <w:rsid w:val="0099088A"/>
    <w:rsid w:val="009908B9"/>
    <w:rsid w:val="00990AC0"/>
    <w:rsid w:val="00990B18"/>
    <w:rsid w:val="00991063"/>
    <w:rsid w:val="009913C3"/>
    <w:rsid w:val="009915AE"/>
    <w:rsid w:val="009916D7"/>
    <w:rsid w:val="009917A4"/>
    <w:rsid w:val="009917F5"/>
    <w:rsid w:val="00991A44"/>
    <w:rsid w:val="00991A55"/>
    <w:rsid w:val="00991A82"/>
    <w:rsid w:val="00991D5F"/>
    <w:rsid w:val="00991EB2"/>
    <w:rsid w:val="00991F32"/>
    <w:rsid w:val="00991F6B"/>
    <w:rsid w:val="00991FE1"/>
    <w:rsid w:val="009920BD"/>
    <w:rsid w:val="00992394"/>
    <w:rsid w:val="0099242A"/>
    <w:rsid w:val="009924F7"/>
    <w:rsid w:val="00992557"/>
    <w:rsid w:val="00992653"/>
    <w:rsid w:val="00992677"/>
    <w:rsid w:val="009926CE"/>
    <w:rsid w:val="009926E9"/>
    <w:rsid w:val="009928CF"/>
    <w:rsid w:val="009929D2"/>
    <w:rsid w:val="00992B17"/>
    <w:rsid w:val="00992B2A"/>
    <w:rsid w:val="00992CB4"/>
    <w:rsid w:val="00992CC1"/>
    <w:rsid w:val="00992D86"/>
    <w:rsid w:val="00992D92"/>
    <w:rsid w:val="00992DD2"/>
    <w:rsid w:val="00992DD4"/>
    <w:rsid w:val="00992E51"/>
    <w:rsid w:val="00992E5E"/>
    <w:rsid w:val="00992EFF"/>
    <w:rsid w:val="00992F7F"/>
    <w:rsid w:val="00992FC1"/>
    <w:rsid w:val="00993040"/>
    <w:rsid w:val="0099317B"/>
    <w:rsid w:val="00993182"/>
    <w:rsid w:val="0099334D"/>
    <w:rsid w:val="0099335C"/>
    <w:rsid w:val="0099337E"/>
    <w:rsid w:val="0099349C"/>
    <w:rsid w:val="009934BE"/>
    <w:rsid w:val="0099364F"/>
    <w:rsid w:val="009936E8"/>
    <w:rsid w:val="0099391A"/>
    <w:rsid w:val="00993963"/>
    <w:rsid w:val="009939FB"/>
    <w:rsid w:val="00993FA9"/>
    <w:rsid w:val="009943C9"/>
    <w:rsid w:val="009943CE"/>
    <w:rsid w:val="00994498"/>
    <w:rsid w:val="0099450D"/>
    <w:rsid w:val="0099459F"/>
    <w:rsid w:val="00994855"/>
    <w:rsid w:val="009948C9"/>
    <w:rsid w:val="009949D1"/>
    <w:rsid w:val="00994A4C"/>
    <w:rsid w:val="00994C43"/>
    <w:rsid w:val="00994F80"/>
    <w:rsid w:val="0099504B"/>
    <w:rsid w:val="00995194"/>
    <w:rsid w:val="009951B6"/>
    <w:rsid w:val="009952D3"/>
    <w:rsid w:val="00995580"/>
    <w:rsid w:val="009956B7"/>
    <w:rsid w:val="009956F0"/>
    <w:rsid w:val="00995703"/>
    <w:rsid w:val="00995991"/>
    <w:rsid w:val="00995A12"/>
    <w:rsid w:val="00995B46"/>
    <w:rsid w:val="00995C96"/>
    <w:rsid w:val="00995DC8"/>
    <w:rsid w:val="00995E1B"/>
    <w:rsid w:val="00995E98"/>
    <w:rsid w:val="00995F29"/>
    <w:rsid w:val="00996020"/>
    <w:rsid w:val="0099611A"/>
    <w:rsid w:val="009962D5"/>
    <w:rsid w:val="0099667E"/>
    <w:rsid w:val="00996718"/>
    <w:rsid w:val="009967EF"/>
    <w:rsid w:val="009968E9"/>
    <w:rsid w:val="00996BDC"/>
    <w:rsid w:val="00996D5A"/>
    <w:rsid w:val="00996E8E"/>
    <w:rsid w:val="00996F02"/>
    <w:rsid w:val="00996F15"/>
    <w:rsid w:val="0099701B"/>
    <w:rsid w:val="0099703C"/>
    <w:rsid w:val="0099705C"/>
    <w:rsid w:val="009970D8"/>
    <w:rsid w:val="009971B5"/>
    <w:rsid w:val="00997319"/>
    <w:rsid w:val="009974D1"/>
    <w:rsid w:val="009974DD"/>
    <w:rsid w:val="009974E4"/>
    <w:rsid w:val="0099755B"/>
    <w:rsid w:val="00997570"/>
    <w:rsid w:val="009976E3"/>
    <w:rsid w:val="00997798"/>
    <w:rsid w:val="00997801"/>
    <w:rsid w:val="00997B5A"/>
    <w:rsid w:val="00997B9C"/>
    <w:rsid w:val="00997BA8"/>
    <w:rsid w:val="00997BD3"/>
    <w:rsid w:val="00997BFB"/>
    <w:rsid w:val="00997E0A"/>
    <w:rsid w:val="00997E3E"/>
    <w:rsid w:val="00997E74"/>
    <w:rsid w:val="00997F48"/>
    <w:rsid w:val="009A0121"/>
    <w:rsid w:val="009A0133"/>
    <w:rsid w:val="009A021D"/>
    <w:rsid w:val="009A028A"/>
    <w:rsid w:val="009A0548"/>
    <w:rsid w:val="009A06F4"/>
    <w:rsid w:val="009A074C"/>
    <w:rsid w:val="009A090E"/>
    <w:rsid w:val="009A098D"/>
    <w:rsid w:val="009A0B7C"/>
    <w:rsid w:val="009A0BCE"/>
    <w:rsid w:val="009A0C85"/>
    <w:rsid w:val="009A0CC3"/>
    <w:rsid w:val="009A0E27"/>
    <w:rsid w:val="009A0FDC"/>
    <w:rsid w:val="009A1042"/>
    <w:rsid w:val="009A11BE"/>
    <w:rsid w:val="009A1338"/>
    <w:rsid w:val="009A1355"/>
    <w:rsid w:val="009A13D8"/>
    <w:rsid w:val="009A18CE"/>
    <w:rsid w:val="009A191D"/>
    <w:rsid w:val="009A1AA1"/>
    <w:rsid w:val="009A1B36"/>
    <w:rsid w:val="009A1B98"/>
    <w:rsid w:val="009A1E75"/>
    <w:rsid w:val="009A1FFE"/>
    <w:rsid w:val="009A20CD"/>
    <w:rsid w:val="009A24C3"/>
    <w:rsid w:val="009A260C"/>
    <w:rsid w:val="009A2691"/>
    <w:rsid w:val="009A26EC"/>
    <w:rsid w:val="009A275F"/>
    <w:rsid w:val="009A27C6"/>
    <w:rsid w:val="009A2891"/>
    <w:rsid w:val="009A2B01"/>
    <w:rsid w:val="009A2BCE"/>
    <w:rsid w:val="009A2D1D"/>
    <w:rsid w:val="009A2EC3"/>
    <w:rsid w:val="009A2F56"/>
    <w:rsid w:val="009A2FB9"/>
    <w:rsid w:val="009A3140"/>
    <w:rsid w:val="009A320A"/>
    <w:rsid w:val="009A3473"/>
    <w:rsid w:val="009A34B7"/>
    <w:rsid w:val="009A3675"/>
    <w:rsid w:val="009A373D"/>
    <w:rsid w:val="009A373E"/>
    <w:rsid w:val="009A3778"/>
    <w:rsid w:val="009A37AC"/>
    <w:rsid w:val="009A3897"/>
    <w:rsid w:val="009A3925"/>
    <w:rsid w:val="009A3941"/>
    <w:rsid w:val="009A39B9"/>
    <w:rsid w:val="009A3C9E"/>
    <w:rsid w:val="009A3CC4"/>
    <w:rsid w:val="009A3E2E"/>
    <w:rsid w:val="009A3E7E"/>
    <w:rsid w:val="009A3E9D"/>
    <w:rsid w:val="009A4089"/>
    <w:rsid w:val="009A40B5"/>
    <w:rsid w:val="009A4167"/>
    <w:rsid w:val="009A4352"/>
    <w:rsid w:val="009A4360"/>
    <w:rsid w:val="009A437B"/>
    <w:rsid w:val="009A437F"/>
    <w:rsid w:val="009A45A4"/>
    <w:rsid w:val="009A475C"/>
    <w:rsid w:val="009A4801"/>
    <w:rsid w:val="009A48EA"/>
    <w:rsid w:val="009A49B6"/>
    <w:rsid w:val="009A4B16"/>
    <w:rsid w:val="009A4BA8"/>
    <w:rsid w:val="009A4C19"/>
    <w:rsid w:val="009A4C9F"/>
    <w:rsid w:val="009A4D00"/>
    <w:rsid w:val="009A4E5B"/>
    <w:rsid w:val="009A4EBC"/>
    <w:rsid w:val="009A4F9D"/>
    <w:rsid w:val="009A5028"/>
    <w:rsid w:val="009A5348"/>
    <w:rsid w:val="009A535F"/>
    <w:rsid w:val="009A5360"/>
    <w:rsid w:val="009A54A5"/>
    <w:rsid w:val="009A556A"/>
    <w:rsid w:val="009A562C"/>
    <w:rsid w:val="009A5901"/>
    <w:rsid w:val="009A5A13"/>
    <w:rsid w:val="009A5A78"/>
    <w:rsid w:val="009A5A8B"/>
    <w:rsid w:val="009A5B25"/>
    <w:rsid w:val="009A5B2B"/>
    <w:rsid w:val="009A5BDF"/>
    <w:rsid w:val="009A5CAF"/>
    <w:rsid w:val="009A5D30"/>
    <w:rsid w:val="009A5E1B"/>
    <w:rsid w:val="009A5E6D"/>
    <w:rsid w:val="009A5EA9"/>
    <w:rsid w:val="009A5EE2"/>
    <w:rsid w:val="009A61E0"/>
    <w:rsid w:val="009A6289"/>
    <w:rsid w:val="009A6344"/>
    <w:rsid w:val="009A6347"/>
    <w:rsid w:val="009A6364"/>
    <w:rsid w:val="009A6384"/>
    <w:rsid w:val="009A6559"/>
    <w:rsid w:val="009A6668"/>
    <w:rsid w:val="009A67C8"/>
    <w:rsid w:val="009A68F9"/>
    <w:rsid w:val="009A68FE"/>
    <w:rsid w:val="009A6A35"/>
    <w:rsid w:val="009A6A4B"/>
    <w:rsid w:val="009A6A7D"/>
    <w:rsid w:val="009A6AF1"/>
    <w:rsid w:val="009A6BE5"/>
    <w:rsid w:val="009A6CD1"/>
    <w:rsid w:val="009A6F12"/>
    <w:rsid w:val="009A6FC9"/>
    <w:rsid w:val="009A71AA"/>
    <w:rsid w:val="009A7381"/>
    <w:rsid w:val="009A75CE"/>
    <w:rsid w:val="009A7628"/>
    <w:rsid w:val="009A775B"/>
    <w:rsid w:val="009A7932"/>
    <w:rsid w:val="009A7937"/>
    <w:rsid w:val="009A79BB"/>
    <w:rsid w:val="009A7BF8"/>
    <w:rsid w:val="009A7C8A"/>
    <w:rsid w:val="009A7D35"/>
    <w:rsid w:val="009A7D71"/>
    <w:rsid w:val="009A7DAF"/>
    <w:rsid w:val="009A7E67"/>
    <w:rsid w:val="009A7EAA"/>
    <w:rsid w:val="009A7F34"/>
    <w:rsid w:val="009A7F7E"/>
    <w:rsid w:val="009A7FF9"/>
    <w:rsid w:val="009B007E"/>
    <w:rsid w:val="009B0250"/>
    <w:rsid w:val="009B0283"/>
    <w:rsid w:val="009B0363"/>
    <w:rsid w:val="009B054E"/>
    <w:rsid w:val="009B05EC"/>
    <w:rsid w:val="009B06C9"/>
    <w:rsid w:val="009B092E"/>
    <w:rsid w:val="009B0B93"/>
    <w:rsid w:val="009B0C6D"/>
    <w:rsid w:val="009B0E11"/>
    <w:rsid w:val="009B0EB3"/>
    <w:rsid w:val="009B116E"/>
    <w:rsid w:val="009B12BE"/>
    <w:rsid w:val="009B12C2"/>
    <w:rsid w:val="009B133D"/>
    <w:rsid w:val="009B136E"/>
    <w:rsid w:val="009B1602"/>
    <w:rsid w:val="009B174D"/>
    <w:rsid w:val="009B175C"/>
    <w:rsid w:val="009B19EA"/>
    <w:rsid w:val="009B1AA5"/>
    <w:rsid w:val="009B1BD7"/>
    <w:rsid w:val="009B1D8B"/>
    <w:rsid w:val="009B1E16"/>
    <w:rsid w:val="009B1F04"/>
    <w:rsid w:val="009B1F05"/>
    <w:rsid w:val="009B2148"/>
    <w:rsid w:val="009B2168"/>
    <w:rsid w:val="009B21D7"/>
    <w:rsid w:val="009B2245"/>
    <w:rsid w:val="009B22D2"/>
    <w:rsid w:val="009B239F"/>
    <w:rsid w:val="009B240A"/>
    <w:rsid w:val="009B2422"/>
    <w:rsid w:val="009B2528"/>
    <w:rsid w:val="009B258E"/>
    <w:rsid w:val="009B2646"/>
    <w:rsid w:val="009B2678"/>
    <w:rsid w:val="009B29DD"/>
    <w:rsid w:val="009B2AC6"/>
    <w:rsid w:val="009B2C26"/>
    <w:rsid w:val="009B2CCC"/>
    <w:rsid w:val="009B2DAA"/>
    <w:rsid w:val="009B30CB"/>
    <w:rsid w:val="009B3176"/>
    <w:rsid w:val="009B31C0"/>
    <w:rsid w:val="009B325A"/>
    <w:rsid w:val="009B35B1"/>
    <w:rsid w:val="009B35BC"/>
    <w:rsid w:val="009B3608"/>
    <w:rsid w:val="009B3624"/>
    <w:rsid w:val="009B39FD"/>
    <w:rsid w:val="009B3B47"/>
    <w:rsid w:val="009B3C52"/>
    <w:rsid w:val="009B3E6D"/>
    <w:rsid w:val="009B3F49"/>
    <w:rsid w:val="009B409A"/>
    <w:rsid w:val="009B40CE"/>
    <w:rsid w:val="009B4125"/>
    <w:rsid w:val="009B4190"/>
    <w:rsid w:val="009B41A4"/>
    <w:rsid w:val="009B4226"/>
    <w:rsid w:val="009B4253"/>
    <w:rsid w:val="009B4282"/>
    <w:rsid w:val="009B4561"/>
    <w:rsid w:val="009B47D9"/>
    <w:rsid w:val="009B4A0A"/>
    <w:rsid w:val="009B4D59"/>
    <w:rsid w:val="009B4E0A"/>
    <w:rsid w:val="009B4EAE"/>
    <w:rsid w:val="009B4F18"/>
    <w:rsid w:val="009B5013"/>
    <w:rsid w:val="009B5101"/>
    <w:rsid w:val="009B51AA"/>
    <w:rsid w:val="009B538B"/>
    <w:rsid w:val="009B546A"/>
    <w:rsid w:val="009B5489"/>
    <w:rsid w:val="009B54FB"/>
    <w:rsid w:val="009B550D"/>
    <w:rsid w:val="009B5689"/>
    <w:rsid w:val="009B580B"/>
    <w:rsid w:val="009B5817"/>
    <w:rsid w:val="009B5997"/>
    <w:rsid w:val="009B5B31"/>
    <w:rsid w:val="009B5B33"/>
    <w:rsid w:val="009B5BB4"/>
    <w:rsid w:val="009B5CBA"/>
    <w:rsid w:val="009B5E05"/>
    <w:rsid w:val="009B5E70"/>
    <w:rsid w:val="009B5FAE"/>
    <w:rsid w:val="009B62CF"/>
    <w:rsid w:val="009B640B"/>
    <w:rsid w:val="009B6462"/>
    <w:rsid w:val="009B66AD"/>
    <w:rsid w:val="009B671D"/>
    <w:rsid w:val="009B6B23"/>
    <w:rsid w:val="009B6B2B"/>
    <w:rsid w:val="009B6DDB"/>
    <w:rsid w:val="009B6DDE"/>
    <w:rsid w:val="009B6F29"/>
    <w:rsid w:val="009B714E"/>
    <w:rsid w:val="009B722D"/>
    <w:rsid w:val="009B7326"/>
    <w:rsid w:val="009B735A"/>
    <w:rsid w:val="009B73AE"/>
    <w:rsid w:val="009B749E"/>
    <w:rsid w:val="009B750F"/>
    <w:rsid w:val="009B7535"/>
    <w:rsid w:val="009B7559"/>
    <w:rsid w:val="009B75E6"/>
    <w:rsid w:val="009B7722"/>
    <w:rsid w:val="009B775C"/>
    <w:rsid w:val="009B77D0"/>
    <w:rsid w:val="009B7836"/>
    <w:rsid w:val="009B783C"/>
    <w:rsid w:val="009B78AF"/>
    <w:rsid w:val="009B7ABD"/>
    <w:rsid w:val="009B7CF8"/>
    <w:rsid w:val="009B7DC9"/>
    <w:rsid w:val="009C0059"/>
    <w:rsid w:val="009C0077"/>
    <w:rsid w:val="009C00BC"/>
    <w:rsid w:val="009C0231"/>
    <w:rsid w:val="009C02A5"/>
    <w:rsid w:val="009C0366"/>
    <w:rsid w:val="009C0425"/>
    <w:rsid w:val="009C04D3"/>
    <w:rsid w:val="009C04F1"/>
    <w:rsid w:val="009C0507"/>
    <w:rsid w:val="009C05A9"/>
    <w:rsid w:val="009C05F0"/>
    <w:rsid w:val="009C0652"/>
    <w:rsid w:val="009C06D3"/>
    <w:rsid w:val="009C0753"/>
    <w:rsid w:val="009C08B5"/>
    <w:rsid w:val="009C09DC"/>
    <w:rsid w:val="009C0B9F"/>
    <w:rsid w:val="009C0BD3"/>
    <w:rsid w:val="009C0D9D"/>
    <w:rsid w:val="009C10FC"/>
    <w:rsid w:val="009C138D"/>
    <w:rsid w:val="009C142C"/>
    <w:rsid w:val="009C148F"/>
    <w:rsid w:val="009C149D"/>
    <w:rsid w:val="009C1537"/>
    <w:rsid w:val="009C1640"/>
    <w:rsid w:val="009C16C2"/>
    <w:rsid w:val="009C176F"/>
    <w:rsid w:val="009C1780"/>
    <w:rsid w:val="009C19A7"/>
    <w:rsid w:val="009C1D27"/>
    <w:rsid w:val="009C1E15"/>
    <w:rsid w:val="009C1E88"/>
    <w:rsid w:val="009C1E8E"/>
    <w:rsid w:val="009C2169"/>
    <w:rsid w:val="009C21B7"/>
    <w:rsid w:val="009C2264"/>
    <w:rsid w:val="009C230F"/>
    <w:rsid w:val="009C2350"/>
    <w:rsid w:val="009C239E"/>
    <w:rsid w:val="009C2448"/>
    <w:rsid w:val="009C2530"/>
    <w:rsid w:val="009C2799"/>
    <w:rsid w:val="009C29CF"/>
    <w:rsid w:val="009C2A83"/>
    <w:rsid w:val="009C3158"/>
    <w:rsid w:val="009C33DE"/>
    <w:rsid w:val="009C3614"/>
    <w:rsid w:val="009C371E"/>
    <w:rsid w:val="009C3737"/>
    <w:rsid w:val="009C38C7"/>
    <w:rsid w:val="009C3961"/>
    <w:rsid w:val="009C398B"/>
    <w:rsid w:val="009C39EB"/>
    <w:rsid w:val="009C3BD9"/>
    <w:rsid w:val="009C3CE0"/>
    <w:rsid w:val="009C3CF5"/>
    <w:rsid w:val="009C3D71"/>
    <w:rsid w:val="009C3D95"/>
    <w:rsid w:val="009C3D9D"/>
    <w:rsid w:val="009C3DC5"/>
    <w:rsid w:val="009C3EB0"/>
    <w:rsid w:val="009C3EC3"/>
    <w:rsid w:val="009C3EC8"/>
    <w:rsid w:val="009C3F8C"/>
    <w:rsid w:val="009C4076"/>
    <w:rsid w:val="009C4079"/>
    <w:rsid w:val="009C40DF"/>
    <w:rsid w:val="009C40F7"/>
    <w:rsid w:val="009C4145"/>
    <w:rsid w:val="009C419C"/>
    <w:rsid w:val="009C434F"/>
    <w:rsid w:val="009C4581"/>
    <w:rsid w:val="009C460B"/>
    <w:rsid w:val="009C48E3"/>
    <w:rsid w:val="009C495C"/>
    <w:rsid w:val="009C4A7B"/>
    <w:rsid w:val="009C4ACE"/>
    <w:rsid w:val="009C4B15"/>
    <w:rsid w:val="009C4B2E"/>
    <w:rsid w:val="009C4B40"/>
    <w:rsid w:val="009C4B74"/>
    <w:rsid w:val="009C4B91"/>
    <w:rsid w:val="009C4CC7"/>
    <w:rsid w:val="009C4D8B"/>
    <w:rsid w:val="009C4E0A"/>
    <w:rsid w:val="009C4EF1"/>
    <w:rsid w:val="009C4F5B"/>
    <w:rsid w:val="009C4F6C"/>
    <w:rsid w:val="009C4FE6"/>
    <w:rsid w:val="009C51B8"/>
    <w:rsid w:val="009C53D1"/>
    <w:rsid w:val="009C540A"/>
    <w:rsid w:val="009C541A"/>
    <w:rsid w:val="009C550D"/>
    <w:rsid w:val="009C5651"/>
    <w:rsid w:val="009C5773"/>
    <w:rsid w:val="009C57C6"/>
    <w:rsid w:val="009C596B"/>
    <w:rsid w:val="009C59B0"/>
    <w:rsid w:val="009C5B82"/>
    <w:rsid w:val="009C5E8A"/>
    <w:rsid w:val="009C607F"/>
    <w:rsid w:val="009C618A"/>
    <w:rsid w:val="009C61B1"/>
    <w:rsid w:val="009C6288"/>
    <w:rsid w:val="009C6314"/>
    <w:rsid w:val="009C6445"/>
    <w:rsid w:val="009C64EA"/>
    <w:rsid w:val="009C64EF"/>
    <w:rsid w:val="009C6636"/>
    <w:rsid w:val="009C6749"/>
    <w:rsid w:val="009C6813"/>
    <w:rsid w:val="009C681E"/>
    <w:rsid w:val="009C688D"/>
    <w:rsid w:val="009C6899"/>
    <w:rsid w:val="009C68D2"/>
    <w:rsid w:val="009C697B"/>
    <w:rsid w:val="009C6A7D"/>
    <w:rsid w:val="009C6AF6"/>
    <w:rsid w:val="009C6B40"/>
    <w:rsid w:val="009C6B76"/>
    <w:rsid w:val="009C6C55"/>
    <w:rsid w:val="009C6E97"/>
    <w:rsid w:val="009C6EBC"/>
    <w:rsid w:val="009C6FDE"/>
    <w:rsid w:val="009C709E"/>
    <w:rsid w:val="009C7105"/>
    <w:rsid w:val="009C7259"/>
    <w:rsid w:val="009C72E4"/>
    <w:rsid w:val="009C72EF"/>
    <w:rsid w:val="009C751B"/>
    <w:rsid w:val="009C756E"/>
    <w:rsid w:val="009C7657"/>
    <w:rsid w:val="009C7898"/>
    <w:rsid w:val="009C7B26"/>
    <w:rsid w:val="009C7C02"/>
    <w:rsid w:val="009C7CA5"/>
    <w:rsid w:val="009C7D38"/>
    <w:rsid w:val="009C7D58"/>
    <w:rsid w:val="009C7DE4"/>
    <w:rsid w:val="009C7F4E"/>
    <w:rsid w:val="009D0092"/>
    <w:rsid w:val="009D00A8"/>
    <w:rsid w:val="009D017E"/>
    <w:rsid w:val="009D0381"/>
    <w:rsid w:val="009D03DE"/>
    <w:rsid w:val="009D04B8"/>
    <w:rsid w:val="009D04D1"/>
    <w:rsid w:val="009D05B0"/>
    <w:rsid w:val="009D05BD"/>
    <w:rsid w:val="009D0792"/>
    <w:rsid w:val="009D09E1"/>
    <w:rsid w:val="009D0A9E"/>
    <w:rsid w:val="009D0ADC"/>
    <w:rsid w:val="009D0C14"/>
    <w:rsid w:val="009D0E4B"/>
    <w:rsid w:val="009D0E6B"/>
    <w:rsid w:val="009D0E92"/>
    <w:rsid w:val="009D0EE9"/>
    <w:rsid w:val="009D0FFA"/>
    <w:rsid w:val="009D10C3"/>
    <w:rsid w:val="009D13E1"/>
    <w:rsid w:val="009D148A"/>
    <w:rsid w:val="009D172A"/>
    <w:rsid w:val="009D177D"/>
    <w:rsid w:val="009D17BF"/>
    <w:rsid w:val="009D189E"/>
    <w:rsid w:val="009D1BBA"/>
    <w:rsid w:val="009D1DA2"/>
    <w:rsid w:val="009D1DFD"/>
    <w:rsid w:val="009D20BF"/>
    <w:rsid w:val="009D2148"/>
    <w:rsid w:val="009D21BE"/>
    <w:rsid w:val="009D21D2"/>
    <w:rsid w:val="009D21DA"/>
    <w:rsid w:val="009D22F5"/>
    <w:rsid w:val="009D2417"/>
    <w:rsid w:val="009D260A"/>
    <w:rsid w:val="009D26B9"/>
    <w:rsid w:val="009D278A"/>
    <w:rsid w:val="009D27A8"/>
    <w:rsid w:val="009D28B1"/>
    <w:rsid w:val="009D294B"/>
    <w:rsid w:val="009D29D4"/>
    <w:rsid w:val="009D29F9"/>
    <w:rsid w:val="009D2BAB"/>
    <w:rsid w:val="009D2BE0"/>
    <w:rsid w:val="009D2C89"/>
    <w:rsid w:val="009D2D26"/>
    <w:rsid w:val="009D2D7E"/>
    <w:rsid w:val="009D2E3B"/>
    <w:rsid w:val="009D2ED6"/>
    <w:rsid w:val="009D2EF1"/>
    <w:rsid w:val="009D30C9"/>
    <w:rsid w:val="009D327C"/>
    <w:rsid w:val="009D3310"/>
    <w:rsid w:val="009D34C4"/>
    <w:rsid w:val="009D34E9"/>
    <w:rsid w:val="009D3529"/>
    <w:rsid w:val="009D3905"/>
    <w:rsid w:val="009D391F"/>
    <w:rsid w:val="009D3AD4"/>
    <w:rsid w:val="009D3AF3"/>
    <w:rsid w:val="009D3BEF"/>
    <w:rsid w:val="009D3C3D"/>
    <w:rsid w:val="009D41E9"/>
    <w:rsid w:val="009D4247"/>
    <w:rsid w:val="009D438F"/>
    <w:rsid w:val="009D45EE"/>
    <w:rsid w:val="009D484A"/>
    <w:rsid w:val="009D4949"/>
    <w:rsid w:val="009D4A1F"/>
    <w:rsid w:val="009D4A75"/>
    <w:rsid w:val="009D4CF8"/>
    <w:rsid w:val="009D4DA3"/>
    <w:rsid w:val="009D4DB9"/>
    <w:rsid w:val="009D4DC0"/>
    <w:rsid w:val="009D4F6E"/>
    <w:rsid w:val="009D505F"/>
    <w:rsid w:val="009D509A"/>
    <w:rsid w:val="009D5132"/>
    <w:rsid w:val="009D51E0"/>
    <w:rsid w:val="009D5288"/>
    <w:rsid w:val="009D534B"/>
    <w:rsid w:val="009D539C"/>
    <w:rsid w:val="009D5424"/>
    <w:rsid w:val="009D559D"/>
    <w:rsid w:val="009D55F1"/>
    <w:rsid w:val="009D56C4"/>
    <w:rsid w:val="009D57AF"/>
    <w:rsid w:val="009D5867"/>
    <w:rsid w:val="009D5878"/>
    <w:rsid w:val="009D5887"/>
    <w:rsid w:val="009D5916"/>
    <w:rsid w:val="009D5A37"/>
    <w:rsid w:val="009D5A51"/>
    <w:rsid w:val="009D5B3E"/>
    <w:rsid w:val="009D5BB1"/>
    <w:rsid w:val="009D5CF5"/>
    <w:rsid w:val="009D5EE9"/>
    <w:rsid w:val="009D5F82"/>
    <w:rsid w:val="009D6056"/>
    <w:rsid w:val="009D60F4"/>
    <w:rsid w:val="009D61D1"/>
    <w:rsid w:val="009D62A8"/>
    <w:rsid w:val="009D634D"/>
    <w:rsid w:val="009D635B"/>
    <w:rsid w:val="009D63B1"/>
    <w:rsid w:val="009D64CF"/>
    <w:rsid w:val="009D64F3"/>
    <w:rsid w:val="009D658F"/>
    <w:rsid w:val="009D6858"/>
    <w:rsid w:val="009D6C94"/>
    <w:rsid w:val="009D6C9E"/>
    <w:rsid w:val="009D6ED2"/>
    <w:rsid w:val="009D6FFE"/>
    <w:rsid w:val="009D7072"/>
    <w:rsid w:val="009D708C"/>
    <w:rsid w:val="009D708E"/>
    <w:rsid w:val="009D70FB"/>
    <w:rsid w:val="009D7602"/>
    <w:rsid w:val="009D77ED"/>
    <w:rsid w:val="009D798C"/>
    <w:rsid w:val="009D7AF6"/>
    <w:rsid w:val="009D7BDD"/>
    <w:rsid w:val="009D7C2F"/>
    <w:rsid w:val="009D7C6E"/>
    <w:rsid w:val="009D7C71"/>
    <w:rsid w:val="009D7C85"/>
    <w:rsid w:val="009D7D53"/>
    <w:rsid w:val="009D7FAC"/>
    <w:rsid w:val="009D7FDF"/>
    <w:rsid w:val="009E0110"/>
    <w:rsid w:val="009E01B3"/>
    <w:rsid w:val="009E026F"/>
    <w:rsid w:val="009E037F"/>
    <w:rsid w:val="009E03A1"/>
    <w:rsid w:val="009E047E"/>
    <w:rsid w:val="009E0825"/>
    <w:rsid w:val="009E0A20"/>
    <w:rsid w:val="009E0B62"/>
    <w:rsid w:val="009E0BB6"/>
    <w:rsid w:val="009E0C0F"/>
    <w:rsid w:val="009E0CEC"/>
    <w:rsid w:val="009E0D5A"/>
    <w:rsid w:val="009E0D6F"/>
    <w:rsid w:val="009E1254"/>
    <w:rsid w:val="009E12D9"/>
    <w:rsid w:val="009E13A1"/>
    <w:rsid w:val="009E187A"/>
    <w:rsid w:val="009E193A"/>
    <w:rsid w:val="009E1A9E"/>
    <w:rsid w:val="009E1AAB"/>
    <w:rsid w:val="009E1BF1"/>
    <w:rsid w:val="009E1C72"/>
    <w:rsid w:val="009E1D08"/>
    <w:rsid w:val="009E1E3D"/>
    <w:rsid w:val="009E21B8"/>
    <w:rsid w:val="009E23BC"/>
    <w:rsid w:val="009E23FB"/>
    <w:rsid w:val="009E254F"/>
    <w:rsid w:val="009E25CA"/>
    <w:rsid w:val="009E2719"/>
    <w:rsid w:val="009E2AD3"/>
    <w:rsid w:val="009E2D51"/>
    <w:rsid w:val="009E2DA8"/>
    <w:rsid w:val="009E2DB6"/>
    <w:rsid w:val="009E2E30"/>
    <w:rsid w:val="009E2E49"/>
    <w:rsid w:val="009E2E6A"/>
    <w:rsid w:val="009E3158"/>
    <w:rsid w:val="009E3221"/>
    <w:rsid w:val="009E32AB"/>
    <w:rsid w:val="009E345A"/>
    <w:rsid w:val="009E3750"/>
    <w:rsid w:val="009E3751"/>
    <w:rsid w:val="009E3785"/>
    <w:rsid w:val="009E379C"/>
    <w:rsid w:val="009E3864"/>
    <w:rsid w:val="009E38C5"/>
    <w:rsid w:val="009E39A3"/>
    <w:rsid w:val="009E39B8"/>
    <w:rsid w:val="009E3C1B"/>
    <w:rsid w:val="009E3D16"/>
    <w:rsid w:val="009E3D7D"/>
    <w:rsid w:val="009E3DB9"/>
    <w:rsid w:val="009E3E10"/>
    <w:rsid w:val="009E400D"/>
    <w:rsid w:val="009E40B0"/>
    <w:rsid w:val="009E4303"/>
    <w:rsid w:val="009E457C"/>
    <w:rsid w:val="009E467B"/>
    <w:rsid w:val="009E46F6"/>
    <w:rsid w:val="009E47E5"/>
    <w:rsid w:val="009E4AD0"/>
    <w:rsid w:val="009E4AE4"/>
    <w:rsid w:val="009E4B60"/>
    <w:rsid w:val="009E4B68"/>
    <w:rsid w:val="009E4C18"/>
    <w:rsid w:val="009E4E22"/>
    <w:rsid w:val="009E4E4A"/>
    <w:rsid w:val="009E4EFC"/>
    <w:rsid w:val="009E4F71"/>
    <w:rsid w:val="009E4FE9"/>
    <w:rsid w:val="009E5249"/>
    <w:rsid w:val="009E5349"/>
    <w:rsid w:val="009E54E9"/>
    <w:rsid w:val="009E5572"/>
    <w:rsid w:val="009E57CA"/>
    <w:rsid w:val="009E57EC"/>
    <w:rsid w:val="009E57ED"/>
    <w:rsid w:val="009E5831"/>
    <w:rsid w:val="009E5AB3"/>
    <w:rsid w:val="009E5B66"/>
    <w:rsid w:val="009E5CB4"/>
    <w:rsid w:val="009E5DAB"/>
    <w:rsid w:val="009E5EF9"/>
    <w:rsid w:val="009E63A2"/>
    <w:rsid w:val="009E63D6"/>
    <w:rsid w:val="009E640F"/>
    <w:rsid w:val="009E642F"/>
    <w:rsid w:val="009E67E7"/>
    <w:rsid w:val="009E68EC"/>
    <w:rsid w:val="009E690F"/>
    <w:rsid w:val="009E6A59"/>
    <w:rsid w:val="009E6B3A"/>
    <w:rsid w:val="009E6BE9"/>
    <w:rsid w:val="009E6C03"/>
    <w:rsid w:val="009E6C20"/>
    <w:rsid w:val="009E6F64"/>
    <w:rsid w:val="009E7085"/>
    <w:rsid w:val="009E738E"/>
    <w:rsid w:val="009E73D9"/>
    <w:rsid w:val="009E74AF"/>
    <w:rsid w:val="009E754B"/>
    <w:rsid w:val="009E754D"/>
    <w:rsid w:val="009E7594"/>
    <w:rsid w:val="009E75C8"/>
    <w:rsid w:val="009E773C"/>
    <w:rsid w:val="009E7793"/>
    <w:rsid w:val="009E7842"/>
    <w:rsid w:val="009E78FE"/>
    <w:rsid w:val="009E7B13"/>
    <w:rsid w:val="009E7B88"/>
    <w:rsid w:val="009E7F48"/>
    <w:rsid w:val="009F0214"/>
    <w:rsid w:val="009F0267"/>
    <w:rsid w:val="009F041F"/>
    <w:rsid w:val="009F04FC"/>
    <w:rsid w:val="009F0774"/>
    <w:rsid w:val="009F077F"/>
    <w:rsid w:val="009F0927"/>
    <w:rsid w:val="009F09B6"/>
    <w:rsid w:val="009F0AAF"/>
    <w:rsid w:val="009F0B72"/>
    <w:rsid w:val="009F0B94"/>
    <w:rsid w:val="009F0C82"/>
    <w:rsid w:val="009F0E4A"/>
    <w:rsid w:val="009F0E66"/>
    <w:rsid w:val="009F0EB3"/>
    <w:rsid w:val="009F0F48"/>
    <w:rsid w:val="009F0FA8"/>
    <w:rsid w:val="009F10A6"/>
    <w:rsid w:val="009F1293"/>
    <w:rsid w:val="009F12C9"/>
    <w:rsid w:val="009F12DC"/>
    <w:rsid w:val="009F1334"/>
    <w:rsid w:val="009F1422"/>
    <w:rsid w:val="009F146F"/>
    <w:rsid w:val="009F1492"/>
    <w:rsid w:val="009F1694"/>
    <w:rsid w:val="009F16CE"/>
    <w:rsid w:val="009F18CF"/>
    <w:rsid w:val="009F1970"/>
    <w:rsid w:val="009F1A56"/>
    <w:rsid w:val="009F1ADF"/>
    <w:rsid w:val="009F1B33"/>
    <w:rsid w:val="009F1BE0"/>
    <w:rsid w:val="009F1D9D"/>
    <w:rsid w:val="009F1F46"/>
    <w:rsid w:val="009F237C"/>
    <w:rsid w:val="009F2799"/>
    <w:rsid w:val="009F27FB"/>
    <w:rsid w:val="009F28C2"/>
    <w:rsid w:val="009F28D6"/>
    <w:rsid w:val="009F2955"/>
    <w:rsid w:val="009F2C43"/>
    <w:rsid w:val="009F2CC9"/>
    <w:rsid w:val="009F30A5"/>
    <w:rsid w:val="009F311C"/>
    <w:rsid w:val="009F3196"/>
    <w:rsid w:val="009F338A"/>
    <w:rsid w:val="009F3442"/>
    <w:rsid w:val="009F34EE"/>
    <w:rsid w:val="009F35DD"/>
    <w:rsid w:val="009F3634"/>
    <w:rsid w:val="009F3789"/>
    <w:rsid w:val="009F3C75"/>
    <w:rsid w:val="009F3EC2"/>
    <w:rsid w:val="009F3F2A"/>
    <w:rsid w:val="009F3FC5"/>
    <w:rsid w:val="009F405F"/>
    <w:rsid w:val="009F4132"/>
    <w:rsid w:val="009F416C"/>
    <w:rsid w:val="009F417D"/>
    <w:rsid w:val="009F41ED"/>
    <w:rsid w:val="009F4252"/>
    <w:rsid w:val="009F4268"/>
    <w:rsid w:val="009F44F7"/>
    <w:rsid w:val="009F4502"/>
    <w:rsid w:val="009F458F"/>
    <w:rsid w:val="009F45F0"/>
    <w:rsid w:val="009F472F"/>
    <w:rsid w:val="009F47B6"/>
    <w:rsid w:val="009F47D9"/>
    <w:rsid w:val="009F4834"/>
    <w:rsid w:val="009F4906"/>
    <w:rsid w:val="009F4963"/>
    <w:rsid w:val="009F4AB7"/>
    <w:rsid w:val="009F4E5F"/>
    <w:rsid w:val="009F4F76"/>
    <w:rsid w:val="009F5001"/>
    <w:rsid w:val="009F561E"/>
    <w:rsid w:val="009F56FF"/>
    <w:rsid w:val="009F571C"/>
    <w:rsid w:val="009F57B2"/>
    <w:rsid w:val="009F58E1"/>
    <w:rsid w:val="009F591A"/>
    <w:rsid w:val="009F5DE8"/>
    <w:rsid w:val="009F5E69"/>
    <w:rsid w:val="009F5EC1"/>
    <w:rsid w:val="009F5F7F"/>
    <w:rsid w:val="009F645E"/>
    <w:rsid w:val="009F649C"/>
    <w:rsid w:val="009F64E6"/>
    <w:rsid w:val="009F6A3A"/>
    <w:rsid w:val="009F6AB8"/>
    <w:rsid w:val="009F6BB4"/>
    <w:rsid w:val="009F6ECB"/>
    <w:rsid w:val="009F6F58"/>
    <w:rsid w:val="009F6FBB"/>
    <w:rsid w:val="009F725B"/>
    <w:rsid w:val="009F725F"/>
    <w:rsid w:val="009F7364"/>
    <w:rsid w:val="009F7372"/>
    <w:rsid w:val="009F739C"/>
    <w:rsid w:val="009F74B8"/>
    <w:rsid w:val="009F7503"/>
    <w:rsid w:val="009F7548"/>
    <w:rsid w:val="009F766E"/>
    <w:rsid w:val="009F78CE"/>
    <w:rsid w:val="009F791C"/>
    <w:rsid w:val="009F7A5B"/>
    <w:rsid w:val="009F7D23"/>
    <w:rsid w:val="009F7DA1"/>
    <w:rsid w:val="00A00063"/>
    <w:rsid w:val="00A000EB"/>
    <w:rsid w:val="00A00134"/>
    <w:rsid w:val="00A0014E"/>
    <w:rsid w:val="00A0037E"/>
    <w:rsid w:val="00A00421"/>
    <w:rsid w:val="00A00458"/>
    <w:rsid w:val="00A004A3"/>
    <w:rsid w:val="00A0059E"/>
    <w:rsid w:val="00A00613"/>
    <w:rsid w:val="00A00627"/>
    <w:rsid w:val="00A00660"/>
    <w:rsid w:val="00A006AF"/>
    <w:rsid w:val="00A006E1"/>
    <w:rsid w:val="00A007FD"/>
    <w:rsid w:val="00A00BB0"/>
    <w:rsid w:val="00A00BB2"/>
    <w:rsid w:val="00A00BEF"/>
    <w:rsid w:val="00A00C09"/>
    <w:rsid w:val="00A00C50"/>
    <w:rsid w:val="00A00C7F"/>
    <w:rsid w:val="00A00CD3"/>
    <w:rsid w:val="00A00CED"/>
    <w:rsid w:val="00A00DB1"/>
    <w:rsid w:val="00A00DED"/>
    <w:rsid w:val="00A00DF6"/>
    <w:rsid w:val="00A00F7D"/>
    <w:rsid w:val="00A00FE2"/>
    <w:rsid w:val="00A00FF4"/>
    <w:rsid w:val="00A00FFE"/>
    <w:rsid w:val="00A01062"/>
    <w:rsid w:val="00A01108"/>
    <w:rsid w:val="00A0118E"/>
    <w:rsid w:val="00A01303"/>
    <w:rsid w:val="00A01433"/>
    <w:rsid w:val="00A01551"/>
    <w:rsid w:val="00A01647"/>
    <w:rsid w:val="00A01911"/>
    <w:rsid w:val="00A0193B"/>
    <w:rsid w:val="00A01A53"/>
    <w:rsid w:val="00A01CF8"/>
    <w:rsid w:val="00A01D8A"/>
    <w:rsid w:val="00A01E7B"/>
    <w:rsid w:val="00A01FBF"/>
    <w:rsid w:val="00A01FD5"/>
    <w:rsid w:val="00A024F5"/>
    <w:rsid w:val="00A026B7"/>
    <w:rsid w:val="00A026C7"/>
    <w:rsid w:val="00A026F6"/>
    <w:rsid w:val="00A0273A"/>
    <w:rsid w:val="00A02908"/>
    <w:rsid w:val="00A02A14"/>
    <w:rsid w:val="00A02A15"/>
    <w:rsid w:val="00A02A1F"/>
    <w:rsid w:val="00A02A26"/>
    <w:rsid w:val="00A02AB1"/>
    <w:rsid w:val="00A02B82"/>
    <w:rsid w:val="00A02C4F"/>
    <w:rsid w:val="00A02CD9"/>
    <w:rsid w:val="00A02DA6"/>
    <w:rsid w:val="00A02F60"/>
    <w:rsid w:val="00A02FCF"/>
    <w:rsid w:val="00A03125"/>
    <w:rsid w:val="00A03304"/>
    <w:rsid w:val="00A033AD"/>
    <w:rsid w:val="00A034A0"/>
    <w:rsid w:val="00A03529"/>
    <w:rsid w:val="00A03642"/>
    <w:rsid w:val="00A03721"/>
    <w:rsid w:val="00A03755"/>
    <w:rsid w:val="00A03772"/>
    <w:rsid w:val="00A0385F"/>
    <w:rsid w:val="00A03BD6"/>
    <w:rsid w:val="00A03DAE"/>
    <w:rsid w:val="00A03F87"/>
    <w:rsid w:val="00A04057"/>
    <w:rsid w:val="00A041C8"/>
    <w:rsid w:val="00A04470"/>
    <w:rsid w:val="00A045B2"/>
    <w:rsid w:val="00A046D6"/>
    <w:rsid w:val="00A04889"/>
    <w:rsid w:val="00A04A09"/>
    <w:rsid w:val="00A04A0F"/>
    <w:rsid w:val="00A04AA1"/>
    <w:rsid w:val="00A04B9F"/>
    <w:rsid w:val="00A04C50"/>
    <w:rsid w:val="00A04C80"/>
    <w:rsid w:val="00A04CD6"/>
    <w:rsid w:val="00A04E02"/>
    <w:rsid w:val="00A04E80"/>
    <w:rsid w:val="00A0546F"/>
    <w:rsid w:val="00A05597"/>
    <w:rsid w:val="00A05722"/>
    <w:rsid w:val="00A057EC"/>
    <w:rsid w:val="00A05821"/>
    <w:rsid w:val="00A05A2B"/>
    <w:rsid w:val="00A05A81"/>
    <w:rsid w:val="00A05AA1"/>
    <w:rsid w:val="00A05B0B"/>
    <w:rsid w:val="00A05B77"/>
    <w:rsid w:val="00A05D1D"/>
    <w:rsid w:val="00A05D2D"/>
    <w:rsid w:val="00A05E73"/>
    <w:rsid w:val="00A05EA2"/>
    <w:rsid w:val="00A06069"/>
    <w:rsid w:val="00A06102"/>
    <w:rsid w:val="00A06149"/>
    <w:rsid w:val="00A06329"/>
    <w:rsid w:val="00A06409"/>
    <w:rsid w:val="00A065E9"/>
    <w:rsid w:val="00A067A8"/>
    <w:rsid w:val="00A069F0"/>
    <w:rsid w:val="00A06A67"/>
    <w:rsid w:val="00A06A9C"/>
    <w:rsid w:val="00A06B44"/>
    <w:rsid w:val="00A06B72"/>
    <w:rsid w:val="00A06C8E"/>
    <w:rsid w:val="00A06E8A"/>
    <w:rsid w:val="00A06F16"/>
    <w:rsid w:val="00A07091"/>
    <w:rsid w:val="00A070B2"/>
    <w:rsid w:val="00A070E2"/>
    <w:rsid w:val="00A070FD"/>
    <w:rsid w:val="00A07149"/>
    <w:rsid w:val="00A0720A"/>
    <w:rsid w:val="00A072D7"/>
    <w:rsid w:val="00A073F1"/>
    <w:rsid w:val="00A074C6"/>
    <w:rsid w:val="00A07532"/>
    <w:rsid w:val="00A07563"/>
    <w:rsid w:val="00A075E5"/>
    <w:rsid w:val="00A075FA"/>
    <w:rsid w:val="00A07678"/>
    <w:rsid w:val="00A076CC"/>
    <w:rsid w:val="00A0778B"/>
    <w:rsid w:val="00A0788D"/>
    <w:rsid w:val="00A0799F"/>
    <w:rsid w:val="00A07CE4"/>
    <w:rsid w:val="00A07D90"/>
    <w:rsid w:val="00A07DA1"/>
    <w:rsid w:val="00A10022"/>
    <w:rsid w:val="00A10260"/>
    <w:rsid w:val="00A102C3"/>
    <w:rsid w:val="00A10398"/>
    <w:rsid w:val="00A1058D"/>
    <w:rsid w:val="00A10607"/>
    <w:rsid w:val="00A107DF"/>
    <w:rsid w:val="00A108E0"/>
    <w:rsid w:val="00A10A03"/>
    <w:rsid w:val="00A10A92"/>
    <w:rsid w:val="00A10C6B"/>
    <w:rsid w:val="00A10CE7"/>
    <w:rsid w:val="00A10DF7"/>
    <w:rsid w:val="00A10EC8"/>
    <w:rsid w:val="00A10F5E"/>
    <w:rsid w:val="00A10FEC"/>
    <w:rsid w:val="00A112D1"/>
    <w:rsid w:val="00A1132F"/>
    <w:rsid w:val="00A11451"/>
    <w:rsid w:val="00A11624"/>
    <w:rsid w:val="00A1165C"/>
    <w:rsid w:val="00A116ED"/>
    <w:rsid w:val="00A1191B"/>
    <w:rsid w:val="00A11930"/>
    <w:rsid w:val="00A119B6"/>
    <w:rsid w:val="00A11AA1"/>
    <w:rsid w:val="00A11BFD"/>
    <w:rsid w:val="00A11EAC"/>
    <w:rsid w:val="00A11EF9"/>
    <w:rsid w:val="00A121C0"/>
    <w:rsid w:val="00A122FC"/>
    <w:rsid w:val="00A1230D"/>
    <w:rsid w:val="00A125D6"/>
    <w:rsid w:val="00A126A6"/>
    <w:rsid w:val="00A12725"/>
    <w:rsid w:val="00A12789"/>
    <w:rsid w:val="00A12805"/>
    <w:rsid w:val="00A12A19"/>
    <w:rsid w:val="00A12A62"/>
    <w:rsid w:val="00A12B84"/>
    <w:rsid w:val="00A12C11"/>
    <w:rsid w:val="00A12DC8"/>
    <w:rsid w:val="00A12DDC"/>
    <w:rsid w:val="00A12E62"/>
    <w:rsid w:val="00A133A5"/>
    <w:rsid w:val="00A134F0"/>
    <w:rsid w:val="00A134FA"/>
    <w:rsid w:val="00A1371B"/>
    <w:rsid w:val="00A13764"/>
    <w:rsid w:val="00A137C2"/>
    <w:rsid w:val="00A13AF9"/>
    <w:rsid w:val="00A13D52"/>
    <w:rsid w:val="00A140E1"/>
    <w:rsid w:val="00A14356"/>
    <w:rsid w:val="00A1444C"/>
    <w:rsid w:val="00A144D0"/>
    <w:rsid w:val="00A14586"/>
    <w:rsid w:val="00A14617"/>
    <w:rsid w:val="00A14907"/>
    <w:rsid w:val="00A14AA2"/>
    <w:rsid w:val="00A14B9A"/>
    <w:rsid w:val="00A14BC7"/>
    <w:rsid w:val="00A14BE4"/>
    <w:rsid w:val="00A14C09"/>
    <w:rsid w:val="00A14C49"/>
    <w:rsid w:val="00A14E53"/>
    <w:rsid w:val="00A15069"/>
    <w:rsid w:val="00A1517B"/>
    <w:rsid w:val="00A15299"/>
    <w:rsid w:val="00A15379"/>
    <w:rsid w:val="00A153F5"/>
    <w:rsid w:val="00A15580"/>
    <w:rsid w:val="00A158F0"/>
    <w:rsid w:val="00A15A07"/>
    <w:rsid w:val="00A15C3F"/>
    <w:rsid w:val="00A15E25"/>
    <w:rsid w:val="00A15F07"/>
    <w:rsid w:val="00A15F2E"/>
    <w:rsid w:val="00A1607E"/>
    <w:rsid w:val="00A16148"/>
    <w:rsid w:val="00A16355"/>
    <w:rsid w:val="00A163C9"/>
    <w:rsid w:val="00A16449"/>
    <w:rsid w:val="00A164A0"/>
    <w:rsid w:val="00A1652C"/>
    <w:rsid w:val="00A1661F"/>
    <w:rsid w:val="00A16778"/>
    <w:rsid w:val="00A16A28"/>
    <w:rsid w:val="00A16B1D"/>
    <w:rsid w:val="00A16B5F"/>
    <w:rsid w:val="00A16BBE"/>
    <w:rsid w:val="00A16C05"/>
    <w:rsid w:val="00A16DF2"/>
    <w:rsid w:val="00A16E05"/>
    <w:rsid w:val="00A16E61"/>
    <w:rsid w:val="00A171D5"/>
    <w:rsid w:val="00A172DE"/>
    <w:rsid w:val="00A17366"/>
    <w:rsid w:val="00A17425"/>
    <w:rsid w:val="00A17645"/>
    <w:rsid w:val="00A178E0"/>
    <w:rsid w:val="00A17954"/>
    <w:rsid w:val="00A17C51"/>
    <w:rsid w:val="00A17C86"/>
    <w:rsid w:val="00A17CCA"/>
    <w:rsid w:val="00A17CCC"/>
    <w:rsid w:val="00A17EEF"/>
    <w:rsid w:val="00A2005E"/>
    <w:rsid w:val="00A20159"/>
    <w:rsid w:val="00A20262"/>
    <w:rsid w:val="00A204FD"/>
    <w:rsid w:val="00A204FE"/>
    <w:rsid w:val="00A2053D"/>
    <w:rsid w:val="00A205C6"/>
    <w:rsid w:val="00A205F9"/>
    <w:rsid w:val="00A209DA"/>
    <w:rsid w:val="00A20B28"/>
    <w:rsid w:val="00A20C73"/>
    <w:rsid w:val="00A20CE4"/>
    <w:rsid w:val="00A20D2C"/>
    <w:rsid w:val="00A20E26"/>
    <w:rsid w:val="00A20E35"/>
    <w:rsid w:val="00A20F90"/>
    <w:rsid w:val="00A20F9C"/>
    <w:rsid w:val="00A210F9"/>
    <w:rsid w:val="00A21250"/>
    <w:rsid w:val="00A21353"/>
    <w:rsid w:val="00A21433"/>
    <w:rsid w:val="00A218C4"/>
    <w:rsid w:val="00A21AE5"/>
    <w:rsid w:val="00A21EAB"/>
    <w:rsid w:val="00A21EF0"/>
    <w:rsid w:val="00A21F3C"/>
    <w:rsid w:val="00A21F5C"/>
    <w:rsid w:val="00A21F5D"/>
    <w:rsid w:val="00A22292"/>
    <w:rsid w:val="00A2232A"/>
    <w:rsid w:val="00A22348"/>
    <w:rsid w:val="00A223E8"/>
    <w:rsid w:val="00A22865"/>
    <w:rsid w:val="00A228AD"/>
    <w:rsid w:val="00A22B5B"/>
    <w:rsid w:val="00A22B6C"/>
    <w:rsid w:val="00A22D58"/>
    <w:rsid w:val="00A22EFC"/>
    <w:rsid w:val="00A23158"/>
    <w:rsid w:val="00A231E2"/>
    <w:rsid w:val="00A23298"/>
    <w:rsid w:val="00A232C3"/>
    <w:rsid w:val="00A23549"/>
    <w:rsid w:val="00A2357F"/>
    <w:rsid w:val="00A23588"/>
    <w:rsid w:val="00A23674"/>
    <w:rsid w:val="00A2378F"/>
    <w:rsid w:val="00A23820"/>
    <w:rsid w:val="00A23882"/>
    <w:rsid w:val="00A238DE"/>
    <w:rsid w:val="00A23997"/>
    <w:rsid w:val="00A239E6"/>
    <w:rsid w:val="00A23B24"/>
    <w:rsid w:val="00A23B95"/>
    <w:rsid w:val="00A23C43"/>
    <w:rsid w:val="00A23D13"/>
    <w:rsid w:val="00A23D1B"/>
    <w:rsid w:val="00A23D4B"/>
    <w:rsid w:val="00A23E05"/>
    <w:rsid w:val="00A24035"/>
    <w:rsid w:val="00A240F1"/>
    <w:rsid w:val="00A24304"/>
    <w:rsid w:val="00A2440D"/>
    <w:rsid w:val="00A24556"/>
    <w:rsid w:val="00A2469F"/>
    <w:rsid w:val="00A246D5"/>
    <w:rsid w:val="00A24740"/>
    <w:rsid w:val="00A24750"/>
    <w:rsid w:val="00A247BA"/>
    <w:rsid w:val="00A24803"/>
    <w:rsid w:val="00A24847"/>
    <w:rsid w:val="00A248B4"/>
    <w:rsid w:val="00A2492C"/>
    <w:rsid w:val="00A2494F"/>
    <w:rsid w:val="00A24AA5"/>
    <w:rsid w:val="00A24C4D"/>
    <w:rsid w:val="00A24E05"/>
    <w:rsid w:val="00A25079"/>
    <w:rsid w:val="00A25539"/>
    <w:rsid w:val="00A258B7"/>
    <w:rsid w:val="00A2592B"/>
    <w:rsid w:val="00A25BC6"/>
    <w:rsid w:val="00A25C01"/>
    <w:rsid w:val="00A25C82"/>
    <w:rsid w:val="00A25EB2"/>
    <w:rsid w:val="00A26049"/>
    <w:rsid w:val="00A2609B"/>
    <w:rsid w:val="00A260E5"/>
    <w:rsid w:val="00A261BC"/>
    <w:rsid w:val="00A262E8"/>
    <w:rsid w:val="00A26389"/>
    <w:rsid w:val="00A265DD"/>
    <w:rsid w:val="00A26755"/>
    <w:rsid w:val="00A2688F"/>
    <w:rsid w:val="00A2691D"/>
    <w:rsid w:val="00A26933"/>
    <w:rsid w:val="00A26966"/>
    <w:rsid w:val="00A2696A"/>
    <w:rsid w:val="00A26999"/>
    <w:rsid w:val="00A269A5"/>
    <w:rsid w:val="00A26A3A"/>
    <w:rsid w:val="00A26BCA"/>
    <w:rsid w:val="00A26D5E"/>
    <w:rsid w:val="00A270E1"/>
    <w:rsid w:val="00A271EF"/>
    <w:rsid w:val="00A27261"/>
    <w:rsid w:val="00A272DF"/>
    <w:rsid w:val="00A27605"/>
    <w:rsid w:val="00A27689"/>
    <w:rsid w:val="00A27877"/>
    <w:rsid w:val="00A27987"/>
    <w:rsid w:val="00A27A87"/>
    <w:rsid w:val="00A27B22"/>
    <w:rsid w:val="00A27B24"/>
    <w:rsid w:val="00A27B41"/>
    <w:rsid w:val="00A27BD5"/>
    <w:rsid w:val="00A27E33"/>
    <w:rsid w:val="00A3000E"/>
    <w:rsid w:val="00A30101"/>
    <w:rsid w:val="00A30133"/>
    <w:rsid w:val="00A30150"/>
    <w:rsid w:val="00A30375"/>
    <w:rsid w:val="00A303B8"/>
    <w:rsid w:val="00A303EC"/>
    <w:rsid w:val="00A304A5"/>
    <w:rsid w:val="00A30536"/>
    <w:rsid w:val="00A30561"/>
    <w:rsid w:val="00A305B5"/>
    <w:rsid w:val="00A305E1"/>
    <w:rsid w:val="00A3083E"/>
    <w:rsid w:val="00A308C4"/>
    <w:rsid w:val="00A3090A"/>
    <w:rsid w:val="00A30BE4"/>
    <w:rsid w:val="00A30D00"/>
    <w:rsid w:val="00A30DF0"/>
    <w:rsid w:val="00A30E16"/>
    <w:rsid w:val="00A30FA7"/>
    <w:rsid w:val="00A30FB7"/>
    <w:rsid w:val="00A30FDD"/>
    <w:rsid w:val="00A3122B"/>
    <w:rsid w:val="00A31295"/>
    <w:rsid w:val="00A31490"/>
    <w:rsid w:val="00A3155B"/>
    <w:rsid w:val="00A3156A"/>
    <w:rsid w:val="00A315DB"/>
    <w:rsid w:val="00A3173A"/>
    <w:rsid w:val="00A317CB"/>
    <w:rsid w:val="00A3183F"/>
    <w:rsid w:val="00A318ED"/>
    <w:rsid w:val="00A3194F"/>
    <w:rsid w:val="00A3195D"/>
    <w:rsid w:val="00A31A4F"/>
    <w:rsid w:val="00A31A7A"/>
    <w:rsid w:val="00A31D83"/>
    <w:rsid w:val="00A31E40"/>
    <w:rsid w:val="00A31E95"/>
    <w:rsid w:val="00A31F5D"/>
    <w:rsid w:val="00A31F74"/>
    <w:rsid w:val="00A31FA9"/>
    <w:rsid w:val="00A32058"/>
    <w:rsid w:val="00A320C5"/>
    <w:rsid w:val="00A32357"/>
    <w:rsid w:val="00A325A2"/>
    <w:rsid w:val="00A327A2"/>
    <w:rsid w:val="00A32AC2"/>
    <w:rsid w:val="00A32B1B"/>
    <w:rsid w:val="00A32C93"/>
    <w:rsid w:val="00A32CEF"/>
    <w:rsid w:val="00A32D23"/>
    <w:rsid w:val="00A32EF2"/>
    <w:rsid w:val="00A32F3A"/>
    <w:rsid w:val="00A32F4C"/>
    <w:rsid w:val="00A32F82"/>
    <w:rsid w:val="00A32FE6"/>
    <w:rsid w:val="00A33196"/>
    <w:rsid w:val="00A331F9"/>
    <w:rsid w:val="00A33205"/>
    <w:rsid w:val="00A33294"/>
    <w:rsid w:val="00A333E6"/>
    <w:rsid w:val="00A33463"/>
    <w:rsid w:val="00A3356D"/>
    <w:rsid w:val="00A33736"/>
    <w:rsid w:val="00A3391E"/>
    <w:rsid w:val="00A33A26"/>
    <w:rsid w:val="00A33AE6"/>
    <w:rsid w:val="00A33D95"/>
    <w:rsid w:val="00A33DA9"/>
    <w:rsid w:val="00A33DED"/>
    <w:rsid w:val="00A33ED3"/>
    <w:rsid w:val="00A33F5D"/>
    <w:rsid w:val="00A33FAB"/>
    <w:rsid w:val="00A34036"/>
    <w:rsid w:val="00A34058"/>
    <w:rsid w:val="00A3408F"/>
    <w:rsid w:val="00A341D6"/>
    <w:rsid w:val="00A343B2"/>
    <w:rsid w:val="00A343E3"/>
    <w:rsid w:val="00A345EE"/>
    <w:rsid w:val="00A34735"/>
    <w:rsid w:val="00A348FB"/>
    <w:rsid w:val="00A34A2A"/>
    <w:rsid w:val="00A34AB8"/>
    <w:rsid w:val="00A34C9E"/>
    <w:rsid w:val="00A34D1C"/>
    <w:rsid w:val="00A34EAD"/>
    <w:rsid w:val="00A35037"/>
    <w:rsid w:val="00A3514F"/>
    <w:rsid w:val="00A351A1"/>
    <w:rsid w:val="00A3536C"/>
    <w:rsid w:val="00A353A8"/>
    <w:rsid w:val="00A3559B"/>
    <w:rsid w:val="00A3566F"/>
    <w:rsid w:val="00A35726"/>
    <w:rsid w:val="00A3580E"/>
    <w:rsid w:val="00A35881"/>
    <w:rsid w:val="00A35967"/>
    <w:rsid w:val="00A35A89"/>
    <w:rsid w:val="00A35B6D"/>
    <w:rsid w:val="00A35FA4"/>
    <w:rsid w:val="00A36144"/>
    <w:rsid w:val="00A36177"/>
    <w:rsid w:val="00A36198"/>
    <w:rsid w:val="00A361C3"/>
    <w:rsid w:val="00A36378"/>
    <w:rsid w:val="00A3639E"/>
    <w:rsid w:val="00A364BD"/>
    <w:rsid w:val="00A36550"/>
    <w:rsid w:val="00A36718"/>
    <w:rsid w:val="00A36853"/>
    <w:rsid w:val="00A36CC7"/>
    <w:rsid w:val="00A36EAA"/>
    <w:rsid w:val="00A37068"/>
    <w:rsid w:val="00A3706A"/>
    <w:rsid w:val="00A37143"/>
    <w:rsid w:val="00A37144"/>
    <w:rsid w:val="00A3714F"/>
    <w:rsid w:val="00A37489"/>
    <w:rsid w:val="00A37494"/>
    <w:rsid w:val="00A374E2"/>
    <w:rsid w:val="00A37778"/>
    <w:rsid w:val="00A37787"/>
    <w:rsid w:val="00A378F4"/>
    <w:rsid w:val="00A37A2A"/>
    <w:rsid w:val="00A37ABD"/>
    <w:rsid w:val="00A37C26"/>
    <w:rsid w:val="00A37D9C"/>
    <w:rsid w:val="00A37DA1"/>
    <w:rsid w:val="00A37EE7"/>
    <w:rsid w:val="00A37F9A"/>
    <w:rsid w:val="00A40073"/>
    <w:rsid w:val="00A400D0"/>
    <w:rsid w:val="00A401E8"/>
    <w:rsid w:val="00A402DF"/>
    <w:rsid w:val="00A40348"/>
    <w:rsid w:val="00A40376"/>
    <w:rsid w:val="00A4046F"/>
    <w:rsid w:val="00A40729"/>
    <w:rsid w:val="00A4073D"/>
    <w:rsid w:val="00A407FD"/>
    <w:rsid w:val="00A40815"/>
    <w:rsid w:val="00A408BF"/>
    <w:rsid w:val="00A408CC"/>
    <w:rsid w:val="00A4098E"/>
    <w:rsid w:val="00A40C1A"/>
    <w:rsid w:val="00A40C2E"/>
    <w:rsid w:val="00A40D78"/>
    <w:rsid w:val="00A40DCE"/>
    <w:rsid w:val="00A40DFE"/>
    <w:rsid w:val="00A40E34"/>
    <w:rsid w:val="00A40F27"/>
    <w:rsid w:val="00A40F90"/>
    <w:rsid w:val="00A410EA"/>
    <w:rsid w:val="00A411FA"/>
    <w:rsid w:val="00A413E5"/>
    <w:rsid w:val="00A4152B"/>
    <w:rsid w:val="00A41634"/>
    <w:rsid w:val="00A4171E"/>
    <w:rsid w:val="00A4190B"/>
    <w:rsid w:val="00A419A0"/>
    <w:rsid w:val="00A419A4"/>
    <w:rsid w:val="00A41A3A"/>
    <w:rsid w:val="00A41B17"/>
    <w:rsid w:val="00A41B42"/>
    <w:rsid w:val="00A41B90"/>
    <w:rsid w:val="00A41F26"/>
    <w:rsid w:val="00A42036"/>
    <w:rsid w:val="00A42314"/>
    <w:rsid w:val="00A42447"/>
    <w:rsid w:val="00A4282D"/>
    <w:rsid w:val="00A429C3"/>
    <w:rsid w:val="00A42A9B"/>
    <w:rsid w:val="00A42D47"/>
    <w:rsid w:val="00A42D95"/>
    <w:rsid w:val="00A42DF9"/>
    <w:rsid w:val="00A42EA1"/>
    <w:rsid w:val="00A42EDD"/>
    <w:rsid w:val="00A42F86"/>
    <w:rsid w:val="00A42FC7"/>
    <w:rsid w:val="00A430D0"/>
    <w:rsid w:val="00A431C4"/>
    <w:rsid w:val="00A4347E"/>
    <w:rsid w:val="00A434D2"/>
    <w:rsid w:val="00A4353A"/>
    <w:rsid w:val="00A43555"/>
    <w:rsid w:val="00A4362F"/>
    <w:rsid w:val="00A43735"/>
    <w:rsid w:val="00A43755"/>
    <w:rsid w:val="00A43882"/>
    <w:rsid w:val="00A438AB"/>
    <w:rsid w:val="00A4393B"/>
    <w:rsid w:val="00A43A10"/>
    <w:rsid w:val="00A43AD3"/>
    <w:rsid w:val="00A43AD6"/>
    <w:rsid w:val="00A43AE3"/>
    <w:rsid w:val="00A43C94"/>
    <w:rsid w:val="00A43D6D"/>
    <w:rsid w:val="00A43E97"/>
    <w:rsid w:val="00A43F0E"/>
    <w:rsid w:val="00A43F88"/>
    <w:rsid w:val="00A43F8A"/>
    <w:rsid w:val="00A43FDB"/>
    <w:rsid w:val="00A43FDE"/>
    <w:rsid w:val="00A4407B"/>
    <w:rsid w:val="00A441D8"/>
    <w:rsid w:val="00A4465E"/>
    <w:rsid w:val="00A44671"/>
    <w:rsid w:val="00A446AB"/>
    <w:rsid w:val="00A449F6"/>
    <w:rsid w:val="00A44BDD"/>
    <w:rsid w:val="00A44D75"/>
    <w:rsid w:val="00A44E56"/>
    <w:rsid w:val="00A44E7B"/>
    <w:rsid w:val="00A44EC1"/>
    <w:rsid w:val="00A44FA9"/>
    <w:rsid w:val="00A44FF6"/>
    <w:rsid w:val="00A45047"/>
    <w:rsid w:val="00A45079"/>
    <w:rsid w:val="00A4512B"/>
    <w:rsid w:val="00A45161"/>
    <w:rsid w:val="00A4527D"/>
    <w:rsid w:val="00A454B3"/>
    <w:rsid w:val="00A455D8"/>
    <w:rsid w:val="00A45A7D"/>
    <w:rsid w:val="00A45B2B"/>
    <w:rsid w:val="00A45BD4"/>
    <w:rsid w:val="00A45CC0"/>
    <w:rsid w:val="00A45E52"/>
    <w:rsid w:val="00A45EAC"/>
    <w:rsid w:val="00A45F52"/>
    <w:rsid w:val="00A461B4"/>
    <w:rsid w:val="00A462C0"/>
    <w:rsid w:val="00A463CC"/>
    <w:rsid w:val="00A46550"/>
    <w:rsid w:val="00A4659B"/>
    <w:rsid w:val="00A46652"/>
    <w:rsid w:val="00A4670C"/>
    <w:rsid w:val="00A467E1"/>
    <w:rsid w:val="00A4692F"/>
    <w:rsid w:val="00A46937"/>
    <w:rsid w:val="00A46A69"/>
    <w:rsid w:val="00A46AAF"/>
    <w:rsid w:val="00A46BD9"/>
    <w:rsid w:val="00A46C35"/>
    <w:rsid w:val="00A46C3D"/>
    <w:rsid w:val="00A46C5F"/>
    <w:rsid w:val="00A46D15"/>
    <w:rsid w:val="00A46F09"/>
    <w:rsid w:val="00A4713D"/>
    <w:rsid w:val="00A473EC"/>
    <w:rsid w:val="00A4745D"/>
    <w:rsid w:val="00A4747F"/>
    <w:rsid w:val="00A474D2"/>
    <w:rsid w:val="00A47563"/>
    <w:rsid w:val="00A4766B"/>
    <w:rsid w:val="00A476AA"/>
    <w:rsid w:val="00A476EE"/>
    <w:rsid w:val="00A477DA"/>
    <w:rsid w:val="00A47926"/>
    <w:rsid w:val="00A47952"/>
    <w:rsid w:val="00A479D6"/>
    <w:rsid w:val="00A47ACF"/>
    <w:rsid w:val="00A47D24"/>
    <w:rsid w:val="00A47EFB"/>
    <w:rsid w:val="00A47F98"/>
    <w:rsid w:val="00A47FCC"/>
    <w:rsid w:val="00A4E005"/>
    <w:rsid w:val="00A50083"/>
    <w:rsid w:val="00A5010E"/>
    <w:rsid w:val="00A50180"/>
    <w:rsid w:val="00A502B7"/>
    <w:rsid w:val="00A5030C"/>
    <w:rsid w:val="00A5059A"/>
    <w:rsid w:val="00A505C4"/>
    <w:rsid w:val="00A50670"/>
    <w:rsid w:val="00A50681"/>
    <w:rsid w:val="00A506B1"/>
    <w:rsid w:val="00A506B5"/>
    <w:rsid w:val="00A507D1"/>
    <w:rsid w:val="00A5094C"/>
    <w:rsid w:val="00A50994"/>
    <w:rsid w:val="00A509A3"/>
    <w:rsid w:val="00A50ACB"/>
    <w:rsid w:val="00A50D39"/>
    <w:rsid w:val="00A50F47"/>
    <w:rsid w:val="00A50F48"/>
    <w:rsid w:val="00A5133F"/>
    <w:rsid w:val="00A51667"/>
    <w:rsid w:val="00A51767"/>
    <w:rsid w:val="00A518FE"/>
    <w:rsid w:val="00A5190A"/>
    <w:rsid w:val="00A51AF5"/>
    <w:rsid w:val="00A51BBD"/>
    <w:rsid w:val="00A51C11"/>
    <w:rsid w:val="00A51C40"/>
    <w:rsid w:val="00A5204E"/>
    <w:rsid w:val="00A5205F"/>
    <w:rsid w:val="00A5209C"/>
    <w:rsid w:val="00A5238F"/>
    <w:rsid w:val="00A5246A"/>
    <w:rsid w:val="00A524BE"/>
    <w:rsid w:val="00A52789"/>
    <w:rsid w:val="00A52793"/>
    <w:rsid w:val="00A528CC"/>
    <w:rsid w:val="00A52981"/>
    <w:rsid w:val="00A52A99"/>
    <w:rsid w:val="00A52E3B"/>
    <w:rsid w:val="00A52EF1"/>
    <w:rsid w:val="00A52FC4"/>
    <w:rsid w:val="00A530C1"/>
    <w:rsid w:val="00A53156"/>
    <w:rsid w:val="00A531CB"/>
    <w:rsid w:val="00A5323B"/>
    <w:rsid w:val="00A533E2"/>
    <w:rsid w:val="00A5396F"/>
    <w:rsid w:val="00A539CE"/>
    <w:rsid w:val="00A53BEE"/>
    <w:rsid w:val="00A53C9B"/>
    <w:rsid w:val="00A53F29"/>
    <w:rsid w:val="00A53FB9"/>
    <w:rsid w:val="00A53FC2"/>
    <w:rsid w:val="00A54011"/>
    <w:rsid w:val="00A54014"/>
    <w:rsid w:val="00A54315"/>
    <w:rsid w:val="00A543DF"/>
    <w:rsid w:val="00A54424"/>
    <w:rsid w:val="00A54532"/>
    <w:rsid w:val="00A548B0"/>
    <w:rsid w:val="00A548D0"/>
    <w:rsid w:val="00A549B1"/>
    <w:rsid w:val="00A549E5"/>
    <w:rsid w:val="00A54AB3"/>
    <w:rsid w:val="00A54B26"/>
    <w:rsid w:val="00A54FB4"/>
    <w:rsid w:val="00A54FCF"/>
    <w:rsid w:val="00A5512D"/>
    <w:rsid w:val="00A55285"/>
    <w:rsid w:val="00A5537C"/>
    <w:rsid w:val="00A55646"/>
    <w:rsid w:val="00A556A0"/>
    <w:rsid w:val="00A557E3"/>
    <w:rsid w:val="00A557E8"/>
    <w:rsid w:val="00A55A64"/>
    <w:rsid w:val="00A55C25"/>
    <w:rsid w:val="00A55CA3"/>
    <w:rsid w:val="00A55E1B"/>
    <w:rsid w:val="00A55FD8"/>
    <w:rsid w:val="00A5605F"/>
    <w:rsid w:val="00A56067"/>
    <w:rsid w:val="00A563E7"/>
    <w:rsid w:val="00A56502"/>
    <w:rsid w:val="00A5659A"/>
    <w:rsid w:val="00A56625"/>
    <w:rsid w:val="00A56711"/>
    <w:rsid w:val="00A568CE"/>
    <w:rsid w:val="00A5699D"/>
    <w:rsid w:val="00A56A61"/>
    <w:rsid w:val="00A56B3D"/>
    <w:rsid w:val="00A56BA5"/>
    <w:rsid w:val="00A56BD6"/>
    <w:rsid w:val="00A56C84"/>
    <w:rsid w:val="00A56CC6"/>
    <w:rsid w:val="00A56DE0"/>
    <w:rsid w:val="00A56E48"/>
    <w:rsid w:val="00A56EA4"/>
    <w:rsid w:val="00A56F10"/>
    <w:rsid w:val="00A56F72"/>
    <w:rsid w:val="00A56F87"/>
    <w:rsid w:val="00A56FB9"/>
    <w:rsid w:val="00A5707C"/>
    <w:rsid w:val="00A570C9"/>
    <w:rsid w:val="00A57189"/>
    <w:rsid w:val="00A5737E"/>
    <w:rsid w:val="00A573A7"/>
    <w:rsid w:val="00A576F6"/>
    <w:rsid w:val="00A57C07"/>
    <w:rsid w:val="00A60054"/>
    <w:rsid w:val="00A600DE"/>
    <w:rsid w:val="00A60215"/>
    <w:rsid w:val="00A602EF"/>
    <w:rsid w:val="00A603E2"/>
    <w:rsid w:val="00A60445"/>
    <w:rsid w:val="00A60555"/>
    <w:rsid w:val="00A605EA"/>
    <w:rsid w:val="00A60644"/>
    <w:rsid w:val="00A607C7"/>
    <w:rsid w:val="00A60813"/>
    <w:rsid w:val="00A60906"/>
    <w:rsid w:val="00A60A2A"/>
    <w:rsid w:val="00A60A5C"/>
    <w:rsid w:val="00A60A6D"/>
    <w:rsid w:val="00A60A77"/>
    <w:rsid w:val="00A60C43"/>
    <w:rsid w:val="00A60E2C"/>
    <w:rsid w:val="00A60E30"/>
    <w:rsid w:val="00A60F11"/>
    <w:rsid w:val="00A60F12"/>
    <w:rsid w:val="00A60F8C"/>
    <w:rsid w:val="00A61182"/>
    <w:rsid w:val="00A612B3"/>
    <w:rsid w:val="00A6136F"/>
    <w:rsid w:val="00A613DA"/>
    <w:rsid w:val="00A613F4"/>
    <w:rsid w:val="00A6157A"/>
    <w:rsid w:val="00A617BE"/>
    <w:rsid w:val="00A618BB"/>
    <w:rsid w:val="00A61A45"/>
    <w:rsid w:val="00A61AED"/>
    <w:rsid w:val="00A61D50"/>
    <w:rsid w:val="00A61E76"/>
    <w:rsid w:val="00A61FD6"/>
    <w:rsid w:val="00A623D0"/>
    <w:rsid w:val="00A623D7"/>
    <w:rsid w:val="00A62678"/>
    <w:rsid w:val="00A62766"/>
    <w:rsid w:val="00A6284F"/>
    <w:rsid w:val="00A6286D"/>
    <w:rsid w:val="00A62887"/>
    <w:rsid w:val="00A62B3F"/>
    <w:rsid w:val="00A62B58"/>
    <w:rsid w:val="00A62B9D"/>
    <w:rsid w:val="00A62BD6"/>
    <w:rsid w:val="00A62D33"/>
    <w:rsid w:val="00A62DFE"/>
    <w:rsid w:val="00A62E96"/>
    <w:rsid w:val="00A62FE8"/>
    <w:rsid w:val="00A63024"/>
    <w:rsid w:val="00A6313B"/>
    <w:rsid w:val="00A63328"/>
    <w:rsid w:val="00A633D7"/>
    <w:rsid w:val="00A634A5"/>
    <w:rsid w:val="00A63542"/>
    <w:rsid w:val="00A635B4"/>
    <w:rsid w:val="00A635B6"/>
    <w:rsid w:val="00A6379D"/>
    <w:rsid w:val="00A63910"/>
    <w:rsid w:val="00A639A7"/>
    <w:rsid w:val="00A63AA9"/>
    <w:rsid w:val="00A63C18"/>
    <w:rsid w:val="00A63D27"/>
    <w:rsid w:val="00A63DDA"/>
    <w:rsid w:val="00A6413A"/>
    <w:rsid w:val="00A64174"/>
    <w:rsid w:val="00A6419F"/>
    <w:rsid w:val="00A64385"/>
    <w:rsid w:val="00A64585"/>
    <w:rsid w:val="00A64737"/>
    <w:rsid w:val="00A647C1"/>
    <w:rsid w:val="00A647D4"/>
    <w:rsid w:val="00A648E1"/>
    <w:rsid w:val="00A64925"/>
    <w:rsid w:val="00A6494C"/>
    <w:rsid w:val="00A64963"/>
    <w:rsid w:val="00A64A76"/>
    <w:rsid w:val="00A64AA1"/>
    <w:rsid w:val="00A64B46"/>
    <w:rsid w:val="00A64C33"/>
    <w:rsid w:val="00A64C62"/>
    <w:rsid w:val="00A64D8A"/>
    <w:rsid w:val="00A64EA0"/>
    <w:rsid w:val="00A6500E"/>
    <w:rsid w:val="00A6507C"/>
    <w:rsid w:val="00A651A0"/>
    <w:rsid w:val="00A652ED"/>
    <w:rsid w:val="00A65534"/>
    <w:rsid w:val="00A656B4"/>
    <w:rsid w:val="00A65793"/>
    <w:rsid w:val="00A657A1"/>
    <w:rsid w:val="00A657C6"/>
    <w:rsid w:val="00A657D7"/>
    <w:rsid w:val="00A657FB"/>
    <w:rsid w:val="00A65A32"/>
    <w:rsid w:val="00A65A49"/>
    <w:rsid w:val="00A65AF7"/>
    <w:rsid w:val="00A65B20"/>
    <w:rsid w:val="00A65B61"/>
    <w:rsid w:val="00A65BBB"/>
    <w:rsid w:val="00A65CC3"/>
    <w:rsid w:val="00A65DCA"/>
    <w:rsid w:val="00A65DEE"/>
    <w:rsid w:val="00A65ECA"/>
    <w:rsid w:val="00A660EA"/>
    <w:rsid w:val="00A662DC"/>
    <w:rsid w:val="00A66548"/>
    <w:rsid w:val="00A66557"/>
    <w:rsid w:val="00A6663C"/>
    <w:rsid w:val="00A6664A"/>
    <w:rsid w:val="00A6666C"/>
    <w:rsid w:val="00A667F0"/>
    <w:rsid w:val="00A6690A"/>
    <w:rsid w:val="00A669F9"/>
    <w:rsid w:val="00A66B03"/>
    <w:rsid w:val="00A66CE8"/>
    <w:rsid w:val="00A66D6E"/>
    <w:rsid w:val="00A66E36"/>
    <w:rsid w:val="00A6713A"/>
    <w:rsid w:val="00A671AB"/>
    <w:rsid w:val="00A67253"/>
    <w:rsid w:val="00A672F2"/>
    <w:rsid w:val="00A6730E"/>
    <w:rsid w:val="00A673C8"/>
    <w:rsid w:val="00A6741B"/>
    <w:rsid w:val="00A6741F"/>
    <w:rsid w:val="00A67522"/>
    <w:rsid w:val="00A67629"/>
    <w:rsid w:val="00A676EC"/>
    <w:rsid w:val="00A67C7A"/>
    <w:rsid w:val="00A67F11"/>
    <w:rsid w:val="00A67FF3"/>
    <w:rsid w:val="00A70128"/>
    <w:rsid w:val="00A703AF"/>
    <w:rsid w:val="00A7063B"/>
    <w:rsid w:val="00A70B9F"/>
    <w:rsid w:val="00A70BD0"/>
    <w:rsid w:val="00A70DA4"/>
    <w:rsid w:val="00A70FE7"/>
    <w:rsid w:val="00A71087"/>
    <w:rsid w:val="00A7110B"/>
    <w:rsid w:val="00A71221"/>
    <w:rsid w:val="00A71276"/>
    <w:rsid w:val="00A714BF"/>
    <w:rsid w:val="00A714F7"/>
    <w:rsid w:val="00A716CF"/>
    <w:rsid w:val="00A71781"/>
    <w:rsid w:val="00A718C9"/>
    <w:rsid w:val="00A71910"/>
    <w:rsid w:val="00A71B53"/>
    <w:rsid w:val="00A71D40"/>
    <w:rsid w:val="00A71FA3"/>
    <w:rsid w:val="00A720D7"/>
    <w:rsid w:val="00A720FF"/>
    <w:rsid w:val="00A72143"/>
    <w:rsid w:val="00A721C2"/>
    <w:rsid w:val="00A722CC"/>
    <w:rsid w:val="00A72382"/>
    <w:rsid w:val="00A7241C"/>
    <w:rsid w:val="00A724ED"/>
    <w:rsid w:val="00A72531"/>
    <w:rsid w:val="00A72661"/>
    <w:rsid w:val="00A7271D"/>
    <w:rsid w:val="00A72865"/>
    <w:rsid w:val="00A7298B"/>
    <w:rsid w:val="00A729F0"/>
    <w:rsid w:val="00A72A16"/>
    <w:rsid w:val="00A72C61"/>
    <w:rsid w:val="00A72C95"/>
    <w:rsid w:val="00A72C9F"/>
    <w:rsid w:val="00A72D07"/>
    <w:rsid w:val="00A72EE6"/>
    <w:rsid w:val="00A72F04"/>
    <w:rsid w:val="00A72F1B"/>
    <w:rsid w:val="00A72F53"/>
    <w:rsid w:val="00A7317D"/>
    <w:rsid w:val="00A731A2"/>
    <w:rsid w:val="00A73311"/>
    <w:rsid w:val="00A73388"/>
    <w:rsid w:val="00A73394"/>
    <w:rsid w:val="00A73499"/>
    <w:rsid w:val="00A73594"/>
    <w:rsid w:val="00A73664"/>
    <w:rsid w:val="00A73864"/>
    <w:rsid w:val="00A7394A"/>
    <w:rsid w:val="00A73B06"/>
    <w:rsid w:val="00A73B16"/>
    <w:rsid w:val="00A73C06"/>
    <w:rsid w:val="00A73C3C"/>
    <w:rsid w:val="00A73D0B"/>
    <w:rsid w:val="00A73E51"/>
    <w:rsid w:val="00A73EA6"/>
    <w:rsid w:val="00A74042"/>
    <w:rsid w:val="00A7404D"/>
    <w:rsid w:val="00A74226"/>
    <w:rsid w:val="00A74262"/>
    <w:rsid w:val="00A74280"/>
    <w:rsid w:val="00A74323"/>
    <w:rsid w:val="00A74465"/>
    <w:rsid w:val="00A74534"/>
    <w:rsid w:val="00A74808"/>
    <w:rsid w:val="00A748C3"/>
    <w:rsid w:val="00A74941"/>
    <w:rsid w:val="00A74B2F"/>
    <w:rsid w:val="00A74B9D"/>
    <w:rsid w:val="00A74CD9"/>
    <w:rsid w:val="00A74D96"/>
    <w:rsid w:val="00A74DA7"/>
    <w:rsid w:val="00A74DC9"/>
    <w:rsid w:val="00A74DEA"/>
    <w:rsid w:val="00A74F9B"/>
    <w:rsid w:val="00A750A8"/>
    <w:rsid w:val="00A753A6"/>
    <w:rsid w:val="00A75584"/>
    <w:rsid w:val="00A75674"/>
    <w:rsid w:val="00A756AF"/>
    <w:rsid w:val="00A75779"/>
    <w:rsid w:val="00A757B0"/>
    <w:rsid w:val="00A7585F"/>
    <w:rsid w:val="00A75AEE"/>
    <w:rsid w:val="00A75B81"/>
    <w:rsid w:val="00A75C85"/>
    <w:rsid w:val="00A75C91"/>
    <w:rsid w:val="00A75CC6"/>
    <w:rsid w:val="00A75D81"/>
    <w:rsid w:val="00A75F1C"/>
    <w:rsid w:val="00A75F92"/>
    <w:rsid w:val="00A75FAE"/>
    <w:rsid w:val="00A76104"/>
    <w:rsid w:val="00A7619B"/>
    <w:rsid w:val="00A76223"/>
    <w:rsid w:val="00A763A8"/>
    <w:rsid w:val="00A763CF"/>
    <w:rsid w:val="00A76543"/>
    <w:rsid w:val="00A76661"/>
    <w:rsid w:val="00A767CC"/>
    <w:rsid w:val="00A768B4"/>
    <w:rsid w:val="00A76935"/>
    <w:rsid w:val="00A7693D"/>
    <w:rsid w:val="00A76998"/>
    <w:rsid w:val="00A769E9"/>
    <w:rsid w:val="00A76BAC"/>
    <w:rsid w:val="00A76BD8"/>
    <w:rsid w:val="00A76D47"/>
    <w:rsid w:val="00A76E07"/>
    <w:rsid w:val="00A76F20"/>
    <w:rsid w:val="00A76F23"/>
    <w:rsid w:val="00A7741C"/>
    <w:rsid w:val="00A774F1"/>
    <w:rsid w:val="00A775D8"/>
    <w:rsid w:val="00A776A4"/>
    <w:rsid w:val="00A77741"/>
    <w:rsid w:val="00A7777A"/>
    <w:rsid w:val="00A777AE"/>
    <w:rsid w:val="00A778CF"/>
    <w:rsid w:val="00A77A42"/>
    <w:rsid w:val="00A77BB7"/>
    <w:rsid w:val="00A77BE0"/>
    <w:rsid w:val="00A77D15"/>
    <w:rsid w:val="00A77F9E"/>
    <w:rsid w:val="00A77FB6"/>
    <w:rsid w:val="00A8009F"/>
    <w:rsid w:val="00A800D3"/>
    <w:rsid w:val="00A80121"/>
    <w:rsid w:val="00A80146"/>
    <w:rsid w:val="00A8019F"/>
    <w:rsid w:val="00A801A9"/>
    <w:rsid w:val="00A80228"/>
    <w:rsid w:val="00A8033B"/>
    <w:rsid w:val="00A80355"/>
    <w:rsid w:val="00A8049D"/>
    <w:rsid w:val="00A804B8"/>
    <w:rsid w:val="00A8051C"/>
    <w:rsid w:val="00A8063A"/>
    <w:rsid w:val="00A80904"/>
    <w:rsid w:val="00A80BC4"/>
    <w:rsid w:val="00A80C45"/>
    <w:rsid w:val="00A80F23"/>
    <w:rsid w:val="00A810EA"/>
    <w:rsid w:val="00A812E5"/>
    <w:rsid w:val="00A81406"/>
    <w:rsid w:val="00A81499"/>
    <w:rsid w:val="00A814E6"/>
    <w:rsid w:val="00A815A2"/>
    <w:rsid w:val="00A8163C"/>
    <w:rsid w:val="00A81655"/>
    <w:rsid w:val="00A816D9"/>
    <w:rsid w:val="00A8194B"/>
    <w:rsid w:val="00A81CF6"/>
    <w:rsid w:val="00A81D12"/>
    <w:rsid w:val="00A81DE5"/>
    <w:rsid w:val="00A81E7F"/>
    <w:rsid w:val="00A822C2"/>
    <w:rsid w:val="00A8238C"/>
    <w:rsid w:val="00A8244E"/>
    <w:rsid w:val="00A8254D"/>
    <w:rsid w:val="00A82653"/>
    <w:rsid w:val="00A828A7"/>
    <w:rsid w:val="00A82957"/>
    <w:rsid w:val="00A82990"/>
    <w:rsid w:val="00A82AA8"/>
    <w:rsid w:val="00A82AAF"/>
    <w:rsid w:val="00A82AFF"/>
    <w:rsid w:val="00A82B33"/>
    <w:rsid w:val="00A82C18"/>
    <w:rsid w:val="00A82C33"/>
    <w:rsid w:val="00A82ECB"/>
    <w:rsid w:val="00A82ED4"/>
    <w:rsid w:val="00A83115"/>
    <w:rsid w:val="00A83274"/>
    <w:rsid w:val="00A832D9"/>
    <w:rsid w:val="00A8334A"/>
    <w:rsid w:val="00A8343F"/>
    <w:rsid w:val="00A83456"/>
    <w:rsid w:val="00A8349A"/>
    <w:rsid w:val="00A837BE"/>
    <w:rsid w:val="00A837C7"/>
    <w:rsid w:val="00A83909"/>
    <w:rsid w:val="00A83940"/>
    <w:rsid w:val="00A83959"/>
    <w:rsid w:val="00A8399F"/>
    <w:rsid w:val="00A83CCE"/>
    <w:rsid w:val="00A83F26"/>
    <w:rsid w:val="00A83F36"/>
    <w:rsid w:val="00A83F55"/>
    <w:rsid w:val="00A8434D"/>
    <w:rsid w:val="00A844B0"/>
    <w:rsid w:val="00A844D0"/>
    <w:rsid w:val="00A847ED"/>
    <w:rsid w:val="00A8494A"/>
    <w:rsid w:val="00A84A03"/>
    <w:rsid w:val="00A84A90"/>
    <w:rsid w:val="00A84AF9"/>
    <w:rsid w:val="00A84B54"/>
    <w:rsid w:val="00A85125"/>
    <w:rsid w:val="00A85298"/>
    <w:rsid w:val="00A85327"/>
    <w:rsid w:val="00A853F6"/>
    <w:rsid w:val="00A85518"/>
    <w:rsid w:val="00A8555B"/>
    <w:rsid w:val="00A85662"/>
    <w:rsid w:val="00A858D0"/>
    <w:rsid w:val="00A859C2"/>
    <w:rsid w:val="00A85AC9"/>
    <w:rsid w:val="00A85C06"/>
    <w:rsid w:val="00A85C62"/>
    <w:rsid w:val="00A85CE6"/>
    <w:rsid w:val="00A85DD6"/>
    <w:rsid w:val="00A85E02"/>
    <w:rsid w:val="00A85E1E"/>
    <w:rsid w:val="00A85F32"/>
    <w:rsid w:val="00A85FBE"/>
    <w:rsid w:val="00A8607F"/>
    <w:rsid w:val="00A862B8"/>
    <w:rsid w:val="00A86317"/>
    <w:rsid w:val="00A86387"/>
    <w:rsid w:val="00A863ED"/>
    <w:rsid w:val="00A865BD"/>
    <w:rsid w:val="00A86888"/>
    <w:rsid w:val="00A86A40"/>
    <w:rsid w:val="00A86C66"/>
    <w:rsid w:val="00A870A8"/>
    <w:rsid w:val="00A87187"/>
    <w:rsid w:val="00A871B9"/>
    <w:rsid w:val="00A873BD"/>
    <w:rsid w:val="00A87461"/>
    <w:rsid w:val="00A8746B"/>
    <w:rsid w:val="00A87645"/>
    <w:rsid w:val="00A87853"/>
    <w:rsid w:val="00A87875"/>
    <w:rsid w:val="00A87984"/>
    <w:rsid w:val="00A87986"/>
    <w:rsid w:val="00A879AE"/>
    <w:rsid w:val="00A87A6E"/>
    <w:rsid w:val="00A87AAA"/>
    <w:rsid w:val="00A87ADD"/>
    <w:rsid w:val="00A87B50"/>
    <w:rsid w:val="00A87BB0"/>
    <w:rsid w:val="00A87D3A"/>
    <w:rsid w:val="00A87D94"/>
    <w:rsid w:val="00A900A5"/>
    <w:rsid w:val="00A90149"/>
    <w:rsid w:val="00A9017B"/>
    <w:rsid w:val="00A901D4"/>
    <w:rsid w:val="00A902BF"/>
    <w:rsid w:val="00A90401"/>
    <w:rsid w:val="00A9044D"/>
    <w:rsid w:val="00A9059C"/>
    <w:rsid w:val="00A907A5"/>
    <w:rsid w:val="00A9087F"/>
    <w:rsid w:val="00A908BD"/>
    <w:rsid w:val="00A908D6"/>
    <w:rsid w:val="00A90946"/>
    <w:rsid w:val="00A90998"/>
    <w:rsid w:val="00A90A0A"/>
    <w:rsid w:val="00A90B56"/>
    <w:rsid w:val="00A90C25"/>
    <w:rsid w:val="00A90C7F"/>
    <w:rsid w:val="00A90DD8"/>
    <w:rsid w:val="00A90E81"/>
    <w:rsid w:val="00A90F46"/>
    <w:rsid w:val="00A90FA9"/>
    <w:rsid w:val="00A91018"/>
    <w:rsid w:val="00A91118"/>
    <w:rsid w:val="00A9111B"/>
    <w:rsid w:val="00A91267"/>
    <w:rsid w:val="00A91293"/>
    <w:rsid w:val="00A913F8"/>
    <w:rsid w:val="00A91530"/>
    <w:rsid w:val="00A915AF"/>
    <w:rsid w:val="00A915F4"/>
    <w:rsid w:val="00A91678"/>
    <w:rsid w:val="00A91986"/>
    <w:rsid w:val="00A91BC7"/>
    <w:rsid w:val="00A91C15"/>
    <w:rsid w:val="00A91E36"/>
    <w:rsid w:val="00A92031"/>
    <w:rsid w:val="00A920DC"/>
    <w:rsid w:val="00A92162"/>
    <w:rsid w:val="00A9217F"/>
    <w:rsid w:val="00A921E3"/>
    <w:rsid w:val="00A9228A"/>
    <w:rsid w:val="00A9241A"/>
    <w:rsid w:val="00A92478"/>
    <w:rsid w:val="00A92502"/>
    <w:rsid w:val="00A925C3"/>
    <w:rsid w:val="00A92767"/>
    <w:rsid w:val="00A928D8"/>
    <w:rsid w:val="00A929CB"/>
    <w:rsid w:val="00A92A1A"/>
    <w:rsid w:val="00A92B31"/>
    <w:rsid w:val="00A92BF9"/>
    <w:rsid w:val="00A92C4A"/>
    <w:rsid w:val="00A92EB4"/>
    <w:rsid w:val="00A92FE7"/>
    <w:rsid w:val="00A930BF"/>
    <w:rsid w:val="00A9333A"/>
    <w:rsid w:val="00A934B3"/>
    <w:rsid w:val="00A935A0"/>
    <w:rsid w:val="00A935C0"/>
    <w:rsid w:val="00A93615"/>
    <w:rsid w:val="00A93650"/>
    <w:rsid w:val="00A93657"/>
    <w:rsid w:val="00A9377E"/>
    <w:rsid w:val="00A9387A"/>
    <w:rsid w:val="00A93948"/>
    <w:rsid w:val="00A93A15"/>
    <w:rsid w:val="00A93BCD"/>
    <w:rsid w:val="00A93CA0"/>
    <w:rsid w:val="00A93D18"/>
    <w:rsid w:val="00A93D8F"/>
    <w:rsid w:val="00A93F60"/>
    <w:rsid w:val="00A93FFC"/>
    <w:rsid w:val="00A9402C"/>
    <w:rsid w:val="00A94133"/>
    <w:rsid w:val="00A9428A"/>
    <w:rsid w:val="00A942A6"/>
    <w:rsid w:val="00A94331"/>
    <w:rsid w:val="00A943F6"/>
    <w:rsid w:val="00A94429"/>
    <w:rsid w:val="00A9457C"/>
    <w:rsid w:val="00A945B8"/>
    <w:rsid w:val="00A94723"/>
    <w:rsid w:val="00A9479B"/>
    <w:rsid w:val="00A947A3"/>
    <w:rsid w:val="00A9482A"/>
    <w:rsid w:val="00A94A1B"/>
    <w:rsid w:val="00A94A41"/>
    <w:rsid w:val="00A94B15"/>
    <w:rsid w:val="00A94D0A"/>
    <w:rsid w:val="00A94D12"/>
    <w:rsid w:val="00A94D20"/>
    <w:rsid w:val="00A94D32"/>
    <w:rsid w:val="00A94F22"/>
    <w:rsid w:val="00A94F32"/>
    <w:rsid w:val="00A94FDB"/>
    <w:rsid w:val="00A95072"/>
    <w:rsid w:val="00A95341"/>
    <w:rsid w:val="00A954B6"/>
    <w:rsid w:val="00A9570E"/>
    <w:rsid w:val="00A9588F"/>
    <w:rsid w:val="00A95A13"/>
    <w:rsid w:val="00A95B34"/>
    <w:rsid w:val="00A95D1F"/>
    <w:rsid w:val="00A95D58"/>
    <w:rsid w:val="00A95F04"/>
    <w:rsid w:val="00A9614A"/>
    <w:rsid w:val="00A963EB"/>
    <w:rsid w:val="00A96525"/>
    <w:rsid w:val="00A9658D"/>
    <w:rsid w:val="00A965E3"/>
    <w:rsid w:val="00A9683A"/>
    <w:rsid w:val="00A9690F"/>
    <w:rsid w:val="00A96AA5"/>
    <w:rsid w:val="00A96BD3"/>
    <w:rsid w:val="00A96C11"/>
    <w:rsid w:val="00A9704B"/>
    <w:rsid w:val="00A971BF"/>
    <w:rsid w:val="00A972ED"/>
    <w:rsid w:val="00A97307"/>
    <w:rsid w:val="00A9733F"/>
    <w:rsid w:val="00A973F5"/>
    <w:rsid w:val="00A9752A"/>
    <w:rsid w:val="00A9752B"/>
    <w:rsid w:val="00A976F3"/>
    <w:rsid w:val="00A97755"/>
    <w:rsid w:val="00A9788A"/>
    <w:rsid w:val="00A97921"/>
    <w:rsid w:val="00A97957"/>
    <w:rsid w:val="00A97A0E"/>
    <w:rsid w:val="00A97B67"/>
    <w:rsid w:val="00A97E73"/>
    <w:rsid w:val="00AA000D"/>
    <w:rsid w:val="00AA0218"/>
    <w:rsid w:val="00AA0375"/>
    <w:rsid w:val="00AA0392"/>
    <w:rsid w:val="00AA0405"/>
    <w:rsid w:val="00AA06DA"/>
    <w:rsid w:val="00AA06EF"/>
    <w:rsid w:val="00AA0903"/>
    <w:rsid w:val="00AA0BEA"/>
    <w:rsid w:val="00AA0E2F"/>
    <w:rsid w:val="00AA0EC7"/>
    <w:rsid w:val="00AA10A6"/>
    <w:rsid w:val="00AA1128"/>
    <w:rsid w:val="00AA1201"/>
    <w:rsid w:val="00AA131C"/>
    <w:rsid w:val="00AA162C"/>
    <w:rsid w:val="00AA1B44"/>
    <w:rsid w:val="00AA1C7D"/>
    <w:rsid w:val="00AA1D6C"/>
    <w:rsid w:val="00AA1E19"/>
    <w:rsid w:val="00AA2023"/>
    <w:rsid w:val="00AA2461"/>
    <w:rsid w:val="00AA24B1"/>
    <w:rsid w:val="00AA2574"/>
    <w:rsid w:val="00AA26F5"/>
    <w:rsid w:val="00AA2722"/>
    <w:rsid w:val="00AA2865"/>
    <w:rsid w:val="00AA28D1"/>
    <w:rsid w:val="00AA2B0C"/>
    <w:rsid w:val="00AA2CF1"/>
    <w:rsid w:val="00AA2D99"/>
    <w:rsid w:val="00AA2E31"/>
    <w:rsid w:val="00AA3179"/>
    <w:rsid w:val="00AA31C9"/>
    <w:rsid w:val="00AA325C"/>
    <w:rsid w:val="00AA359C"/>
    <w:rsid w:val="00AA3677"/>
    <w:rsid w:val="00AA36D8"/>
    <w:rsid w:val="00AA3741"/>
    <w:rsid w:val="00AA3794"/>
    <w:rsid w:val="00AA3A9B"/>
    <w:rsid w:val="00AA3BF1"/>
    <w:rsid w:val="00AA3CD6"/>
    <w:rsid w:val="00AA3E62"/>
    <w:rsid w:val="00AA3FA6"/>
    <w:rsid w:val="00AA40B6"/>
    <w:rsid w:val="00AA4144"/>
    <w:rsid w:val="00AA42DB"/>
    <w:rsid w:val="00AA4452"/>
    <w:rsid w:val="00AA4754"/>
    <w:rsid w:val="00AA47C2"/>
    <w:rsid w:val="00AA4997"/>
    <w:rsid w:val="00AA4ACE"/>
    <w:rsid w:val="00AA4B12"/>
    <w:rsid w:val="00AA4C8A"/>
    <w:rsid w:val="00AA4D42"/>
    <w:rsid w:val="00AA4E33"/>
    <w:rsid w:val="00AA4F16"/>
    <w:rsid w:val="00AA4F56"/>
    <w:rsid w:val="00AA4FE1"/>
    <w:rsid w:val="00AA50F5"/>
    <w:rsid w:val="00AA5410"/>
    <w:rsid w:val="00AA552D"/>
    <w:rsid w:val="00AA553E"/>
    <w:rsid w:val="00AA5735"/>
    <w:rsid w:val="00AA58EE"/>
    <w:rsid w:val="00AA58F3"/>
    <w:rsid w:val="00AA595A"/>
    <w:rsid w:val="00AA599A"/>
    <w:rsid w:val="00AA5A9B"/>
    <w:rsid w:val="00AA5B1F"/>
    <w:rsid w:val="00AA5C85"/>
    <w:rsid w:val="00AA5EDA"/>
    <w:rsid w:val="00AA626E"/>
    <w:rsid w:val="00AA6273"/>
    <w:rsid w:val="00AA6374"/>
    <w:rsid w:val="00AA6494"/>
    <w:rsid w:val="00AA651B"/>
    <w:rsid w:val="00AA6643"/>
    <w:rsid w:val="00AA6746"/>
    <w:rsid w:val="00AA6A83"/>
    <w:rsid w:val="00AA6B1F"/>
    <w:rsid w:val="00AA6B78"/>
    <w:rsid w:val="00AA6C2E"/>
    <w:rsid w:val="00AA6CCB"/>
    <w:rsid w:val="00AA6E56"/>
    <w:rsid w:val="00AA6F63"/>
    <w:rsid w:val="00AA7038"/>
    <w:rsid w:val="00AA719C"/>
    <w:rsid w:val="00AA71AC"/>
    <w:rsid w:val="00AA71D0"/>
    <w:rsid w:val="00AA7357"/>
    <w:rsid w:val="00AA7475"/>
    <w:rsid w:val="00AA75E5"/>
    <w:rsid w:val="00AA76E5"/>
    <w:rsid w:val="00AA7B28"/>
    <w:rsid w:val="00AA7B4B"/>
    <w:rsid w:val="00AA7B6A"/>
    <w:rsid w:val="00AA7D3C"/>
    <w:rsid w:val="00AA7F0E"/>
    <w:rsid w:val="00AAF094"/>
    <w:rsid w:val="00AB026A"/>
    <w:rsid w:val="00AB027E"/>
    <w:rsid w:val="00AB029E"/>
    <w:rsid w:val="00AB0809"/>
    <w:rsid w:val="00AB08F1"/>
    <w:rsid w:val="00AB09A7"/>
    <w:rsid w:val="00AB0AF1"/>
    <w:rsid w:val="00AB0BCA"/>
    <w:rsid w:val="00AB0D3D"/>
    <w:rsid w:val="00AB0DC6"/>
    <w:rsid w:val="00AB0EE0"/>
    <w:rsid w:val="00AB0FC5"/>
    <w:rsid w:val="00AB1013"/>
    <w:rsid w:val="00AB1033"/>
    <w:rsid w:val="00AB1078"/>
    <w:rsid w:val="00AB13F0"/>
    <w:rsid w:val="00AB141B"/>
    <w:rsid w:val="00AB15C0"/>
    <w:rsid w:val="00AB15D0"/>
    <w:rsid w:val="00AB1677"/>
    <w:rsid w:val="00AB1BA0"/>
    <w:rsid w:val="00AB1C0C"/>
    <w:rsid w:val="00AB1C31"/>
    <w:rsid w:val="00AB1F7E"/>
    <w:rsid w:val="00AB1F80"/>
    <w:rsid w:val="00AB21C6"/>
    <w:rsid w:val="00AB21E0"/>
    <w:rsid w:val="00AB22C6"/>
    <w:rsid w:val="00AB23FF"/>
    <w:rsid w:val="00AB266A"/>
    <w:rsid w:val="00AB272A"/>
    <w:rsid w:val="00AB2808"/>
    <w:rsid w:val="00AB2841"/>
    <w:rsid w:val="00AB2D6C"/>
    <w:rsid w:val="00AB2E13"/>
    <w:rsid w:val="00AB2E25"/>
    <w:rsid w:val="00AB2F2C"/>
    <w:rsid w:val="00AB303A"/>
    <w:rsid w:val="00AB3189"/>
    <w:rsid w:val="00AB329E"/>
    <w:rsid w:val="00AB3399"/>
    <w:rsid w:val="00AB349D"/>
    <w:rsid w:val="00AB350B"/>
    <w:rsid w:val="00AB35A7"/>
    <w:rsid w:val="00AB37BF"/>
    <w:rsid w:val="00AB39A6"/>
    <w:rsid w:val="00AB3B45"/>
    <w:rsid w:val="00AB3C22"/>
    <w:rsid w:val="00AB3F65"/>
    <w:rsid w:val="00AB3F6D"/>
    <w:rsid w:val="00AB3F75"/>
    <w:rsid w:val="00AB43BC"/>
    <w:rsid w:val="00AB4497"/>
    <w:rsid w:val="00AB4676"/>
    <w:rsid w:val="00AB473E"/>
    <w:rsid w:val="00AB4751"/>
    <w:rsid w:val="00AB4783"/>
    <w:rsid w:val="00AB48A2"/>
    <w:rsid w:val="00AB4ABF"/>
    <w:rsid w:val="00AB5144"/>
    <w:rsid w:val="00AB51A9"/>
    <w:rsid w:val="00AB51F1"/>
    <w:rsid w:val="00AB525D"/>
    <w:rsid w:val="00AB53F9"/>
    <w:rsid w:val="00AB5402"/>
    <w:rsid w:val="00AB5725"/>
    <w:rsid w:val="00AB5987"/>
    <w:rsid w:val="00AB5AA6"/>
    <w:rsid w:val="00AB5BAD"/>
    <w:rsid w:val="00AB5CC7"/>
    <w:rsid w:val="00AB6082"/>
    <w:rsid w:val="00AB6166"/>
    <w:rsid w:val="00AB626F"/>
    <w:rsid w:val="00AB632A"/>
    <w:rsid w:val="00AB6549"/>
    <w:rsid w:val="00AB65A4"/>
    <w:rsid w:val="00AB66C7"/>
    <w:rsid w:val="00AB6875"/>
    <w:rsid w:val="00AB6984"/>
    <w:rsid w:val="00AB6A6C"/>
    <w:rsid w:val="00AB6ABD"/>
    <w:rsid w:val="00AB6BAD"/>
    <w:rsid w:val="00AB6D31"/>
    <w:rsid w:val="00AB6D53"/>
    <w:rsid w:val="00AB6E60"/>
    <w:rsid w:val="00AB6FA3"/>
    <w:rsid w:val="00AB705E"/>
    <w:rsid w:val="00AB731E"/>
    <w:rsid w:val="00AB7369"/>
    <w:rsid w:val="00AB73EF"/>
    <w:rsid w:val="00AB7463"/>
    <w:rsid w:val="00AB7475"/>
    <w:rsid w:val="00AB7544"/>
    <w:rsid w:val="00AB766D"/>
    <w:rsid w:val="00AB78E2"/>
    <w:rsid w:val="00AB7904"/>
    <w:rsid w:val="00AB792C"/>
    <w:rsid w:val="00AB7B14"/>
    <w:rsid w:val="00AB7B32"/>
    <w:rsid w:val="00AB7D46"/>
    <w:rsid w:val="00AB7E62"/>
    <w:rsid w:val="00AC0007"/>
    <w:rsid w:val="00AC021D"/>
    <w:rsid w:val="00AC02A9"/>
    <w:rsid w:val="00AC02DA"/>
    <w:rsid w:val="00AC031C"/>
    <w:rsid w:val="00AC0365"/>
    <w:rsid w:val="00AC037F"/>
    <w:rsid w:val="00AC039F"/>
    <w:rsid w:val="00AC04ED"/>
    <w:rsid w:val="00AC05F0"/>
    <w:rsid w:val="00AC0888"/>
    <w:rsid w:val="00AC08C7"/>
    <w:rsid w:val="00AC08D5"/>
    <w:rsid w:val="00AC0939"/>
    <w:rsid w:val="00AC096A"/>
    <w:rsid w:val="00AC0A6B"/>
    <w:rsid w:val="00AC0A7E"/>
    <w:rsid w:val="00AC0E50"/>
    <w:rsid w:val="00AC0EE6"/>
    <w:rsid w:val="00AC0EF2"/>
    <w:rsid w:val="00AC0F83"/>
    <w:rsid w:val="00AC1087"/>
    <w:rsid w:val="00AC114E"/>
    <w:rsid w:val="00AC1218"/>
    <w:rsid w:val="00AC12CD"/>
    <w:rsid w:val="00AC12ED"/>
    <w:rsid w:val="00AC1554"/>
    <w:rsid w:val="00AC1650"/>
    <w:rsid w:val="00AC1715"/>
    <w:rsid w:val="00AC18F8"/>
    <w:rsid w:val="00AC1976"/>
    <w:rsid w:val="00AC19CC"/>
    <w:rsid w:val="00AC1A55"/>
    <w:rsid w:val="00AC1A5C"/>
    <w:rsid w:val="00AC1AF2"/>
    <w:rsid w:val="00AC1B7F"/>
    <w:rsid w:val="00AC1DD6"/>
    <w:rsid w:val="00AC1E30"/>
    <w:rsid w:val="00AC1E58"/>
    <w:rsid w:val="00AC1EC7"/>
    <w:rsid w:val="00AC1F67"/>
    <w:rsid w:val="00AC20BA"/>
    <w:rsid w:val="00AC23D4"/>
    <w:rsid w:val="00AC246A"/>
    <w:rsid w:val="00AC2489"/>
    <w:rsid w:val="00AC2533"/>
    <w:rsid w:val="00AC2538"/>
    <w:rsid w:val="00AC25D2"/>
    <w:rsid w:val="00AC2816"/>
    <w:rsid w:val="00AC2878"/>
    <w:rsid w:val="00AC28E9"/>
    <w:rsid w:val="00AC296E"/>
    <w:rsid w:val="00AC2988"/>
    <w:rsid w:val="00AC29DF"/>
    <w:rsid w:val="00AC2A08"/>
    <w:rsid w:val="00AC2A7C"/>
    <w:rsid w:val="00AC2CD2"/>
    <w:rsid w:val="00AC2DCA"/>
    <w:rsid w:val="00AC2DE9"/>
    <w:rsid w:val="00AC2E26"/>
    <w:rsid w:val="00AC2F36"/>
    <w:rsid w:val="00AC315A"/>
    <w:rsid w:val="00AC3180"/>
    <w:rsid w:val="00AC3319"/>
    <w:rsid w:val="00AC33B4"/>
    <w:rsid w:val="00AC33F7"/>
    <w:rsid w:val="00AC35C2"/>
    <w:rsid w:val="00AC3606"/>
    <w:rsid w:val="00AC3620"/>
    <w:rsid w:val="00AC36E6"/>
    <w:rsid w:val="00AC3B6B"/>
    <w:rsid w:val="00AC3B81"/>
    <w:rsid w:val="00AC3DD6"/>
    <w:rsid w:val="00AC3E1D"/>
    <w:rsid w:val="00AC3EB6"/>
    <w:rsid w:val="00AC4043"/>
    <w:rsid w:val="00AC4050"/>
    <w:rsid w:val="00AC42AA"/>
    <w:rsid w:val="00AC43F7"/>
    <w:rsid w:val="00AC4404"/>
    <w:rsid w:val="00AC44E5"/>
    <w:rsid w:val="00AC45C0"/>
    <w:rsid w:val="00AC4918"/>
    <w:rsid w:val="00AC4B41"/>
    <w:rsid w:val="00AC4B5E"/>
    <w:rsid w:val="00AC4F81"/>
    <w:rsid w:val="00AC50B0"/>
    <w:rsid w:val="00AC50FC"/>
    <w:rsid w:val="00AC5232"/>
    <w:rsid w:val="00AC5378"/>
    <w:rsid w:val="00AC54D5"/>
    <w:rsid w:val="00AC552E"/>
    <w:rsid w:val="00AC5804"/>
    <w:rsid w:val="00AC5847"/>
    <w:rsid w:val="00AC5B0C"/>
    <w:rsid w:val="00AC5B57"/>
    <w:rsid w:val="00AC5B80"/>
    <w:rsid w:val="00AC5CF5"/>
    <w:rsid w:val="00AC5EE3"/>
    <w:rsid w:val="00AC5EF0"/>
    <w:rsid w:val="00AC5F42"/>
    <w:rsid w:val="00AC606E"/>
    <w:rsid w:val="00AC626F"/>
    <w:rsid w:val="00AC62D5"/>
    <w:rsid w:val="00AC63D2"/>
    <w:rsid w:val="00AC6598"/>
    <w:rsid w:val="00AC6619"/>
    <w:rsid w:val="00AC6640"/>
    <w:rsid w:val="00AC6779"/>
    <w:rsid w:val="00AC681B"/>
    <w:rsid w:val="00AC69C1"/>
    <w:rsid w:val="00AC6C37"/>
    <w:rsid w:val="00AC6C86"/>
    <w:rsid w:val="00AC6D02"/>
    <w:rsid w:val="00AC6DEB"/>
    <w:rsid w:val="00AC6F7D"/>
    <w:rsid w:val="00AC6F92"/>
    <w:rsid w:val="00AC7107"/>
    <w:rsid w:val="00AC713F"/>
    <w:rsid w:val="00AC720A"/>
    <w:rsid w:val="00AC72A4"/>
    <w:rsid w:val="00AC7332"/>
    <w:rsid w:val="00AC73A8"/>
    <w:rsid w:val="00AC7593"/>
    <w:rsid w:val="00AC76C8"/>
    <w:rsid w:val="00AC771C"/>
    <w:rsid w:val="00AC77CC"/>
    <w:rsid w:val="00AC78D2"/>
    <w:rsid w:val="00AC78F9"/>
    <w:rsid w:val="00AC7BDA"/>
    <w:rsid w:val="00AC7C99"/>
    <w:rsid w:val="00AC7D13"/>
    <w:rsid w:val="00AC7DDA"/>
    <w:rsid w:val="00AC7EB3"/>
    <w:rsid w:val="00AC7F91"/>
    <w:rsid w:val="00AD0017"/>
    <w:rsid w:val="00AD012A"/>
    <w:rsid w:val="00AD07D3"/>
    <w:rsid w:val="00AD0A45"/>
    <w:rsid w:val="00AD0A46"/>
    <w:rsid w:val="00AD0AA2"/>
    <w:rsid w:val="00AD0CBB"/>
    <w:rsid w:val="00AD0CE3"/>
    <w:rsid w:val="00AD0DFA"/>
    <w:rsid w:val="00AD0E76"/>
    <w:rsid w:val="00AD0E82"/>
    <w:rsid w:val="00AD0EC2"/>
    <w:rsid w:val="00AD0F89"/>
    <w:rsid w:val="00AD1001"/>
    <w:rsid w:val="00AD1059"/>
    <w:rsid w:val="00AD10B5"/>
    <w:rsid w:val="00AD10F4"/>
    <w:rsid w:val="00AD123F"/>
    <w:rsid w:val="00AD125A"/>
    <w:rsid w:val="00AD126A"/>
    <w:rsid w:val="00AD129F"/>
    <w:rsid w:val="00AD1355"/>
    <w:rsid w:val="00AD13CE"/>
    <w:rsid w:val="00AD140A"/>
    <w:rsid w:val="00AD14F0"/>
    <w:rsid w:val="00AD15FA"/>
    <w:rsid w:val="00AD16E2"/>
    <w:rsid w:val="00AD1797"/>
    <w:rsid w:val="00AD1910"/>
    <w:rsid w:val="00AD197C"/>
    <w:rsid w:val="00AD1B50"/>
    <w:rsid w:val="00AD1B5F"/>
    <w:rsid w:val="00AD1D72"/>
    <w:rsid w:val="00AD1F82"/>
    <w:rsid w:val="00AD22A4"/>
    <w:rsid w:val="00AD22FF"/>
    <w:rsid w:val="00AD23EE"/>
    <w:rsid w:val="00AD2506"/>
    <w:rsid w:val="00AD2572"/>
    <w:rsid w:val="00AD25CB"/>
    <w:rsid w:val="00AD264E"/>
    <w:rsid w:val="00AD26EF"/>
    <w:rsid w:val="00AD271B"/>
    <w:rsid w:val="00AD283E"/>
    <w:rsid w:val="00AD298F"/>
    <w:rsid w:val="00AD29AE"/>
    <w:rsid w:val="00AD29B1"/>
    <w:rsid w:val="00AD2A7F"/>
    <w:rsid w:val="00AD2AF9"/>
    <w:rsid w:val="00AD2C3A"/>
    <w:rsid w:val="00AD2C76"/>
    <w:rsid w:val="00AD2CD2"/>
    <w:rsid w:val="00AD2F1D"/>
    <w:rsid w:val="00AD2F86"/>
    <w:rsid w:val="00AD3273"/>
    <w:rsid w:val="00AD32F2"/>
    <w:rsid w:val="00AD34D6"/>
    <w:rsid w:val="00AD3553"/>
    <w:rsid w:val="00AD3598"/>
    <w:rsid w:val="00AD3778"/>
    <w:rsid w:val="00AD38AC"/>
    <w:rsid w:val="00AD3964"/>
    <w:rsid w:val="00AD3ABF"/>
    <w:rsid w:val="00AD3CE1"/>
    <w:rsid w:val="00AD3D0A"/>
    <w:rsid w:val="00AD3EAB"/>
    <w:rsid w:val="00AD424F"/>
    <w:rsid w:val="00AD4317"/>
    <w:rsid w:val="00AD450C"/>
    <w:rsid w:val="00AD47E0"/>
    <w:rsid w:val="00AD481A"/>
    <w:rsid w:val="00AD4BE2"/>
    <w:rsid w:val="00AD4BE7"/>
    <w:rsid w:val="00AD4CBF"/>
    <w:rsid w:val="00AD4D06"/>
    <w:rsid w:val="00AD4D1A"/>
    <w:rsid w:val="00AD4DA9"/>
    <w:rsid w:val="00AD4E5D"/>
    <w:rsid w:val="00AD4ED1"/>
    <w:rsid w:val="00AD4F20"/>
    <w:rsid w:val="00AD50E9"/>
    <w:rsid w:val="00AD5129"/>
    <w:rsid w:val="00AD552D"/>
    <w:rsid w:val="00AD556C"/>
    <w:rsid w:val="00AD5678"/>
    <w:rsid w:val="00AD5958"/>
    <w:rsid w:val="00AD5B12"/>
    <w:rsid w:val="00AD5DB5"/>
    <w:rsid w:val="00AD5E02"/>
    <w:rsid w:val="00AD5E4E"/>
    <w:rsid w:val="00AD5E73"/>
    <w:rsid w:val="00AD5EC1"/>
    <w:rsid w:val="00AD5F02"/>
    <w:rsid w:val="00AD6081"/>
    <w:rsid w:val="00AD60E7"/>
    <w:rsid w:val="00AD60EA"/>
    <w:rsid w:val="00AD61DB"/>
    <w:rsid w:val="00AD6462"/>
    <w:rsid w:val="00AD6464"/>
    <w:rsid w:val="00AD667E"/>
    <w:rsid w:val="00AD6722"/>
    <w:rsid w:val="00AD67D4"/>
    <w:rsid w:val="00AD67F9"/>
    <w:rsid w:val="00AD6A53"/>
    <w:rsid w:val="00AD6AFF"/>
    <w:rsid w:val="00AD6B49"/>
    <w:rsid w:val="00AD6BD3"/>
    <w:rsid w:val="00AD6BF8"/>
    <w:rsid w:val="00AD6DBD"/>
    <w:rsid w:val="00AD6DCF"/>
    <w:rsid w:val="00AD708F"/>
    <w:rsid w:val="00AD7169"/>
    <w:rsid w:val="00AD71FB"/>
    <w:rsid w:val="00AD7352"/>
    <w:rsid w:val="00AD7593"/>
    <w:rsid w:val="00AD7828"/>
    <w:rsid w:val="00AD782B"/>
    <w:rsid w:val="00AD7BF6"/>
    <w:rsid w:val="00AD7D30"/>
    <w:rsid w:val="00AD7FF0"/>
    <w:rsid w:val="00AE007F"/>
    <w:rsid w:val="00AE0210"/>
    <w:rsid w:val="00AE027A"/>
    <w:rsid w:val="00AE03B7"/>
    <w:rsid w:val="00AE045F"/>
    <w:rsid w:val="00AE048A"/>
    <w:rsid w:val="00AE0495"/>
    <w:rsid w:val="00AE04C9"/>
    <w:rsid w:val="00AE0527"/>
    <w:rsid w:val="00AE059F"/>
    <w:rsid w:val="00AE05BC"/>
    <w:rsid w:val="00AE0657"/>
    <w:rsid w:val="00AE06CC"/>
    <w:rsid w:val="00AE099E"/>
    <w:rsid w:val="00AE09B1"/>
    <w:rsid w:val="00AE0A9C"/>
    <w:rsid w:val="00AE0AF1"/>
    <w:rsid w:val="00AE0B93"/>
    <w:rsid w:val="00AE0CE8"/>
    <w:rsid w:val="00AE0D96"/>
    <w:rsid w:val="00AE106D"/>
    <w:rsid w:val="00AE1274"/>
    <w:rsid w:val="00AE1309"/>
    <w:rsid w:val="00AE135C"/>
    <w:rsid w:val="00AE1372"/>
    <w:rsid w:val="00AE1393"/>
    <w:rsid w:val="00AE1432"/>
    <w:rsid w:val="00AE176E"/>
    <w:rsid w:val="00AE17CE"/>
    <w:rsid w:val="00AE18C5"/>
    <w:rsid w:val="00AE18F1"/>
    <w:rsid w:val="00AE18FF"/>
    <w:rsid w:val="00AE19D4"/>
    <w:rsid w:val="00AE19E6"/>
    <w:rsid w:val="00AE1A53"/>
    <w:rsid w:val="00AE1CF2"/>
    <w:rsid w:val="00AE1CF9"/>
    <w:rsid w:val="00AE1E37"/>
    <w:rsid w:val="00AE1F99"/>
    <w:rsid w:val="00AE1FD3"/>
    <w:rsid w:val="00AE201E"/>
    <w:rsid w:val="00AE20A6"/>
    <w:rsid w:val="00AE23E1"/>
    <w:rsid w:val="00AE25A9"/>
    <w:rsid w:val="00AE25F5"/>
    <w:rsid w:val="00AE2642"/>
    <w:rsid w:val="00AE2725"/>
    <w:rsid w:val="00AE27A8"/>
    <w:rsid w:val="00AE2A3C"/>
    <w:rsid w:val="00AE2A5D"/>
    <w:rsid w:val="00AE2B1C"/>
    <w:rsid w:val="00AE2BF7"/>
    <w:rsid w:val="00AE2C4A"/>
    <w:rsid w:val="00AE2CD8"/>
    <w:rsid w:val="00AE2DDC"/>
    <w:rsid w:val="00AE2EF6"/>
    <w:rsid w:val="00AE344B"/>
    <w:rsid w:val="00AE348C"/>
    <w:rsid w:val="00AE36DD"/>
    <w:rsid w:val="00AE3724"/>
    <w:rsid w:val="00AE39AB"/>
    <w:rsid w:val="00AE3A57"/>
    <w:rsid w:val="00AE3A61"/>
    <w:rsid w:val="00AE3C74"/>
    <w:rsid w:val="00AE3CB8"/>
    <w:rsid w:val="00AE3E01"/>
    <w:rsid w:val="00AE41EB"/>
    <w:rsid w:val="00AE430E"/>
    <w:rsid w:val="00AE4312"/>
    <w:rsid w:val="00AE4331"/>
    <w:rsid w:val="00AE4376"/>
    <w:rsid w:val="00AE43AB"/>
    <w:rsid w:val="00AE448B"/>
    <w:rsid w:val="00AE46E6"/>
    <w:rsid w:val="00AE482D"/>
    <w:rsid w:val="00AE484C"/>
    <w:rsid w:val="00AE486F"/>
    <w:rsid w:val="00AE4877"/>
    <w:rsid w:val="00AE48F8"/>
    <w:rsid w:val="00AE4A51"/>
    <w:rsid w:val="00AE4B22"/>
    <w:rsid w:val="00AE4BAF"/>
    <w:rsid w:val="00AE4C24"/>
    <w:rsid w:val="00AE4C9B"/>
    <w:rsid w:val="00AE4E26"/>
    <w:rsid w:val="00AE4EB6"/>
    <w:rsid w:val="00AE503B"/>
    <w:rsid w:val="00AE51A8"/>
    <w:rsid w:val="00AE522C"/>
    <w:rsid w:val="00AE5265"/>
    <w:rsid w:val="00AE560E"/>
    <w:rsid w:val="00AE5AC3"/>
    <w:rsid w:val="00AE5E39"/>
    <w:rsid w:val="00AE5E61"/>
    <w:rsid w:val="00AE5EB8"/>
    <w:rsid w:val="00AE5F62"/>
    <w:rsid w:val="00AE5FEB"/>
    <w:rsid w:val="00AE60D8"/>
    <w:rsid w:val="00AE60E4"/>
    <w:rsid w:val="00AE60F7"/>
    <w:rsid w:val="00AE614D"/>
    <w:rsid w:val="00AE6272"/>
    <w:rsid w:val="00AE6281"/>
    <w:rsid w:val="00AE661B"/>
    <w:rsid w:val="00AE66D9"/>
    <w:rsid w:val="00AE6B6D"/>
    <w:rsid w:val="00AE6CFD"/>
    <w:rsid w:val="00AE6D2D"/>
    <w:rsid w:val="00AE6EA6"/>
    <w:rsid w:val="00AE6F59"/>
    <w:rsid w:val="00AE7344"/>
    <w:rsid w:val="00AE743A"/>
    <w:rsid w:val="00AE746C"/>
    <w:rsid w:val="00AE74CD"/>
    <w:rsid w:val="00AE7684"/>
    <w:rsid w:val="00AE76C4"/>
    <w:rsid w:val="00AE7849"/>
    <w:rsid w:val="00AE7973"/>
    <w:rsid w:val="00AE7977"/>
    <w:rsid w:val="00AE7A21"/>
    <w:rsid w:val="00AE7AE7"/>
    <w:rsid w:val="00AE7AFD"/>
    <w:rsid w:val="00AE7C10"/>
    <w:rsid w:val="00AE7EF7"/>
    <w:rsid w:val="00AF0158"/>
    <w:rsid w:val="00AF0284"/>
    <w:rsid w:val="00AF0298"/>
    <w:rsid w:val="00AF0311"/>
    <w:rsid w:val="00AF03BC"/>
    <w:rsid w:val="00AF04B6"/>
    <w:rsid w:val="00AF0507"/>
    <w:rsid w:val="00AF06E2"/>
    <w:rsid w:val="00AF0857"/>
    <w:rsid w:val="00AF08A9"/>
    <w:rsid w:val="00AF0A0D"/>
    <w:rsid w:val="00AF0A68"/>
    <w:rsid w:val="00AF0CC1"/>
    <w:rsid w:val="00AF0DC6"/>
    <w:rsid w:val="00AF0E8F"/>
    <w:rsid w:val="00AF0EC0"/>
    <w:rsid w:val="00AF1115"/>
    <w:rsid w:val="00AF1237"/>
    <w:rsid w:val="00AF12B1"/>
    <w:rsid w:val="00AF12C5"/>
    <w:rsid w:val="00AF1336"/>
    <w:rsid w:val="00AF1404"/>
    <w:rsid w:val="00AF1798"/>
    <w:rsid w:val="00AF18BB"/>
    <w:rsid w:val="00AF19FB"/>
    <w:rsid w:val="00AF1B3C"/>
    <w:rsid w:val="00AF1BA7"/>
    <w:rsid w:val="00AF1F10"/>
    <w:rsid w:val="00AF1F41"/>
    <w:rsid w:val="00AF2061"/>
    <w:rsid w:val="00AF220F"/>
    <w:rsid w:val="00AF22AD"/>
    <w:rsid w:val="00AF2516"/>
    <w:rsid w:val="00AF2607"/>
    <w:rsid w:val="00AF26E2"/>
    <w:rsid w:val="00AF2949"/>
    <w:rsid w:val="00AF2AEF"/>
    <w:rsid w:val="00AF2DB2"/>
    <w:rsid w:val="00AF2DEF"/>
    <w:rsid w:val="00AF3010"/>
    <w:rsid w:val="00AF3067"/>
    <w:rsid w:val="00AF313D"/>
    <w:rsid w:val="00AF319A"/>
    <w:rsid w:val="00AF31FB"/>
    <w:rsid w:val="00AF32E7"/>
    <w:rsid w:val="00AF3371"/>
    <w:rsid w:val="00AF33B6"/>
    <w:rsid w:val="00AF3419"/>
    <w:rsid w:val="00AF3479"/>
    <w:rsid w:val="00AF34D1"/>
    <w:rsid w:val="00AF353F"/>
    <w:rsid w:val="00AF373A"/>
    <w:rsid w:val="00AF3767"/>
    <w:rsid w:val="00AF37E6"/>
    <w:rsid w:val="00AF3826"/>
    <w:rsid w:val="00AF386F"/>
    <w:rsid w:val="00AF3907"/>
    <w:rsid w:val="00AF3A16"/>
    <w:rsid w:val="00AF3AC4"/>
    <w:rsid w:val="00AF3B0D"/>
    <w:rsid w:val="00AF3B95"/>
    <w:rsid w:val="00AF3BEC"/>
    <w:rsid w:val="00AF3D39"/>
    <w:rsid w:val="00AF3D78"/>
    <w:rsid w:val="00AF3DE6"/>
    <w:rsid w:val="00AF3EC9"/>
    <w:rsid w:val="00AF4159"/>
    <w:rsid w:val="00AF4198"/>
    <w:rsid w:val="00AF4308"/>
    <w:rsid w:val="00AF45B4"/>
    <w:rsid w:val="00AF483E"/>
    <w:rsid w:val="00AF497B"/>
    <w:rsid w:val="00AF4A88"/>
    <w:rsid w:val="00AF4B80"/>
    <w:rsid w:val="00AF4C37"/>
    <w:rsid w:val="00AF4C38"/>
    <w:rsid w:val="00AF4CCA"/>
    <w:rsid w:val="00AF4D36"/>
    <w:rsid w:val="00AF4E5D"/>
    <w:rsid w:val="00AF4F22"/>
    <w:rsid w:val="00AF4FB8"/>
    <w:rsid w:val="00AF502F"/>
    <w:rsid w:val="00AF5053"/>
    <w:rsid w:val="00AF5251"/>
    <w:rsid w:val="00AF53F6"/>
    <w:rsid w:val="00AF54AA"/>
    <w:rsid w:val="00AF5599"/>
    <w:rsid w:val="00AF55FA"/>
    <w:rsid w:val="00AF576E"/>
    <w:rsid w:val="00AF582A"/>
    <w:rsid w:val="00AF5D14"/>
    <w:rsid w:val="00AF5D1F"/>
    <w:rsid w:val="00AF5E6B"/>
    <w:rsid w:val="00AF5F1D"/>
    <w:rsid w:val="00AF5F6C"/>
    <w:rsid w:val="00AF5FAE"/>
    <w:rsid w:val="00AF604D"/>
    <w:rsid w:val="00AF614E"/>
    <w:rsid w:val="00AF622B"/>
    <w:rsid w:val="00AF63B8"/>
    <w:rsid w:val="00AF647D"/>
    <w:rsid w:val="00AF655B"/>
    <w:rsid w:val="00AF6610"/>
    <w:rsid w:val="00AF686F"/>
    <w:rsid w:val="00AF68BF"/>
    <w:rsid w:val="00AF6A1D"/>
    <w:rsid w:val="00AF6A4C"/>
    <w:rsid w:val="00AF6CE0"/>
    <w:rsid w:val="00AF6F00"/>
    <w:rsid w:val="00AF6F49"/>
    <w:rsid w:val="00AF707A"/>
    <w:rsid w:val="00AF7183"/>
    <w:rsid w:val="00AF7514"/>
    <w:rsid w:val="00AF7559"/>
    <w:rsid w:val="00AF7826"/>
    <w:rsid w:val="00AF7A7D"/>
    <w:rsid w:val="00AF7B24"/>
    <w:rsid w:val="00AF7B8F"/>
    <w:rsid w:val="00AF7C73"/>
    <w:rsid w:val="00AF7C9D"/>
    <w:rsid w:val="00AF7E37"/>
    <w:rsid w:val="00AF7F2F"/>
    <w:rsid w:val="00AF7F31"/>
    <w:rsid w:val="00AF7F72"/>
    <w:rsid w:val="00B0002D"/>
    <w:rsid w:val="00B000C8"/>
    <w:rsid w:val="00B000F1"/>
    <w:rsid w:val="00B0012B"/>
    <w:rsid w:val="00B001AF"/>
    <w:rsid w:val="00B001B4"/>
    <w:rsid w:val="00B0020F"/>
    <w:rsid w:val="00B00296"/>
    <w:rsid w:val="00B0039F"/>
    <w:rsid w:val="00B003CF"/>
    <w:rsid w:val="00B0060D"/>
    <w:rsid w:val="00B007BE"/>
    <w:rsid w:val="00B007C3"/>
    <w:rsid w:val="00B00B09"/>
    <w:rsid w:val="00B00BB8"/>
    <w:rsid w:val="00B00EAC"/>
    <w:rsid w:val="00B00FA9"/>
    <w:rsid w:val="00B0123F"/>
    <w:rsid w:val="00B012DB"/>
    <w:rsid w:val="00B013DC"/>
    <w:rsid w:val="00B016E7"/>
    <w:rsid w:val="00B016EE"/>
    <w:rsid w:val="00B018AC"/>
    <w:rsid w:val="00B01A1D"/>
    <w:rsid w:val="00B01A78"/>
    <w:rsid w:val="00B01B4F"/>
    <w:rsid w:val="00B01BD4"/>
    <w:rsid w:val="00B01C6E"/>
    <w:rsid w:val="00B01CCE"/>
    <w:rsid w:val="00B01E52"/>
    <w:rsid w:val="00B01E69"/>
    <w:rsid w:val="00B01EB2"/>
    <w:rsid w:val="00B01FD3"/>
    <w:rsid w:val="00B0204F"/>
    <w:rsid w:val="00B020AB"/>
    <w:rsid w:val="00B02183"/>
    <w:rsid w:val="00B02245"/>
    <w:rsid w:val="00B02306"/>
    <w:rsid w:val="00B023FE"/>
    <w:rsid w:val="00B02403"/>
    <w:rsid w:val="00B0245F"/>
    <w:rsid w:val="00B024A1"/>
    <w:rsid w:val="00B026BC"/>
    <w:rsid w:val="00B02752"/>
    <w:rsid w:val="00B0289B"/>
    <w:rsid w:val="00B02EAB"/>
    <w:rsid w:val="00B02EC6"/>
    <w:rsid w:val="00B02FA6"/>
    <w:rsid w:val="00B03033"/>
    <w:rsid w:val="00B030F0"/>
    <w:rsid w:val="00B03189"/>
    <w:rsid w:val="00B031A7"/>
    <w:rsid w:val="00B031CB"/>
    <w:rsid w:val="00B031F0"/>
    <w:rsid w:val="00B03521"/>
    <w:rsid w:val="00B035B1"/>
    <w:rsid w:val="00B03696"/>
    <w:rsid w:val="00B03894"/>
    <w:rsid w:val="00B0390C"/>
    <w:rsid w:val="00B0392C"/>
    <w:rsid w:val="00B039B0"/>
    <w:rsid w:val="00B03A00"/>
    <w:rsid w:val="00B03CE0"/>
    <w:rsid w:val="00B03CE9"/>
    <w:rsid w:val="00B03EAB"/>
    <w:rsid w:val="00B03F4F"/>
    <w:rsid w:val="00B0419D"/>
    <w:rsid w:val="00B041B7"/>
    <w:rsid w:val="00B043AA"/>
    <w:rsid w:val="00B045BB"/>
    <w:rsid w:val="00B047C2"/>
    <w:rsid w:val="00B049A6"/>
    <w:rsid w:val="00B049D9"/>
    <w:rsid w:val="00B04AE9"/>
    <w:rsid w:val="00B04CB1"/>
    <w:rsid w:val="00B04D51"/>
    <w:rsid w:val="00B04E66"/>
    <w:rsid w:val="00B04F50"/>
    <w:rsid w:val="00B04FB4"/>
    <w:rsid w:val="00B05048"/>
    <w:rsid w:val="00B05061"/>
    <w:rsid w:val="00B050C5"/>
    <w:rsid w:val="00B0510D"/>
    <w:rsid w:val="00B0513D"/>
    <w:rsid w:val="00B051D2"/>
    <w:rsid w:val="00B0520F"/>
    <w:rsid w:val="00B05363"/>
    <w:rsid w:val="00B053E7"/>
    <w:rsid w:val="00B0542C"/>
    <w:rsid w:val="00B0546B"/>
    <w:rsid w:val="00B05635"/>
    <w:rsid w:val="00B05686"/>
    <w:rsid w:val="00B056EF"/>
    <w:rsid w:val="00B05819"/>
    <w:rsid w:val="00B058BB"/>
    <w:rsid w:val="00B05917"/>
    <w:rsid w:val="00B059C8"/>
    <w:rsid w:val="00B05AC7"/>
    <w:rsid w:val="00B05D7D"/>
    <w:rsid w:val="00B05F32"/>
    <w:rsid w:val="00B060EE"/>
    <w:rsid w:val="00B06364"/>
    <w:rsid w:val="00B065A0"/>
    <w:rsid w:val="00B0662E"/>
    <w:rsid w:val="00B0669F"/>
    <w:rsid w:val="00B069DF"/>
    <w:rsid w:val="00B06B3D"/>
    <w:rsid w:val="00B06E02"/>
    <w:rsid w:val="00B07040"/>
    <w:rsid w:val="00B0708C"/>
    <w:rsid w:val="00B073B7"/>
    <w:rsid w:val="00B0740A"/>
    <w:rsid w:val="00B07453"/>
    <w:rsid w:val="00B074C9"/>
    <w:rsid w:val="00B07545"/>
    <w:rsid w:val="00B07620"/>
    <w:rsid w:val="00B07632"/>
    <w:rsid w:val="00B07708"/>
    <w:rsid w:val="00B078B1"/>
    <w:rsid w:val="00B078DB"/>
    <w:rsid w:val="00B079B9"/>
    <w:rsid w:val="00B07A98"/>
    <w:rsid w:val="00B07E36"/>
    <w:rsid w:val="00B07F08"/>
    <w:rsid w:val="00B07F13"/>
    <w:rsid w:val="00B07F30"/>
    <w:rsid w:val="00B1009B"/>
    <w:rsid w:val="00B1009F"/>
    <w:rsid w:val="00B1024E"/>
    <w:rsid w:val="00B102A0"/>
    <w:rsid w:val="00B10396"/>
    <w:rsid w:val="00B104F6"/>
    <w:rsid w:val="00B105C6"/>
    <w:rsid w:val="00B10688"/>
    <w:rsid w:val="00B106A8"/>
    <w:rsid w:val="00B108C6"/>
    <w:rsid w:val="00B10921"/>
    <w:rsid w:val="00B109D6"/>
    <w:rsid w:val="00B10D4C"/>
    <w:rsid w:val="00B10DC8"/>
    <w:rsid w:val="00B10F5F"/>
    <w:rsid w:val="00B10FF8"/>
    <w:rsid w:val="00B10FFE"/>
    <w:rsid w:val="00B11043"/>
    <w:rsid w:val="00B110A9"/>
    <w:rsid w:val="00B1124C"/>
    <w:rsid w:val="00B1127B"/>
    <w:rsid w:val="00B112B8"/>
    <w:rsid w:val="00B11478"/>
    <w:rsid w:val="00B11585"/>
    <w:rsid w:val="00B11590"/>
    <w:rsid w:val="00B115A7"/>
    <w:rsid w:val="00B115BC"/>
    <w:rsid w:val="00B115FF"/>
    <w:rsid w:val="00B116D1"/>
    <w:rsid w:val="00B11897"/>
    <w:rsid w:val="00B118EB"/>
    <w:rsid w:val="00B11985"/>
    <w:rsid w:val="00B119B1"/>
    <w:rsid w:val="00B119CE"/>
    <w:rsid w:val="00B11A82"/>
    <w:rsid w:val="00B11AAB"/>
    <w:rsid w:val="00B11B15"/>
    <w:rsid w:val="00B11BFF"/>
    <w:rsid w:val="00B11CA9"/>
    <w:rsid w:val="00B11E81"/>
    <w:rsid w:val="00B1243E"/>
    <w:rsid w:val="00B12507"/>
    <w:rsid w:val="00B126C5"/>
    <w:rsid w:val="00B12826"/>
    <w:rsid w:val="00B128F8"/>
    <w:rsid w:val="00B12AD5"/>
    <w:rsid w:val="00B12BFE"/>
    <w:rsid w:val="00B12CB3"/>
    <w:rsid w:val="00B12CC3"/>
    <w:rsid w:val="00B12D20"/>
    <w:rsid w:val="00B12D23"/>
    <w:rsid w:val="00B12E78"/>
    <w:rsid w:val="00B12FD8"/>
    <w:rsid w:val="00B13095"/>
    <w:rsid w:val="00B1314F"/>
    <w:rsid w:val="00B13196"/>
    <w:rsid w:val="00B13232"/>
    <w:rsid w:val="00B133DC"/>
    <w:rsid w:val="00B13440"/>
    <w:rsid w:val="00B13502"/>
    <w:rsid w:val="00B13661"/>
    <w:rsid w:val="00B13851"/>
    <w:rsid w:val="00B13A8D"/>
    <w:rsid w:val="00B13C88"/>
    <w:rsid w:val="00B13DA6"/>
    <w:rsid w:val="00B13E67"/>
    <w:rsid w:val="00B13EA8"/>
    <w:rsid w:val="00B13F03"/>
    <w:rsid w:val="00B14490"/>
    <w:rsid w:val="00B1451B"/>
    <w:rsid w:val="00B1470D"/>
    <w:rsid w:val="00B14738"/>
    <w:rsid w:val="00B14752"/>
    <w:rsid w:val="00B1481F"/>
    <w:rsid w:val="00B1489C"/>
    <w:rsid w:val="00B1498C"/>
    <w:rsid w:val="00B14B29"/>
    <w:rsid w:val="00B14B80"/>
    <w:rsid w:val="00B14CF7"/>
    <w:rsid w:val="00B14EF6"/>
    <w:rsid w:val="00B14F29"/>
    <w:rsid w:val="00B14F70"/>
    <w:rsid w:val="00B1512C"/>
    <w:rsid w:val="00B151AC"/>
    <w:rsid w:val="00B151C7"/>
    <w:rsid w:val="00B151CF"/>
    <w:rsid w:val="00B15248"/>
    <w:rsid w:val="00B152A0"/>
    <w:rsid w:val="00B1546B"/>
    <w:rsid w:val="00B15687"/>
    <w:rsid w:val="00B156D1"/>
    <w:rsid w:val="00B15799"/>
    <w:rsid w:val="00B1582E"/>
    <w:rsid w:val="00B158B9"/>
    <w:rsid w:val="00B15981"/>
    <w:rsid w:val="00B159F3"/>
    <w:rsid w:val="00B15C9A"/>
    <w:rsid w:val="00B15D75"/>
    <w:rsid w:val="00B16191"/>
    <w:rsid w:val="00B161D7"/>
    <w:rsid w:val="00B163DC"/>
    <w:rsid w:val="00B1665E"/>
    <w:rsid w:val="00B1668A"/>
    <w:rsid w:val="00B166A2"/>
    <w:rsid w:val="00B1678A"/>
    <w:rsid w:val="00B16922"/>
    <w:rsid w:val="00B16E17"/>
    <w:rsid w:val="00B16E25"/>
    <w:rsid w:val="00B16F49"/>
    <w:rsid w:val="00B17295"/>
    <w:rsid w:val="00B175DB"/>
    <w:rsid w:val="00B17700"/>
    <w:rsid w:val="00B17756"/>
    <w:rsid w:val="00B17765"/>
    <w:rsid w:val="00B17779"/>
    <w:rsid w:val="00B17881"/>
    <w:rsid w:val="00B17A61"/>
    <w:rsid w:val="00B17AB1"/>
    <w:rsid w:val="00B17B9E"/>
    <w:rsid w:val="00B17BBD"/>
    <w:rsid w:val="00B17C31"/>
    <w:rsid w:val="00B17C62"/>
    <w:rsid w:val="00B17C9A"/>
    <w:rsid w:val="00B17DA1"/>
    <w:rsid w:val="00B17E87"/>
    <w:rsid w:val="00B17FA4"/>
    <w:rsid w:val="00B17FF0"/>
    <w:rsid w:val="00B20027"/>
    <w:rsid w:val="00B20149"/>
    <w:rsid w:val="00B20445"/>
    <w:rsid w:val="00B2072D"/>
    <w:rsid w:val="00B2076B"/>
    <w:rsid w:val="00B207B5"/>
    <w:rsid w:val="00B20804"/>
    <w:rsid w:val="00B20861"/>
    <w:rsid w:val="00B20862"/>
    <w:rsid w:val="00B2089C"/>
    <w:rsid w:val="00B20922"/>
    <w:rsid w:val="00B209E1"/>
    <w:rsid w:val="00B20A30"/>
    <w:rsid w:val="00B20A68"/>
    <w:rsid w:val="00B20A75"/>
    <w:rsid w:val="00B20A76"/>
    <w:rsid w:val="00B20A8A"/>
    <w:rsid w:val="00B20B79"/>
    <w:rsid w:val="00B20C25"/>
    <w:rsid w:val="00B20DAE"/>
    <w:rsid w:val="00B20DEF"/>
    <w:rsid w:val="00B20E74"/>
    <w:rsid w:val="00B20EE5"/>
    <w:rsid w:val="00B20F39"/>
    <w:rsid w:val="00B20F9E"/>
    <w:rsid w:val="00B21084"/>
    <w:rsid w:val="00B212AE"/>
    <w:rsid w:val="00B2133A"/>
    <w:rsid w:val="00B213AA"/>
    <w:rsid w:val="00B21430"/>
    <w:rsid w:val="00B214EA"/>
    <w:rsid w:val="00B2162A"/>
    <w:rsid w:val="00B217DF"/>
    <w:rsid w:val="00B21856"/>
    <w:rsid w:val="00B219AF"/>
    <w:rsid w:val="00B21A84"/>
    <w:rsid w:val="00B21AA1"/>
    <w:rsid w:val="00B21B99"/>
    <w:rsid w:val="00B21CDF"/>
    <w:rsid w:val="00B21D0D"/>
    <w:rsid w:val="00B2204F"/>
    <w:rsid w:val="00B2210F"/>
    <w:rsid w:val="00B221AE"/>
    <w:rsid w:val="00B221BE"/>
    <w:rsid w:val="00B22557"/>
    <w:rsid w:val="00B2274E"/>
    <w:rsid w:val="00B2299E"/>
    <w:rsid w:val="00B22A64"/>
    <w:rsid w:val="00B22A73"/>
    <w:rsid w:val="00B22D7B"/>
    <w:rsid w:val="00B22DA9"/>
    <w:rsid w:val="00B22E3E"/>
    <w:rsid w:val="00B230CA"/>
    <w:rsid w:val="00B230F6"/>
    <w:rsid w:val="00B231ED"/>
    <w:rsid w:val="00B23484"/>
    <w:rsid w:val="00B23550"/>
    <w:rsid w:val="00B2369B"/>
    <w:rsid w:val="00B237E8"/>
    <w:rsid w:val="00B2386C"/>
    <w:rsid w:val="00B23B3D"/>
    <w:rsid w:val="00B23BD3"/>
    <w:rsid w:val="00B23CCA"/>
    <w:rsid w:val="00B23D6F"/>
    <w:rsid w:val="00B23FC7"/>
    <w:rsid w:val="00B2403E"/>
    <w:rsid w:val="00B2408B"/>
    <w:rsid w:val="00B241B9"/>
    <w:rsid w:val="00B241D5"/>
    <w:rsid w:val="00B24284"/>
    <w:rsid w:val="00B242A5"/>
    <w:rsid w:val="00B2453A"/>
    <w:rsid w:val="00B24643"/>
    <w:rsid w:val="00B2465B"/>
    <w:rsid w:val="00B247AD"/>
    <w:rsid w:val="00B247D2"/>
    <w:rsid w:val="00B247E4"/>
    <w:rsid w:val="00B24956"/>
    <w:rsid w:val="00B24A8F"/>
    <w:rsid w:val="00B24B72"/>
    <w:rsid w:val="00B24BC1"/>
    <w:rsid w:val="00B24BD8"/>
    <w:rsid w:val="00B24BF8"/>
    <w:rsid w:val="00B25022"/>
    <w:rsid w:val="00B25167"/>
    <w:rsid w:val="00B25235"/>
    <w:rsid w:val="00B2527D"/>
    <w:rsid w:val="00B252BF"/>
    <w:rsid w:val="00B252CF"/>
    <w:rsid w:val="00B253A0"/>
    <w:rsid w:val="00B253EE"/>
    <w:rsid w:val="00B25680"/>
    <w:rsid w:val="00B257C3"/>
    <w:rsid w:val="00B25B58"/>
    <w:rsid w:val="00B25B7C"/>
    <w:rsid w:val="00B25D05"/>
    <w:rsid w:val="00B25D56"/>
    <w:rsid w:val="00B26209"/>
    <w:rsid w:val="00B26238"/>
    <w:rsid w:val="00B263F3"/>
    <w:rsid w:val="00B264F6"/>
    <w:rsid w:val="00B26622"/>
    <w:rsid w:val="00B26669"/>
    <w:rsid w:val="00B266A5"/>
    <w:rsid w:val="00B26900"/>
    <w:rsid w:val="00B26AD2"/>
    <w:rsid w:val="00B26C6D"/>
    <w:rsid w:val="00B26DA1"/>
    <w:rsid w:val="00B26E19"/>
    <w:rsid w:val="00B26EBF"/>
    <w:rsid w:val="00B26EC9"/>
    <w:rsid w:val="00B26F07"/>
    <w:rsid w:val="00B27001"/>
    <w:rsid w:val="00B271FB"/>
    <w:rsid w:val="00B272A3"/>
    <w:rsid w:val="00B27443"/>
    <w:rsid w:val="00B27471"/>
    <w:rsid w:val="00B27659"/>
    <w:rsid w:val="00B27682"/>
    <w:rsid w:val="00B276B4"/>
    <w:rsid w:val="00B27795"/>
    <w:rsid w:val="00B27818"/>
    <w:rsid w:val="00B2781F"/>
    <w:rsid w:val="00B27A64"/>
    <w:rsid w:val="00B27AE8"/>
    <w:rsid w:val="00B27B46"/>
    <w:rsid w:val="00B27D67"/>
    <w:rsid w:val="00B27D6D"/>
    <w:rsid w:val="00B27DC8"/>
    <w:rsid w:val="00B27F1C"/>
    <w:rsid w:val="00B27F72"/>
    <w:rsid w:val="00B27FA9"/>
    <w:rsid w:val="00B300C2"/>
    <w:rsid w:val="00B30138"/>
    <w:rsid w:val="00B30206"/>
    <w:rsid w:val="00B303F6"/>
    <w:rsid w:val="00B30458"/>
    <w:rsid w:val="00B304BB"/>
    <w:rsid w:val="00B30524"/>
    <w:rsid w:val="00B30560"/>
    <w:rsid w:val="00B3059A"/>
    <w:rsid w:val="00B305BB"/>
    <w:rsid w:val="00B3060D"/>
    <w:rsid w:val="00B307B7"/>
    <w:rsid w:val="00B30A1F"/>
    <w:rsid w:val="00B30A40"/>
    <w:rsid w:val="00B30A6F"/>
    <w:rsid w:val="00B30C1F"/>
    <w:rsid w:val="00B30C30"/>
    <w:rsid w:val="00B30D50"/>
    <w:rsid w:val="00B30D87"/>
    <w:rsid w:val="00B30DA9"/>
    <w:rsid w:val="00B3109D"/>
    <w:rsid w:val="00B3137A"/>
    <w:rsid w:val="00B31437"/>
    <w:rsid w:val="00B31535"/>
    <w:rsid w:val="00B316B8"/>
    <w:rsid w:val="00B31723"/>
    <w:rsid w:val="00B3189F"/>
    <w:rsid w:val="00B31A0D"/>
    <w:rsid w:val="00B31AF3"/>
    <w:rsid w:val="00B31B15"/>
    <w:rsid w:val="00B31E25"/>
    <w:rsid w:val="00B31E2F"/>
    <w:rsid w:val="00B31EBF"/>
    <w:rsid w:val="00B31EF6"/>
    <w:rsid w:val="00B321B6"/>
    <w:rsid w:val="00B321F4"/>
    <w:rsid w:val="00B324A6"/>
    <w:rsid w:val="00B32540"/>
    <w:rsid w:val="00B325BA"/>
    <w:rsid w:val="00B32820"/>
    <w:rsid w:val="00B32979"/>
    <w:rsid w:val="00B329F2"/>
    <w:rsid w:val="00B32B92"/>
    <w:rsid w:val="00B32DDE"/>
    <w:rsid w:val="00B32DF0"/>
    <w:rsid w:val="00B32F20"/>
    <w:rsid w:val="00B32F22"/>
    <w:rsid w:val="00B330C7"/>
    <w:rsid w:val="00B330EB"/>
    <w:rsid w:val="00B3310A"/>
    <w:rsid w:val="00B33184"/>
    <w:rsid w:val="00B331D2"/>
    <w:rsid w:val="00B331D5"/>
    <w:rsid w:val="00B3338D"/>
    <w:rsid w:val="00B3344F"/>
    <w:rsid w:val="00B33453"/>
    <w:rsid w:val="00B334EE"/>
    <w:rsid w:val="00B33735"/>
    <w:rsid w:val="00B337EC"/>
    <w:rsid w:val="00B33905"/>
    <w:rsid w:val="00B33BBF"/>
    <w:rsid w:val="00B33E66"/>
    <w:rsid w:val="00B3401C"/>
    <w:rsid w:val="00B3403D"/>
    <w:rsid w:val="00B34062"/>
    <w:rsid w:val="00B340C1"/>
    <w:rsid w:val="00B340C9"/>
    <w:rsid w:val="00B34128"/>
    <w:rsid w:val="00B342E6"/>
    <w:rsid w:val="00B34303"/>
    <w:rsid w:val="00B34467"/>
    <w:rsid w:val="00B34619"/>
    <w:rsid w:val="00B346F6"/>
    <w:rsid w:val="00B347D0"/>
    <w:rsid w:val="00B34803"/>
    <w:rsid w:val="00B34E7D"/>
    <w:rsid w:val="00B34F17"/>
    <w:rsid w:val="00B3502C"/>
    <w:rsid w:val="00B35205"/>
    <w:rsid w:val="00B35218"/>
    <w:rsid w:val="00B35262"/>
    <w:rsid w:val="00B355F4"/>
    <w:rsid w:val="00B356D9"/>
    <w:rsid w:val="00B3583E"/>
    <w:rsid w:val="00B35873"/>
    <w:rsid w:val="00B35CE1"/>
    <w:rsid w:val="00B35D9E"/>
    <w:rsid w:val="00B35E8B"/>
    <w:rsid w:val="00B35EED"/>
    <w:rsid w:val="00B35F7C"/>
    <w:rsid w:val="00B35FE6"/>
    <w:rsid w:val="00B36028"/>
    <w:rsid w:val="00B360E9"/>
    <w:rsid w:val="00B360F3"/>
    <w:rsid w:val="00B3616C"/>
    <w:rsid w:val="00B36248"/>
    <w:rsid w:val="00B362FE"/>
    <w:rsid w:val="00B363D2"/>
    <w:rsid w:val="00B367EE"/>
    <w:rsid w:val="00B36838"/>
    <w:rsid w:val="00B36914"/>
    <w:rsid w:val="00B3691D"/>
    <w:rsid w:val="00B369D7"/>
    <w:rsid w:val="00B36B0B"/>
    <w:rsid w:val="00B36B6C"/>
    <w:rsid w:val="00B36FD2"/>
    <w:rsid w:val="00B3707D"/>
    <w:rsid w:val="00B370A2"/>
    <w:rsid w:val="00B370EB"/>
    <w:rsid w:val="00B37456"/>
    <w:rsid w:val="00B3757E"/>
    <w:rsid w:val="00B37634"/>
    <w:rsid w:val="00B3775F"/>
    <w:rsid w:val="00B3776C"/>
    <w:rsid w:val="00B37909"/>
    <w:rsid w:val="00B37C07"/>
    <w:rsid w:val="00B37C4A"/>
    <w:rsid w:val="00B37CCF"/>
    <w:rsid w:val="00B37DFA"/>
    <w:rsid w:val="00B40064"/>
    <w:rsid w:val="00B4006B"/>
    <w:rsid w:val="00B401A4"/>
    <w:rsid w:val="00B402D5"/>
    <w:rsid w:val="00B40382"/>
    <w:rsid w:val="00B4047D"/>
    <w:rsid w:val="00B4067F"/>
    <w:rsid w:val="00B407C9"/>
    <w:rsid w:val="00B40815"/>
    <w:rsid w:val="00B408DB"/>
    <w:rsid w:val="00B4098E"/>
    <w:rsid w:val="00B40B65"/>
    <w:rsid w:val="00B40C58"/>
    <w:rsid w:val="00B40DCA"/>
    <w:rsid w:val="00B40DCB"/>
    <w:rsid w:val="00B40ED9"/>
    <w:rsid w:val="00B41102"/>
    <w:rsid w:val="00B411C2"/>
    <w:rsid w:val="00B41340"/>
    <w:rsid w:val="00B41448"/>
    <w:rsid w:val="00B41490"/>
    <w:rsid w:val="00B416AE"/>
    <w:rsid w:val="00B41808"/>
    <w:rsid w:val="00B418C2"/>
    <w:rsid w:val="00B4197C"/>
    <w:rsid w:val="00B41A06"/>
    <w:rsid w:val="00B41C8F"/>
    <w:rsid w:val="00B41DC8"/>
    <w:rsid w:val="00B41E99"/>
    <w:rsid w:val="00B41F03"/>
    <w:rsid w:val="00B4204E"/>
    <w:rsid w:val="00B42142"/>
    <w:rsid w:val="00B421B1"/>
    <w:rsid w:val="00B421E0"/>
    <w:rsid w:val="00B422C0"/>
    <w:rsid w:val="00B424DC"/>
    <w:rsid w:val="00B4264A"/>
    <w:rsid w:val="00B42A86"/>
    <w:rsid w:val="00B42CE5"/>
    <w:rsid w:val="00B4304E"/>
    <w:rsid w:val="00B4312D"/>
    <w:rsid w:val="00B4318F"/>
    <w:rsid w:val="00B4323C"/>
    <w:rsid w:val="00B43573"/>
    <w:rsid w:val="00B438BF"/>
    <w:rsid w:val="00B43983"/>
    <w:rsid w:val="00B43AB9"/>
    <w:rsid w:val="00B43BB4"/>
    <w:rsid w:val="00B43CD1"/>
    <w:rsid w:val="00B43E96"/>
    <w:rsid w:val="00B43EDF"/>
    <w:rsid w:val="00B44019"/>
    <w:rsid w:val="00B44087"/>
    <w:rsid w:val="00B44222"/>
    <w:rsid w:val="00B442AB"/>
    <w:rsid w:val="00B442C2"/>
    <w:rsid w:val="00B44405"/>
    <w:rsid w:val="00B444BC"/>
    <w:rsid w:val="00B44511"/>
    <w:rsid w:val="00B44661"/>
    <w:rsid w:val="00B44864"/>
    <w:rsid w:val="00B44903"/>
    <w:rsid w:val="00B44925"/>
    <w:rsid w:val="00B449BC"/>
    <w:rsid w:val="00B44BE6"/>
    <w:rsid w:val="00B44F0E"/>
    <w:rsid w:val="00B44FB9"/>
    <w:rsid w:val="00B45057"/>
    <w:rsid w:val="00B450B4"/>
    <w:rsid w:val="00B45191"/>
    <w:rsid w:val="00B45249"/>
    <w:rsid w:val="00B45399"/>
    <w:rsid w:val="00B45406"/>
    <w:rsid w:val="00B45536"/>
    <w:rsid w:val="00B457D9"/>
    <w:rsid w:val="00B45864"/>
    <w:rsid w:val="00B45E19"/>
    <w:rsid w:val="00B45E6C"/>
    <w:rsid w:val="00B46235"/>
    <w:rsid w:val="00B46266"/>
    <w:rsid w:val="00B4626C"/>
    <w:rsid w:val="00B46281"/>
    <w:rsid w:val="00B462D9"/>
    <w:rsid w:val="00B46371"/>
    <w:rsid w:val="00B46428"/>
    <w:rsid w:val="00B46498"/>
    <w:rsid w:val="00B465E9"/>
    <w:rsid w:val="00B4669A"/>
    <w:rsid w:val="00B46814"/>
    <w:rsid w:val="00B46975"/>
    <w:rsid w:val="00B469B6"/>
    <w:rsid w:val="00B46AE3"/>
    <w:rsid w:val="00B46CF9"/>
    <w:rsid w:val="00B46DD9"/>
    <w:rsid w:val="00B46E48"/>
    <w:rsid w:val="00B4703D"/>
    <w:rsid w:val="00B470E0"/>
    <w:rsid w:val="00B470FF"/>
    <w:rsid w:val="00B471B7"/>
    <w:rsid w:val="00B471F9"/>
    <w:rsid w:val="00B4745A"/>
    <w:rsid w:val="00B4777A"/>
    <w:rsid w:val="00B47854"/>
    <w:rsid w:val="00B47976"/>
    <w:rsid w:val="00B47AF5"/>
    <w:rsid w:val="00B47C8B"/>
    <w:rsid w:val="00B47CD0"/>
    <w:rsid w:val="00B47DAF"/>
    <w:rsid w:val="00B47DD9"/>
    <w:rsid w:val="00B47FE9"/>
    <w:rsid w:val="00B501D3"/>
    <w:rsid w:val="00B504AF"/>
    <w:rsid w:val="00B5059E"/>
    <w:rsid w:val="00B505E7"/>
    <w:rsid w:val="00B505EB"/>
    <w:rsid w:val="00B50628"/>
    <w:rsid w:val="00B506BD"/>
    <w:rsid w:val="00B50711"/>
    <w:rsid w:val="00B50794"/>
    <w:rsid w:val="00B507AB"/>
    <w:rsid w:val="00B507E9"/>
    <w:rsid w:val="00B5093B"/>
    <w:rsid w:val="00B5097D"/>
    <w:rsid w:val="00B50A44"/>
    <w:rsid w:val="00B50D88"/>
    <w:rsid w:val="00B50EC9"/>
    <w:rsid w:val="00B51173"/>
    <w:rsid w:val="00B51254"/>
    <w:rsid w:val="00B5129A"/>
    <w:rsid w:val="00B512B4"/>
    <w:rsid w:val="00B51416"/>
    <w:rsid w:val="00B5177E"/>
    <w:rsid w:val="00B51856"/>
    <w:rsid w:val="00B518DD"/>
    <w:rsid w:val="00B519A9"/>
    <w:rsid w:val="00B519BB"/>
    <w:rsid w:val="00B519BE"/>
    <w:rsid w:val="00B51A0B"/>
    <w:rsid w:val="00B51B0A"/>
    <w:rsid w:val="00B51C02"/>
    <w:rsid w:val="00B51CE7"/>
    <w:rsid w:val="00B51D3E"/>
    <w:rsid w:val="00B51DBF"/>
    <w:rsid w:val="00B51E3E"/>
    <w:rsid w:val="00B51E4F"/>
    <w:rsid w:val="00B51EFA"/>
    <w:rsid w:val="00B5228C"/>
    <w:rsid w:val="00B52374"/>
    <w:rsid w:val="00B529B1"/>
    <w:rsid w:val="00B52A03"/>
    <w:rsid w:val="00B52C21"/>
    <w:rsid w:val="00B52DBD"/>
    <w:rsid w:val="00B52DC4"/>
    <w:rsid w:val="00B52F13"/>
    <w:rsid w:val="00B52F94"/>
    <w:rsid w:val="00B52FE3"/>
    <w:rsid w:val="00B52FFD"/>
    <w:rsid w:val="00B530BF"/>
    <w:rsid w:val="00B53189"/>
    <w:rsid w:val="00B5335F"/>
    <w:rsid w:val="00B5341B"/>
    <w:rsid w:val="00B534C9"/>
    <w:rsid w:val="00B535F1"/>
    <w:rsid w:val="00B5361C"/>
    <w:rsid w:val="00B53740"/>
    <w:rsid w:val="00B537EB"/>
    <w:rsid w:val="00B53815"/>
    <w:rsid w:val="00B538AC"/>
    <w:rsid w:val="00B53972"/>
    <w:rsid w:val="00B539E1"/>
    <w:rsid w:val="00B53A19"/>
    <w:rsid w:val="00B53A1F"/>
    <w:rsid w:val="00B53AD9"/>
    <w:rsid w:val="00B53AF9"/>
    <w:rsid w:val="00B53C1D"/>
    <w:rsid w:val="00B53E8A"/>
    <w:rsid w:val="00B53EB2"/>
    <w:rsid w:val="00B53EFA"/>
    <w:rsid w:val="00B53F49"/>
    <w:rsid w:val="00B53F98"/>
    <w:rsid w:val="00B53FF4"/>
    <w:rsid w:val="00B54183"/>
    <w:rsid w:val="00B54452"/>
    <w:rsid w:val="00B545DB"/>
    <w:rsid w:val="00B546C1"/>
    <w:rsid w:val="00B547A3"/>
    <w:rsid w:val="00B5494A"/>
    <w:rsid w:val="00B549C2"/>
    <w:rsid w:val="00B54A26"/>
    <w:rsid w:val="00B54AA5"/>
    <w:rsid w:val="00B54B79"/>
    <w:rsid w:val="00B54B88"/>
    <w:rsid w:val="00B54E3C"/>
    <w:rsid w:val="00B550CD"/>
    <w:rsid w:val="00B550E1"/>
    <w:rsid w:val="00B551FD"/>
    <w:rsid w:val="00B552B4"/>
    <w:rsid w:val="00B5538A"/>
    <w:rsid w:val="00B553A5"/>
    <w:rsid w:val="00B553FF"/>
    <w:rsid w:val="00B55505"/>
    <w:rsid w:val="00B55524"/>
    <w:rsid w:val="00B555CE"/>
    <w:rsid w:val="00B557A0"/>
    <w:rsid w:val="00B55977"/>
    <w:rsid w:val="00B5597E"/>
    <w:rsid w:val="00B559A1"/>
    <w:rsid w:val="00B55A01"/>
    <w:rsid w:val="00B55BFE"/>
    <w:rsid w:val="00B55DE0"/>
    <w:rsid w:val="00B56042"/>
    <w:rsid w:val="00B560B1"/>
    <w:rsid w:val="00B562DC"/>
    <w:rsid w:val="00B56434"/>
    <w:rsid w:val="00B56576"/>
    <w:rsid w:val="00B567EF"/>
    <w:rsid w:val="00B56852"/>
    <w:rsid w:val="00B56A5F"/>
    <w:rsid w:val="00B56E3D"/>
    <w:rsid w:val="00B56E81"/>
    <w:rsid w:val="00B571CE"/>
    <w:rsid w:val="00B571E7"/>
    <w:rsid w:val="00B57256"/>
    <w:rsid w:val="00B57299"/>
    <w:rsid w:val="00B5735E"/>
    <w:rsid w:val="00B57437"/>
    <w:rsid w:val="00B5744B"/>
    <w:rsid w:val="00B5747E"/>
    <w:rsid w:val="00B5753C"/>
    <w:rsid w:val="00B575BF"/>
    <w:rsid w:val="00B576B7"/>
    <w:rsid w:val="00B5792C"/>
    <w:rsid w:val="00B57C99"/>
    <w:rsid w:val="00B57CD9"/>
    <w:rsid w:val="00B57DEF"/>
    <w:rsid w:val="00B57F94"/>
    <w:rsid w:val="00B600E8"/>
    <w:rsid w:val="00B601C7"/>
    <w:rsid w:val="00B60283"/>
    <w:rsid w:val="00B60284"/>
    <w:rsid w:val="00B60333"/>
    <w:rsid w:val="00B6059C"/>
    <w:rsid w:val="00B606F6"/>
    <w:rsid w:val="00B606FD"/>
    <w:rsid w:val="00B60763"/>
    <w:rsid w:val="00B60845"/>
    <w:rsid w:val="00B609AF"/>
    <w:rsid w:val="00B60AB5"/>
    <w:rsid w:val="00B60AC7"/>
    <w:rsid w:val="00B60B10"/>
    <w:rsid w:val="00B60B72"/>
    <w:rsid w:val="00B60C66"/>
    <w:rsid w:val="00B60C7B"/>
    <w:rsid w:val="00B60F92"/>
    <w:rsid w:val="00B60FAE"/>
    <w:rsid w:val="00B6100A"/>
    <w:rsid w:val="00B61087"/>
    <w:rsid w:val="00B610E2"/>
    <w:rsid w:val="00B61209"/>
    <w:rsid w:val="00B61219"/>
    <w:rsid w:val="00B61243"/>
    <w:rsid w:val="00B612EA"/>
    <w:rsid w:val="00B61447"/>
    <w:rsid w:val="00B6145F"/>
    <w:rsid w:val="00B61618"/>
    <w:rsid w:val="00B61848"/>
    <w:rsid w:val="00B61942"/>
    <w:rsid w:val="00B61C47"/>
    <w:rsid w:val="00B61C66"/>
    <w:rsid w:val="00B61CA7"/>
    <w:rsid w:val="00B61D41"/>
    <w:rsid w:val="00B61FF6"/>
    <w:rsid w:val="00B62095"/>
    <w:rsid w:val="00B62109"/>
    <w:rsid w:val="00B62179"/>
    <w:rsid w:val="00B62218"/>
    <w:rsid w:val="00B62356"/>
    <w:rsid w:val="00B623CE"/>
    <w:rsid w:val="00B6252D"/>
    <w:rsid w:val="00B6258E"/>
    <w:rsid w:val="00B625D1"/>
    <w:rsid w:val="00B625F6"/>
    <w:rsid w:val="00B62604"/>
    <w:rsid w:val="00B626CD"/>
    <w:rsid w:val="00B6274C"/>
    <w:rsid w:val="00B62961"/>
    <w:rsid w:val="00B62AB1"/>
    <w:rsid w:val="00B62B08"/>
    <w:rsid w:val="00B62C88"/>
    <w:rsid w:val="00B62CC4"/>
    <w:rsid w:val="00B62DF2"/>
    <w:rsid w:val="00B63042"/>
    <w:rsid w:val="00B63072"/>
    <w:rsid w:val="00B63212"/>
    <w:rsid w:val="00B63272"/>
    <w:rsid w:val="00B63339"/>
    <w:rsid w:val="00B63574"/>
    <w:rsid w:val="00B63691"/>
    <w:rsid w:val="00B63762"/>
    <w:rsid w:val="00B637F4"/>
    <w:rsid w:val="00B639FA"/>
    <w:rsid w:val="00B63C16"/>
    <w:rsid w:val="00B63CB0"/>
    <w:rsid w:val="00B63D99"/>
    <w:rsid w:val="00B63E8B"/>
    <w:rsid w:val="00B6406B"/>
    <w:rsid w:val="00B641C7"/>
    <w:rsid w:val="00B64346"/>
    <w:rsid w:val="00B64378"/>
    <w:rsid w:val="00B643C1"/>
    <w:rsid w:val="00B643E0"/>
    <w:rsid w:val="00B64471"/>
    <w:rsid w:val="00B64481"/>
    <w:rsid w:val="00B6450D"/>
    <w:rsid w:val="00B64544"/>
    <w:rsid w:val="00B64596"/>
    <w:rsid w:val="00B645D6"/>
    <w:rsid w:val="00B647C4"/>
    <w:rsid w:val="00B648C5"/>
    <w:rsid w:val="00B648F9"/>
    <w:rsid w:val="00B64A24"/>
    <w:rsid w:val="00B64A5E"/>
    <w:rsid w:val="00B64B47"/>
    <w:rsid w:val="00B64B7B"/>
    <w:rsid w:val="00B64CC4"/>
    <w:rsid w:val="00B64D88"/>
    <w:rsid w:val="00B64E7B"/>
    <w:rsid w:val="00B64F26"/>
    <w:rsid w:val="00B64F93"/>
    <w:rsid w:val="00B6500C"/>
    <w:rsid w:val="00B6503B"/>
    <w:rsid w:val="00B653B7"/>
    <w:rsid w:val="00B65537"/>
    <w:rsid w:val="00B657A0"/>
    <w:rsid w:val="00B657D5"/>
    <w:rsid w:val="00B65806"/>
    <w:rsid w:val="00B65A82"/>
    <w:rsid w:val="00B65B2C"/>
    <w:rsid w:val="00B65B58"/>
    <w:rsid w:val="00B65C87"/>
    <w:rsid w:val="00B65C8F"/>
    <w:rsid w:val="00B65CEB"/>
    <w:rsid w:val="00B65FA0"/>
    <w:rsid w:val="00B6600E"/>
    <w:rsid w:val="00B66094"/>
    <w:rsid w:val="00B662A5"/>
    <w:rsid w:val="00B66311"/>
    <w:rsid w:val="00B666EE"/>
    <w:rsid w:val="00B66923"/>
    <w:rsid w:val="00B669BB"/>
    <w:rsid w:val="00B66A87"/>
    <w:rsid w:val="00B66CE0"/>
    <w:rsid w:val="00B66DB4"/>
    <w:rsid w:val="00B66E12"/>
    <w:rsid w:val="00B66F50"/>
    <w:rsid w:val="00B67141"/>
    <w:rsid w:val="00B6719A"/>
    <w:rsid w:val="00B671B0"/>
    <w:rsid w:val="00B671F1"/>
    <w:rsid w:val="00B6722D"/>
    <w:rsid w:val="00B674AE"/>
    <w:rsid w:val="00B67671"/>
    <w:rsid w:val="00B6774D"/>
    <w:rsid w:val="00B67764"/>
    <w:rsid w:val="00B677A8"/>
    <w:rsid w:val="00B677FB"/>
    <w:rsid w:val="00B67809"/>
    <w:rsid w:val="00B678F8"/>
    <w:rsid w:val="00B67918"/>
    <w:rsid w:val="00B6792D"/>
    <w:rsid w:val="00B67D65"/>
    <w:rsid w:val="00B67DEC"/>
    <w:rsid w:val="00B67E57"/>
    <w:rsid w:val="00B700FA"/>
    <w:rsid w:val="00B70118"/>
    <w:rsid w:val="00B70192"/>
    <w:rsid w:val="00B70247"/>
    <w:rsid w:val="00B70255"/>
    <w:rsid w:val="00B702FF"/>
    <w:rsid w:val="00B70369"/>
    <w:rsid w:val="00B70375"/>
    <w:rsid w:val="00B70593"/>
    <w:rsid w:val="00B70774"/>
    <w:rsid w:val="00B707F0"/>
    <w:rsid w:val="00B70938"/>
    <w:rsid w:val="00B70A6C"/>
    <w:rsid w:val="00B70BA9"/>
    <w:rsid w:val="00B70C4B"/>
    <w:rsid w:val="00B70F2A"/>
    <w:rsid w:val="00B71033"/>
    <w:rsid w:val="00B7113C"/>
    <w:rsid w:val="00B7122E"/>
    <w:rsid w:val="00B7124E"/>
    <w:rsid w:val="00B712D0"/>
    <w:rsid w:val="00B71335"/>
    <w:rsid w:val="00B7135A"/>
    <w:rsid w:val="00B714EB"/>
    <w:rsid w:val="00B7164D"/>
    <w:rsid w:val="00B7182B"/>
    <w:rsid w:val="00B71908"/>
    <w:rsid w:val="00B7192F"/>
    <w:rsid w:val="00B71C2C"/>
    <w:rsid w:val="00B71E66"/>
    <w:rsid w:val="00B71E68"/>
    <w:rsid w:val="00B7217D"/>
    <w:rsid w:val="00B721C1"/>
    <w:rsid w:val="00B7226F"/>
    <w:rsid w:val="00B723C5"/>
    <w:rsid w:val="00B72485"/>
    <w:rsid w:val="00B724A0"/>
    <w:rsid w:val="00B7255F"/>
    <w:rsid w:val="00B725FE"/>
    <w:rsid w:val="00B72B93"/>
    <w:rsid w:val="00B72D93"/>
    <w:rsid w:val="00B72E2E"/>
    <w:rsid w:val="00B72E34"/>
    <w:rsid w:val="00B72E58"/>
    <w:rsid w:val="00B72F53"/>
    <w:rsid w:val="00B73099"/>
    <w:rsid w:val="00B730F4"/>
    <w:rsid w:val="00B7317F"/>
    <w:rsid w:val="00B73291"/>
    <w:rsid w:val="00B732B7"/>
    <w:rsid w:val="00B73373"/>
    <w:rsid w:val="00B73437"/>
    <w:rsid w:val="00B734F3"/>
    <w:rsid w:val="00B73555"/>
    <w:rsid w:val="00B735FC"/>
    <w:rsid w:val="00B7361D"/>
    <w:rsid w:val="00B737E5"/>
    <w:rsid w:val="00B7391E"/>
    <w:rsid w:val="00B73935"/>
    <w:rsid w:val="00B739DD"/>
    <w:rsid w:val="00B73A26"/>
    <w:rsid w:val="00B73A7E"/>
    <w:rsid w:val="00B73ABE"/>
    <w:rsid w:val="00B73E0D"/>
    <w:rsid w:val="00B73ED9"/>
    <w:rsid w:val="00B7419D"/>
    <w:rsid w:val="00B74253"/>
    <w:rsid w:val="00B74317"/>
    <w:rsid w:val="00B744C1"/>
    <w:rsid w:val="00B74538"/>
    <w:rsid w:val="00B74556"/>
    <w:rsid w:val="00B74720"/>
    <w:rsid w:val="00B74B46"/>
    <w:rsid w:val="00B74BF6"/>
    <w:rsid w:val="00B74C77"/>
    <w:rsid w:val="00B75394"/>
    <w:rsid w:val="00B75587"/>
    <w:rsid w:val="00B755E0"/>
    <w:rsid w:val="00B7560D"/>
    <w:rsid w:val="00B756B0"/>
    <w:rsid w:val="00B756CE"/>
    <w:rsid w:val="00B757E2"/>
    <w:rsid w:val="00B757E5"/>
    <w:rsid w:val="00B75844"/>
    <w:rsid w:val="00B7594B"/>
    <w:rsid w:val="00B759B9"/>
    <w:rsid w:val="00B759E3"/>
    <w:rsid w:val="00B75AA3"/>
    <w:rsid w:val="00B75C38"/>
    <w:rsid w:val="00B75D53"/>
    <w:rsid w:val="00B75D80"/>
    <w:rsid w:val="00B75DA2"/>
    <w:rsid w:val="00B75EBE"/>
    <w:rsid w:val="00B75F20"/>
    <w:rsid w:val="00B7630B"/>
    <w:rsid w:val="00B7641F"/>
    <w:rsid w:val="00B7642D"/>
    <w:rsid w:val="00B76469"/>
    <w:rsid w:val="00B7648C"/>
    <w:rsid w:val="00B765E8"/>
    <w:rsid w:val="00B76618"/>
    <w:rsid w:val="00B766FD"/>
    <w:rsid w:val="00B76702"/>
    <w:rsid w:val="00B7687F"/>
    <w:rsid w:val="00B76991"/>
    <w:rsid w:val="00B769C2"/>
    <w:rsid w:val="00B76A13"/>
    <w:rsid w:val="00B76A7C"/>
    <w:rsid w:val="00B76D43"/>
    <w:rsid w:val="00B76D5A"/>
    <w:rsid w:val="00B76D66"/>
    <w:rsid w:val="00B7714E"/>
    <w:rsid w:val="00B7724E"/>
    <w:rsid w:val="00B77553"/>
    <w:rsid w:val="00B77880"/>
    <w:rsid w:val="00B77942"/>
    <w:rsid w:val="00B77A1F"/>
    <w:rsid w:val="00B77AA6"/>
    <w:rsid w:val="00B77EDD"/>
    <w:rsid w:val="00B77EE8"/>
    <w:rsid w:val="00B800A5"/>
    <w:rsid w:val="00B80100"/>
    <w:rsid w:val="00B8015B"/>
    <w:rsid w:val="00B802C0"/>
    <w:rsid w:val="00B805FA"/>
    <w:rsid w:val="00B805FB"/>
    <w:rsid w:val="00B80618"/>
    <w:rsid w:val="00B80944"/>
    <w:rsid w:val="00B809FF"/>
    <w:rsid w:val="00B80A4C"/>
    <w:rsid w:val="00B80AA4"/>
    <w:rsid w:val="00B80B80"/>
    <w:rsid w:val="00B80C83"/>
    <w:rsid w:val="00B80CB5"/>
    <w:rsid w:val="00B80E6D"/>
    <w:rsid w:val="00B80F03"/>
    <w:rsid w:val="00B80F63"/>
    <w:rsid w:val="00B8101E"/>
    <w:rsid w:val="00B811D4"/>
    <w:rsid w:val="00B812C8"/>
    <w:rsid w:val="00B81456"/>
    <w:rsid w:val="00B815F0"/>
    <w:rsid w:val="00B81625"/>
    <w:rsid w:val="00B817D0"/>
    <w:rsid w:val="00B81995"/>
    <w:rsid w:val="00B819EC"/>
    <w:rsid w:val="00B81A85"/>
    <w:rsid w:val="00B81DE9"/>
    <w:rsid w:val="00B81E3E"/>
    <w:rsid w:val="00B81E89"/>
    <w:rsid w:val="00B81EE6"/>
    <w:rsid w:val="00B81F38"/>
    <w:rsid w:val="00B81F49"/>
    <w:rsid w:val="00B82069"/>
    <w:rsid w:val="00B82299"/>
    <w:rsid w:val="00B823EB"/>
    <w:rsid w:val="00B82673"/>
    <w:rsid w:val="00B827B6"/>
    <w:rsid w:val="00B82831"/>
    <w:rsid w:val="00B82AAD"/>
    <w:rsid w:val="00B82ABE"/>
    <w:rsid w:val="00B82B22"/>
    <w:rsid w:val="00B82CD8"/>
    <w:rsid w:val="00B82F58"/>
    <w:rsid w:val="00B82F69"/>
    <w:rsid w:val="00B82F9B"/>
    <w:rsid w:val="00B82FC0"/>
    <w:rsid w:val="00B83044"/>
    <w:rsid w:val="00B83047"/>
    <w:rsid w:val="00B830CC"/>
    <w:rsid w:val="00B831D5"/>
    <w:rsid w:val="00B832D4"/>
    <w:rsid w:val="00B832E2"/>
    <w:rsid w:val="00B8362A"/>
    <w:rsid w:val="00B836E4"/>
    <w:rsid w:val="00B837A5"/>
    <w:rsid w:val="00B83909"/>
    <w:rsid w:val="00B83B22"/>
    <w:rsid w:val="00B83B62"/>
    <w:rsid w:val="00B83D28"/>
    <w:rsid w:val="00B83EF1"/>
    <w:rsid w:val="00B83F35"/>
    <w:rsid w:val="00B84235"/>
    <w:rsid w:val="00B84285"/>
    <w:rsid w:val="00B8438D"/>
    <w:rsid w:val="00B8445B"/>
    <w:rsid w:val="00B8449E"/>
    <w:rsid w:val="00B844A5"/>
    <w:rsid w:val="00B846E9"/>
    <w:rsid w:val="00B846EB"/>
    <w:rsid w:val="00B84760"/>
    <w:rsid w:val="00B84855"/>
    <w:rsid w:val="00B84ACC"/>
    <w:rsid w:val="00B84C65"/>
    <w:rsid w:val="00B84C7A"/>
    <w:rsid w:val="00B84F94"/>
    <w:rsid w:val="00B84FD2"/>
    <w:rsid w:val="00B85111"/>
    <w:rsid w:val="00B8514A"/>
    <w:rsid w:val="00B851A0"/>
    <w:rsid w:val="00B851D4"/>
    <w:rsid w:val="00B8528C"/>
    <w:rsid w:val="00B8535F"/>
    <w:rsid w:val="00B8544E"/>
    <w:rsid w:val="00B855CF"/>
    <w:rsid w:val="00B85759"/>
    <w:rsid w:val="00B85773"/>
    <w:rsid w:val="00B858EF"/>
    <w:rsid w:val="00B85941"/>
    <w:rsid w:val="00B859F8"/>
    <w:rsid w:val="00B85AF2"/>
    <w:rsid w:val="00B85E51"/>
    <w:rsid w:val="00B86086"/>
    <w:rsid w:val="00B8618D"/>
    <w:rsid w:val="00B86373"/>
    <w:rsid w:val="00B8648F"/>
    <w:rsid w:val="00B86553"/>
    <w:rsid w:val="00B8665A"/>
    <w:rsid w:val="00B86938"/>
    <w:rsid w:val="00B86B79"/>
    <w:rsid w:val="00B86B8F"/>
    <w:rsid w:val="00B86C49"/>
    <w:rsid w:val="00B86D22"/>
    <w:rsid w:val="00B87108"/>
    <w:rsid w:val="00B8716C"/>
    <w:rsid w:val="00B87209"/>
    <w:rsid w:val="00B872AF"/>
    <w:rsid w:val="00B8731F"/>
    <w:rsid w:val="00B8742B"/>
    <w:rsid w:val="00B874A4"/>
    <w:rsid w:val="00B87664"/>
    <w:rsid w:val="00B878CD"/>
    <w:rsid w:val="00B87A8C"/>
    <w:rsid w:val="00B87BC5"/>
    <w:rsid w:val="00B87BDC"/>
    <w:rsid w:val="00B87D70"/>
    <w:rsid w:val="00B87DE7"/>
    <w:rsid w:val="00B87E56"/>
    <w:rsid w:val="00B87E6D"/>
    <w:rsid w:val="00B90003"/>
    <w:rsid w:val="00B90089"/>
    <w:rsid w:val="00B90157"/>
    <w:rsid w:val="00B90189"/>
    <w:rsid w:val="00B90443"/>
    <w:rsid w:val="00B904C5"/>
    <w:rsid w:val="00B905C5"/>
    <w:rsid w:val="00B905D5"/>
    <w:rsid w:val="00B90640"/>
    <w:rsid w:val="00B909C1"/>
    <w:rsid w:val="00B90AF3"/>
    <w:rsid w:val="00B90E5B"/>
    <w:rsid w:val="00B90EAC"/>
    <w:rsid w:val="00B90F72"/>
    <w:rsid w:val="00B9109B"/>
    <w:rsid w:val="00B911ED"/>
    <w:rsid w:val="00B912F9"/>
    <w:rsid w:val="00B914DD"/>
    <w:rsid w:val="00B918B4"/>
    <w:rsid w:val="00B91A1A"/>
    <w:rsid w:val="00B91C4A"/>
    <w:rsid w:val="00B91CB1"/>
    <w:rsid w:val="00B91D6F"/>
    <w:rsid w:val="00B91EDB"/>
    <w:rsid w:val="00B91F3B"/>
    <w:rsid w:val="00B91FE8"/>
    <w:rsid w:val="00B91FF0"/>
    <w:rsid w:val="00B920E4"/>
    <w:rsid w:val="00B92100"/>
    <w:rsid w:val="00B9249B"/>
    <w:rsid w:val="00B924F8"/>
    <w:rsid w:val="00B926CA"/>
    <w:rsid w:val="00B926D2"/>
    <w:rsid w:val="00B92A3C"/>
    <w:rsid w:val="00B92A48"/>
    <w:rsid w:val="00B92B1E"/>
    <w:rsid w:val="00B92C27"/>
    <w:rsid w:val="00B92CC0"/>
    <w:rsid w:val="00B931BA"/>
    <w:rsid w:val="00B93263"/>
    <w:rsid w:val="00B9350F"/>
    <w:rsid w:val="00B93569"/>
    <w:rsid w:val="00B9358D"/>
    <w:rsid w:val="00B935E6"/>
    <w:rsid w:val="00B935EE"/>
    <w:rsid w:val="00B936E8"/>
    <w:rsid w:val="00B93871"/>
    <w:rsid w:val="00B93947"/>
    <w:rsid w:val="00B93950"/>
    <w:rsid w:val="00B93B6B"/>
    <w:rsid w:val="00B93BAF"/>
    <w:rsid w:val="00B93CB4"/>
    <w:rsid w:val="00B93CD2"/>
    <w:rsid w:val="00B93D91"/>
    <w:rsid w:val="00B93DB1"/>
    <w:rsid w:val="00B93EAF"/>
    <w:rsid w:val="00B93ED0"/>
    <w:rsid w:val="00B9406A"/>
    <w:rsid w:val="00B942C1"/>
    <w:rsid w:val="00B94369"/>
    <w:rsid w:val="00B94674"/>
    <w:rsid w:val="00B94792"/>
    <w:rsid w:val="00B947CA"/>
    <w:rsid w:val="00B9480B"/>
    <w:rsid w:val="00B94947"/>
    <w:rsid w:val="00B949C5"/>
    <w:rsid w:val="00B94A31"/>
    <w:rsid w:val="00B94D52"/>
    <w:rsid w:val="00B94F36"/>
    <w:rsid w:val="00B95161"/>
    <w:rsid w:val="00B9519C"/>
    <w:rsid w:val="00B952F0"/>
    <w:rsid w:val="00B95301"/>
    <w:rsid w:val="00B9533C"/>
    <w:rsid w:val="00B9536C"/>
    <w:rsid w:val="00B95461"/>
    <w:rsid w:val="00B955AE"/>
    <w:rsid w:val="00B955EC"/>
    <w:rsid w:val="00B956E4"/>
    <w:rsid w:val="00B958D0"/>
    <w:rsid w:val="00B95996"/>
    <w:rsid w:val="00B959AB"/>
    <w:rsid w:val="00B95A7B"/>
    <w:rsid w:val="00B95C7E"/>
    <w:rsid w:val="00B95E04"/>
    <w:rsid w:val="00B95E45"/>
    <w:rsid w:val="00B95EBA"/>
    <w:rsid w:val="00B95FB7"/>
    <w:rsid w:val="00B960B8"/>
    <w:rsid w:val="00B960E2"/>
    <w:rsid w:val="00B960ED"/>
    <w:rsid w:val="00B9621E"/>
    <w:rsid w:val="00B96336"/>
    <w:rsid w:val="00B96397"/>
    <w:rsid w:val="00B963AD"/>
    <w:rsid w:val="00B963D2"/>
    <w:rsid w:val="00B9640B"/>
    <w:rsid w:val="00B96558"/>
    <w:rsid w:val="00B96B5A"/>
    <w:rsid w:val="00B96B8D"/>
    <w:rsid w:val="00B96C6A"/>
    <w:rsid w:val="00B96CAC"/>
    <w:rsid w:val="00B96D53"/>
    <w:rsid w:val="00B96D82"/>
    <w:rsid w:val="00B96FF4"/>
    <w:rsid w:val="00B96FFE"/>
    <w:rsid w:val="00B970B8"/>
    <w:rsid w:val="00B97100"/>
    <w:rsid w:val="00B97177"/>
    <w:rsid w:val="00B972A7"/>
    <w:rsid w:val="00B97314"/>
    <w:rsid w:val="00B973AD"/>
    <w:rsid w:val="00B97465"/>
    <w:rsid w:val="00B97479"/>
    <w:rsid w:val="00B9748A"/>
    <w:rsid w:val="00B974A5"/>
    <w:rsid w:val="00B975C6"/>
    <w:rsid w:val="00B97766"/>
    <w:rsid w:val="00B9779F"/>
    <w:rsid w:val="00B97932"/>
    <w:rsid w:val="00B97D29"/>
    <w:rsid w:val="00B97DEF"/>
    <w:rsid w:val="00B97FB8"/>
    <w:rsid w:val="00B97FFD"/>
    <w:rsid w:val="00BA0046"/>
    <w:rsid w:val="00BA0065"/>
    <w:rsid w:val="00BA00A8"/>
    <w:rsid w:val="00BA00C3"/>
    <w:rsid w:val="00BA011F"/>
    <w:rsid w:val="00BA01B1"/>
    <w:rsid w:val="00BA030D"/>
    <w:rsid w:val="00BA044A"/>
    <w:rsid w:val="00BA0524"/>
    <w:rsid w:val="00BA0773"/>
    <w:rsid w:val="00BA079F"/>
    <w:rsid w:val="00BA081A"/>
    <w:rsid w:val="00BA081F"/>
    <w:rsid w:val="00BA092E"/>
    <w:rsid w:val="00BA0952"/>
    <w:rsid w:val="00BA096E"/>
    <w:rsid w:val="00BA0982"/>
    <w:rsid w:val="00BA09A7"/>
    <w:rsid w:val="00BA09E3"/>
    <w:rsid w:val="00BA09F6"/>
    <w:rsid w:val="00BA0BA9"/>
    <w:rsid w:val="00BA0BCF"/>
    <w:rsid w:val="00BA0DE0"/>
    <w:rsid w:val="00BA0F41"/>
    <w:rsid w:val="00BA106E"/>
    <w:rsid w:val="00BA115C"/>
    <w:rsid w:val="00BA1185"/>
    <w:rsid w:val="00BA11BE"/>
    <w:rsid w:val="00BA12EC"/>
    <w:rsid w:val="00BA1516"/>
    <w:rsid w:val="00BA16D1"/>
    <w:rsid w:val="00BA1B08"/>
    <w:rsid w:val="00BA1D34"/>
    <w:rsid w:val="00BA1DDD"/>
    <w:rsid w:val="00BA1E19"/>
    <w:rsid w:val="00BA1FFB"/>
    <w:rsid w:val="00BA2076"/>
    <w:rsid w:val="00BA2372"/>
    <w:rsid w:val="00BA2580"/>
    <w:rsid w:val="00BA26D7"/>
    <w:rsid w:val="00BA273E"/>
    <w:rsid w:val="00BA274E"/>
    <w:rsid w:val="00BA2876"/>
    <w:rsid w:val="00BA289B"/>
    <w:rsid w:val="00BA29C8"/>
    <w:rsid w:val="00BA2A80"/>
    <w:rsid w:val="00BA2AA3"/>
    <w:rsid w:val="00BA2B3F"/>
    <w:rsid w:val="00BA2C95"/>
    <w:rsid w:val="00BA2EC6"/>
    <w:rsid w:val="00BA2EEB"/>
    <w:rsid w:val="00BA2F15"/>
    <w:rsid w:val="00BA2F3B"/>
    <w:rsid w:val="00BA2F5F"/>
    <w:rsid w:val="00BA3147"/>
    <w:rsid w:val="00BA3297"/>
    <w:rsid w:val="00BA34AB"/>
    <w:rsid w:val="00BA34E8"/>
    <w:rsid w:val="00BA364C"/>
    <w:rsid w:val="00BA368F"/>
    <w:rsid w:val="00BA374D"/>
    <w:rsid w:val="00BA3A99"/>
    <w:rsid w:val="00BA3E38"/>
    <w:rsid w:val="00BA3F67"/>
    <w:rsid w:val="00BA40A1"/>
    <w:rsid w:val="00BA42A7"/>
    <w:rsid w:val="00BA4477"/>
    <w:rsid w:val="00BA4904"/>
    <w:rsid w:val="00BA4A65"/>
    <w:rsid w:val="00BA4AE0"/>
    <w:rsid w:val="00BA4D67"/>
    <w:rsid w:val="00BA4E45"/>
    <w:rsid w:val="00BA4F7E"/>
    <w:rsid w:val="00BA506E"/>
    <w:rsid w:val="00BA5164"/>
    <w:rsid w:val="00BA5283"/>
    <w:rsid w:val="00BA5505"/>
    <w:rsid w:val="00BA5657"/>
    <w:rsid w:val="00BA56ED"/>
    <w:rsid w:val="00BA574E"/>
    <w:rsid w:val="00BA57E4"/>
    <w:rsid w:val="00BA59FB"/>
    <w:rsid w:val="00BA5C6E"/>
    <w:rsid w:val="00BA5DE6"/>
    <w:rsid w:val="00BA5E77"/>
    <w:rsid w:val="00BA5F49"/>
    <w:rsid w:val="00BA612E"/>
    <w:rsid w:val="00BA6291"/>
    <w:rsid w:val="00BA633A"/>
    <w:rsid w:val="00BA6371"/>
    <w:rsid w:val="00BA657A"/>
    <w:rsid w:val="00BA6616"/>
    <w:rsid w:val="00BA6722"/>
    <w:rsid w:val="00BA676A"/>
    <w:rsid w:val="00BA6783"/>
    <w:rsid w:val="00BA6834"/>
    <w:rsid w:val="00BA6864"/>
    <w:rsid w:val="00BA689E"/>
    <w:rsid w:val="00BA6A97"/>
    <w:rsid w:val="00BA6ACF"/>
    <w:rsid w:val="00BA6AE5"/>
    <w:rsid w:val="00BA6CAF"/>
    <w:rsid w:val="00BA6D05"/>
    <w:rsid w:val="00BA6D70"/>
    <w:rsid w:val="00BA6EE4"/>
    <w:rsid w:val="00BA6F2A"/>
    <w:rsid w:val="00BA6F5F"/>
    <w:rsid w:val="00BA6F91"/>
    <w:rsid w:val="00BA719A"/>
    <w:rsid w:val="00BA71B3"/>
    <w:rsid w:val="00BA72E0"/>
    <w:rsid w:val="00BA743A"/>
    <w:rsid w:val="00BA743B"/>
    <w:rsid w:val="00BA74C9"/>
    <w:rsid w:val="00BA768C"/>
    <w:rsid w:val="00BA7690"/>
    <w:rsid w:val="00BA77E2"/>
    <w:rsid w:val="00BA7920"/>
    <w:rsid w:val="00BA7930"/>
    <w:rsid w:val="00BA79A9"/>
    <w:rsid w:val="00BA7B4B"/>
    <w:rsid w:val="00BA7CA1"/>
    <w:rsid w:val="00BA7EAB"/>
    <w:rsid w:val="00BA7F04"/>
    <w:rsid w:val="00BA7F66"/>
    <w:rsid w:val="00BB0043"/>
    <w:rsid w:val="00BB011E"/>
    <w:rsid w:val="00BB0224"/>
    <w:rsid w:val="00BB079C"/>
    <w:rsid w:val="00BB07E4"/>
    <w:rsid w:val="00BB07FE"/>
    <w:rsid w:val="00BB082D"/>
    <w:rsid w:val="00BB089F"/>
    <w:rsid w:val="00BB0C33"/>
    <w:rsid w:val="00BB0D38"/>
    <w:rsid w:val="00BB0E08"/>
    <w:rsid w:val="00BB1236"/>
    <w:rsid w:val="00BB130B"/>
    <w:rsid w:val="00BB1324"/>
    <w:rsid w:val="00BB1414"/>
    <w:rsid w:val="00BB14A3"/>
    <w:rsid w:val="00BB14D9"/>
    <w:rsid w:val="00BB1645"/>
    <w:rsid w:val="00BB173D"/>
    <w:rsid w:val="00BB17DB"/>
    <w:rsid w:val="00BB1808"/>
    <w:rsid w:val="00BB18BB"/>
    <w:rsid w:val="00BB18F1"/>
    <w:rsid w:val="00BB1940"/>
    <w:rsid w:val="00BB197D"/>
    <w:rsid w:val="00BB1A38"/>
    <w:rsid w:val="00BB1B1C"/>
    <w:rsid w:val="00BB1C84"/>
    <w:rsid w:val="00BB1CA4"/>
    <w:rsid w:val="00BB1CD4"/>
    <w:rsid w:val="00BB1D6A"/>
    <w:rsid w:val="00BB1E32"/>
    <w:rsid w:val="00BB1ECC"/>
    <w:rsid w:val="00BB2014"/>
    <w:rsid w:val="00BB2148"/>
    <w:rsid w:val="00BB2227"/>
    <w:rsid w:val="00BB22B0"/>
    <w:rsid w:val="00BB22D1"/>
    <w:rsid w:val="00BB22E8"/>
    <w:rsid w:val="00BB231C"/>
    <w:rsid w:val="00BB2491"/>
    <w:rsid w:val="00BB2623"/>
    <w:rsid w:val="00BB27D4"/>
    <w:rsid w:val="00BB29CF"/>
    <w:rsid w:val="00BB29E8"/>
    <w:rsid w:val="00BB2B4C"/>
    <w:rsid w:val="00BB2C0B"/>
    <w:rsid w:val="00BB2DF2"/>
    <w:rsid w:val="00BB2E9D"/>
    <w:rsid w:val="00BB3100"/>
    <w:rsid w:val="00BB3105"/>
    <w:rsid w:val="00BB3161"/>
    <w:rsid w:val="00BB3210"/>
    <w:rsid w:val="00BB3218"/>
    <w:rsid w:val="00BB3238"/>
    <w:rsid w:val="00BB334B"/>
    <w:rsid w:val="00BB33D5"/>
    <w:rsid w:val="00BB3468"/>
    <w:rsid w:val="00BB3472"/>
    <w:rsid w:val="00BB34D9"/>
    <w:rsid w:val="00BB34FC"/>
    <w:rsid w:val="00BB3597"/>
    <w:rsid w:val="00BB35CE"/>
    <w:rsid w:val="00BB3718"/>
    <w:rsid w:val="00BB3B0C"/>
    <w:rsid w:val="00BB3F08"/>
    <w:rsid w:val="00BB4253"/>
    <w:rsid w:val="00BB425F"/>
    <w:rsid w:val="00BB42C5"/>
    <w:rsid w:val="00BB42D3"/>
    <w:rsid w:val="00BB433A"/>
    <w:rsid w:val="00BB449E"/>
    <w:rsid w:val="00BB44F2"/>
    <w:rsid w:val="00BB4609"/>
    <w:rsid w:val="00BB460D"/>
    <w:rsid w:val="00BB4A2D"/>
    <w:rsid w:val="00BB4BA1"/>
    <w:rsid w:val="00BB4BC2"/>
    <w:rsid w:val="00BB4E5B"/>
    <w:rsid w:val="00BB512D"/>
    <w:rsid w:val="00BB529E"/>
    <w:rsid w:val="00BB536A"/>
    <w:rsid w:val="00BB5380"/>
    <w:rsid w:val="00BB5410"/>
    <w:rsid w:val="00BB573A"/>
    <w:rsid w:val="00BB5882"/>
    <w:rsid w:val="00BB5932"/>
    <w:rsid w:val="00BB5C88"/>
    <w:rsid w:val="00BB5CF2"/>
    <w:rsid w:val="00BB5D56"/>
    <w:rsid w:val="00BB5E10"/>
    <w:rsid w:val="00BB5EFD"/>
    <w:rsid w:val="00BB5FBA"/>
    <w:rsid w:val="00BB6118"/>
    <w:rsid w:val="00BB6460"/>
    <w:rsid w:val="00BB6547"/>
    <w:rsid w:val="00BB6AFF"/>
    <w:rsid w:val="00BB6C3F"/>
    <w:rsid w:val="00BB710A"/>
    <w:rsid w:val="00BB72A9"/>
    <w:rsid w:val="00BB7468"/>
    <w:rsid w:val="00BB7471"/>
    <w:rsid w:val="00BB757C"/>
    <w:rsid w:val="00BB76BD"/>
    <w:rsid w:val="00BB76C0"/>
    <w:rsid w:val="00BB7834"/>
    <w:rsid w:val="00BB78EA"/>
    <w:rsid w:val="00BB7957"/>
    <w:rsid w:val="00BB79C2"/>
    <w:rsid w:val="00BB7B5D"/>
    <w:rsid w:val="00BB7C7A"/>
    <w:rsid w:val="00BB7E0E"/>
    <w:rsid w:val="00BB7E3D"/>
    <w:rsid w:val="00BC0279"/>
    <w:rsid w:val="00BC02A6"/>
    <w:rsid w:val="00BC02C7"/>
    <w:rsid w:val="00BC0388"/>
    <w:rsid w:val="00BC047C"/>
    <w:rsid w:val="00BC0820"/>
    <w:rsid w:val="00BC08F6"/>
    <w:rsid w:val="00BC098E"/>
    <w:rsid w:val="00BC0A26"/>
    <w:rsid w:val="00BC0B0C"/>
    <w:rsid w:val="00BC0BE2"/>
    <w:rsid w:val="00BC0CDA"/>
    <w:rsid w:val="00BC0F97"/>
    <w:rsid w:val="00BC1011"/>
    <w:rsid w:val="00BC1053"/>
    <w:rsid w:val="00BC127F"/>
    <w:rsid w:val="00BC135D"/>
    <w:rsid w:val="00BC14EF"/>
    <w:rsid w:val="00BC15DE"/>
    <w:rsid w:val="00BC15EB"/>
    <w:rsid w:val="00BC17AB"/>
    <w:rsid w:val="00BC17C8"/>
    <w:rsid w:val="00BC189B"/>
    <w:rsid w:val="00BC1C74"/>
    <w:rsid w:val="00BC1C83"/>
    <w:rsid w:val="00BC1C84"/>
    <w:rsid w:val="00BC1EDA"/>
    <w:rsid w:val="00BC1F08"/>
    <w:rsid w:val="00BC20E6"/>
    <w:rsid w:val="00BC220C"/>
    <w:rsid w:val="00BC236F"/>
    <w:rsid w:val="00BC239D"/>
    <w:rsid w:val="00BC243D"/>
    <w:rsid w:val="00BC271E"/>
    <w:rsid w:val="00BC28D6"/>
    <w:rsid w:val="00BC2957"/>
    <w:rsid w:val="00BC29F7"/>
    <w:rsid w:val="00BC2B32"/>
    <w:rsid w:val="00BC2B73"/>
    <w:rsid w:val="00BC2D85"/>
    <w:rsid w:val="00BC2DA7"/>
    <w:rsid w:val="00BC2E4E"/>
    <w:rsid w:val="00BC2E89"/>
    <w:rsid w:val="00BC3120"/>
    <w:rsid w:val="00BC3217"/>
    <w:rsid w:val="00BC32F1"/>
    <w:rsid w:val="00BC334B"/>
    <w:rsid w:val="00BC354D"/>
    <w:rsid w:val="00BC35E7"/>
    <w:rsid w:val="00BC3600"/>
    <w:rsid w:val="00BC360B"/>
    <w:rsid w:val="00BC369C"/>
    <w:rsid w:val="00BC3923"/>
    <w:rsid w:val="00BC396F"/>
    <w:rsid w:val="00BC39EC"/>
    <w:rsid w:val="00BC3A39"/>
    <w:rsid w:val="00BC3AAC"/>
    <w:rsid w:val="00BC3DDA"/>
    <w:rsid w:val="00BC3E73"/>
    <w:rsid w:val="00BC3E79"/>
    <w:rsid w:val="00BC3E93"/>
    <w:rsid w:val="00BC3E9F"/>
    <w:rsid w:val="00BC3F8C"/>
    <w:rsid w:val="00BC41CA"/>
    <w:rsid w:val="00BC42AF"/>
    <w:rsid w:val="00BC4424"/>
    <w:rsid w:val="00BC4465"/>
    <w:rsid w:val="00BC44B8"/>
    <w:rsid w:val="00BC463A"/>
    <w:rsid w:val="00BC47A3"/>
    <w:rsid w:val="00BC488B"/>
    <w:rsid w:val="00BC48DD"/>
    <w:rsid w:val="00BC4972"/>
    <w:rsid w:val="00BC4A41"/>
    <w:rsid w:val="00BC4B03"/>
    <w:rsid w:val="00BC4E86"/>
    <w:rsid w:val="00BC5164"/>
    <w:rsid w:val="00BC53F1"/>
    <w:rsid w:val="00BC54FF"/>
    <w:rsid w:val="00BC5665"/>
    <w:rsid w:val="00BC56D8"/>
    <w:rsid w:val="00BC5869"/>
    <w:rsid w:val="00BC58DA"/>
    <w:rsid w:val="00BC5E93"/>
    <w:rsid w:val="00BC5EEA"/>
    <w:rsid w:val="00BC5F01"/>
    <w:rsid w:val="00BC6042"/>
    <w:rsid w:val="00BC6091"/>
    <w:rsid w:val="00BC60CD"/>
    <w:rsid w:val="00BC6162"/>
    <w:rsid w:val="00BC6167"/>
    <w:rsid w:val="00BC621D"/>
    <w:rsid w:val="00BC6261"/>
    <w:rsid w:val="00BC6266"/>
    <w:rsid w:val="00BC64D4"/>
    <w:rsid w:val="00BC6511"/>
    <w:rsid w:val="00BC656E"/>
    <w:rsid w:val="00BC66F5"/>
    <w:rsid w:val="00BC6705"/>
    <w:rsid w:val="00BC680B"/>
    <w:rsid w:val="00BC6897"/>
    <w:rsid w:val="00BC69A4"/>
    <w:rsid w:val="00BC69BF"/>
    <w:rsid w:val="00BC6AD2"/>
    <w:rsid w:val="00BC6B56"/>
    <w:rsid w:val="00BC6DC2"/>
    <w:rsid w:val="00BC711A"/>
    <w:rsid w:val="00BC7198"/>
    <w:rsid w:val="00BC7202"/>
    <w:rsid w:val="00BC72FC"/>
    <w:rsid w:val="00BC73A4"/>
    <w:rsid w:val="00BC73A9"/>
    <w:rsid w:val="00BC7467"/>
    <w:rsid w:val="00BC76BD"/>
    <w:rsid w:val="00BC776B"/>
    <w:rsid w:val="00BC77FE"/>
    <w:rsid w:val="00BC7A54"/>
    <w:rsid w:val="00BC7A95"/>
    <w:rsid w:val="00BC7B8F"/>
    <w:rsid w:val="00BC7CA4"/>
    <w:rsid w:val="00BC7D1B"/>
    <w:rsid w:val="00BC7E21"/>
    <w:rsid w:val="00BD0034"/>
    <w:rsid w:val="00BD027D"/>
    <w:rsid w:val="00BD040D"/>
    <w:rsid w:val="00BD04EF"/>
    <w:rsid w:val="00BD0557"/>
    <w:rsid w:val="00BD062F"/>
    <w:rsid w:val="00BD0663"/>
    <w:rsid w:val="00BD077A"/>
    <w:rsid w:val="00BD07B2"/>
    <w:rsid w:val="00BD08F4"/>
    <w:rsid w:val="00BD0936"/>
    <w:rsid w:val="00BD0E16"/>
    <w:rsid w:val="00BD1050"/>
    <w:rsid w:val="00BD1102"/>
    <w:rsid w:val="00BD1353"/>
    <w:rsid w:val="00BD14D0"/>
    <w:rsid w:val="00BD1561"/>
    <w:rsid w:val="00BD15F3"/>
    <w:rsid w:val="00BD1628"/>
    <w:rsid w:val="00BD187C"/>
    <w:rsid w:val="00BD19A6"/>
    <w:rsid w:val="00BD1A61"/>
    <w:rsid w:val="00BD1A81"/>
    <w:rsid w:val="00BD1B8D"/>
    <w:rsid w:val="00BD1CF5"/>
    <w:rsid w:val="00BD20AE"/>
    <w:rsid w:val="00BD21E0"/>
    <w:rsid w:val="00BD22B6"/>
    <w:rsid w:val="00BD2442"/>
    <w:rsid w:val="00BD249D"/>
    <w:rsid w:val="00BD2616"/>
    <w:rsid w:val="00BD26CE"/>
    <w:rsid w:val="00BD2715"/>
    <w:rsid w:val="00BD290C"/>
    <w:rsid w:val="00BD29F7"/>
    <w:rsid w:val="00BD2A27"/>
    <w:rsid w:val="00BD2C09"/>
    <w:rsid w:val="00BD2CA8"/>
    <w:rsid w:val="00BD2DCC"/>
    <w:rsid w:val="00BD318D"/>
    <w:rsid w:val="00BD319C"/>
    <w:rsid w:val="00BD31E4"/>
    <w:rsid w:val="00BD335C"/>
    <w:rsid w:val="00BD33D4"/>
    <w:rsid w:val="00BD35BF"/>
    <w:rsid w:val="00BD3603"/>
    <w:rsid w:val="00BD39E6"/>
    <w:rsid w:val="00BD39F7"/>
    <w:rsid w:val="00BD3C6B"/>
    <w:rsid w:val="00BD3CEC"/>
    <w:rsid w:val="00BD3D4B"/>
    <w:rsid w:val="00BD3FD1"/>
    <w:rsid w:val="00BD4097"/>
    <w:rsid w:val="00BD40AF"/>
    <w:rsid w:val="00BD40B1"/>
    <w:rsid w:val="00BD4109"/>
    <w:rsid w:val="00BD4395"/>
    <w:rsid w:val="00BD439E"/>
    <w:rsid w:val="00BD4697"/>
    <w:rsid w:val="00BD4717"/>
    <w:rsid w:val="00BD475D"/>
    <w:rsid w:val="00BD481C"/>
    <w:rsid w:val="00BD494C"/>
    <w:rsid w:val="00BD4A18"/>
    <w:rsid w:val="00BD4BAC"/>
    <w:rsid w:val="00BD4BC6"/>
    <w:rsid w:val="00BD4DCF"/>
    <w:rsid w:val="00BD4E29"/>
    <w:rsid w:val="00BD4ECC"/>
    <w:rsid w:val="00BD4EE1"/>
    <w:rsid w:val="00BD4F58"/>
    <w:rsid w:val="00BD4FDA"/>
    <w:rsid w:val="00BD5014"/>
    <w:rsid w:val="00BD5086"/>
    <w:rsid w:val="00BD5131"/>
    <w:rsid w:val="00BD5186"/>
    <w:rsid w:val="00BD522A"/>
    <w:rsid w:val="00BD5444"/>
    <w:rsid w:val="00BD564A"/>
    <w:rsid w:val="00BD57C8"/>
    <w:rsid w:val="00BD5840"/>
    <w:rsid w:val="00BD59B7"/>
    <w:rsid w:val="00BD5AF0"/>
    <w:rsid w:val="00BD5E26"/>
    <w:rsid w:val="00BD5E37"/>
    <w:rsid w:val="00BD5EB1"/>
    <w:rsid w:val="00BD5EBB"/>
    <w:rsid w:val="00BD5FDC"/>
    <w:rsid w:val="00BD60CD"/>
    <w:rsid w:val="00BD6167"/>
    <w:rsid w:val="00BD632C"/>
    <w:rsid w:val="00BD638E"/>
    <w:rsid w:val="00BD64F9"/>
    <w:rsid w:val="00BD6710"/>
    <w:rsid w:val="00BD67C7"/>
    <w:rsid w:val="00BD6988"/>
    <w:rsid w:val="00BD6A3A"/>
    <w:rsid w:val="00BD6D2E"/>
    <w:rsid w:val="00BD6EB4"/>
    <w:rsid w:val="00BD7283"/>
    <w:rsid w:val="00BD7369"/>
    <w:rsid w:val="00BD738C"/>
    <w:rsid w:val="00BD76F0"/>
    <w:rsid w:val="00BD7952"/>
    <w:rsid w:val="00BD79C5"/>
    <w:rsid w:val="00BD7A88"/>
    <w:rsid w:val="00BD7B07"/>
    <w:rsid w:val="00BD7E3E"/>
    <w:rsid w:val="00BD7E6F"/>
    <w:rsid w:val="00BD7F68"/>
    <w:rsid w:val="00BD7FDB"/>
    <w:rsid w:val="00BE0058"/>
    <w:rsid w:val="00BE00C7"/>
    <w:rsid w:val="00BE010E"/>
    <w:rsid w:val="00BE04EE"/>
    <w:rsid w:val="00BE0517"/>
    <w:rsid w:val="00BE06D7"/>
    <w:rsid w:val="00BE08B3"/>
    <w:rsid w:val="00BE0B09"/>
    <w:rsid w:val="00BE0D49"/>
    <w:rsid w:val="00BE0DB5"/>
    <w:rsid w:val="00BE0E34"/>
    <w:rsid w:val="00BE0E66"/>
    <w:rsid w:val="00BE0EC3"/>
    <w:rsid w:val="00BE0F30"/>
    <w:rsid w:val="00BE0F3A"/>
    <w:rsid w:val="00BE0F59"/>
    <w:rsid w:val="00BE0FF5"/>
    <w:rsid w:val="00BE1005"/>
    <w:rsid w:val="00BE1076"/>
    <w:rsid w:val="00BE12FC"/>
    <w:rsid w:val="00BE16BA"/>
    <w:rsid w:val="00BE1715"/>
    <w:rsid w:val="00BE1759"/>
    <w:rsid w:val="00BE17BB"/>
    <w:rsid w:val="00BE184E"/>
    <w:rsid w:val="00BE185F"/>
    <w:rsid w:val="00BE1A5C"/>
    <w:rsid w:val="00BE1CBA"/>
    <w:rsid w:val="00BE1CC8"/>
    <w:rsid w:val="00BE1CE4"/>
    <w:rsid w:val="00BE1F2A"/>
    <w:rsid w:val="00BE1F57"/>
    <w:rsid w:val="00BE1F73"/>
    <w:rsid w:val="00BE201B"/>
    <w:rsid w:val="00BE2235"/>
    <w:rsid w:val="00BE226B"/>
    <w:rsid w:val="00BE2362"/>
    <w:rsid w:val="00BE2410"/>
    <w:rsid w:val="00BE24A1"/>
    <w:rsid w:val="00BE2583"/>
    <w:rsid w:val="00BE2731"/>
    <w:rsid w:val="00BE2817"/>
    <w:rsid w:val="00BE2877"/>
    <w:rsid w:val="00BE2DF3"/>
    <w:rsid w:val="00BE2E18"/>
    <w:rsid w:val="00BE308F"/>
    <w:rsid w:val="00BE30B1"/>
    <w:rsid w:val="00BE31A0"/>
    <w:rsid w:val="00BE337B"/>
    <w:rsid w:val="00BE3664"/>
    <w:rsid w:val="00BE36D7"/>
    <w:rsid w:val="00BE39BE"/>
    <w:rsid w:val="00BE39D5"/>
    <w:rsid w:val="00BE3A38"/>
    <w:rsid w:val="00BE3C04"/>
    <w:rsid w:val="00BE3F0C"/>
    <w:rsid w:val="00BE3F28"/>
    <w:rsid w:val="00BE40C8"/>
    <w:rsid w:val="00BE4136"/>
    <w:rsid w:val="00BE417B"/>
    <w:rsid w:val="00BE436A"/>
    <w:rsid w:val="00BE442B"/>
    <w:rsid w:val="00BE4529"/>
    <w:rsid w:val="00BE4629"/>
    <w:rsid w:val="00BE46B2"/>
    <w:rsid w:val="00BE477A"/>
    <w:rsid w:val="00BE47BF"/>
    <w:rsid w:val="00BE487E"/>
    <w:rsid w:val="00BE4B75"/>
    <w:rsid w:val="00BE4DC1"/>
    <w:rsid w:val="00BE4FA9"/>
    <w:rsid w:val="00BE519A"/>
    <w:rsid w:val="00BE522F"/>
    <w:rsid w:val="00BE5301"/>
    <w:rsid w:val="00BE5374"/>
    <w:rsid w:val="00BE5389"/>
    <w:rsid w:val="00BE573D"/>
    <w:rsid w:val="00BE59BD"/>
    <w:rsid w:val="00BE5B5D"/>
    <w:rsid w:val="00BE5BAF"/>
    <w:rsid w:val="00BE5BBD"/>
    <w:rsid w:val="00BE5CB3"/>
    <w:rsid w:val="00BE5FA2"/>
    <w:rsid w:val="00BE5FDF"/>
    <w:rsid w:val="00BE61C2"/>
    <w:rsid w:val="00BE61F6"/>
    <w:rsid w:val="00BE627A"/>
    <w:rsid w:val="00BE62C3"/>
    <w:rsid w:val="00BE62E1"/>
    <w:rsid w:val="00BE63E2"/>
    <w:rsid w:val="00BE6919"/>
    <w:rsid w:val="00BE6B46"/>
    <w:rsid w:val="00BE6B6F"/>
    <w:rsid w:val="00BE6BAA"/>
    <w:rsid w:val="00BE6BB2"/>
    <w:rsid w:val="00BE6C08"/>
    <w:rsid w:val="00BE6CE8"/>
    <w:rsid w:val="00BE6D0F"/>
    <w:rsid w:val="00BE6E30"/>
    <w:rsid w:val="00BE709C"/>
    <w:rsid w:val="00BE70D8"/>
    <w:rsid w:val="00BE7158"/>
    <w:rsid w:val="00BE73D2"/>
    <w:rsid w:val="00BE73E1"/>
    <w:rsid w:val="00BE73F9"/>
    <w:rsid w:val="00BE74FA"/>
    <w:rsid w:val="00BE7532"/>
    <w:rsid w:val="00BE7565"/>
    <w:rsid w:val="00BE7589"/>
    <w:rsid w:val="00BE7910"/>
    <w:rsid w:val="00BE7A2D"/>
    <w:rsid w:val="00BE7BAC"/>
    <w:rsid w:val="00BE7BD8"/>
    <w:rsid w:val="00BE7C87"/>
    <w:rsid w:val="00BE7F71"/>
    <w:rsid w:val="00BF0111"/>
    <w:rsid w:val="00BF054C"/>
    <w:rsid w:val="00BF061D"/>
    <w:rsid w:val="00BF068D"/>
    <w:rsid w:val="00BF0723"/>
    <w:rsid w:val="00BF07F9"/>
    <w:rsid w:val="00BF09E7"/>
    <w:rsid w:val="00BF0AEA"/>
    <w:rsid w:val="00BF0BAC"/>
    <w:rsid w:val="00BF0FC9"/>
    <w:rsid w:val="00BF1072"/>
    <w:rsid w:val="00BF10BE"/>
    <w:rsid w:val="00BF11AA"/>
    <w:rsid w:val="00BF11D1"/>
    <w:rsid w:val="00BF138B"/>
    <w:rsid w:val="00BF13BF"/>
    <w:rsid w:val="00BF13EA"/>
    <w:rsid w:val="00BF141E"/>
    <w:rsid w:val="00BF1509"/>
    <w:rsid w:val="00BF19AA"/>
    <w:rsid w:val="00BF1A2B"/>
    <w:rsid w:val="00BF1B43"/>
    <w:rsid w:val="00BF1BFF"/>
    <w:rsid w:val="00BF1E61"/>
    <w:rsid w:val="00BF1E66"/>
    <w:rsid w:val="00BF1F6C"/>
    <w:rsid w:val="00BF2065"/>
    <w:rsid w:val="00BF212A"/>
    <w:rsid w:val="00BF2264"/>
    <w:rsid w:val="00BF231E"/>
    <w:rsid w:val="00BF23A7"/>
    <w:rsid w:val="00BF2560"/>
    <w:rsid w:val="00BF2751"/>
    <w:rsid w:val="00BF28E3"/>
    <w:rsid w:val="00BF2931"/>
    <w:rsid w:val="00BF2A35"/>
    <w:rsid w:val="00BF2B27"/>
    <w:rsid w:val="00BF2B43"/>
    <w:rsid w:val="00BF2B8D"/>
    <w:rsid w:val="00BF2C0A"/>
    <w:rsid w:val="00BF2D93"/>
    <w:rsid w:val="00BF3002"/>
    <w:rsid w:val="00BF302E"/>
    <w:rsid w:val="00BF30AE"/>
    <w:rsid w:val="00BF33F3"/>
    <w:rsid w:val="00BF35E8"/>
    <w:rsid w:val="00BF35F2"/>
    <w:rsid w:val="00BF3604"/>
    <w:rsid w:val="00BF362A"/>
    <w:rsid w:val="00BF3A6E"/>
    <w:rsid w:val="00BF420B"/>
    <w:rsid w:val="00BF4247"/>
    <w:rsid w:val="00BF44FE"/>
    <w:rsid w:val="00BF4545"/>
    <w:rsid w:val="00BF45EE"/>
    <w:rsid w:val="00BF467E"/>
    <w:rsid w:val="00BF46C3"/>
    <w:rsid w:val="00BF480D"/>
    <w:rsid w:val="00BF481C"/>
    <w:rsid w:val="00BF4874"/>
    <w:rsid w:val="00BF4B0B"/>
    <w:rsid w:val="00BF4D0B"/>
    <w:rsid w:val="00BF4D81"/>
    <w:rsid w:val="00BF4DCD"/>
    <w:rsid w:val="00BF4DE9"/>
    <w:rsid w:val="00BF4E3A"/>
    <w:rsid w:val="00BF4EC1"/>
    <w:rsid w:val="00BF4EE4"/>
    <w:rsid w:val="00BF4F00"/>
    <w:rsid w:val="00BF4FDD"/>
    <w:rsid w:val="00BF517F"/>
    <w:rsid w:val="00BF51AD"/>
    <w:rsid w:val="00BF5283"/>
    <w:rsid w:val="00BF53F5"/>
    <w:rsid w:val="00BF5459"/>
    <w:rsid w:val="00BF5557"/>
    <w:rsid w:val="00BF56F8"/>
    <w:rsid w:val="00BF5894"/>
    <w:rsid w:val="00BF58B6"/>
    <w:rsid w:val="00BF5A13"/>
    <w:rsid w:val="00BF5B5D"/>
    <w:rsid w:val="00BF5B87"/>
    <w:rsid w:val="00BF5D11"/>
    <w:rsid w:val="00BF5F5D"/>
    <w:rsid w:val="00BF5F97"/>
    <w:rsid w:val="00BF6071"/>
    <w:rsid w:val="00BF60C8"/>
    <w:rsid w:val="00BF6181"/>
    <w:rsid w:val="00BF61AA"/>
    <w:rsid w:val="00BF6240"/>
    <w:rsid w:val="00BF62A4"/>
    <w:rsid w:val="00BF64D2"/>
    <w:rsid w:val="00BF654D"/>
    <w:rsid w:val="00BF658C"/>
    <w:rsid w:val="00BF664D"/>
    <w:rsid w:val="00BF66BF"/>
    <w:rsid w:val="00BF67D2"/>
    <w:rsid w:val="00BF682A"/>
    <w:rsid w:val="00BF68B9"/>
    <w:rsid w:val="00BF6934"/>
    <w:rsid w:val="00BF6A63"/>
    <w:rsid w:val="00BF6E11"/>
    <w:rsid w:val="00BF6E58"/>
    <w:rsid w:val="00BF6F6D"/>
    <w:rsid w:val="00BF7045"/>
    <w:rsid w:val="00BF7057"/>
    <w:rsid w:val="00BF7208"/>
    <w:rsid w:val="00BF7261"/>
    <w:rsid w:val="00BF72BE"/>
    <w:rsid w:val="00BF73B3"/>
    <w:rsid w:val="00BF73D2"/>
    <w:rsid w:val="00BF73FE"/>
    <w:rsid w:val="00BF74A8"/>
    <w:rsid w:val="00BF75FD"/>
    <w:rsid w:val="00BF7639"/>
    <w:rsid w:val="00BF767E"/>
    <w:rsid w:val="00BF76B2"/>
    <w:rsid w:val="00BF78CF"/>
    <w:rsid w:val="00BF796F"/>
    <w:rsid w:val="00BF79A8"/>
    <w:rsid w:val="00BF7C54"/>
    <w:rsid w:val="00BF7D84"/>
    <w:rsid w:val="00BF7E7B"/>
    <w:rsid w:val="00BF7F22"/>
    <w:rsid w:val="00C00093"/>
    <w:rsid w:val="00C0017B"/>
    <w:rsid w:val="00C00261"/>
    <w:rsid w:val="00C002BE"/>
    <w:rsid w:val="00C0038D"/>
    <w:rsid w:val="00C00557"/>
    <w:rsid w:val="00C0066A"/>
    <w:rsid w:val="00C00A04"/>
    <w:rsid w:val="00C00BE0"/>
    <w:rsid w:val="00C00C62"/>
    <w:rsid w:val="00C00D3D"/>
    <w:rsid w:val="00C00EFE"/>
    <w:rsid w:val="00C00F3D"/>
    <w:rsid w:val="00C01004"/>
    <w:rsid w:val="00C0101C"/>
    <w:rsid w:val="00C010A5"/>
    <w:rsid w:val="00C01198"/>
    <w:rsid w:val="00C013C7"/>
    <w:rsid w:val="00C017DB"/>
    <w:rsid w:val="00C01945"/>
    <w:rsid w:val="00C019EB"/>
    <w:rsid w:val="00C01B72"/>
    <w:rsid w:val="00C01B7D"/>
    <w:rsid w:val="00C01BEC"/>
    <w:rsid w:val="00C01D5F"/>
    <w:rsid w:val="00C01FB3"/>
    <w:rsid w:val="00C02064"/>
    <w:rsid w:val="00C0258F"/>
    <w:rsid w:val="00C025B4"/>
    <w:rsid w:val="00C025E9"/>
    <w:rsid w:val="00C026D7"/>
    <w:rsid w:val="00C02927"/>
    <w:rsid w:val="00C02C02"/>
    <w:rsid w:val="00C02CEC"/>
    <w:rsid w:val="00C02DD9"/>
    <w:rsid w:val="00C02F22"/>
    <w:rsid w:val="00C02FFB"/>
    <w:rsid w:val="00C03023"/>
    <w:rsid w:val="00C032FA"/>
    <w:rsid w:val="00C03414"/>
    <w:rsid w:val="00C0345A"/>
    <w:rsid w:val="00C03487"/>
    <w:rsid w:val="00C03511"/>
    <w:rsid w:val="00C035BA"/>
    <w:rsid w:val="00C03689"/>
    <w:rsid w:val="00C03826"/>
    <w:rsid w:val="00C039F1"/>
    <w:rsid w:val="00C03A4E"/>
    <w:rsid w:val="00C03B3F"/>
    <w:rsid w:val="00C03C69"/>
    <w:rsid w:val="00C03CAD"/>
    <w:rsid w:val="00C03D62"/>
    <w:rsid w:val="00C03FF8"/>
    <w:rsid w:val="00C04104"/>
    <w:rsid w:val="00C0425E"/>
    <w:rsid w:val="00C0428A"/>
    <w:rsid w:val="00C0447E"/>
    <w:rsid w:val="00C04594"/>
    <w:rsid w:val="00C045FF"/>
    <w:rsid w:val="00C0461D"/>
    <w:rsid w:val="00C0477A"/>
    <w:rsid w:val="00C0495E"/>
    <w:rsid w:val="00C04AE2"/>
    <w:rsid w:val="00C04B44"/>
    <w:rsid w:val="00C04B89"/>
    <w:rsid w:val="00C04BF6"/>
    <w:rsid w:val="00C04C3A"/>
    <w:rsid w:val="00C04F0F"/>
    <w:rsid w:val="00C051CB"/>
    <w:rsid w:val="00C0522C"/>
    <w:rsid w:val="00C054E6"/>
    <w:rsid w:val="00C05694"/>
    <w:rsid w:val="00C056B3"/>
    <w:rsid w:val="00C05700"/>
    <w:rsid w:val="00C0578C"/>
    <w:rsid w:val="00C057B5"/>
    <w:rsid w:val="00C05863"/>
    <w:rsid w:val="00C05870"/>
    <w:rsid w:val="00C05893"/>
    <w:rsid w:val="00C058B3"/>
    <w:rsid w:val="00C05CFB"/>
    <w:rsid w:val="00C05D62"/>
    <w:rsid w:val="00C05DB4"/>
    <w:rsid w:val="00C05E19"/>
    <w:rsid w:val="00C05EE3"/>
    <w:rsid w:val="00C05F99"/>
    <w:rsid w:val="00C0605E"/>
    <w:rsid w:val="00C06163"/>
    <w:rsid w:val="00C061F9"/>
    <w:rsid w:val="00C06294"/>
    <w:rsid w:val="00C065C8"/>
    <w:rsid w:val="00C0671A"/>
    <w:rsid w:val="00C06B78"/>
    <w:rsid w:val="00C06C18"/>
    <w:rsid w:val="00C06EC3"/>
    <w:rsid w:val="00C06ED9"/>
    <w:rsid w:val="00C07260"/>
    <w:rsid w:val="00C073C8"/>
    <w:rsid w:val="00C0743C"/>
    <w:rsid w:val="00C074B4"/>
    <w:rsid w:val="00C074CD"/>
    <w:rsid w:val="00C074EB"/>
    <w:rsid w:val="00C075E1"/>
    <w:rsid w:val="00C0769B"/>
    <w:rsid w:val="00C0772B"/>
    <w:rsid w:val="00C077F3"/>
    <w:rsid w:val="00C07801"/>
    <w:rsid w:val="00C07B96"/>
    <w:rsid w:val="00C07C11"/>
    <w:rsid w:val="00C07C78"/>
    <w:rsid w:val="00C07DC4"/>
    <w:rsid w:val="00C07FC0"/>
    <w:rsid w:val="00C10220"/>
    <w:rsid w:val="00C1037B"/>
    <w:rsid w:val="00C103D0"/>
    <w:rsid w:val="00C10519"/>
    <w:rsid w:val="00C1053F"/>
    <w:rsid w:val="00C10618"/>
    <w:rsid w:val="00C107C3"/>
    <w:rsid w:val="00C10855"/>
    <w:rsid w:val="00C10919"/>
    <w:rsid w:val="00C1094E"/>
    <w:rsid w:val="00C10A8F"/>
    <w:rsid w:val="00C10B11"/>
    <w:rsid w:val="00C10B5D"/>
    <w:rsid w:val="00C10B68"/>
    <w:rsid w:val="00C10C5F"/>
    <w:rsid w:val="00C10CE6"/>
    <w:rsid w:val="00C10CF4"/>
    <w:rsid w:val="00C10DE6"/>
    <w:rsid w:val="00C10E07"/>
    <w:rsid w:val="00C10E80"/>
    <w:rsid w:val="00C10ECD"/>
    <w:rsid w:val="00C11031"/>
    <w:rsid w:val="00C11079"/>
    <w:rsid w:val="00C11272"/>
    <w:rsid w:val="00C11288"/>
    <w:rsid w:val="00C112E2"/>
    <w:rsid w:val="00C1130F"/>
    <w:rsid w:val="00C1134E"/>
    <w:rsid w:val="00C1135C"/>
    <w:rsid w:val="00C113C9"/>
    <w:rsid w:val="00C115BC"/>
    <w:rsid w:val="00C11637"/>
    <w:rsid w:val="00C11666"/>
    <w:rsid w:val="00C1179D"/>
    <w:rsid w:val="00C117DE"/>
    <w:rsid w:val="00C1193D"/>
    <w:rsid w:val="00C11A33"/>
    <w:rsid w:val="00C11B45"/>
    <w:rsid w:val="00C11B8A"/>
    <w:rsid w:val="00C11BDD"/>
    <w:rsid w:val="00C11F90"/>
    <w:rsid w:val="00C123FC"/>
    <w:rsid w:val="00C124AD"/>
    <w:rsid w:val="00C12580"/>
    <w:rsid w:val="00C125C3"/>
    <w:rsid w:val="00C12661"/>
    <w:rsid w:val="00C1272A"/>
    <w:rsid w:val="00C1280F"/>
    <w:rsid w:val="00C1292D"/>
    <w:rsid w:val="00C12989"/>
    <w:rsid w:val="00C12AC9"/>
    <w:rsid w:val="00C12B1D"/>
    <w:rsid w:val="00C12B55"/>
    <w:rsid w:val="00C12D4A"/>
    <w:rsid w:val="00C12DBC"/>
    <w:rsid w:val="00C12E6C"/>
    <w:rsid w:val="00C12F30"/>
    <w:rsid w:val="00C12FBD"/>
    <w:rsid w:val="00C13126"/>
    <w:rsid w:val="00C13261"/>
    <w:rsid w:val="00C13329"/>
    <w:rsid w:val="00C13470"/>
    <w:rsid w:val="00C13489"/>
    <w:rsid w:val="00C13508"/>
    <w:rsid w:val="00C13520"/>
    <w:rsid w:val="00C135C4"/>
    <w:rsid w:val="00C13809"/>
    <w:rsid w:val="00C1396C"/>
    <w:rsid w:val="00C13DFE"/>
    <w:rsid w:val="00C13E7D"/>
    <w:rsid w:val="00C13EDA"/>
    <w:rsid w:val="00C13EE4"/>
    <w:rsid w:val="00C13FFB"/>
    <w:rsid w:val="00C142B3"/>
    <w:rsid w:val="00C1460F"/>
    <w:rsid w:val="00C1464A"/>
    <w:rsid w:val="00C1468F"/>
    <w:rsid w:val="00C146F8"/>
    <w:rsid w:val="00C1471E"/>
    <w:rsid w:val="00C1492C"/>
    <w:rsid w:val="00C14BC2"/>
    <w:rsid w:val="00C14BEB"/>
    <w:rsid w:val="00C14BEC"/>
    <w:rsid w:val="00C14D09"/>
    <w:rsid w:val="00C14F0C"/>
    <w:rsid w:val="00C14F4D"/>
    <w:rsid w:val="00C14F82"/>
    <w:rsid w:val="00C14F9B"/>
    <w:rsid w:val="00C14FAB"/>
    <w:rsid w:val="00C151AD"/>
    <w:rsid w:val="00C153DA"/>
    <w:rsid w:val="00C1557A"/>
    <w:rsid w:val="00C155AB"/>
    <w:rsid w:val="00C15612"/>
    <w:rsid w:val="00C15742"/>
    <w:rsid w:val="00C15991"/>
    <w:rsid w:val="00C159B4"/>
    <w:rsid w:val="00C15AC1"/>
    <w:rsid w:val="00C15D44"/>
    <w:rsid w:val="00C15F2C"/>
    <w:rsid w:val="00C15F42"/>
    <w:rsid w:val="00C15FD2"/>
    <w:rsid w:val="00C1610B"/>
    <w:rsid w:val="00C1611D"/>
    <w:rsid w:val="00C161ED"/>
    <w:rsid w:val="00C163B4"/>
    <w:rsid w:val="00C1659A"/>
    <w:rsid w:val="00C16635"/>
    <w:rsid w:val="00C1669E"/>
    <w:rsid w:val="00C167BD"/>
    <w:rsid w:val="00C167F4"/>
    <w:rsid w:val="00C167F8"/>
    <w:rsid w:val="00C16896"/>
    <w:rsid w:val="00C16974"/>
    <w:rsid w:val="00C169A8"/>
    <w:rsid w:val="00C16A3D"/>
    <w:rsid w:val="00C16C9A"/>
    <w:rsid w:val="00C16D8E"/>
    <w:rsid w:val="00C1701F"/>
    <w:rsid w:val="00C17226"/>
    <w:rsid w:val="00C1738E"/>
    <w:rsid w:val="00C1750F"/>
    <w:rsid w:val="00C175E4"/>
    <w:rsid w:val="00C17645"/>
    <w:rsid w:val="00C17675"/>
    <w:rsid w:val="00C179F7"/>
    <w:rsid w:val="00C17BEE"/>
    <w:rsid w:val="00C17E7E"/>
    <w:rsid w:val="00C17EFA"/>
    <w:rsid w:val="00C20020"/>
    <w:rsid w:val="00C200AB"/>
    <w:rsid w:val="00C203AB"/>
    <w:rsid w:val="00C20419"/>
    <w:rsid w:val="00C20643"/>
    <w:rsid w:val="00C2069B"/>
    <w:rsid w:val="00C206B0"/>
    <w:rsid w:val="00C2096D"/>
    <w:rsid w:val="00C20990"/>
    <w:rsid w:val="00C20A84"/>
    <w:rsid w:val="00C20AF8"/>
    <w:rsid w:val="00C20D09"/>
    <w:rsid w:val="00C20EA7"/>
    <w:rsid w:val="00C20EF2"/>
    <w:rsid w:val="00C21041"/>
    <w:rsid w:val="00C21094"/>
    <w:rsid w:val="00C21453"/>
    <w:rsid w:val="00C2162F"/>
    <w:rsid w:val="00C217DE"/>
    <w:rsid w:val="00C21B4B"/>
    <w:rsid w:val="00C21B72"/>
    <w:rsid w:val="00C21BBA"/>
    <w:rsid w:val="00C21CD0"/>
    <w:rsid w:val="00C21D31"/>
    <w:rsid w:val="00C21DC9"/>
    <w:rsid w:val="00C2274F"/>
    <w:rsid w:val="00C22800"/>
    <w:rsid w:val="00C22825"/>
    <w:rsid w:val="00C229F7"/>
    <w:rsid w:val="00C22AD6"/>
    <w:rsid w:val="00C22D3F"/>
    <w:rsid w:val="00C22DDF"/>
    <w:rsid w:val="00C23063"/>
    <w:rsid w:val="00C232E0"/>
    <w:rsid w:val="00C23378"/>
    <w:rsid w:val="00C233C0"/>
    <w:rsid w:val="00C234B8"/>
    <w:rsid w:val="00C23507"/>
    <w:rsid w:val="00C23587"/>
    <w:rsid w:val="00C2359A"/>
    <w:rsid w:val="00C235CD"/>
    <w:rsid w:val="00C236D4"/>
    <w:rsid w:val="00C237D7"/>
    <w:rsid w:val="00C23931"/>
    <w:rsid w:val="00C23A30"/>
    <w:rsid w:val="00C23AEE"/>
    <w:rsid w:val="00C23C3F"/>
    <w:rsid w:val="00C23DB0"/>
    <w:rsid w:val="00C23FB3"/>
    <w:rsid w:val="00C24017"/>
    <w:rsid w:val="00C24163"/>
    <w:rsid w:val="00C241B2"/>
    <w:rsid w:val="00C242E7"/>
    <w:rsid w:val="00C248E3"/>
    <w:rsid w:val="00C248F4"/>
    <w:rsid w:val="00C24902"/>
    <w:rsid w:val="00C24908"/>
    <w:rsid w:val="00C24976"/>
    <w:rsid w:val="00C24989"/>
    <w:rsid w:val="00C249B1"/>
    <w:rsid w:val="00C24A58"/>
    <w:rsid w:val="00C24B5E"/>
    <w:rsid w:val="00C24BB4"/>
    <w:rsid w:val="00C24E47"/>
    <w:rsid w:val="00C2520D"/>
    <w:rsid w:val="00C2534F"/>
    <w:rsid w:val="00C25379"/>
    <w:rsid w:val="00C2543B"/>
    <w:rsid w:val="00C25504"/>
    <w:rsid w:val="00C25661"/>
    <w:rsid w:val="00C25756"/>
    <w:rsid w:val="00C258A0"/>
    <w:rsid w:val="00C258C2"/>
    <w:rsid w:val="00C25932"/>
    <w:rsid w:val="00C25BD4"/>
    <w:rsid w:val="00C25C23"/>
    <w:rsid w:val="00C25C90"/>
    <w:rsid w:val="00C25D58"/>
    <w:rsid w:val="00C25F36"/>
    <w:rsid w:val="00C261D1"/>
    <w:rsid w:val="00C262F5"/>
    <w:rsid w:val="00C26390"/>
    <w:rsid w:val="00C263C7"/>
    <w:rsid w:val="00C26490"/>
    <w:rsid w:val="00C267DF"/>
    <w:rsid w:val="00C2690A"/>
    <w:rsid w:val="00C269D8"/>
    <w:rsid w:val="00C26A49"/>
    <w:rsid w:val="00C26A69"/>
    <w:rsid w:val="00C26B9F"/>
    <w:rsid w:val="00C26BBA"/>
    <w:rsid w:val="00C26C1A"/>
    <w:rsid w:val="00C26DCC"/>
    <w:rsid w:val="00C26F35"/>
    <w:rsid w:val="00C26F3D"/>
    <w:rsid w:val="00C26F6E"/>
    <w:rsid w:val="00C26FFE"/>
    <w:rsid w:val="00C27091"/>
    <w:rsid w:val="00C270DE"/>
    <w:rsid w:val="00C27321"/>
    <w:rsid w:val="00C27419"/>
    <w:rsid w:val="00C274AA"/>
    <w:rsid w:val="00C27508"/>
    <w:rsid w:val="00C275C6"/>
    <w:rsid w:val="00C27682"/>
    <w:rsid w:val="00C277DA"/>
    <w:rsid w:val="00C27ABE"/>
    <w:rsid w:val="00C27AF9"/>
    <w:rsid w:val="00C27B31"/>
    <w:rsid w:val="00C27BEE"/>
    <w:rsid w:val="00C27FE0"/>
    <w:rsid w:val="00C30058"/>
    <w:rsid w:val="00C3015E"/>
    <w:rsid w:val="00C301DA"/>
    <w:rsid w:val="00C303F8"/>
    <w:rsid w:val="00C305D1"/>
    <w:rsid w:val="00C306B3"/>
    <w:rsid w:val="00C3071B"/>
    <w:rsid w:val="00C30765"/>
    <w:rsid w:val="00C3089E"/>
    <w:rsid w:val="00C308CB"/>
    <w:rsid w:val="00C30956"/>
    <w:rsid w:val="00C309BF"/>
    <w:rsid w:val="00C309F2"/>
    <w:rsid w:val="00C30A51"/>
    <w:rsid w:val="00C30AC7"/>
    <w:rsid w:val="00C30ADD"/>
    <w:rsid w:val="00C30AF3"/>
    <w:rsid w:val="00C30B23"/>
    <w:rsid w:val="00C30CBA"/>
    <w:rsid w:val="00C30DF2"/>
    <w:rsid w:val="00C3114E"/>
    <w:rsid w:val="00C3118F"/>
    <w:rsid w:val="00C31200"/>
    <w:rsid w:val="00C312F7"/>
    <w:rsid w:val="00C31393"/>
    <w:rsid w:val="00C315C5"/>
    <w:rsid w:val="00C317A2"/>
    <w:rsid w:val="00C317FA"/>
    <w:rsid w:val="00C318A5"/>
    <w:rsid w:val="00C31968"/>
    <w:rsid w:val="00C31ADC"/>
    <w:rsid w:val="00C31B4D"/>
    <w:rsid w:val="00C31E8F"/>
    <w:rsid w:val="00C31E9C"/>
    <w:rsid w:val="00C320B7"/>
    <w:rsid w:val="00C321A2"/>
    <w:rsid w:val="00C3220F"/>
    <w:rsid w:val="00C323DE"/>
    <w:rsid w:val="00C323E7"/>
    <w:rsid w:val="00C3243E"/>
    <w:rsid w:val="00C32869"/>
    <w:rsid w:val="00C3286A"/>
    <w:rsid w:val="00C32B15"/>
    <w:rsid w:val="00C32BE6"/>
    <w:rsid w:val="00C32D51"/>
    <w:rsid w:val="00C32FC9"/>
    <w:rsid w:val="00C33010"/>
    <w:rsid w:val="00C33143"/>
    <w:rsid w:val="00C331B2"/>
    <w:rsid w:val="00C332B6"/>
    <w:rsid w:val="00C336DC"/>
    <w:rsid w:val="00C336FA"/>
    <w:rsid w:val="00C33738"/>
    <w:rsid w:val="00C339D9"/>
    <w:rsid w:val="00C33C0A"/>
    <w:rsid w:val="00C33DFC"/>
    <w:rsid w:val="00C33E41"/>
    <w:rsid w:val="00C33F9B"/>
    <w:rsid w:val="00C34039"/>
    <w:rsid w:val="00C340B8"/>
    <w:rsid w:val="00C340FB"/>
    <w:rsid w:val="00C34260"/>
    <w:rsid w:val="00C342FD"/>
    <w:rsid w:val="00C343FC"/>
    <w:rsid w:val="00C34408"/>
    <w:rsid w:val="00C34421"/>
    <w:rsid w:val="00C34666"/>
    <w:rsid w:val="00C34682"/>
    <w:rsid w:val="00C34709"/>
    <w:rsid w:val="00C3486F"/>
    <w:rsid w:val="00C348AF"/>
    <w:rsid w:val="00C34918"/>
    <w:rsid w:val="00C34C1F"/>
    <w:rsid w:val="00C34C7D"/>
    <w:rsid w:val="00C35222"/>
    <w:rsid w:val="00C352D5"/>
    <w:rsid w:val="00C35324"/>
    <w:rsid w:val="00C353B7"/>
    <w:rsid w:val="00C3543B"/>
    <w:rsid w:val="00C3543E"/>
    <w:rsid w:val="00C354AA"/>
    <w:rsid w:val="00C35563"/>
    <w:rsid w:val="00C355C3"/>
    <w:rsid w:val="00C35634"/>
    <w:rsid w:val="00C35868"/>
    <w:rsid w:val="00C359A2"/>
    <w:rsid w:val="00C35C2A"/>
    <w:rsid w:val="00C35C89"/>
    <w:rsid w:val="00C35D8C"/>
    <w:rsid w:val="00C35FA5"/>
    <w:rsid w:val="00C36078"/>
    <w:rsid w:val="00C36235"/>
    <w:rsid w:val="00C363BE"/>
    <w:rsid w:val="00C36479"/>
    <w:rsid w:val="00C3651F"/>
    <w:rsid w:val="00C36633"/>
    <w:rsid w:val="00C36679"/>
    <w:rsid w:val="00C366EC"/>
    <w:rsid w:val="00C367F7"/>
    <w:rsid w:val="00C3682B"/>
    <w:rsid w:val="00C36912"/>
    <w:rsid w:val="00C3691B"/>
    <w:rsid w:val="00C36943"/>
    <w:rsid w:val="00C36E39"/>
    <w:rsid w:val="00C36E9D"/>
    <w:rsid w:val="00C36EFE"/>
    <w:rsid w:val="00C36F5E"/>
    <w:rsid w:val="00C36FB1"/>
    <w:rsid w:val="00C3724A"/>
    <w:rsid w:val="00C3730A"/>
    <w:rsid w:val="00C3770C"/>
    <w:rsid w:val="00C37850"/>
    <w:rsid w:val="00C37A8D"/>
    <w:rsid w:val="00C37B15"/>
    <w:rsid w:val="00C37B3C"/>
    <w:rsid w:val="00C37C86"/>
    <w:rsid w:val="00C37C9A"/>
    <w:rsid w:val="00C37CB6"/>
    <w:rsid w:val="00C37E4A"/>
    <w:rsid w:val="00C37EC5"/>
    <w:rsid w:val="00C37F41"/>
    <w:rsid w:val="00C37F82"/>
    <w:rsid w:val="00C4030B"/>
    <w:rsid w:val="00C4042E"/>
    <w:rsid w:val="00C404CC"/>
    <w:rsid w:val="00C40660"/>
    <w:rsid w:val="00C4069F"/>
    <w:rsid w:val="00C40771"/>
    <w:rsid w:val="00C407DC"/>
    <w:rsid w:val="00C40C45"/>
    <w:rsid w:val="00C40D4B"/>
    <w:rsid w:val="00C40DC6"/>
    <w:rsid w:val="00C40ED9"/>
    <w:rsid w:val="00C40FA2"/>
    <w:rsid w:val="00C410EE"/>
    <w:rsid w:val="00C412B1"/>
    <w:rsid w:val="00C4162B"/>
    <w:rsid w:val="00C4173E"/>
    <w:rsid w:val="00C41BDD"/>
    <w:rsid w:val="00C41C36"/>
    <w:rsid w:val="00C41EBD"/>
    <w:rsid w:val="00C420C9"/>
    <w:rsid w:val="00C42214"/>
    <w:rsid w:val="00C42277"/>
    <w:rsid w:val="00C42319"/>
    <w:rsid w:val="00C4246E"/>
    <w:rsid w:val="00C4257B"/>
    <w:rsid w:val="00C4271D"/>
    <w:rsid w:val="00C427BC"/>
    <w:rsid w:val="00C42843"/>
    <w:rsid w:val="00C428DC"/>
    <w:rsid w:val="00C429DC"/>
    <w:rsid w:val="00C4306B"/>
    <w:rsid w:val="00C43415"/>
    <w:rsid w:val="00C43441"/>
    <w:rsid w:val="00C4353E"/>
    <w:rsid w:val="00C43840"/>
    <w:rsid w:val="00C43AC9"/>
    <w:rsid w:val="00C43B20"/>
    <w:rsid w:val="00C43B43"/>
    <w:rsid w:val="00C43D87"/>
    <w:rsid w:val="00C43F46"/>
    <w:rsid w:val="00C43FA6"/>
    <w:rsid w:val="00C43FCE"/>
    <w:rsid w:val="00C4401D"/>
    <w:rsid w:val="00C4409E"/>
    <w:rsid w:val="00C441B3"/>
    <w:rsid w:val="00C44220"/>
    <w:rsid w:val="00C44260"/>
    <w:rsid w:val="00C4436C"/>
    <w:rsid w:val="00C4446E"/>
    <w:rsid w:val="00C44536"/>
    <w:rsid w:val="00C44673"/>
    <w:rsid w:val="00C44810"/>
    <w:rsid w:val="00C449C2"/>
    <w:rsid w:val="00C44AF4"/>
    <w:rsid w:val="00C44DA8"/>
    <w:rsid w:val="00C44E88"/>
    <w:rsid w:val="00C44FF2"/>
    <w:rsid w:val="00C450B7"/>
    <w:rsid w:val="00C4522C"/>
    <w:rsid w:val="00C4523E"/>
    <w:rsid w:val="00C45254"/>
    <w:rsid w:val="00C45425"/>
    <w:rsid w:val="00C45500"/>
    <w:rsid w:val="00C45603"/>
    <w:rsid w:val="00C45615"/>
    <w:rsid w:val="00C4566B"/>
    <w:rsid w:val="00C45706"/>
    <w:rsid w:val="00C45C37"/>
    <w:rsid w:val="00C45C40"/>
    <w:rsid w:val="00C45F38"/>
    <w:rsid w:val="00C461B2"/>
    <w:rsid w:val="00C46306"/>
    <w:rsid w:val="00C46358"/>
    <w:rsid w:val="00C4635F"/>
    <w:rsid w:val="00C46391"/>
    <w:rsid w:val="00C46649"/>
    <w:rsid w:val="00C46777"/>
    <w:rsid w:val="00C468C1"/>
    <w:rsid w:val="00C4690E"/>
    <w:rsid w:val="00C46BE5"/>
    <w:rsid w:val="00C46CC0"/>
    <w:rsid w:val="00C46EF7"/>
    <w:rsid w:val="00C471BD"/>
    <w:rsid w:val="00C47319"/>
    <w:rsid w:val="00C473E8"/>
    <w:rsid w:val="00C474EC"/>
    <w:rsid w:val="00C47614"/>
    <w:rsid w:val="00C4768E"/>
    <w:rsid w:val="00C47820"/>
    <w:rsid w:val="00C478F8"/>
    <w:rsid w:val="00C47A66"/>
    <w:rsid w:val="00C47A74"/>
    <w:rsid w:val="00C47B91"/>
    <w:rsid w:val="00C47BA6"/>
    <w:rsid w:val="00C47C8E"/>
    <w:rsid w:val="00C47D2D"/>
    <w:rsid w:val="00C47F79"/>
    <w:rsid w:val="00C47FE7"/>
    <w:rsid w:val="00C50067"/>
    <w:rsid w:val="00C50148"/>
    <w:rsid w:val="00C50154"/>
    <w:rsid w:val="00C5019D"/>
    <w:rsid w:val="00C50216"/>
    <w:rsid w:val="00C5037D"/>
    <w:rsid w:val="00C504D7"/>
    <w:rsid w:val="00C505F4"/>
    <w:rsid w:val="00C5065A"/>
    <w:rsid w:val="00C50715"/>
    <w:rsid w:val="00C50830"/>
    <w:rsid w:val="00C50966"/>
    <w:rsid w:val="00C509A7"/>
    <w:rsid w:val="00C50AAA"/>
    <w:rsid w:val="00C50AC8"/>
    <w:rsid w:val="00C50C2F"/>
    <w:rsid w:val="00C50C73"/>
    <w:rsid w:val="00C50D12"/>
    <w:rsid w:val="00C50EC0"/>
    <w:rsid w:val="00C50F98"/>
    <w:rsid w:val="00C50FCE"/>
    <w:rsid w:val="00C5115D"/>
    <w:rsid w:val="00C511C8"/>
    <w:rsid w:val="00C5123B"/>
    <w:rsid w:val="00C51324"/>
    <w:rsid w:val="00C513B9"/>
    <w:rsid w:val="00C5142B"/>
    <w:rsid w:val="00C51572"/>
    <w:rsid w:val="00C515C6"/>
    <w:rsid w:val="00C51694"/>
    <w:rsid w:val="00C5188A"/>
    <w:rsid w:val="00C5189B"/>
    <w:rsid w:val="00C518DE"/>
    <w:rsid w:val="00C51BCA"/>
    <w:rsid w:val="00C51CDB"/>
    <w:rsid w:val="00C51EF6"/>
    <w:rsid w:val="00C51F13"/>
    <w:rsid w:val="00C521A0"/>
    <w:rsid w:val="00C52411"/>
    <w:rsid w:val="00C5244F"/>
    <w:rsid w:val="00C524F5"/>
    <w:rsid w:val="00C525A2"/>
    <w:rsid w:val="00C52602"/>
    <w:rsid w:val="00C528CC"/>
    <w:rsid w:val="00C529E5"/>
    <w:rsid w:val="00C52AD6"/>
    <w:rsid w:val="00C52CBC"/>
    <w:rsid w:val="00C52D55"/>
    <w:rsid w:val="00C52D8A"/>
    <w:rsid w:val="00C52FD1"/>
    <w:rsid w:val="00C53004"/>
    <w:rsid w:val="00C5303B"/>
    <w:rsid w:val="00C5335D"/>
    <w:rsid w:val="00C5359B"/>
    <w:rsid w:val="00C5388B"/>
    <w:rsid w:val="00C53A27"/>
    <w:rsid w:val="00C53AA6"/>
    <w:rsid w:val="00C53AF7"/>
    <w:rsid w:val="00C53C4A"/>
    <w:rsid w:val="00C53C67"/>
    <w:rsid w:val="00C53F95"/>
    <w:rsid w:val="00C542F7"/>
    <w:rsid w:val="00C544C2"/>
    <w:rsid w:val="00C5471F"/>
    <w:rsid w:val="00C54794"/>
    <w:rsid w:val="00C5490F"/>
    <w:rsid w:val="00C54954"/>
    <w:rsid w:val="00C54A1C"/>
    <w:rsid w:val="00C54AAA"/>
    <w:rsid w:val="00C54B39"/>
    <w:rsid w:val="00C54B6A"/>
    <w:rsid w:val="00C54BFB"/>
    <w:rsid w:val="00C54CA3"/>
    <w:rsid w:val="00C54CC7"/>
    <w:rsid w:val="00C54D34"/>
    <w:rsid w:val="00C54DFA"/>
    <w:rsid w:val="00C54E5A"/>
    <w:rsid w:val="00C54FAB"/>
    <w:rsid w:val="00C55097"/>
    <w:rsid w:val="00C55155"/>
    <w:rsid w:val="00C5516F"/>
    <w:rsid w:val="00C553A2"/>
    <w:rsid w:val="00C553F6"/>
    <w:rsid w:val="00C554B5"/>
    <w:rsid w:val="00C554BE"/>
    <w:rsid w:val="00C55518"/>
    <w:rsid w:val="00C5561A"/>
    <w:rsid w:val="00C556EE"/>
    <w:rsid w:val="00C557DB"/>
    <w:rsid w:val="00C5583E"/>
    <w:rsid w:val="00C55924"/>
    <w:rsid w:val="00C55D88"/>
    <w:rsid w:val="00C55DD7"/>
    <w:rsid w:val="00C55FC0"/>
    <w:rsid w:val="00C55FCF"/>
    <w:rsid w:val="00C56076"/>
    <w:rsid w:val="00C563FB"/>
    <w:rsid w:val="00C56431"/>
    <w:rsid w:val="00C564C9"/>
    <w:rsid w:val="00C56556"/>
    <w:rsid w:val="00C56648"/>
    <w:rsid w:val="00C567FE"/>
    <w:rsid w:val="00C56B83"/>
    <w:rsid w:val="00C56EF2"/>
    <w:rsid w:val="00C570A6"/>
    <w:rsid w:val="00C570DC"/>
    <w:rsid w:val="00C572D8"/>
    <w:rsid w:val="00C5735D"/>
    <w:rsid w:val="00C57380"/>
    <w:rsid w:val="00C57566"/>
    <w:rsid w:val="00C5757C"/>
    <w:rsid w:val="00C575B8"/>
    <w:rsid w:val="00C576C9"/>
    <w:rsid w:val="00C5775C"/>
    <w:rsid w:val="00C57993"/>
    <w:rsid w:val="00C579F3"/>
    <w:rsid w:val="00C57B80"/>
    <w:rsid w:val="00C57C4E"/>
    <w:rsid w:val="00C57C9E"/>
    <w:rsid w:val="00C57D35"/>
    <w:rsid w:val="00C57DA1"/>
    <w:rsid w:val="00C57EE3"/>
    <w:rsid w:val="00C57EF6"/>
    <w:rsid w:val="00C57F7B"/>
    <w:rsid w:val="00C6006D"/>
    <w:rsid w:val="00C600B3"/>
    <w:rsid w:val="00C60430"/>
    <w:rsid w:val="00C60495"/>
    <w:rsid w:val="00C60878"/>
    <w:rsid w:val="00C60A73"/>
    <w:rsid w:val="00C60A7E"/>
    <w:rsid w:val="00C60B6D"/>
    <w:rsid w:val="00C60BCA"/>
    <w:rsid w:val="00C60CDD"/>
    <w:rsid w:val="00C60DE1"/>
    <w:rsid w:val="00C61073"/>
    <w:rsid w:val="00C61081"/>
    <w:rsid w:val="00C6117F"/>
    <w:rsid w:val="00C61464"/>
    <w:rsid w:val="00C61675"/>
    <w:rsid w:val="00C61690"/>
    <w:rsid w:val="00C6169A"/>
    <w:rsid w:val="00C617BE"/>
    <w:rsid w:val="00C6191B"/>
    <w:rsid w:val="00C61AD0"/>
    <w:rsid w:val="00C61AFA"/>
    <w:rsid w:val="00C61B29"/>
    <w:rsid w:val="00C61CDD"/>
    <w:rsid w:val="00C61E00"/>
    <w:rsid w:val="00C61E91"/>
    <w:rsid w:val="00C61F17"/>
    <w:rsid w:val="00C61FB6"/>
    <w:rsid w:val="00C620ED"/>
    <w:rsid w:val="00C62327"/>
    <w:rsid w:val="00C623B1"/>
    <w:rsid w:val="00C6246F"/>
    <w:rsid w:val="00C62498"/>
    <w:rsid w:val="00C62516"/>
    <w:rsid w:val="00C62872"/>
    <w:rsid w:val="00C628A5"/>
    <w:rsid w:val="00C629EB"/>
    <w:rsid w:val="00C629FD"/>
    <w:rsid w:val="00C62C3C"/>
    <w:rsid w:val="00C62E51"/>
    <w:rsid w:val="00C62E6E"/>
    <w:rsid w:val="00C62EAA"/>
    <w:rsid w:val="00C62EEE"/>
    <w:rsid w:val="00C62F93"/>
    <w:rsid w:val="00C62FB1"/>
    <w:rsid w:val="00C630AA"/>
    <w:rsid w:val="00C631ED"/>
    <w:rsid w:val="00C63201"/>
    <w:rsid w:val="00C6332C"/>
    <w:rsid w:val="00C633A7"/>
    <w:rsid w:val="00C6360D"/>
    <w:rsid w:val="00C63655"/>
    <w:rsid w:val="00C63700"/>
    <w:rsid w:val="00C638A3"/>
    <w:rsid w:val="00C638EE"/>
    <w:rsid w:val="00C63979"/>
    <w:rsid w:val="00C63B18"/>
    <w:rsid w:val="00C63CC0"/>
    <w:rsid w:val="00C63D25"/>
    <w:rsid w:val="00C63D4E"/>
    <w:rsid w:val="00C63D96"/>
    <w:rsid w:val="00C63DAB"/>
    <w:rsid w:val="00C63E54"/>
    <w:rsid w:val="00C63E99"/>
    <w:rsid w:val="00C63ED3"/>
    <w:rsid w:val="00C6402A"/>
    <w:rsid w:val="00C640D4"/>
    <w:rsid w:val="00C64279"/>
    <w:rsid w:val="00C64633"/>
    <w:rsid w:val="00C64855"/>
    <w:rsid w:val="00C648AA"/>
    <w:rsid w:val="00C64932"/>
    <w:rsid w:val="00C64A35"/>
    <w:rsid w:val="00C64AFE"/>
    <w:rsid w:val="00C64B48"/>
    <w:rsid w:val="00C64D12"/>
    <w:rsid w:val="00C64D37"/>
    <w:rsid w:val="00C64D63"/>
    <w:rsid w:val="00C64F22"/>
    <w:rsid w:val="00C6500C"/>
    <w:rsid w:val="00C6503A"/>
    <w:rsid w:val="00C65044"/>
    <w:rsid w:val="00C6542E"/>
    <w:rsid w:val="00C656A1"/>
    <w:rsid w:val="00C656DD"/>
    <w:rsid w:val="00C65762"/>
    <w:rsid w:val="00C659F6"/>
    <w:rsid w:val="00C65E99"/>
    <w:rsid w:val="00C661D4"/>
    <w:rsid w:val="00C66422"/>
    <w:rsid w:val="00C66450"/>
    <w:rsid w:val="00C665D7"/>
    <w:rsid w:val="00C667DA"/>
    <w:rsid w:val="00C66BFE"/>
    <w:rsid w:val="00C66C43"/>
    <w:rsid w:val="00C66DDE"/>
    <w:rsid w:val="00C66E45"/>
    <w:rsid w:val="00C66EEA"/>
    <w:rsid w:val="00C66EFF"/>
    <w:rsid w:val="00C66F3E"/>
    <w:rsid w:val="00C67016"/>
    <w:rsid w:val="00C67024"/>
    <w:rsid w:val="00C67228"/>
    <w:rsid w:val="00C6738B"/>
    <w:rsid w:val="00C673F9"/>
    <w:rsid w:val="00C67401"/>
    <w:rsid w:val="00C67431"/>
    <w:rsid w:val="00C6750A"/>
    <w:rsid w:val="00C677C0"/>
    <w:rsid w:val="00C6783E"/>
    <w:rsid w:val="00C67AFF"/>
    <w:rsid w:val="00C67B04"/>
    <w:rsid w:val="00C67B1A"/>
    <w:rsid w:val="00C67B9A"/>
    <w:rsid w:val="00C67BED"/>
    <w:rsid w:val="00C67C68"/>
    <w:rsid w:val="00C67CBD"/>
    <w:rsid w:val="00C67DB3"/>
    <w:rsid w:val="00C67E1F"/>
    <w:rsid w:val="00C67E8E"/>
    <w:rsid w:val="00C67ED8"/>
    <w:rsid w:val="00C689BB"/>
    <w:rsid w:val="00C70000"/>
    <w:rsid w:val="00C7020B"/>
    <w:rsid w:val="00C70327"/>
    <w:rsid w:val="00C70443"/>
    <w:rsid w:val="00C7049E"/>
    <w:rsid w:val="00C7054F"/>
    <w:rsid w:val="00C7065C"/>
    <w:rsid w:val="00C7072E"/>
    <w:rsid w:val="00C7081C"/>
    <w:rsid w:val="00C7096A"/>
    <w:rsid w:val="00C709D9"/>
    <w:rsid w:val="00C70B93"/>
    <w:rsid w:val="00C70D62"/>
    <w:rsid w:val="00C70E2B"/>
    <w:rsid w:val="00C70E45"/>
    <w:rsid w:val="00C70F0C"/>
    <w:rsid w:val="00C7102E"/>
    <w:rsid w:val="00C71276"/>
    <w:rsid w:val="00C71386"/>
    <w:rsid w:val="00C71413"/>
    <w:rsid w:val="00C71556"/>
    <w:rsid w:val="00C7187A"/>
    <w:rsid w:val="00C71925"/>
    <w:rsid w:val="00C71A25"/>
    <w:rsid w:val="00C71B4A"/>
    <w:rsid w:val="00C71D2F"/>
    <w:rsid w:val="00C71D41"/>
    <w:rsid w:val="00C71D55"/>
    <w:rsid w:val="00C71DB6"/>
    <w:rsid w:val="00C71E12"/>
    <w:rsid w:val="00C71E1E"/>
    <w:rsid w:val="00C71FCF"/>
    <w:rsid w:val="00C71FDD"/>
    <w:rsid w:val="00C720D3"/>
    <w:rsid w:val="00C72127"/>
    <w:rsid w:val="00C72177"/>
    <w:rsid w:val="00C7218E"/>
    <w:rsid w:val="00C72232"/>
    <w:rsid w:val="00C7227D"/>
    <w:rsid w:val="00C72306"/>
    <w:rsid w:val="00C72560"/>
    <w:rsid w:val="00C725EA"/>
    <w:rsid w:val="00C726FB"/>
    <w:rsid w:val="00C72795"/>
    <w:rsid w:val="00C72A8D"/>
    <w:rsid w:val="00C72BFB"/>
    <w:rsid w:val="00C72C12"/>
    <w:rsid w:val="00C732D8"/>
    <w:rsid w:val="00C73531"/>
    <w:rsid w:val="00C7357D"/>
    <w:rsid w:val="00C735CB"/>
    <w:rsid w:val="00C73666"/>
    <w:rsid w:val="00C737A9"/>
    <w:rsid w:val="00C737C0"/>
    <w:rsid w:val="00C739F5"/>
    <w:rsid w:val="00C73A7E"/>
    <w:rsid w:val="00C73AB1"/>
    <w:rsid w:val="00C73BC6"/>
    <w:rsid w:val="00C73BDF"/>
    <w:rsid w:val="00C73C9A"/>
    <w:rsid w:val="00C73D5B"/>
    <w:rsid w:val="00C73DB8"/>
    <w:rsid w:val="00C74055"/>
    <w:rsid w:val="00C740A4"/>
    <w:rsid w:val="00C740AE"/>
    <w:rsid w:val="00C740CE"/>
    <w:rsid w:val="00C740FE"/>
    <w:rsid w:val="00C74199"/>
    <w:rsid w:val="00C741E2"/>
    <w:rsid w:val="00C74323"/>
    <w:rsid w:val="00C74417"/>
    <w:rsid w:val="00C744A3"/>
    <w:rsid w:val="00C74626"/>
    <w:rsid w:val="00C746FB"/>
    <w:rsid w:val="00C7489F"/>
    <w:rsid w:val="00C7492A"/>
    <w:rsid w:val="00C7494F"/>
    <w:rsid w:val="00C74A10"/>
    <w:rsid w:val="00C74B8C"/>
    <w:rsid w:val="00C74C95"/>
    <w:rsid w:val="00C74D5E"/>
    <w:rsid w:val="00C74D94"/>
    <w:rsid w:val="00C74EEC"/>
    <w:rsid w:val="00C75014"/>
    <w:rsid w:val="00C750C6"/>
    <w:rsid w:val="00C7539E"/>
    <w:rsid w:val="00C753B9"/>
    <w:rsid w:val="00C7548B"/>
    <w:rsid w:val="00C7549C"/>
    <w:rsid w:val="00C754BC"/>
    <w:rsid w:val="00C7556C"/>
    <w:rsid w:val="00C755EB"/>
    <w:rsid w:val="00C75741"/>
    <w:rsid w:val="00C7574A"/>
    <w:rsid w:val="00C7574B"/>
    <w:rsid w:val="00C75806"/>
    <w:rsid w:val="00C75975"/>
    <w:rsid w:val="00C75A50"/>
    <w:rsid w:val="00C75B1F"/>
    <w:rsid w:val="00C75B68"/>
    <w:rsid w:val="00C75B6F"/>
    <w:rsid w:val="00C75C2B"/>
    <w:rsid w:val="00C75DD6"/>
    <w:rsid w:val="00C75F7E"/>
    <w:rsid w:val="00C75F81"/>
    <w:rsid w:val="00C7606F"/>
    <w:rsid w:val="00C76293"/>
    <w:rsid w:val="00C762DD"/>
    <w:rsid w:val="00C765D9"/>
    <w:rsid w:val="00C76641"/>
    <w:rsid w:val="00C766D6"/>
    <w:rsid w:val="00C76864"/>
    <w:rsid w:val="00C76971"/>
    <w:rsid w:val="00C76B28"/>
    <w:rsid w:val="00C76DD3"/>
    <w:rsid w:val="00C76DF6"/>
    <w:rsid w:val="00C76E46"/>
    <w:rsid w:val="00C76F53"/>
    <w:rsid w:val="00C771D7"/>
    <w:rsid w:val="00C7732B"/>
    <w:rsid w:val="00C77389"/>
    <w:rsid w:val="00C773F9"/>
    <w:rsid w:val="00C774DF"/>
    <w:rsid w:val="00C7751A"/>
    <w:rsid w:val="00C777E3"/>
    <w:rsid w:val="00C77C6D"/>
    <w:rsid w:val="00C77D18"/>
    <w:rsid w:val="00C77D44"/>
    <w:rsid w:val="00C77E0A"/>
    <w:rsid w:val="00C77F65"/>
    <w:rsid w:val="00C77FB2"/>
    <w:rsid w:val="00C77FB5"/>
    <w:rsid w:val="00C7C926"/>
    <w:rsid w:val="00C80046"/>
    <w:rsid w:val="00C80049"/>
    <w:rsid w:val="00C80122"/>
    <w:rsid w:val="00C8012F"/>
    <w:rsid w:val="00C80132"/>
    <w:rsid w:val="00C801DF"/>
    <w:rsid w:val="00C802B2"/>
    <w:rsid w:val="00C803C5"/>
    <w:rsid w:val="00C80472"/>
    <w:rsid w:val="00C804EC"/>
    <w:rsid w:val="00C80504"/>
    <w:rsid w:val="00C80C38"/>
    <w:rsid w:val="00C80CF5"/>
    <w:rsid w:val="00C80D17"/>
    <w:rsid w:val="00C80E1E"/>
    <w:rsid w:val="00C81099"/>
    <w:rsid w:val="00C8113B"/>
    <w:rsid w:val="00C81218"/>
    <w:rsid w:val="00C812BF"/>
    <w:rsid w:val="00C8145A"/>
    <w:rsid w:val="00C814CC"/>
    <w:rsid w:val="00C81653"/>
    <w:rsid w:val="00C816A9"/>
    <w:rsid w:val="00C81816"/>
    <w:rsid w:val="00C818E3"/>
    <w:rsid w:val="00C81A16"/>
    <w:rsid w:val="00C81A9F"/>
    <w:rsid w:val="00C81B1E"/>
    <w:rsid w:val="00C81B51"/>
    <w:rsid w:val="00C81C24"/>
    <w:rsid w:val="00C81DFF"/>
    <w:rsid w:val="00C81F09"/>
    <w:rsid w:val="00C8214D"/>
    <w:rsid w:val="00C82370"/>
    <w:rsid w:val="00C823B8"/>
    <w:rsid w:val="00C8248C"/>
    <w:rsid w:val="00C824D6"/>
    <w:rsid w:val="00C82526"/>
    <w:rsid w:val="00C825E5"/>
    <w:rsid w:val="00C82638"/>
    <w:rsid w:val="00C8268F"/>
    <w:rsid w:val="00C82724"/>
    <w:rsid w:val="00C8281A"/>
    <w:rsid w:val="00C82A5C"/>
    <w:rsid w:val="00C82B81"/>
    <w:rsid w:val="00C82BC7"/>
    <w:rsid w:val="00C82C5B"/>
    <w:rsid w:val="00C82CDE"/>
    <w:rsid w:val="00C82D13"/>
    <w:rsid w:val="00C8303A"/>
    <w:rsid w:val="00C8307F"/>
    <w:rsid w:val="00C831BC"/>
    <w:rsid w:val="00C83248"/>
    <w:rsid w:val="00C8337C"/>
    <w:rsid w:val="00C83440"/>
    <w:rsid w:val="00C83535"/>
    <w:rsid w:val="00C835B6"/>
    <w:rsid w:val="00C835EB"/>
    <w:rsid w:val="00C83656"/>
    <w:rsid w:val="00C83AFE"/>
    <w:rsid w:val="00C83B15"/>
    <w:rsid w:val="00C83B56"/>
    <w:rsid w:val="00C83B7C"/>
    <w:rsid w:val="00C83D84"/>
    <w:rsid w:val="00C8416E"/>
    <w:rsid w:val="00C84408"/>
    <w:rsid w:val="00C8440E"/>
    <w:rsid w:val="00C84685"/>
    <w:rsid w:val="00C84796"/>
    <w:rsid w:val="00C84911"/>
    <w:rsid w:val="00C8493C"/>
    <w:rsid w:val="00C84967"/>
    <w:rsid w:val="00C84A1F"/>
    <w:rsid w:val="00C84AB4"/>
    <w:rsid w:val="00C84AE5"/>
    <w:rsid w:val="00C84B5D"/>
    <w:rsid w:val="00C84D8A"/>
    <w:rsid w:val="00C84E3F"/>
    <w:rsid w:val="00C84E5D"/>
    <w:rsid w:val="00C84EC6"/>
    <w:rsid w:val="00C8517F"/>
    <w:rsid w:val="00C85361"/>
    <w:rsid w:val="00C853B7"/>
    <w:rsid w:val="00C856CB"/>
    <w:rsid w:val="00C8577F"/>
    <w:rsid w:val="00C857CE"/>
    <w:rsid w:val="00C858B4"/>
    <w:rsid w:val="00C85902"/>
    <w:rsid w:val="00C8591B"/>
    <w:rsid w:val="00C85AD9"/>
    <w:rsid w:val="00C85B98"/>
    <w:rsid w:val="00C85BC1"/>
    <w:rsid w:val="00C8620B"/>
    <w:rsid w:val="00C86374"/>
    <w:rsid w:val="00C86393"/>
    <w:rsid w:val="00C86428"/>
    <w:rsid w:val="00C8646A"/>
    <w:rsid w:val="00C86587"/>
    <w:rsid w:val="00C865BE"/>
    <w:rsid w:val="00C8664D"/>
    <w:rsid w:val="00C8668D"/>
    <w:rsid w:val="00C8669A"/>
    <w:rsid w:val="00C866D5"/>
    <w:rsid w:val="00C86764"/>
    <w:rsid w:val="00C868B9"/>
    <w:rsid w:val="00C86AEB"/>
    <w:rsid w:val="00C86B2E"/>
    <w:rsid w:val="00C86C1E"/>
    <w:rsid w:val="00C86C42"/>
    <w:rsid w:val="00C86C87"/>
    <w:rsid w:val="00C86D70"/>
    <w:rsid w:val="00C86E22"/>
    <w:rsid w:val="00C87110"/>
    <w:rsid w:val="00C871C9"/>
    <w:rsid w:val="00C87293"/>
    <w:rsid w:val="00C87307"/>
    <w:rsid w:val="00C87436"/>
    <w:rsid w:val="00C87533"/>
    <w:rsid w:val="00C875E7"/>
    <w:rsid w:val="00C8760E"/>
    <w:rsid w:val="00C876A2"/>
    <w:rsid w:val="00C8785C"/>
    <w:rsid w:val="00C8786D"/>
    <w:rsid w:val="00C87881"/>
    <w:rsid w:val="00C87944"/>
    <w:rsid w:val="00C87D96"/>
    <w:rsid w:val="00C87FC5"/>
    <w:rsid w:val="00C9008D"/>
    <w:rsid w:val="00C90291"/>
    <w:rsid w:val="00C90292"/>
    <w:rsid w:val="00C902E1"/>
    <w:rsid w:val="00C90368"/>
    <w:rsid w:val="00C90439"/>
    <w:rsid w:val="00C9053A"/>
    <w:rsid w:val="00C9062A"/>
    <w:rsid w:val="00C90767"/>
    <w:rsid w:val="00C907D3"/>
    <w:rsid w:val="00C90835"/>
    <w:rsid w:val="00C90904"/>
    <w:rsid w:val="00C90941"/>
    <w:rsid w:val="00C90A2B"/>
    <w:rsid w:val="00C90A90"/>
    <w:rsid w:val="00C90AC0"/>
    <w:rsid w:val="00C90AE7"/>
    <w:rsid w:val="00C90C4D"/>
    <w:rsid w:val="00C90C69"/>
    <w:rsid w:val="00C90D1D"/>
    <w:rsid w:val="00C90E48"/>
    <w:rsid w:val="00C90F27"/>
    <w:rsid w:val="00C9101B"/>
    <w:rsid w:val="00C912A0"/>
    <w:rsid w:val="00C912D9"/>
    <w:rsid w:val="00C913EC"/>
    <w:rsid w:val="00C9140D"/>
    <w:rsid w:val="00C9142B"/>
    <w:rsid w:val="00C914CA"/>
    <w:rsid w:val="00C91616"/>
    <w:rsid w:val="00C91651"/>
    <w:rsid w:val="00C91695"/>
    <w:rsid w:val="00C917A4"/>
    <w:rsid w:val="00C91856"/>
    <w:rsid w:val="00C918B6"/>
    <w:rsid w:val="00C91D84"/>
    <w:rsid w:val="00C91DF4"/>
    <w:rsid w:val="00C91DF5"/>
    <w:rsid w:val="00C91E37"/>
    <w:rsid w:val="00C9204B"/>
    <w:rsid w:val="00C9218A"/>
    <w:rsid w:val="00C92190"/>
    <w:rsid w:val="00C9223C"/>
    <w:rsid w:val="00C922A2"/>
    <w:rsid w:val="00C922EE"/>
    <w:rsid w:val="00C92309"/>
    <w:rsid w:val="00C923C8"/>
    <w:rsid w:val="00C924BA"/>
    <w:rsid w:val="00C92647"/>
    <w:rsid w:val="00C92818"/>
    <w:rsid w:val="00C928DA"/>
    <w:rsid w:val="00C92D12"/>
    <w:rsid w:val="00C92ECD"/>
    <w:rsid w:val="00C92FB8"/>
    <w:rsid w:val="00C93096"/>
    <w:rsid w:val="00C93287"/>
    <w:rsid w:val="00C93291"/>
    <w:rsid w:val="00C93368"/>
    <w:rsid w:val="00C9346B"/>
    <w:rsid w:val="00C9369B"/>
    <w:rsid w:val="00C9379F"/>
    <w:rsid w:val="00C93CAD"/>
    <w:rsid w:val="00C93F37"/>
    <w:rsid w:val="00C93F78"/>
    <w:rsid w:val="00C93FEC"/>
    <w:rsid w:val="00C94143"/>
    <w:rsid w:val="00C94241"/>
    <w:rsid w:val="00C9427A"/>
    <w:rsid w:val="00C94356"/>
    <w:rsid w:val="00C9442F"/>
    <w:rsid w:val="00C944F8"/>
    <w:rsid w:val="00C945B0"/>
    <w:rsid w:val="00C9478E"/>
    <w:rsid w:val="00C9491C"/>
    <w:rsid w:val="00C94985"/>
    <w:rsid w:val="00C9498D"/>
    <w:rsid w:val="00C949A7"/>
    <w:rsid w:val="00C949B9"/>
    <w:rsid w:val="00C94C10"/>
    <w:rsid w:val="00C94E13"/>
    <w:rsid w:val="00C94E77"/>
    <w:rsid w:val="00C94F7C"/>
    <w:rsid w:val="00C9502A"/>
    <w:rsid w:val="00C9506B"/>
    <w:rsid w:val="00C952E1"/>
    <w:rsid w:val="00C95456"/>
    <w:rsid w:val="00C95594"/>
    <w:rsid w:val="00C95795"/>
    <w:rsid w:val="00C95805"/>
    <w:rsid w:val="00C959BC"/>
    <w:rsid w:val="00C95A60"/>
    <w:rsid w:val="00C95C15"/>
    <w:rsid w:val="00C95E12"/>
    <w:rsid w:val="00C95E9F"/>
    <w:rsid w:val="00C960E6"/>
    <w:rsid w:val="00C96384"/>
    <w:rsid w:val="00C963A0"/>
    <w:rsid w:val="00C964C4"/>
    <w:rsid w:val="00C965E7"/>
    <w:rsid w:val="00C96648"/>
    <w:rsid w:val="00C9687D"/>
    <w:rsid w:val="00C96990"/>
    <w:rsid w:val="00C96A04"/>
    <w:rsid w:val="00C96AD6"/>
    <w:rsid w:val="00C96D3F"/>
    <w:rsid w:val="00C96E89"/>
    <w:rsid w:val="00C96EE3"/>
    <w:rsid w:val="00C96FD0"/>
    <w:rsid w:val="00C9724F"/>
    <w:rsid w:val="00C97261"/>
    <w:rsid w:val="00C972F5"/>
    <w:rsid w:val="00C97444"/>
    <w:rsid w:val="00C97639"/>
    <w:rsid w:val="00C978A9"/>
    <w:rsid w:val="00C9790D"/>
    <w:rsid w:val="00C97B07"/>
    <w:rsid w:val="00C97B42"/>
    <w:rsid w:val="00C97B4D"/>
    <w:rsid w:val="00C97CEE"/>
    <w:rsid w:val="00C97EF9"/>
    <w:rsid w:val="00CA010E"/>
    <w:rsid w:val="00CA025C"/>
    <w:rsid w:val="00CA02C6"/>
    <w:rsid w:val="00CA038B"/>
    <w:rsid w:val="00CA04D7"/>
    <w:rsid w:val="00CA04DB"/>
    <w:rsid w:val="00CA06D9"/>
    <w:rsid w:val="00CA0970"/>
    <w:rsid w:val="00CA0A93"/>
    <w:rsid w:val="00CA0C02"/>
    <w:rsid w:val="00CA0C92"/>
    <w:rsid w:val="00CA0C98"/>
    <w:rsid w:val="00CA0CD5"/>
    <w:rsid w:val="00CA0D4A"/>
    <w:rsid w:val="00CA0E8F"/>
    <w:rsid w:val="00CA0F6B"/>
    <w:rsid w:val="00CA10C1"/>
    <w:rsid w:val="00CA13B6"/>
    <w:rsid w:val="00CA13E0"/>
    <w:rsid w:val="00CA18A2"/>
    <w:rsid w:val="00CA1A8C"/>
    <w:rsid w:val="00CA1E2F"/>
    <w:rsid w:val="00CA1EF4"/>
    <w:rsid w:val="00CA1F49"/>
    <w:rsid w:val="00CA1F7D"/>
    <w:rsid w:val="00CA20D0"/>
    <w:rsid w:val="00CA2210"/>
    <w:rsid w:val="00CA22F4"/>
    <w:rsid w:val="00CA23A9"/>
    <w:rsid w:val="00CA2510"/>
    <w:rsid w:val="00CA25D5"/>
    <w:rsid w:val="00CA2667"/>
    <w:rsid w:val="00CA26EA"/>
    <w:rsid w:val="00CA26F7"/>
    <w:rsid w:val="00CA274F"/>
    <w:rsid w:val="00CA2760"/>
    <w:rsid w:val="00CA28C2"/>
    <w:rsid w:val="00CA28F2"/>
    <w:rsid w:val="00CA2914"/>
    <w:rsid w:val="00CA29C7"/>
    <w:rsid w:val="00CA2A28"/>
    <w:rsid w:val="00CA2A38"/>
    <w:rsid w:val="00CA2D90"/>
    <w:rsid w:val="00CA2E36"/>
    <w:rsid w:val="00CA2FB2"/>
    <w:rsid w:val="00CA33D2"/>
    <w:rsid w:val="00CA33D9"/>
    <w:rsid w:val="00CA3439"/>
    <w:rsid w:val="00CA3466"/>
    <w:rsid w:val="00CA34AC"/>
    <w:rsid w:val="00CA35E9"/>
    <w:rsid w:val="00CA371F"/>
    <w:rsid w:val="00CA3720"/>
    <w:rsid w:val="00CA3875"/>
    <w:rsid w:val="00CA3940"/>
    <w:rsid w:val="00CA3989"/>
    <w:rsid w:val="00CA39A5"/>
    <w:rsid w:val="00CA3D3A"/>
    <w:rsid w:val="00CA3D7F"/>
    <w:rsid w:val="00CA3D8B"/>
    <w:rsid w:val="00CA42D6"/>
    <w:rsid w:val="00CA4314"/>
    <w:rsid w:val="00CA4316"/>
    <w:rsid w:val="00CA4504"/>
    <w:rsid w:val="00CA459D"/>
    <w:rsid w:val="00CA45FA"/>
    <w:rsid w:val="00CA46C8"/>
    <w:rsid w:val="00CA46E4"/>
    <w:rsid w:val="00CA48BE"/>
    <w:rsid w:val="00CA4A7A"/>
    <w:rsid w:val="00CA4ACD"/>
    <w:rsid w:val="00CA4D25"/>
    <w:rsid w:val="00CA4D83"/>
    <w:rsid w:val="00CA4E9E"/>
    <w:rsid w:val="00CA4EBC"/>
    <w:rsid w:val="00CA4F50"/>
    <w:rsid w:val="00CA4F86"/>
    <w:rsid w:val="00CA4FD4"/>
    <w:rsid w:val="00CA5026"/>
    <w:rsid w:val="00CA511A"/>
    <w:rsid w:val="00CA511D"/>
    <w:rsid w:val="00CA51BE"/>
    <w:rsid w:val="00CA528A"/>
    <w:rsid w:val="00CA56F4"/>
    <w:rsid w:val="00CA581C"/>
    <w:rsid w:val="00CA5866"/>
    <w:rsid w:val="00CA5B2B"/>
    <w:rsid w:val="00CA5B79"/>
    <w:rsid w:val="00CA5B9F"/>
    <w:rsid w:val="00CA5CED"/>
    <w:rsid w:val="00CA60F9"/>
    <w:rsid w:val="00CA611A"/>
    <w:rsid w:val="00CA635C"/>
    <w:rsid w:val="00CA688F"/>
    <w:rsid w:val="00CA6AE4"/>
    <w:rsid w:val="00CA6BD2"/>
    <w:rsid w:val="00CA6C7F"/>
    <w:rsid w:val="00CA6F57"/>
    <w:rsid w:val="00CA6F97"/>
    <w:rsid w:val="00CA7065"/>
    <w:rsid w:val="00CA707E"/>
    <w:rsid w:val="00CA7083"/>
    <w:rsid w:val="00CA7266"/>
    <w:rsid w:val="00CA72AA"/>
    <w:rsid w:val="00CA730C"/>
    <w:rsid w:val="00CA74D2"/>
    <w:rsid w:val="00CA7569"/>
    <w:rsid w:val="00CA76A3"/>
    <w:rsid w:val="00CA7816"/>
    <w:rsid w:val="00CA7938"/>
    <w:rsid w:val="00CA7A0E"/>
    <w:rsid w:val="00CA7B25"/>
    <w:rsid w:val="00CA7BA0"/>
    <w:rsid w:val="00CA7BF6"/>
    <w:rsid w:val="00CA7CAE"/>
    <w:rsid w:val="00CA7CAF"/>
    <w:rsid w:val="00CA7EBA"/>
    <w:rsid w:val="00CA7FC6"/>
    <w:rsid w:val="00CB008F"/>
    <w:rsid w:val="00CB025B"/>
    <w:rsid w:val="00CB0382"/>
    <w:rsid w:val="00CB038F"/>
    <w:rsid w:val="00CB03C1"/>
    <w:rsid w:val="00CB04B0"/>
    <w:rsid w:val="00CB06B1"/>
    <w:rsid w:val="00CB0A9C"/>
    <w:rsid w:val="00CB0BAD"/>
    <w:rsid w:val="00CB0BC9"/>
    <w:rsid w:val="00CB0BF3"/>
    <w:rsid w:val="00CB0C24"/>
    <w:rsid w:val="00CB0FFF"/>
    <w:rsid w:val="00CB1096"/>
    <w:rsid w:val="00CB10E8"/>
    <w:rsid w:val="00CB12BA"/>
    <w:rsid w:val="00CB12C6"/>
    <w:rsid w:val="00CB12E2"/>
    <w:rsid w:val="00CB1314"/>
    <w:rsid w:val="00CB1531"/>
    <w:rsid w:val="00CB15E9"/>
    <w:rsid w:val="00CB17B7"/>
    <w:rsid w:val="00CB17C1"/>
    <w:rsid w:val="00CB1B6B"/>
    <w:rsid w:val="00CB1BB7"/>
    <w:rsid w:val="00CB1C9A"/>
    <w:rsid w:val="00CB1E1F"/>
    <w:rsid w:val="00CB1FEE"/>
    <w:rsid w:val="00CB2125"/>
    <w:rsid w:val="00CB21BB"/>
    <w:rsid w:val="00CB21F6"/>
    <w:rsid w:val="00CB238E"/>
    <w:rsid w:val="00CB2454"/>
    <w:rsid w:val="00CB2BD5"/>
    <w:rsid w:val="00CB2BDA"/>
    <w:rsid w:val="00CB2C17"/>
    <w:rsid w:val="00CB2C33"/>
    <w:rsid w:val="00CB2CDF"/>
    <w:rsid w:val="00CB2F3F"/>
    <w:rsid w:val="00CB2FE2"/>
    <w:rsid w:val="00CB306C"/>
    <w:rsid w:val="00CB3361"/>
    <w:rsid w:val="00CB3436"/>
    <w:rsid w:val="00CB361B"/>
    <w:rsid w:val="00CB3690"/>
    <w:rsid w:val="00CB37C1"/>
    <w:rsid w:val="00CB37F3"/>
    <w:rsid w:val="00CB3818"/>
    <w:rsid w:val="00CB381E"/>
    <w:rsid w:val="00CB38E4"/>
    <w:rsid w:val="00CB3914"/>
    <w:rsid w:val="00CB3942"/>
    <w:rsid w:val="00CB39F0"/>
    <w:rsid w:val="00CB3C7A"/>
    <w:rsid w:val="00CB3C84"/>
    <w:rsid w:val="00CB3CD4"/>
    <w:rsid w:val="00CB3D34"/>
    <w:rsid w:val="00CB3DE5"/>
    <w:rsid w:val="00CB3E54"/>
    <w:rsid w:val="00CB40CB"/>
    <w:rsid w:val="00CB42A0"/>
    <w:rsid w:val="00CB4301"/>
    <w:rsid w:val="00CB4355"/>
    <w:rsid w:val="00CB43FA"/>
    <w:rsid w:val="00CB4452"/>
    <w:rsid w:val="00CB44F9"/>
    <w:rsid w:val="00CB4581"/>
    <w:rsid w:val="00CB49C1"/>
    <w:rsid w:val="00CB4ABE"/>
    <w:rsid w:val="00CB4B29"/>
    <w:rsid w:val="00CB4DCB"/>
    <w:rsid w:val="00CB5068"/>
    <w:rsid w:val="00CB5218"/>
    <w:rsid w:val="00CB52E8"/>
    <w:rsid w:val="00CB5344"/>
    <w:rsid w:val="00CB56CB"/>
    <w:rsid w:val="00CB57AF"/>
    <w:rsid w:val="00CB57B1"/>
    <w:rsid w:val="00CB587E"/>
    <w:rsid w:val="00CB5AFF"/>
    <w:rsid w:val="00CB5C55"/>
    <w:rsid w:val="00CB5C9D"/>
    <w:rsid w:val="00CB5CB8"/>
    <w:rsid w:val="00CB5D87"/>
    <w:rsid w:val="00CB5E1A"/>
    <w:rsid w:val="00CB5E80"/>
    <w:rsid w:val="00CB5F5A"/>
    <w:rsid w:val="00CB5FBD"/>
    <w:rsid w:val="00CB669F"/>
    <w:rsid w:val="00CB66DC"/>
    <w:rsid w:val="00CB6795"/>
    <w:rsid w:val="00CB6815"/>
    <w:rsid w:val="00CB6857"/>
    <w:rsid w:val="00CB69B8"/>
    <w:rsid w:val="00CB6A09"/>
    <w:rsid w:val="00CB6A43"/>
    <w:rsid w:val="00CB6A48"/>
    <w:rsid w:val="00CB6A7D"/>
    <w:rsid w:val="00CB6BAA"/>
    <w:rsid w:val="00CB6E07"/>
    <w:rsid w:val="00CB6E74"/>
    <w:rsid w:val="00CB6EBD"/>
    <w:rsid w:val="00CB6FA7"/>
    <w:rsid w:val="00CB718B"/>
    <w:rsid w:val="00CB71EB"/>
    <w:rsid w:val="00CB7239"/>
    <w:rsid w:val="00CB730C"/>
    <w:rsid w:val="00CB7326"/>
    <w:rsid w:val="00CB74E0"/>
    <w:rsid w:val="00CB7560"/>
    <w:rsid w:val="00CB775E"/>
    <w:rsid w:val="00CB7777"/>
    <w:rsid w:val="00CB77B0"/>
    <w:rsid w:val="00CB77D8"/>
    <w:rsid w:val="00CB78E2"/>
    <w:rsid w:val="00CB7DA8"/>
    <w:rsid w:val="00CB7F5E"/>
    <w:rsid w:val="00CC00DD"/>
    <w:rsid w:val="00CC00E9"/>
    <w:rsid w:val="00CC021C"/>
    <w:rsid w:val="00CC053D"/>
    <w:rsid w:val="00CC0596"/>
    <w:rsid w:val="00CC0723"/>
    <w:rsid w:val="00CC0865"/>
    <w:rsid w:val="00CC0AF8"/>
    <w:rsid w:val="00CC0D2A"/>
    <w:rsid w:val="00CC0EFD"/>
    <w:rsid w:val="00CC1121"/>
    <w:rsid w:val="00CC1222"/>
    <w:rsid w:val="00CC139D"/>
    <w:rsid w:val="00CC1433"/>
    <w:rsid w:val="00CC15DE"/>
    <w:rsid w:val="00CC1703"/>
    <w:rsid w:val="00CC178C"/>
    <w:rsid w:val="00CC1AE1"/>
    <w:rsid w:val="00CC1B53"/>
    <w:rsid w:val="00CC1BB1"/>
    <w:rsid w:val="00CC1D0F"/>
    <w:rsid w:val="00CC1D1A"/>
    <w:rsid w:val="00CC1DB3"/>
    <w:rsid w:val="00CC1EEC"/>
    <w:rsid w:val="00CC2035"/>
    <w:rsid w:val="00CC205D"/>
    <w:rsid w:val="00CC215D"/>
    <w:rsid w:val="00CC2433"/>
    <w:rsid w:val="00CC250F"/>
    <w:rsid w:val="00CC2777"/>
    <w:rsid w:val="00CC27DC"/>
    <w:rsid w:val="00CC2A3E"/>
    <w:rsid w:val="00CC2A93"/>
    <w:rsid w:val="00CC2C41"/>
    <w:rsid w:val="00CC2CD8"/>
    <w:rsid w:val="00CC2DC8"/>
    <w:rsid w:val="00CC2E07"/>
    <w:rsid w:val="00CC2E1E"/>
    <w:rsid w:val="00CC318D"/>
    <w:rsid w:val="00CC3199"/>
    <w:rsid w:val="00CC31B1"/>
    <w:rsid w:val="00CC34AB"/>
    <w:rsid w:val="00CC37B1"/>
    <w:rsid w:val="00CC37B4"/>
    <w:rsid w:val="00CC37F0"/>
    <w:rsid w:val="00CC3848"/>
    <w:rsid w:val="00CC3987"/>
    <w:rsid w:val="00CC3ACF"/>
    <w:rsid w:val="00CC3AE8"/>
    <w:rsid w:val="00CC3C2E"/>
    <w:rsid w:val="00CC3D15"/>
    <w:rsid w:val="00CC3E7D"/>
    <w:rsid w:val="00CC3EE1"/>
    <w:rsid w:val="00CC3EF4"/>
    <w:rsid w:val="00CC4098"/>
    <w:rsid w:val="00CC40C9"/>
    <w:rsid w:val="00CC41BD"/>
    <w:rsid w:val="00CC42A1"/>
    <w:rsid w:val="00CC434B"/>
    <w:rsid w:val="00CC44B3"/>
    <w:rsid w:val="00CC44E1"/>
    <w:rsid w:val="00CC460C"/>
    <w:rsid w:val="00CC46EF"/>
    <w:rsid w:val="00CC4715"/>
    <w:rsid w:val="00CC4AB5"/>
    <w:rsid w:val="00CC4B0B"/>
    <w:rsid w:val="00CC4B1D"/>
    <w:rsid w:val="00CC4C8A"/>
    <w:rsid w:val="00CC4F50"/>
    <w:rsid w:val="00CC508C"/>
    <w:rsid w:val="00CC5374"/>
    <w:rsid w:val="00CC53A8"/>
    <w:rsid w:val="00CC53B9"/>
    <w:rsid w:val="00CC541A"/>
    <w:rsid w:val="00CC5645"/>
    <w:rsid w:val="00CC56CD"/>
    <w:rsid w:val="00CC5749"/>
    <w:rsid w:val="00CC58DC"/>
    <w:rsid w:val="00CC5937"/>
    <w:rsid w:val="00CC5956"/>
    <w:rsid w:val="00CC5B44"/>
    <w:rsid w:val="00CC5B68"/>
    <w:rsid w:val="00CC5B9A"/>
    <w:rsid w:val="00CC5D34"/>
    <w:rsid w:val="00CC5E98"/>
    <w:rsid w:val="00CC5EBA"/>
    <w:rsid w:val="00CC5F46"/>
    <w:rsid w:val="00CC60A6"/>
    <w:rsid w:val="00CC6121"/>
    <w:rsid w:val="00CC6260"/>
    <w:rsid w:val="00CC6366"/>
    <w:rsid w:val="00CC63B0"/>
    <w:rsid w:val="00CC67F1"/>
    <w:rsid w:val="00CC689F"/>
    <w:rsid w:val="00CC68B6"/>
    <w:rsid w:val="00CC68B9"/>
    <w:rsid w:val="00CC6A4D"/>
    <w:rsid w:val="00CC6A5E"/>
    <w:rsid w:val="00CC6A60"/>
    <w:rsid w:val="00CC6AAA"/>
    <w:rsid w:val="00CC6B29"/>
    <w:rsid w:val="00CC6BB5"/>
    <w:rsid w:val="00CC6C94"/>
    <w:rsid w:val="00CC6D4B"/>
    <w:rsid w:val="00CC6F49"/>
    <w:rsid w:val="00CC6F7A"/>
    <w:rsid w:val="00CC708E"/>
    <w:rsid w:val="00CC7266"/>
    <w:rsid w:val="00CC740C"/>
    <w:rsid w:val="00CC7445"/>
    <w:rsid w:val="00CC74A5"/>
    <w:rsid w:val="00CC7585"/>
    <w:rsid w:val="00CC75A9"/>
    <w:rsid w:val="00CC75EA"/>
    <w:rsid w:val="00CC77ED"/>
    <w:rsid w:val="00CC77F2"/>
    <w:rsid w:val="00CC780A"/>
    <w:rsid w:val="00CC7865"/>
    <w:rsid w:val="00CC786B"/>
    <w:rsid w:val="00CC7AF3"/>
    <w:rsid w:val="00CC7C20"/>
    <w:rsid w:val="00CC7CFF"/>
    <w:rsid w:val="00CC7D82"/>
    <w:rsid w:val="00CC7E1E"/>
    <w:rsid w:val="00CD0048"/>
    <w:rsid w:val="00CD0392"/>
    <w:rsid w:val="00CD0426"/>
    <w:rsid w:val="00CD04D6"/>
    <w:rsid w:val="00CD0502"/>
    <w:rsid w:val="00CD0637"/>
    <w:rsid w:val="00CD06DD"/>
    <w:rsid w:val="00CD08F5"/>
    <w:rsid w:val="00CD0906"/>
    <w:rsid w:val="00CD0B90"/>
    <w:rsid w:val="00CD0BED"/>
    <w:rsid w:val="00CD0CDD"/>
    <w:rsid w:val="00CD0D7F"/>
    <w:rsid w:val="00CD0E09"/>
    <w:rsid w:val="00CD1178"/>
    <w:rsid w:val="00CD12E2"/>
    <w:rsid w:val="00CD13F7"/>
    <w:rsid w:val="00CD1404"/>
    <w:rsid w:val="00CD14A6"/>
    <w:rsid w:val="00CD14BF"/>
    <w:rsid w:val="00CD1539"/>
    <w:rsid w:val="00CD1580"/>
    <w:rsid w:val="00CD1591"/>
    <w:rsid w:val="00CD15B9"/>
    <w:rsid w:val="00CD1802"/>
    <w:rsid w:val="00CD1873"/>
    <w:rsid w:val="00CD1BB6"/>
    <w:rsid w:val="00CD1C43"/>
    <w:rsid w:val="00CD1CA5"/>
    <w:rsid w:val="00CD1D15"/>
    <w:rsid w:val="00CD1D54"/>
    <w:rsid w:val="00CD1F79"/>
    <w:rsid w:val="00CD1FE2"/>
    <w:rsid w:val="00CD206B"/>
    <w:rsid w:val="00CD208D"/>
    <w:rsid w:val="00CD2174"/>
    <w:rsid w:val="00CD27EA"/>
    <w:rsid w:val="00CD2947"/>
    <w:rsid w:val="00CD29AB"/>
    <w:rsid w:val="00CD2B28"/>
    <w:rsid w:val="00CD2B39"/>
    <w:rsid w:val="00CD2C6C"/>
    <w:rsid w:val="00CD2D92"/>
    <w:rsid w:val="00CD2DB9"/>
    <w:rsid w:val="00CD2DC7"/>
    <w:rsid w:val="00CD2EFE"/>
    <w:rsid w:val="00CD3083"/>
    <w:rsid w:val="00CD313D"/>
    <w:rsid w:val="00CD32E8"/>
    <w:rsid w:val="00CD3673"/>
    <w:rsid w:val="00CD3696"/>
    <w:rsid w:val="00CD3780"/>
    <w:rsid w:val="00CD3A7F"/>
    <w:rsid w:val="00CD3A81"/>
    <w:rsid w:val="00CD3BA1"/>
    <w:rsid w:val="00CD3FE0"/>
    <w:rsid w:val="00CD41B8"/>
    <w:rsid w:val="00CD423E"/>
    <w:rsid w:val="00CD425F"/>
    <w:rsid w:val="00CD42C3"/>
    <w:rsid w:val="00CD42D0"/>
    <w:rsid w:val="00CD4313"/>
    <w:rsid w:val="00CD43DC"/>
    <w:rsid w:val="00CD4468"/>
    <w:rsid w:val="00CD4578"/>
    <w:rsid w:val="00CD45D9"/>
    <w:rsid w:val="00CD45EC"/>
    <w:rsid w:val="00CD47FB"/>
    <w:rsid w:val="00CD49B6"/>
    <w:rsid w:val="00CD4CCA"/>
    <w:rsid w:val="00CD4DE7"/>
    <w:rsid w:val="00CD4E6B"/>
    <w:rsid w:val="00CD4EA4"/>
    <w:rsid w:val="00CD4FAF"/>
    <w:rsid w:val="00CD4FD5"/>
    <w:rsid w:val="00CD524B"/>
    <w:rsid w:val="00CD527C"/>
    <w:rsid w:val="00CD540B"/>
    <w:rsid w:val="00CD5463"/>
    <w:rsid w:val="00CD5470"/>
    <w:rsid w:val="00CD5565"/>
    <w:rsid w:val="00CD5797"/>
    <w:rsid w:val="00CD58D6"/>
    <w:rsid w:val="00CD5938"/>
    <w:rsid w:val="00CD599E"/>
    <w:rsid w:val="00CD5B78"/>
    <w:rsid w:val="00CD5CF6"/>
    <w:rsid w:val="00CD5D2D"/>
    <w:rsid w:val="00CD5F32"/>
    <w:rsid w:val="00CD5FC4"/>
    <w:rsid w:val="00CD6172"/>
    <w:rsid w:val="00CD6299"/>
    <w:rsid w:val="00CD62A6"/>
    <w:rsid w:val="00CD62FC"/>
    <w:rsid w:val="00CD6313"/>
    <w:rsid w:val="00CD6358"/>
    <w:rsid w:val="00CD6563"/>
    <w:rsid w:val="00CD6585"/>
    <w:rsid w:val="00CD6BCD"/>
    <w:rsid w:val="00CD6C72"/>
    <w:rsid w:val="00CD6E53"/>
    <w:rsid w:val="00CD6E62"/>
    <w:rsid w:val="00CD6EFF"/>
    <w:rsid w:val="00CD6F5A"/>
    <w:rsid w:val="00CD6F5B"/>
    <w:rsid w:val="00CD6FF0"/>
    <w:rsid w:val="00CD70B8"/>
    <w:rsid w:val="00CD70CB"/>
    <w:rsid w:val="00CD711B"/>
    <w:rsid w:val="00CD71BC"/>
    <w:rsid w:val="00CD71E8"/>
    <w:rsid w:val="00CD7217"/>
    <w:rsid w:val="00CD72D6"/>
    <w:rsid w:val="00CD72E2"/>
    <w:rsid w:val="00CD7375"/>
    <w:rsid w:val="00CD739F"/>
    <w:rsid w:val="00CD74B2"/>
    <w:rsid w:val="00CD74B9"/>
    <w:rsid w:val="00CD74EC"/>
    <w:rsid w:val="00CD775C"/>
    <w:rsid w:val="00CD7869"/>
    <w:rsid w:val="00CD787D"/>
    <w:rsid w:val="00CD7AC4"/>
    <w:rsid w:val="00CD7B50"/>
    <w:rsid w:val="00CD7B8C"/>
    <w:rsid w:val="00CD7CBB"/>
    <w:rsid w:val="00CD7EF4"/>
    <w:rsid w:val="00CE0243"/>
    <w:rsid w:val="00CE05E9"/>
    <w:rsid w:val="00CE061B"/>
    <w:rsid w:val="00CE0809"/>
    <w:rsid w:val="00CE08F9"/>
    <w:rsid w:val="00CE0A96"/>
    <w:rsid w:val="00CE0EEC"/>
    <w:rsid w:val="00CE0F38"/>
    <w:rsid w:val="00CE0F70"/>
    <w:rsid w:val="00CE0FE5"/>
    <w:rsid w:val="00CE1191"/>
    <w:rsid w:val="00CE122B"/>
    <w:rsid w:val="00CE13BE"/>
    <w:rsid w:val="00CE148D"/>
    <w:rsid w:val="00CE14B9"/>
    <w:rsid w:val="00CE14EF"/>
    <w:rsid w:val="00CE1553"/>
    <w:rsid w:val="00CE15B5"/>
    <w:rsid w:val="00CE168E"/>
    <w:rsid w:val="00CE17E8"/>
    <w:rsid w:val="00CE1A98"/>
    <w:rsid w:val="00CE1C78"/>
    <w:rsid w:val="00CE1D27"/>
    <w:rsid w:val="00CE1DC1"/>
    <w:rsid w:val="00CE1EA4"/>
    <w:rsid w:val="00CE214C"/>
    <w:rsid w:val="00CE2178"/>
    <w:rsid w:val="00CE21EE"/>
    <w:rsid w:val="00CE2404"/>
    <w:rsid w:val="00CE254D"/>
    <w:rsid w:val="00CE25C1"/>
    <w:rsid w:val="00CE276A"/>
    <w:rsid w:val="00CE28E3"/>
    <w:rsid w:val="00CE2AFE"/>
    <w:rsid w:val="00CE2BA5"/>
    <w:rsid w:val="00CE2D5C"/>
    <w:rsid w:val="00CE2E52"/>
    <w:rsid w:val="00CE2F31"/>
    <w:rsid w:val="00CE2F5D"/>
    <w:rsid w:val="00CE30CE"/>
    <w:rsid w:val="00CE350B"/>
    <w:rsid w:val="00CE35B3"/>
    <w:rsid w:val="00CE37A1"/>
    <w:rsid w:val="00CE3819"/>
    <w:rsid w:val="00CE39C7"/>
    <w:rsid w:val="00CE3A64"/>
    <w:rsid w:val="00CE3A65"/>
    <w:rsid w:val="00CE3C9C"/>
    <w:rsid w:val="00CE3DD5"/>
    <w:rsid w:val="00CE3F8B"/>
    <w:rsid w:val="00CE40F0"/>
    <w:rsid w:val="00CE4114"/>
    <w:rsid w:val="00CE441A"/>
    <w:rsid w:val="00CE443A"/>
    <w:rsid w:val="00CE45B8"/>
    <w:rsid w:val="00CE46D2"/>
    <w:rsid w:val="00CE475C"/>
    <w:rsid w:val="00CE47B9"/>
    <w:rsid w:val="00CE48BB"/>
    <w:rsid w:val="00CE48DD"/>
    <w:rsid w:val="00CE4AAF"/>
    <w:rsid w:val="00CE4B2C"/>
    <w:rsid w:val="00CE4BB0"/>
    <w:rsid w:val="00CE4C44"/>
    <w:rsid w:val="00CE4C7C"/>
    <w:rsid w:val="00CE4E63"/>
    <w:rsid w:val="00CE4E71"/>
    <w:rsid w:val="00CE4F85"/>
    <w:rsid w:val="00CE4FDE"/>
    <w:rsid w:val="00CE50A1"/>
    <w:rsid w:val="00CE512C"/>
    <w:rsid w:val="00CE52E1"/>
    <w:rsid w:val="00CE532A"/>
    <w:rsid w:val="00CE53B3"/>
    <w:rsid w:val="00CE53FA"/>
    <w:rsid w:val="00CE552A"/>
    <w:rsid w:val="00CE5575"/>
    <w:rsid w:val="00CE58CF"/>
    <w:rsid w:val="00CE59F7"/>
    <w:rsid w:val="00CE5ADC"/>
    <w:rsid w:val="00CE5C32"/>
    <w:rsid w:val="00CE6182"/>
    <w:rsid w:val="00CE618E"/>
    <w:rsid w:val="00CE61DC"/>
    <w:rsid w:val="00CE640D"/>
    <w:rsid w:val="00CE642C"/>
    <w:rsid w:val="00CE6550"/>
    <w:rsid w:val="00CE67BE"/>
    <w:rsid w:val="00CE6858"/>
    <w:rsid w:val="00CE68E6"/>
    <w:rsid w:val="00CE694A"/>
    <w:rsid w:val="00CE6A6D"/>
    <w:rsid w:val="00CE6C29"/>
    <w:rsid w:val="00CE6D1B"/>
    <w:rsid w:val="00CE6F0C"/>
    <w:rsid w:val="00CE6FB3"/>
    <w:rsid w:val="00CE7018"/>
    <w:rsid w:val="00CE713B"/>
    <w:rsid w:val="00CE7248"/>
    <w:rsid w:val="00CE72AD"/>
    <w:rsid w:val="00CE72E4"/>
    <w:rsid w:val="00CE736C"/>
    <w:rsid w:val="00CE736D"/>
    <w:rsid w:val="00CE74A6"/>
    <w:rsid w:val="00CE7513"/>
    <w:rsid w:val="00CE7BB3"/>
    <w:rsid w:val="00CE7CB2"/>
    <w:rsid w:val="00CE7DC2"/>
    <w:rsid w:val="00CE7E81"/>
    <w:rsid w:val="00CE7EF5"/>
    <w:rsid w:val="00CE7F0F"/>
    <w:rsid w:val="00CF000F"/>
    <w:rsid w:val="00CF020A"/>
    <w:rsid w:val="00CF0265"/>
    <w:rsid w:val="00CF0429"/>
    <w:rsid w:val="00CF05FA"/>
    <w:rsid w:val="00CF067F"/>
    <w:rsid w:val="00CF0920"/>
    <w:rsid w:val="00CF09BC"/>
    <w:rsid w:val="00CF0A4D"/>
    <w:rsid w:val="00CF0BC5"/>
    <w:rsid w:val="00CF0DB3"/>
    <w:rsid w:val="00CF0E43"/>
    <w:rsid w:val="00CF0EC8"/>
    <w:rsid w:val="00CF10FB"/>
    <w:rsid w:val="00CF142E"/>
    <w:rsid w:val="00CF174D"/>
    <w:rsid w:val="00CF17F8"/>
    <w:rsid w:val="00CF1894"/>
    <w:rsid w:val="00CF18DC"/>
    <w:rsid w:val="00CF1918"/>
    <w:rsid w:val="00CF1A2D"/>
    <w:rsid w:val="00CF1A92"/>
    <w:rsid w:val="00CF1A9F"/>
    <w:rsid w:val="00CF1E32"/>
    <w:rsid w:val="00CF1E59"/>
    <w:rsid w:val="00CF20F2"/>
    <w:rsid w:val="00CF2303"/>
    <w:rsid w:val="00CF234F"/>
    <w:rsid w:val="00CF24F9"/>
    <w:rsid w:val="00CF25AC"/>
    <w:rsid w:val="00CF2650"/>
    <w:rsid w:val="00CF2655"/>
    <w:rsid w:val="00CF2665"/>
    <w:rsid w:val="00CF26C4"/>
    <w:rsid w:val="00CF26CA"/>
    <w:rsid w:val="00CF274F"/>
    <w:rsid w:val="00CF2913"/>
    <w:rsid w:val="00CF2B61"/>
    <w:rsid w:val="00CF2BCF"/>
    <w:rsid w:val="00CF2D42"/>
    <w:rsid w:val="00CF2D8A"/>
    <w:rsid w:val="00CF2F5A"/>
    <w:rsid w:val="00CF3261"/>
    <w:rsid w:val="00CF32E3"/>
    <w:rsid w:val="00CF339B"/>
    <w:rsid w:val="00CF3499"/>
    <w:rsid w:val="00CF36BD"/>
    <w:rsid w:val="00CF3720"/>
    <w:rsid w:val="00CF389D"/>
    <w:rsid w:val="00CF3944"/>
    <w:rsid w:val="00CF399C"/>
    <w:rsid w:val="00CF39EF"/>
    <w:rsid w:val="00CF3A88"/>
    <w:rsid w:val="00CF3AD6"/>
    <w:rsid w:val="00CF3C92"/>
    <w:rsid w:val="00CF3E4D"/>
    <w:rsid w:val="00CF40AB"/>
    <w:rsid w:val="00CF40B3"/>
    <w:rsid w:val="00CF439F"/>
    <w:rsid w:val="00CF4423"/>
    <w:rsid w:val="00CF442C"/>
    <w:rsid w:val="00CF44C1"/>
    <w:rsid w:val="00CF452F"/>
    <w:rsid w:val="00CF456D"/>
    <w:rsid w:val="00CF471D"/>
    <w:rsid w:val="00CF474A"/>
    <w:rsid w:val="00CF475F"/>
    <w:rsid w:val="00CF4A23"/>
    <w:rsid w:val="00CF4A38"/>
    <w:rsid w:val="00CF4A43"/>
    <w:rsid w:val="00CF4D21"/>
    <w:rsid w:val="00CF4D4C"/>
    <w:rsid w:val="00CF4D63"/>
    <w:rsid w:val="00CF4DDF"/>
    <w:rsid w:val="00CF4E2F"/>
    <w:rsid w:val="00CF50BD"/>
    <w:rsid w:val="00CF53CE"/>
    <w:rsid w:val="00CF53E6"/>
    <w:rsid w:val="00CF5638"/>
    <w:rsid w:val="00CF5746"/>
    <w:rsid w:val="00CF5761"/>
    <w:rsid w:val="00CF5766"/>
    <w:rsid w:val="00CF5A09"/>
    <w:rsid w:val="00CF5C6F"/>
    <w:rsid w:val="00CF5CF4"/>
    <w:rsid w:val="00CF5D01"/>
    <w:rsid w:val="00CF60C2"/>
    <w:rsid w:val="00CF61C1"/>
    <w:rsid w:val="00CF61D1"/>
    <w:rsid w:val="00CF6315"/>
    <w:rsid w:val="00CF6392"/>
    <w:rsid w:val="00CF63F9"/>
    <w:rsid w:val="00CF641D"/>
    <w:rsid w:val="00CF6428"/>
    <w:rsid w:val="00CF648F"/>
    <w:rsid w:val="00CF651B"/>
    <w:rsid w:val="00CF662A"/>
    <w:rsid w:val="00CF6A24"/>
    <w:rsid w:val="00CF6C58"/>
    <w:rsid w:val="00CF6C60"/>
    <w:rsid w:val="00CF6D22"/>
    <w:rsid w:val="00CF6EA6"/>
    <w:rsid w:val="00CF6EAD"/>
    <w:rsid w:val="00CF708E"/>
    <w:rsid w:val="00CF7120"/>
    <w:rsid w:val="00CF718A"/>
    <w:rsid w:val="00CF724C"/>
    <w:rsid w:val="00CF73D5"/>
    <w:rsid w:val="00CF7423"/>
    <w:rsid w:val="00CF7454"/>
    <w:rsid w:val="00CF764B"/>
    <w:rsid w:val="00CF76B3"/>
    <w:rsid w:val="00CF7766"/>
    <w:rsid w:val="00CF778B"/>
    <w:rsid w:val="00CF7902"/>
    <w:rsid w:val="00CF7947"/>
    <w:rsid w:val="00CF79EB"/>
    <w:rsid w:val="00CF7AC5"/>
    <w:rsid w:val="00CF7B2D"/>
    <w:rsid w:val="00CF7B59"/>
    <w:rsid w:val="00CF7BD6"/>
    <w:rsid w:val="00CF7DDC"/>
    <w:rsid w:val="00CF7DFA"/>
    <w:rsid w:val="00D00041"/>
    <w:rsid w:val="00D000F3"/>
    <w:rsid w:val="00D001B4"/>
    <w:rsid w:val="00D001F9"/>
    <w:rsid w:val="00D0026C"/>
    <w:rsid w:val="00D0031D"/>
    <w:rsid w:val="00D003B7"/>
    <w:rsid w:val="00D003FA"/>
    <w:rsid w:val="00D00436"/>
    <w:rsid w:val="00D00495"/>
    <w:rsid w:val="00D0051F"/>
    <w:rsid w:val="00D0076E"/>
    <w:rsid w:val="00D0080E"/>
    <w:rsid w:val="00D00A09"/>
    <w:rsid w:val="00D00BAC"/>
    <w:rsid w:val="00D00BD2"/>
    <w:rsid w:val="00D00D05"/>
    <w:rsid w:val="00D00DF6"/>
    <w:rsid w:val="00D00E36"/>
    <w:rsid w:val="00D00E76"/>
    <w:rsid w:val="00D0102A"/>
    <w:rsid w:val="00D011F2"/>
    <w:rsid w:val="00D0128E"/>
    <w:rsid w:val="00D01335"/>
    <w:rsid w:val="00D0140C"/>
    <w:rsid w:val="00D014A7"/>
    <w:rsid w:val="00D01591"/>
    <w:rsid w:val="00D015CE"/>
    <w:rsid w:val="00D0161C"/>
    <w:rsid w:val="00D017B5"/>
    <w:rsid w:val="00D01842"/>
    <w:rsid w:val="00D0184F"/>
    <w:rsid w:val="00D019C7"/>
    <w:rsid w:val="00D01BC2"/>
    <w:rsid w:val="00D020B6"/>
    <w:rsid w:val="00D020E0"/>
    <w:rsid w:val="00D022B9"/>
    <w:rsid w:val="00D02357"/>
    <w:rsid w:val="00D02395"/>
    <w:rsid w:val="00D023C2"/>
    <w:rsid w:val="00D02608"/>
    <w:rsid w:val="00D026D7"/>
    <w:rsid w:val="00D02732"/>
    <w:rsid w:val="00D027BD"/>
    <w:rsid w:val="00D0295C"/>
    <w:rsid w:val="00D02A65"/>
    <w:rsid w:val="00D02AB6"/>
    <w:rsid w:val="00D02C96"/>
    <w:rsid w:val="00D02EA1"/>
    <w:rsid w:val="00D02F17"/>
    <w:rsid w:val="00D02F4F"/>
    <w:rsid w:val="00D03170"/>
    <w:rsid w:val="00D031BB"/>
    <w:rsid w:val="00D03294"/>
    <w:rsid w:val="00D0332B"/>
    <w:rsid w:val="00D03601"/>
    <w:rsid w:val="00D0371A"/>
    <w:rsid w:val="00D0394B"/>
    <w:rsid w:val="00D03C19"/>
    <w:rsid w:val="00D03D7F"/>
    <w:rsid w:val="00D03F20"/>
    <w:rsid w:val="00D041F5"/>
    <w:rsid w:val="00D042B6"/>
    <w:rsid w:val="00D04485"/>
    <w:rsid w:val="00D0458A"/>
    <w:rsid w:val="00D04794"/>
    <w:rsid w:val="00D0495A"/>
    <w:rsid w:val="00D049A6"/>
    <w:rsid w:val="00D049DF"/>
    <w:rsid w:val="00D049E1"/>
    <w:rsid w:val="00D04A32"/>
    <w:rsid w:val="00D04CB3"/>
    <w:rsid w:val="00D04E06"/>
    <w:rsid w:val="00D04E0B"/>
    <w:rsid w:val="00D0548E"/>
    <w:rsid w:val="00D054B3"/>
    <w:rsid w:val="00D054C7"/>
    <w:rsid w:val="00D05530"/>
    <w:rsid w:val="00D055B4"/>
    <w:rsid w:val="00D056C1"/>
    <w:rsid w:val="00D05851"/>
    <w:rsid w:val="00D05C28"/>
    <w:rsid w:val="00D06011"/>
    <w:rsid w:val="00D06022"/>
    <w:rsid w:val="00D060C1"/>
    <w:rsid w:val="00D06175"/>
    <w:rsid w:val="00D06215"/>
    <w:rsid w:val="00D0621D"/>
    <w:rsid w:val="00D0647A"/>
    <w:rsid w:val="00D06621"/>
    <w:rsid w:val="00D0675E"/>
    <w:rsid w:val="00D06814"/>
    <w:rsid w:val="00D068FC"/>
    <w:rsid w:val="00D06A87"/>
    <w:rsid w:val="00D06B78"/>
    <w:rsid w:val="00D06C5E"/>
    <w:rsid w:val="00D06CB8"/>
    <w:rsid w:val="00D06E54"/>
    <w:rsid w:val="00D06F00"/>
    <w:rsid w:val="00D06FA1"/>
    <w:rsid w:val="00D071BD"/>
    <w:rsid w:val="00D071D5"/>
    <w:rsid w:val="00D073C2"/>
    <w:rsid w:val="00D07548"/>
    <w:rsid w:val="00D07598"/>
    <w:rsid w:val="00D0760C"/>
    <w:rsid w:val="00D07711"/>
    <w:rsid w:val="00D07805"/>
    <w:rsid w:val="00D0798C"/>
    <w:rsid w:val="00D07B0C"/>
    <w:rsid w:val="00D07D1F"/>
    <w:rsid w:val="00D07D2B"/>
    <w:rsid w:val="00D07DFE"/>
    <w:rsid w:val="00D07E55"/>
    <w:rsid w:val="00D1005F"/>
    <w:rsid w:val="00D100F7"/>
    <w:rsid w:val="00D101A2"/>
    <w:rsid w:val="00D10231"/>
    <w:rsid w:val="00D10336"/>
    <w:rsid w:val="00D103B6"/>
    <w:rsid w:val="00D104DE"/>
    <w:rsid w:val="00D1057C"/>
    <w:rsid w:val="00D10671"/>
    <w:rsid w:val="00D106F1"/>
    <w:rsid w:val="00D1080C"/>
    <w:rsid w:val="00D10B46"/>
    <w:rsid w:val="00D10B8A"/>
    <w:rsid w:val="00D10CCB"/>
    <w:rsid w:val="00D10D6E"/>
    <w:rsid w:val="00D10E2F"/>
    <w:rsid w:val="00D10F74"/>
    <w:rsid w:val="00D114A2"/>
    <w:rsid w:val="00D1151F"/>
    <w:rsid w:val="00D115C2"/>
    <w:rsid w:val="00D115DB"/>
    <w:rsid w:val="00D115E9"/>
    <w:rsid w:val="00D118B7"/>
    <w:rsid w:val="00D118C9"/>
    <w:rsid w:val="00D1196A"/>
    <w:rsid w:val="00D119AF"/>
    <w:rsid w:val="00D11B21"/>
    <w:rsid w:val="00D11DB8"/>
    <w:rsid w:val="00D11EAB"/>
    <w:rsid w:val="00D11F4C"/>
    <w:rsid w:val="00D12017"/>
    <w:rsid w:val="00D1224D"/>
    <w:rsid w:val="00D12287"/>
    <w:rsid w:val="00D122BB"/>
    <w:rsid w:val="00D12364"/>
    <w:rsid w:val="00D125DD"/>
    <w:rsid w:val="00D127E4"/>
    <w:rsid w:val="00D128B8"/>
    <w:rsid w:val="00D12961"/>
    <w:rsid w:val="00D12ADF"/>
    <w:rsid w:val="00D12AE1"/>
    <w:rsid w:val="00D12B31"/>
    <w:rsid w:val="00D12BF4"/>
    <w:rsid w:val="00D12CBC"/>
    <w:rsid w:val="00D12E01"/>
    <w:rsid w:val="00D12E1A"/>
    <w:rsid w:val="00D12E4B"/>
    <w:rsid w:val="00D12E6F"/>
    <w:rsid w:val="00D12EF1"/>
    <w:rsid w:val="00D12FE6"/>
    <w:rsid w:val="00D1311B"/>
    <w:rsid w:val="00D132DF"/>
    <w:rsid w:val="00D1349E"/>
    <w:rsid w:val="00D134AD"/>
    <w:rsid w:val="00D1362B"/>
    <w:rsid w:val="00D13AAD"/>
    <w:rsid w:val="00D13AEA"/>
    <w:rsid w:val="00D13B05"/>
    <w:rsid w:val="00D13DF9"/>
    <w:rsid w:val="00D13E62"/>
    <w:rsid w:val="00D13ED4"/>
    <w:rsid w:val="00D13F16"/>
    <w:rsid w:val="00D13F61"/>
    <w:rsid w:val="00D14153"/>
    <w:rsid w:val="00D14255"/>
    <w:rsid w:val="00D14353"/>
    <w:rsid w:val="00D143F1"/>
    <w:rsid w:val="00D14425"/>
    <w:rsid w:val="00D14444"/>
    <w:rsid w:val="00D1468E"/>
    <w:rsid w:val="00D14941"/>
    <w:rsid w:val="00D14A64"/>
    <w:rsid w:val="00D14AB3"/>
    <w:rsid w:val="00D14BF1"/>
    <w:rsid w:val="00D14D22"/>
    <w:rsid w:val="00D14E59"/>
    <w:rsid w:val="00D14F74"/>
    <w:rsid w:val="00D14FB0"/>
    <w:rsid w:val="00D1501E"/>
    <w:rsid w:val="00D150A0"/>
    <w:rsid w:val="00D1535D"/>
    <w:rsid w:val="00D155DC"/>
    <w:rsid w:val="00D15910"/>
    <w:rsid w:val="00D15923"/>
    <w:rsid w:val="00D15944"/>
    <w:rsid w:val="00D15BFA"/>
    <w:rsid w:val="00D15E91"/>
    <w:rsid w:val="00D15F96"/>
    <w:rsid w:val="00D1603C"/>
    <w:rsid w:val="00D16105"/>
    <w:rsid w:val="00D16220"/>
    <w:rsid w:val="00D16222"/>
    <w:rsid w:val="00D162F4"/>
    <w:rsid w:val="00D163D2"/>
    <w:rsid w:val="00D163F5"/>
    <w:rsid w:val="00D1661A"/>
    <w:rsid w:val="00D1671A"/>
    <w:rsid w:val="00D16838"/>
    <w:rsid w:val="00D16A3C"/>
    <w:rsid w:val="00D16BE0"/>
    <w:rsid w:val="00D16C15"/>
    <w:rsid w:val="00D16C43"/>
    <w:rsid w:val="00D16DFA"/>
    <w:rsid w:val="00D16E06"/>
    <w:rsid w:val="00D16E58"/>
    <w:rsid w:val="00D16E91"/>
    <w:rsid w:val="00D16E99"/>
    <w:rsid w:val="00D17141"/>
    <w:rsid w:val="00D17258"/>
    <w:rsid w:val="00D17319"/>
    <w:rsid w:val="00D17351"/>
    <w:rsid w:val="00D17482"/>
    <w:rsid w:val="00D17769"/>
    <w:rsid w:val="00D17878"/>
    <w:rsid w:val="00D178D1"/>
    <w:rsid w:val="00D17B4C"/>
    <w:rsid w:val="00D17B8C"/>
    <w:rsid w:val="00D17BE0"/>
    <w:rsid w:val="00D17F07"/>
    <w:rsid w:val="00D20031"/>
    <w:rsid w:val="00D20041"/>
    <w:rsid w:val="00D2005C"/>
    <w:rsid w:val="00D20177"/>
    <w:rsid w:val="00D202BD"/>
    <w:rsid w:val="00D2057C"/>
    <w:rsid w:val="00D206D6"/>
    <w:rsid w:val="00D20808"/>
    <w:rsid w:val="00D20872"/>
    <w:rsid w:val="00D209FB"/>
    <w:rsid w:val="00D20A22"/>
    <w:rsid w:val="00D20A33"/>
    <w:rsid w:val="00D20BD7"/>
    <w:rsid w:val="00D20BEA"/>
    <w:rsid w:val="00D20C19"/>
    <w:rsid w:val="00D20C28"/>
    <w:rsid w:val="00D20C69"/>
    <w:rsid w:val="00D21080"/>
    <w:rsid w:val="00D2128B"/>
    <w:rsid w:val="00D2137C"/>
    <w:rsid w:val="00D213E0"/>
    <w:rsid w:val="00D213EC"/>
    <w:rsid w:val="00D21594"/>
    <w:rsid w:val="00D21676"/>
    <w:rsid w:val="00D216E5"/>
    <w:rsid w:val="00D218BF"/>
    <w:rsid w:val="00D218F2"/>
    <w:rsid w:val="00D21CB9"/>
    <w:rsid w:val="00D21DC0"/>
    <w:rsid w:val="00D21E65"/>
    <w:rsid w:val="00D22008"/>
    <w:rsid w:val="00D220C2"/>
    <w:rsid w:val="00D221DE"/>
    <w:rsid w:val="00D22219"/>
    <w:rsid w:val="00D223A4"/>
    <w:rsid w:val="00D22493"/>
    <w:rsid w:val="00D224BF"/>
    <w:rsid w:val="00D22557"/>
    <w:rsid w:val="00D225C3"/>
    <w:rsid w:val="00D227A4"/>
    <w:rsid w:val="00D2297F"/>
    <w:rsid w:val="00D22AC4"/>
    <w:rsid w:val="00D22B85"/>
    <w:rsid w:val="00D22C0B"/>
    <w:rsid w:val="00D22C57"/>
    <w:rsid w:val="00D22F40"/>
    <w:rsid w:val="00D23221"/>
    <w:rsid w:val="00D232A1"/>
    <w:rsid w:val="00D23527"/>
    <w:rsid w:val="00D23582"/>
    <w:rsid w:val="00D2376C"/>
    <w:rsid w:val="00D23C0C"/>
    <w:rsid w:val="00D23D57"/>
    <w:rsid w:val="00D23D6F"/>
    <w:rsid w:val="00D24548"/>
    <w:rsid w:val="00D24584"/>
    <w:rsid w:val="00D245DA"/>
    <w:rsid w:val="00D24827"/>
    <w:rsid w:val="00D2493C"/>
    <w:rsid w:val="00D249C0"/>
    <w:rsid w:val="00D24A24"/>
    <w:rsid w:val="00D24B27"/>
    <w:rsid w:val="00D24B71"/>
    <w:rsid w:val="00D250E6"/>
    <w:rsid w:val="00D25131"/>
    <w:rsid w:val="00D25160"/>
    <w:rsid w:val="00D25169"/>
    <w:rsid w:val="00D25365"/>
    <w:rsid w:val="00D253CE"/>
    <w:rsid w:val="00D257B9"/>
    <w:rsid w:val="00D257BB"/>
    <w:rsid w:val="00D257DA"/>
    <w:rsid w:val="00D2583A"/>
    <w:rsid w:val="00D25945"/>
    <w:rsid w:val="00D25A1D"/>
    <w:rsid w:val="00D25AC1"/>
    <w:rsid w:val="00D25B89"/>
    <w:rsid w:val="00D25FF9"/>
    <w:rsid w:val="00D26024"/>
    <w:rsid w:val="00D260BE"/>
    <w:rsid w:val="00D261E0"/>
    <w:rsid w:val="00D263AE"/>
    <w:rsid w:val="00D2644B"/>
    <w:rsid w:val="00D264B9"/>
    <w:rsid w:val="00D2658A"/>
    <w:rsid w:val="00D266AA"/>
    <w:rsid w:val="00D266AE"/>
    <w:rsid w:val="00D2672A"/>
    <w:rsid w:val="00D2675C"/>
    <w:rsid w:val="00D267A2"/>
    <w:rsid w:val="00D267FF"/>
    <w:rsid w:val="00D26988"/>
    <w:rsid w:val="00D26A0E"/>
    <w:rsid w:val="00D26BD3"/>
    <w:rsid w:val="00D26D01"/>
    <w:rsid w:val="00D26D1D"/>
    <w:rsid w:val="00D26DE9"/>
    <w:rsid w:val="00D270C2"/>
    <w:rsid w:val="00D27127"/>
    <w:rsid w:val="00D271CA"/>
    <w:rsid w:val="00D272AA"/>
    <w:rsid w:val="00D27338"/>
    <w:rsid w:val="00D27380"/>
    <w:rsid w:val="00D27503"/>
    <w:rsid w:val="00D2767E"/>
    <w:rsid w:val="00D27863"/>
    <w:rsid w:val="00D278CB"/>
    <w:rsid w:val="00D27929"/>
    <w:rsid w:val="00D27BBA"/>
    <w:rsid w:val="00D27C2F"/>
    <w:rsid w:val="00D27E8B"/>
    <w:rsid w:val="00D27EA6"/>
    <w:rsid w:val="00D27F80"/>
    <w:rsid w:val="00D27FBA"/>
    <w:rsid w:val="00D3005B"/>
    <w:rsid w:val="00D30070"/>
    <w:rsid w:val="00D300C1"/>
    <w:rsid w:val="00D30136"/>
    <w:rsid w:val="00D305BC"/>
    <w:rsid w:val="00D30738"/>
    <w:rsid w:val="00D30890"/>
    <w:rsid w:val="00D3091D"/>
    <w:rsid w:val="00D30A0B"/>
    <w:rsid w:val="00D30B6D"/>
    <w:rsid w:val="00D30C01"/>
    <w:rsid w:val="00D30C0F"/>
    <w:rsid w:val="00D30E6A"/>
    <w:rsid w:val="00D30EBD"/>
    <w:rsid w:val="00D310BC"/>
    <w:rsid w:val="00D312F7"/>
    <w:rsid w:val="00D31350"/>
    <w:rsid w:val="00D313B3"/>
    <w:rsid w:val="00D313FB"/>
    <w:rsid w:val="00D31421"/>
    <w:rsid w:val="00D3148A"/>
    <w:rsid w:val="00D31636"/>
    <w:rsid w:val="00D3166D"/>
    <w:rsid w:val="00D316C1"/>
    <w:rsid w:val="00D317AF"/>
    <w:rsid w:val="00D31858"/>
    <w:rsid w:val="00D3189E"/>
    <w:rsid w:val="00D31B30"/>
    <w:rsid w:val="00D31B3A"/>
    <w:rsid w:val="00D31B68"/>
    <w:rsid w:val="00D31C66"/>
    <w:rsid w:val="00D31E8E"/>
    <w:rsid w:val="00D31E94"/>
    <w:rsid w:val="00D31F38"/>
    <w:rsid w:val="00D31F3E"/>
    <w:rsid w:val="00D32102"/>
    <w:rsid w:val="00D32166"/>
    <w:rsid w:val="00D3217F"/>
    <w:rsid w:val="00D32224"/>
    <w:rsid w:val="00D32233"/>
    <w:rsid w:val="00D322B7"/>
    <w:rsid w:val="00D322CC"/>
    <w:rsid w:val="00D323DD"/>
    <w:rsid w:val="00D325B6"/>
    <w:rsid w:val="00D3265F"/>
    <w:rsid w:val="00D32787"/>
    <w:rsid w:val="00D32884"/>
    <w:rsid w:val="00D3292B"/>
    <w:rsid w:val="00D32B29"/>
    <w:rsid w:val="00D32C3D"/>
    <w:rsid w:val="00D32CA0"/>
    <w:rsid w:val="00D32CDE"/>
    <w:rsid w:val="00D32CE8"/>
    <w:rsid w:val="00D32FB3"/>
    <w:rsid w:val="00D33039"/>
    <w:rsid w:val="00D33138"/>
    <w:rsid w:val="00D33196"/>
    <w:rsid w:val="00D332B6"/>
    <w:rsid w:val="00D33476"/>
    <w:rsid w:val="00D3364C"/>
    <w:rsid w:val="00D3369B"/>
    <w:rsid w:val="00D336CF"/>
    <w:rsid w:val="00D337CB"/>
    <w:rsid w:val="00D33865"/>
    <w:rsid w:val="00D33AB9"/>
    <w:rsid w:val="00D33DEE"/>
    <w:rsid w:val="00D33DF1"/>
    <w:rsid w:val="00D33E28"/>
    <w:rsid w:val="00D33EB3"/>
    <w:rsid w:val="00D33F02"/>
    <w:rsid w:val="00D3420A"/>
    <w:rsid w:val="00D34320"/>
    <w:rsid w:val="00D345A0"/>
    <w:rsid w:val="00D345B9"/>
    <w:rsid w:val="00D34721"/>
    <w:rsid w:val="00D349AA"/>
    <w:rsid w:val="00D34A42"/>
    <w:rsid w:val="00D34DD3"/>
    <w:rsid w:val="00D34F09"/>
    <w:rsid w:val="00D350E8"/>
    <w:rsid w:val="00D35255"/>
    <w:rsid w:val="00D3528D"/>
    <w:rsid w:val="00D35350"/>
    <w:rsid w:val="00D35362"/>
    <w:rsid w:val="00D35583"/>
    <w:rsid w:val="00D356A3"/>
    <w:rsid w:val="00D35823"/>
    <w:rsid w:val="00D358F7"/>
    <w:rsid w:val="00D35B39"/>
    <w:rsid w:val="00D35B87"/>
    <w:rsid w:val="00D35D1A"/>
    <w:rsid w:val="00D35F17"/>
    <w:rsid w:val="00D36128"/>
    <w:rsid w:val="00D36161"/>
    <w:rsid w:val="00D36169"/>
    <w:rsid w:val="00D36284"/>
    <w:rsid w:val="00D362B8"/>
    <w:rsid w:val="00D36376"/>
    <w:rsid w:val="00D36417"/>
    <w:rsid w:val="00D36428"/>
    <w:rsid w:val="00D36463"/>
    <w:rsid w:val="00D364D4"/>
    <w:rsid w:val="00D365A6"/>
    <w:rsid w:val="00D3686E"/>
    <w:rsid w:val="00D36BC8"/>
    <w:rsid w:val="00D36E67"/>
    <w:rsid w:val="00D36F1E"/>
    <w:rsid w:val="00D36F83"/>
    <w:rsid w:val="00D37073"/>
    <w:rsid w:val="00D3720E"/>
    <w:rsid w:val="00D373A3"/>
    <w:rsid w:val="00D373F6"/>
    <w:rsid w:val="00D37551"/>
    <w:rsid w:val="00D37583"/>
    <w:rsid w:val="00D375AF"/>
    <w:rsid w:val="00D376A7"/>
    <w:rsid w:val="00D37846"/>
    <w:rsid w:val="00D37880"/>
    <w:rsid w:val="00D378C1"/>
    <w:rsid w:val="00D37A24"/>
    <w:rsid w:val="00D37AA4"/>
    <w:rsid w:val="00D37C1B"/>
    <w:rsid w:val="00D37CE9"/>
    <w:rsid w:val="00D37EF5"/>
    <w:rsid w:val="00D4024F"/>
    <w:rsid w:val="00D40409"/>
    <w:rsid w:val="00D40411"/>
    <w:rsid w:val="00D4064E"/>
    <w:rsid w:val="00D406DE"/>
    <w:rsid w:val="00D407A2"/>
    <w:rsid w:val="00D40A16"/>
    <w:rsid w:val="00D40BCB"/>
    <w:rsid w:val="00D40C8E"/>
    <w:rsid w:val="00D40D86"/>
    <w:rsid w:val="00D40E6F"/>
    <w:rsid w:val="00D40FA5"/>
    <w:rsid w:val="00D412DE"/>
    <w:rsid w:val="00D412F1"/>
    <w:rsid w:val="00D413AF"/>
    <w:rsid w:val="00D41494"/>
    <w:rsid w:val="00D41530"/>
    <w:rsid w:val="00D41757"/>
    <w:rsid w:val="00D419C9"/>
    <w:rsid w:val="00D41AAF"/>
    <w:rsid w:val="00D41B58"/>
    <w:rsid w:val="00D41EC0"/>
    <w:rsid w:val="00D41FE7"/>
    <w:rsid w:val="00D41FEE"/>
    <w:rsid w:val="00D42081"/>
    <w:rsid w:val="00D420B3"/>
    <w:rsid w:val="00D420C6"/>
    <w:rsid w:val="00D42147"/>
    <w:rsid w:val="00D42336"/>
    <w:rsid w:val="00D42408"/>
    <w:rsid w:val="00D4240E"/>
    <w:rsid w:val="00D42559"/>
    <w:rsid w:val="00D42597"/>
    <w:rsid w:val="00D4259D"/>
    <w:rsid w:val="00D42696"/>
    <w:rsid w:val="00D426EA"/>
    <w:rsid w:val="00D427B4"/>
    <w:rsid w:val="00D42843"/>
    <w:rsid w:val="00D428B9"/>
    <w:rsid w:val="00D42BC2"/>
    <w:rsid w:val="00D42D67"/>
    <w:rsid w:val="00D42DDB"/>
    <w:rsid w:val="00D42DE0"/>
    <w:rsid w:val="00D4303B"/>
    <w:rsid w:val="00D43085"/>
    <w:rsid w:val="00D43147"/>
    <w:rsid w:val="00D43246"/>
    <w:rsid w:val="00D43393"/>
    <w:rsid w:val="00D43419"/>
    <w:rsid w:val="00D4346C"/>
    <w:rsid w:val="00D434C3"/>
    <w:rsid w:val="00D43559"/>
    <w:rsid w:val="00D43737"/>
    <w:rsid w:val="00D43762"/>
    <w:rsid w:val="00D4393C"/>
    <w:rsid w:val="00D43BDE"/>
    <w:rsid w:val="00D43DFF"/>
    <w:rsid w:val="00D43E3B"/>
    <w:rsid w:val="00D43E79"/>
    <w:rsid w:val="00D43FFE"/>
    <w:rsid w:val="00D4401F"/>
    <w:rsid w:val="00D44043"/>
    <w:rsid w:val="00D44213"/>
    <w:rsid w:val="00D443E1"/>
    <w:rsid w:val="00D443E3"/>
    <w:rsid w:val="00D445E0"/>
    <w:rsid w:val="00D44907"/>
    <w:rsid w:val="00D44980"/>
    <w:rsid w:val="00D449B9"/>
    <w:rsid w:val="00D449C9"/>
    <w:rsid w:val="00D44A3F"/>
    <w:rsid w:val="00D44AF4"/>
    <w:rsid w:val="00D44BFD"/>
    <w:rsid w:val="00D44E87"/>
    <w:rsid w:val="00D44EF6"/>
    <w:rsid w:val="00D44F06"/>
    <w:rsid w:val="00D44F37"/>
    <w:rsid w:val="00D44FB0"/>
    <w:rsid w:val="00D4502C"/>
    <w:rsid w:val="00D4507F"/>
    <w:rsid w:val="00D45176"/>
    <w:rsid w:val="00D45248"/>
    <w:rsid w:val="00D4538F"/>
    <w:rsid w:val="00D4550B"/>
    <w:rsid w:val="00D4560F"/>
    <w:rsid w:val="00D45750"/>
    <w:rsid w:val="00D457AC"/>
    <w:rsid w:val="00D457D8"/>
    <w:rsid w:val="00D457EA"/>
    <w:rsid w:val="00D458E0"/>
    <w:rsid w:val="00D45A3B"/>
    <w:rsid w:val="00D45B1C"/>
    <w:rsid w:val="00D45B87"/>
    <w:rsid w:val="00D45BFA"/>
    <w:rsid w:val="00D45C42"/>
    <w:rsid w:val="00D45CD9"/>
    <w:rsid w:val="00D45CFA"/>
    <w:rsid w:val="00D45D41"/>
    <w:rsid w:val="00D45D4C"/>
    <w:rsid w:val="00D45DAF"/>
    <w:rsid w:val="00D45E4A"/>
    <w:rsid w:val="00D45F01"/>
    <w:rsid w:val="00D45FC1"/>
    <w:rsid w:val="00D45FDB"/>
    <w:rsid w:val="00D46111"/>
    <w:rsid w:val="00D463E7"/>
    <w:rsid w:val="00D466CF"/>
    <w:rsid w:val="00D466FF"/>
    <w:rsid w:val="00D4672E"/>
    <w:rsid w:val="00D4675C"/>
    <w:rsid w:val="00D46869"/>
    <w:rsid w:val="00D469F8"/>
    <w:rsid w:val="00D46A5C"/>
    <w:rsid w:val="00D46B2D"/>
    <w:rsid w:val="00D46D69"/>
    <w:rsid w:val="00D46F10"/>
    <w:rsid w:val="00D46F9C"/>
    <w:rsid w:val="00D46FA3"/>
    <w:rsid w:val="00D47076"/>
    <w:rsid w:val="00D470CD"/>
    <w:rsid w:val="00D471F1"/>
    <w:rsid w:val="00D472A4"/>
    <w:rsid w:val="00D4763B"/>
    <w:rsid w:val="00D478D8"/>
    <w:rsid w:val="00D47B2E"/>
    <w:rsid w:val="00D47ECD"/>
    <w:rsid w:val="00D47F5D"/>
    <w:rsid w:val="00D47FC3"/>
    <w:rsid w:val="00D47FC4"/>
    <w:rsid w:val="00D500DD"/>
    <w:rsid w:val="00D50185"/>
    <w:rsid w:val="00D50279"/>
    <w:rsid w:val="00D502CD"/>
    <w:rsid w:val="00D503A5"/>
    <w:rsid w:val="00D503BA"/>
    <w:rsid w:val="00D50529"/>
    <w:rsid w:val="00D505DB"/>
    <w:rsid w:val="00D5073E"/>
    <w:rsid w:val="00D507A7"/>
    <w:rsid w:val="00D5093D"/>
    <w:rsid w:val="00D50ADD"/>
    <w:rsid w:val="00D50C25"/>
    <w:rsid w:val="00D50C4C"/>
    <w:rsid w:val="00D50C8B"/>
    <w:rsid w:val="00D50D6E"/>
    <w:rsid w:val="00D50D9E"/>
    <w:rsid w:val="00D50DF9"/>
    <w:rsid w:val="00D5101E"/>
    <w:rsid w:val="00D51051"/>
    <w:rsid w:val="00D510D9"/>
    <w:rsid w:val="00D511CA"/>
    <w:rsid w:val="00D512BC"/>
    <w:rsid w:val="00D5146E"/>
    <w:rsid w:val="00D514A1"/>
    <w:rsid w:val="00D51579"/>
    <w:rsid w:val="00D515BB"/>
    <w:rsid w:val="00D51621"/>
    <w:rsid w:val="00D51701"/>
    <w:rsid w:val="00D517BE"/>
    <w:rsid w:val="00D5184D"/>
    <w:rsid w:val="00D51862"/>
    <w:rsid w:val="00D519E1"/>
    <w:rsid w:val="00D51BF7"/>
    <w:rsid w:val="00D51C32"/>
    <w:rsid w:val="00D51C77"/>
    <w:rsid w:val="00D51CC8"/>
    <w:rsid w:val="00D51DE1"/>
    <w:rsid w:val="00D51EB8"/>
    <w:rsid w:val="00D51F1F"/>
    <w:rsid w:val="00D51F76"/>
    <w:rsid w:val="00D51F85"/>
    <w:rsid w:val="00D520F0"/>
    <w:rsid w:val="00D52131"/>
    <w:rsid w:val="00D522AB"/>
    <w:rsid w:val="00D524D6"/>
    <w:rsid w:val="00D52554"/>
    <w:rsid w:val="00D52556"/>
    <w:rsid w:val="00D526AC"/>
    <w:rsid w:val="00D526B4"/>
    <w:rsid w:val="00D527A1"/>
    <w:rsid w:val="00D527DB"/>
    <w:rsid w:val="00D528AE"/>
    <w:rsid w:val="00D52E54"/>
    <w:rsid w:val="00D52F27"/>
    <w:rsid w:val="00D52FCE"/>
    <w:rsid w:val="00D52FF5"/>
    <w:rsid w:val="00D5300F"/>
    <w:rsid w:val="00D53179"/>
    <w:rsid w:val="00D53275"/>
    <w:rsid w:val="00D532D6"/>
    <w:rsid w:val="00D533CC"/>
    <w:rsid w:val="00D5382F"/>
    <w:rsid w:val="00D53872"/>
    <w:rsid w:val="00D538CE"/>
    <w:rsid w:val="00D53A1F"/>
    <w:rsid w:val="00D53A92"/>
    <w:rsid w:val="00D53C28"/>
    <w:rsid w:val="00D53CE0"/>
    <w:rsid w:val="00D53D8C"/>
    <w:rsid w:val="00D53EE9"/>
    <w:rsid w:val="00D53F5C"/>
    <w:rsid w:val="00D5419B"/>
    <w:rsid w:val="00D542DC"/>
    <w:rsid w:val="00D545B4"/>
    <w:rsid w:val="00D545F0"/>
    <w:rsid w:val="00D5488A"/>
    <w:rsid w:val="00D54B5E"/>
    <w:rsid w:val="00D54DD3"/>
    <w:rsid w:val="00D54F44"/>
    <w:rsid w:val="00D54FA5"/>
    <w:rsid w:val="00D55009"/>
    <w:rsid w:val="00D5502B"/>
    <w:rsid w:val="00D5521D"/>
    <w:rsid w:val="00D55340"/>
    <w:rsid w:val="00D5534D"/>
    <w:rsid w:val="00D5545B"/>
    <w:rsid w:val="00D554EC"/>
    <w:rsid w:val="00D55530"/>
    <w:rsid w:val="00D555BD"/>
    <w:rsid w:val="00D55679"/>
    <w:rsid w:val="00D55799"/>
    <w:rsid w:val="00D55806"/>
    <w:rsid w:val="00D55888"/>
    <w:rsid w:val="00D55929"/>
    <w:rsid w:val="00D559DE"/>
    <w:rsid w:val="00D55B5B"/>
    <w:rsid w:val="00D55C18"/>
    <w:rsid w:val="00D55C54"/>
    <w:rsid w:val="00D56257"/>
    <w:rsid w:val="00D56298"/>
    <w:rsid w:val="00D562B8"/>
    <w:rsid w:val="00D564E1"/>
    <w:rsid w:val="00D56D63"/>
    <w:rsid w:val="00D56D96"/>
    <w:rsid w:val="00D56DD3"/>
    <w:rsid w:val="00D56DFA"/>
    <w:rsid w:val="00D56E11"/>
    <w:rsid w:val="00D57085"/>
    <w:rsid w:val="00D5715E"/>
    <w:rsid w:val="00D57296"/>
    <w:rsid w:val="00D572E7"/>
    <w:rsid w:val="00D574F0"/>
    <w:rsid w:val="00D57618"/>
    <w:rsid w:val="00D5781E"/>
    <w:rsid w:val="00D57847"/>
    <w:rsid w:val="00D57902"/>
    <w:rsid w:val="00D57BD3"/>
    <w:rsid w:val="00D605A5"/>
    <w:rsid w:val="00D606F5"/>
    <w:rsid w:val="00D60817"/>
    <w:rsid w:val="00D60A0E"/>
    <w:rsid w:val="00D60A90"/>
    <w:rsid w:val="00D60BF2"/>
    <w:rsid w:val="00D60C5E"/>
    <w:rsid w:val="00D60D47"/>
    <w:rsid w:val="00D60E22"/>
    <w:rsid w:val="00D60E5A"/>
    <w:rsid w:val="00D61020"/>
    <w:rsid w:val="00D6115F"/>
    <w:rsid w:val="00D61284"/>
    <w:rsid w:val="00D61302"/>
    <w:rsid w:val="00D6138E"/>
    <w:rsid w:val="00D613E1"/>
    <w:rsid w:val="00D61419"/>
    <w:rsid w:val="00D61682"/>
    <w:rsid w:val="00D61735"/>
    <w:rsid w:val="00D61744"/>
    <w:rsid w:val="00D617A9"/>
    <w:rsid w:val="00D61890"/>
    <w:rsid w:val="00D618F4"/>
    <w:rsid w:val="00D61BAF"/>
    <w:rsid w:val="00D61BCD"/>
    <w:rsid w:val="00D61C07"/>
    <w:rsid w:val="00D61D31"/>
    <w:rsid w:val="00D61DE4"/>
    <w:rsid w:val="00D61E39"/>
    <w:rsid w:val="00D61E4C"/>
    <w:rsid w:val="00D61E75"/>
    <w:rsid w:val="00D61FC3"/>
    <w:rsid w:val="00D61FD2"/>
    <w:rsid w:val="00D62004"/>
    <w:rsid w:val="00D62016"/>
    <w:rsid w:val="00D620BE"/>
    <w:rsid w:val="00D62164"/>
    <w:rsid w:val="00D621CC"/>
    <w:rsid w:val="00D62241"/>
    <w:rsid w:val="00D622CE"/>
    <w:rsid w:val="00D6238A"/>
    <w:rsid w:val="00D624D6"/>
    <w:rsid w:val="00D62619"/>
    <w:rsid w:val="00D627E0"/>
    <w:rsid w:val="00D62878"/>
    <w:rsid w:val="00D62A1E"/>
    <w:rsid w:val="00D62A2A"/>
    <w:rsid w:val="00D62A51"/>
    <w:rsid w:val="00D62B1D"/>
    <w:rsid w:val="00D62D0E"/>
    <w:rsid w:val="00D62E27"/>
    <w:rsid w:val="00D62F4D"/>
    <w:rsid w:val="00D63068"/>
    <w:rsid w:val="00D63085"/>
    <w:rsid w:val="00D6310C"/>
    <w:rsid w:val="00D6310D"/>
    <w:rsid w:val="00D632B5"/>
    <w:rsid w:val="00D632D2"/>
    <w:rsid w:val="00D6332D"/>
    <w:rsid w:val="00D633B1"/>
    <w:rsid w:val="00D636E6"/>
    <w:rsid w:val="00D637BD"/>
    <w:rsid w:val="00D638DA"/>
    <w:rsid w:val="00D638FB"/>
    <w:rsid w:val="00D63990"/>
    <w:rsid w:val="00D639DE"/>
    <w:rsid w:val="00D63B11"/>
    <w:rsid w:val="00D63B40"/>
    <w:rsid w:val="00D63BC8"/>
    <w:rsid w:val="00D63CA5"/>
    <w:rsid w:val="00D63E6F"/>
    <w:rsid w:val="00D63EFB"/>
    <w:rsid w:val="00D63FEF"/>
    <w:rsid w:val="00D640BB"/>
    <w:rsid w:val="00D640DD"/>
    <w:rsid w:val="00D642DC"/>
    <w:rsid w:val="00D64320"/>
    <w:rsid w:val="00D64346"/>
    <w:rsid w:val="00D6436F"/>
    <w:rsid w:val="00D6438F"/>
    <w:rsid w:val="00D643F8"/>
    <w:rsid w:val="00D6447A"/>
    <w:rsid w:val="00D645CF"/>
    <w:rsid w:val="00D64760"/>
    <w:rsid w:val="00D6485D"/>
    <w:rsid w:val="00D64906"/>
    <w:rsid w:val="00D64B75"/>
    <w:rsid w:val="00D64C3C"/>
    <w:rsid w:val="00D64D1D"/>
    <w:rsid w:val="00D64D2D"/>
    <w:rsid w:val="00D64DC1"/>
    <w:rsid w:val="00D6515A"/>
    <w:rsid w:val="00D651B2"/>
    <w:rsid w:val="00D6521C"/>
    <w:rsid w:val="00D6523D"/>
    <w:rsid w:val="00D6528E"/>
    <w:rsid w:val="00D652D9"/>
    <w:rsid w:val="00D6557C"/>
    <w:rsid w:val="00D656CC"/>
    <w:rsid w:val="00D6571A"/>
    <w:rsid w:val="00D6582E"/>
    <w:rsid w:val="00D65967"/>
    <w:rsid w:val="00D65A58"/>
    <w:rsid w:val="00D65AE3"/>
    <w:rsid w:val="00D65AE9"/>
    <w:rsid w:val="00D65B4D"/>
    <w:rsid w:val="00D65B97"/>
    <w:rsid w:val="00D65CB7"/>
    <w:rsid w:val="00D65D6B"/>
    <w:rsid w:val="00D65DA3"/>
    <w:rsid w:val="00D65E96"/>
    <w:rsid w:val="00D65ED2"/>
    <w:rsid w:val="00D661E5"/>
    <w:rsid w:val="00D664EC"/>
    <w:rsid w:val="00D665AF"/>
    <w:rsid w:val="00D665B2"/>
    <w:rsid w:val="00D665FD"/>
    <w:rsid w:val="00D6662B"/>
    <w:rsid w:val="00D66710"/>
    <w:rsid w:val="00D66749"/>
    <w:rsid w:val="00D66921"/>
    <w:rsid w:val="00D669A4"/>
    <w:rsid w:val="00D66A11"/>
    <w:rsid w:val="00D66AB8"/>
    <w:rsid w:val="00D66C9A"/>
    <w:rsid w:val="00D66E61"/>
    <w:rsid w:val="00D66E6C"/>
    <w:rsid w:val="00D66F49"/>
    <w:rsid w:val="00D67071"/>
    <w:rsid w:val="00D670B2"/>
    <w:rsid w:val="00D6729F"/>
    <w:rsid w:val="00D67420"/>
    <w:rsid w:val="00D675A1"/>
    <w:rsid w:val="00D67697"/>
    <w:rsid w:val="00D676B0"/>
    <w:rsid w:val="00D6773C"/>
    <w:rsid w:val="00D67B3F"/>
    <w:rsid w:val="00D67C02"/>
    <w:rsid w:val="00D67DE0"/>
    <w:rsid w:val="00D701CD"/>
    <w:rsid w:val="00D702E1"/>
    <w:rsid w:val="00D70482"/>
    <w:rsid w:val="00D7048D"/>
    <w:rsid w:val="00D70589"/>
    <w:rsid w:val="00D70632"/>
    <w:rsid w:val="00D709CF"/>
    <w:rsid w:val="00D70A8C"/>
    <w:rsid w:val="00D70B0E"/>
    <w:rsid w:val="00D70BB9"/>
    <w:rsid w:val="00D70C11"/>
    <w:rsid w:val="00D70DDA"/>
    <w:rsid w:val="00D70E52"/>
    <w:rsid w:val="00D70F2E"/>
    <w:rsid w:val="00D70FA2"/>
    <w:rsid w:val="00D70FFB"/>
    <w:rsid w:val="00D711C5"/>
    <w:rsid w:val="00D711D6"/>
    <w:rsid w:val="00D71244"/>
    <w:rsid w:val="00D71378"/>
    <w:rsid w:val="00D7140A"/>
    <w:rsid w:val="00D7143D"/>
    <w:rsid w:val="00D7146C"/>
    <w:rsid w:val="00D715A4"/>
    <w:rsid w:val="00D715A7"/>
    <w:rsid w:val="00D7161E"/>
    <w:rsid w:val="00D71634"/>
    <w:rsid w:val="00D716BB"/>
    <w:rsid w:val="00D7173B"/>
    <w:rsid w:val="00D71810"/>
    <w:rsid w:val="00D71829"/>
    <w:rsid w:val="00D718E6"/>
    <w:rsid w:val="00D71B12"/>
    <w:rsid w:val="00D71C70"/>
    <w:rsid w:val="00D71DAE"/>
    <w:rsid w:val="00D71E2E"/>
    <w:rsid w:val="00D71E4E"/>
    <w:rsid w:val="00D71EA8"/>
    <w:rsid w:val="00D71F42"/>
    <w:rsid w:val="00D72118"/>
    <w:rsid w:val="00D725FB"/>
    <w:rsid w:val="00D727C8"/>
    <w:rsid w:val="00D72A95"/>
    <w:rsid w:val="00D72AAC"/>
    <w:rsid w:val="00D72C43"/>
    <w:rsid w:val="00D72E78"/>
    <w:rsid w:val="00D72EC5"/>
    <w:rsid w:val="00D72FE7"/>
    <w:rsid w:val="00D73001"/>
    <w:rsid w:val="00D734CD"/>
    <w:rsid w:val="00D734F7"/>
    <w:rsid w:val="00D7357A"/>
    <w:rsid w:val="00D736B9"/>
    <w:rsid w:val="00D737BF"/>
    <w:rsid w:val="00D73A14"/>
    <w:rsid w:val="00D73A24"/>
    <w:rsid w:val="00D73AD9"/>
    <w:rsid w:val="00D73BEA"/>
    <w:rsid w:val="00D73D22"/>
    <w:rsid w:val="00D73D3A"/>
    <w:rsid w:val="00D73F27"/>
    <w:rsid w:val="00D73F96"/>
    <w:rsid w:val="00D74032"/>
    <w:rsid w:val="00D74047"/>
    <w:rsid w:val="00D7432A"/>
    <w:rsid w:val="00D7435D"/>
    <w:rsid w:val="00D74435"/>
    <w:rsid w:val="00D7481E"/>
    <w:rsid w:val="00D74841"/>
    <w:rsid w:val="00D748D2"/>
    <w:rsid w:val="00D748FC"/>
    <w:rsid w:val="00D7496D"/>
    <w:rsid w:val="00D749BC"/>
    <w:rsid w:val="00D74ADE"/>
    <w:rsid w:val="00D74BE6"/>
    <w:rsid w:val="00D74C66"/>
    <w:rsid w:val="00D74C85"/>
    <w:rsid w:val="00D750DC"/>
    <w:rsid w:val="00D7513E"/>
    <w:rsid w:val="00D75149"/>
    <w:rsid w:val="00D751D7"/>
    <w:rsid w:val="00D751F1"/>
    <w:rsid w:val="00D75711"/>
    <w:rsid w:val="00D758EA"/>
    <w:rsid w:val="00D75951"/>
    <w:rsid w:val="00D759B2"/>
    <w:rsid w:val="00D75A59"/>
    <w:rsid w:val="00D75A8E"/>
    <w:rsid w:val="00D75BB5"/>
    <w:rsid w:val="00D75C8D"/>
    <w:rsid w:val="00D75CBE"/>
    <w:rsid w:val="00D75D59"/>
    <w:rsid w:val="00D76085"/>
    <w:rsid w:val="00D7609D"/>
    <w:rsid w:val="00D76141"/>
    <w:rsid w:val="00D763C8"/>
    <w:rsid w:val="00D764A3"/>
    <w:rsid w:val="00D764E5"/>
    <w:rsid w:val="00D768AB"/>
    <w:rsid w:val="00D76963"/>
    <w:rsid w:val="00D76B15"/>
    <w:rsid w:val="00D76C88"/>
    <w:rsid w:val="00D76DA8"/>
    <w:rsid w:val="00D76DF3"/>
    <w:rsid w:val="00D76DFA"/>
    <w:rsid w:val="00D76E1D"/>
    <w:rsid w:val="00D76EFB"/>
    <w:rsid w:val="00D76FAC"/>
    <w:rsid w:val="00D770CE"/>
    <w:rsid w:val="00D7725E"/>
    <w:rsid w:val="00D77327"/>
    <w:rsid w:val="00D774C9"/>
    <w:rsid w:val="00D7775F"/>
    <w:rsid w:val="00D77831"/>
    <w:rsid w:val="00D778A8"/>
    <w:rsid w:val="00D77B20"/>
    <w:rsid w:val="00D77BAC"/>
    <w:rsid w:val="00D77C5A"/>
    <w:rsid w:val="00D77C69"/>
    <w:rsid w:val="00D77D3F"/>
    <w:rsid w:val="00D77D75"/>
    <w:rsid w:val="00D77DE1"/>
    <w:rsid w:val="00D77E9D"/>
    <w:rsid w:val="00D77F22"/>
    <w:rsid w:val="00D77FBA"/>
    <w:rsid w:val="00D77FF9"/>
    <w:rsid w:val="00D80139"/>
    <w:rsid w:val="00D801B1"/>
    <w:rsid w:val="00D801CE"/>
    <w:rsid w:val="00D802AC"/>
    <w:rsid w:val="00D80498"/>
    <w:rsid w:val="00D80584"/>
    <w:rsid w:val="00D807BB"/>
    <w:rsid w:val="00D8082E"/>
    <w:rsid w:val="00D8089C"/>
    <w:rsid w:val="00D808A2"/>
    <w:rsid w:val="00D80958"/>
    <w:rsid w:val="00D8099C"/>
    <w:rsid w:val="00D80A44"/>
    <w:rsid w:val="00D80BA3"/>
    <w:rsid w:val="00D80C29"/>
    <w:rsid w:val="00D80C7E"/>
    <w:rsid w:val="00D80D7E"/>
    <w:rsid w:val="00D80E2C"/>
    <w:rsid w:val="00D80E38"/>
    <w:rsid w:val="00D80FE0"/>
    <w:rsid w:val="00D810E0"/>
    <w:rsid w:val="00D810FA"/>
    <w:rsid w:val="00D811A2"/>
    <w:rsid w:val="00D81228"/>
    <w:rsid w:val="00D8150C"/>
    <w:rsid w:val="00D81599"/>
    <w:rsid w:val="00D8178F"/>
    <w:rsid w:val="00D817F8"/>
    <w:rsid w:val="00D8181C"/>
    <w:rsid w:val="00D8188A"/>
    <w:rsid w:val="00D81961"/>
    <w:rsid w:val="00D81969"/>
    <w:rsid w:val="00D81A20"/>
    <w:rsid w:val="00D81BF6"/>
    <w:rsid w:val="00D81D75"/>
    <w:rsid w:val="00D81EBF"/>
    <w:rsid w:val="00D81F16"/>
    <w:rsid w:val="00D81F35"/>
    <w:rsid w:val="00D81F92"/>
    <w:rsid w:val="00D81FE9"/>
    <w:rsid w:val="00D82051"/>
    <w:rsid w:val="00D8211D"/>
    <w:rsid w:val="00D8217B"/>
    <w:rsid w:val="00D82242"/>
    <w:rsid w:val="00D82348"/>
    <w:rsid w:val="00D82538"/>
    <w:rsid w:val="00D827B5"/>
    <w:rsid w:val="00D82883"/>
    <w:rsid w:val="00D829AD"/>
    <w:rsid w:val="00D82A67"/>
    <w:rsid w:val="00D82A9A"/>
    <w:rsid w:val="00D82BFD"/>
    <w:rsid w:val="00D82BFF"/>
    <w:rsid w:val="00D82CF0"/>
    <w:rsid w:val="00D83056"/>
    <w:rsid w:val="00D83102"/>
    <w:rsid w:val="00D8316D"/>
    <w:rsid w:val="00D83195"/>
    <w:rsid w:val="00D832AE"/>
    <w:rsid w:val="00D836E0"/>
    <w:rsid w:val="00D83A6B"/>
    <w:rsid w:val="00D83B51"/>
    <w:rsid w:val="00D83CED"/>
    <w:rsid w:val="00D83FA3"/>
    <w:rsid w:val="00D83FA8"/>
    <w:rsid w:val="00D840DB"/>
    <w:rsid w:val="00D8416A"/>
    <w:rsid w:val="00D843D4"/>
    <w:rsid w:val="00D84535"/>
    <w:rsid w:val="00D84699"/>
    <w:rsid w:val="00D8494F"/>
    <w:rsid w:val="00D84BCA"/>
    <w:rsid w:val="00D84BD9"/>
    <w:rsid w:val="00D84BF0"/>
    <w:rsid w:val="00D84C33"/>
    <w:rsid w:val="00D84CC5"/>
    <w:rsid w:val="00D84DDB"/>
    <w:rsid w:val="00D84ECA"/>
    <w:rsid w:val="00D84F37"/>
    <w:rsid w:val="00D85017"/>
    <w:rsid w:val="00D8525E"/>
    <w:rsid w:val="00D85274"/>
    <w:rsid w:val="00D85343"/>
    <w:rsid w:val="00D8534F"/>
    <w:rsid w:val="00D853A3"/>
    <w:rsid w:val="00D8552D"/>
    <w:rsid w:val="00D8558D"/>
    <w:rsid w:val="00D857EE"/>
    <w:rsid w:val="00D8590B"/>
    <w:rsid w:val="00D85AE7"/>
    <w:rsid w:val="00D85B4C"/>
    <w:rsid w:val="00D85C77"/>
    <w:rsid w:val="00D85CB8"/>
    <w:rsid w:val="00D85D71"/>
    <w:rsid w:val="00D85E6F"/>
    <w:rsid w:val="00D85F47"/>
    <w:rsid w:val="00D86142"/>
    <w:rsid w:val="00D86183"/>
    <w:rsid w:val="00D86352"/>
    <w:rsid w:val="00D86772"/>
    <w:rsid w:val="00D867C0"/>
    <w:rsid w:val="00D868C9"/>
    <w:rsid w:val="00D86A6A"/>
    <w:rsid w:val="00D86D30"/>
    <w:rsid w:val="00D86DA4"/>
    <w:rsid w:val="00D87012"/>
    <w:rsid w:val="00D8701D"/>
    <w:rsid w:val="00D87071"/>
    <w:rsid w:val="00D87091"/>
    <w:rsid w:val="00D87117"/>
    <w:rsid w:val="00D8727C"/>
    <w:rsid w:val="00D8742E"/>
    <w:rsid w:val="00D87917"/>
    <w:rsid w:val="00D879B6"/>
    <w:rsid w:val="00D87AFB"/>
    <w:rsid w:val="00D87C94"/>
    <w:rsid w:val="00D87EE0"/>
    <w:rsid w:val="00D87F5B"/>
    <w:rsid w:val="00D87F9C"/>
    <w:rsid w:val="00D87FBA"/>
    <w:rsid w:val="00D90170"/>
    <w:rsid w:val="00D903D8"/>
    <w:rsid w:val="00D9041B"/>
    <w:rsid w:val="00D90427"/>
    <w:rsid w:val="00D90553"/>
    <w:rsid w:val="00D905E1"/>
    <w:rsid w:val="00D9062A"/>
    <w:rsid w:val="00D906A9"/>
    <w:rsid w:val="00D90A8E"/>
    <w:rsid w:val="00D90A97"/>
    <w:rsid w:val="00D90B30"/>
    <w:rsid w:val="00D90B8A"/>
    <w:rsid w:val="00D90DBB"/>
    <w:rsid w:val="00D90E00"/>
    <w:rsid w:val="00D90E45"/>
    <w:rsid w:val="00D90FB8"/>
    <w:rsid w:val="00D9106F"/>
    <w:rsid w:val="00D9141D"/>
    <w:rsid w:val="00D9145B"/>
    <w:rsid w:val="00D914FF"/>
    <w:rsid w:val="00D915A3"/>
    <w:rsid w:val="00D916DD"/>
    <w:rsid w:val="00D91908"/>
    <w:rsid w:val="00D91969"/>
    <w:rsid w:val="00D91A4B"/>
    <w:rsid w:val="00D91A88"/>
    <w:rsid w:val="00D91BBC"/>
    <w:rsid w:val="00D91C14"/>
    <w:rsid w:val="00D91CC9"/>
    <w:rsid w:val="00D91D00"/>
    <w:rsid w:val="00D91F5F"/>
    <w:rsid w:val="00D92199"/>
    <w:rsid w:val="00D9232C"/>
    <w:rsid w:val="00D924B0"/>
    <w:rsid w:val="00D924E8"/>
    <w:rsid w:val="00D92556"/>
    <w:rsid w:val="00D92717"/>
    <w:rsid w:val="00D928E6"/>
    <w:rsid w:val="00D92AC8"/>
    <w:rsid w:val="00D92ACE"/>
    <w:rsid w:val="00D92B33"/>
    <w:rsid w:val="00D92BE5"/>
    <w:rsid w:val="00D92BF2"/>
    <w:rsid w:val="00D92EE4"/>
    <w:rsid w:val="00D930F7"/>
    <w:rsid w:val="00D931EB"/>
    <w:rsid w:val="00D93440"/>
    <w:rsid w:val="00D93635"/>
    <w:rsid w:val="00D93660"/>
    <w:rsid w:val="00D936D8"/>
    <w:rsid w:val="00D93745"/>
    <w:rsid w:val="00D93841"/>
    <w:rsid w:val="00D93A09"/>
    <w:rsid w:val="00D93AAB"/>
    <w:rsid w:val="00D93ADD"/>
    <w:rsid w:val="00D93BBA"/>
    <w:rsid w:val="00D93C59"/>
    <w:rsid w:val="00D93CE7"/>
    <w:rsid w:val="00D93CF2"/>
    <w:rsid w:val="00D93DA3"/>
    <w:rsid w:val="00D93DB6"/>
    <w:rsid w:val="00D93DFD"/>
    <w:rsid w:val="00D940D5"/>
    <w:rsid w:val="00D94115"/>
    <w:rsid w:val="00D942E7"/>
    <w:rsid w:val="00D9458A"/>
    <w:rsid w:val="00D945E0"/>
    <w:rsid w:val="00D946C9"/>
    <w:rsid w:val="00D947D8"/>
    <w:rsid w:val="00D948A7"/>
    <w:rsid w:val="00D949D2"/>
    <w:rsid w:val="00D94CF3"/>
    <w:rsid w:val="00D94DAF"/>
    <w:rsid w:val="00D94DD9"/>
    <w:rsid w:val="00D94F0D"/>
    <w:rsid w:val="00D94FB0"/>
    <w:rsid w:val="00D94FBC"/>
    <w:rsid w:val="00D950C2"/>
    <w:rsid w:val="00D9525C"/>
    <w:rsid w:val="00D9535E"/>
    <w:rsid w:val="00D9554E"/>
    <w:rsid w:val="00D95587"/>
    <w:rsid w:val="00D95632"/>
    <w:rsid w:val="00D95641"/>
    <w:rsid w:val="00D9575D"/>
    <w:rsid w:val="00D95AE9"/>
    <w:rsid w:val="00D95BB5"/>
    <w:rsid w:val="00D95CDA"/>
    <w:rsid w:val="00D95CED"/>
    <w:rsid w:val="00D95EDE"/>
    <w:rsid w:val="00D95EE4"/>
    <w:rsid w:val="00D9610F"/>
    <w:rsid w:val="00D961C6"/>
    <w:rsid w:val="00D962C4"/>
    <w:rsid w:val="00D962F1"/>
    <w:rsid w:val="00D96655"/>
    <w:rsid w:val="00D966BE"/>
    <w:rsid w:val="00D967A8"/>
    <w:rsid w:val="00D967E8"/>
    <w:rsid w:val="00D96864"/>
    <w:rsid w:val="00D9689C"/>
    <w:rsid w:val="00D96A56"/>
    <w:rsid w:val="00D96BBE"/>
    <w:rsid w:val="00D96C23"/>
    <w:rsid w:val="00D96F0B"/>
    <w:rsid w:val="00D96FD2"/>
    <w:rsid w:val="00D97088"/>
    <w:rsid w:val="00D970C2"/>
    <w:rsid w:val="00D9736D"/>
    <w:rsid w:val="00D974E0"/>
    <w:rsid w:val="00D975EC"/>
    <w:rsid w:val="00D9762D"/>
    <w:rsid w:val="00D977E5"/>
    <w:rsid w:val="00D97B6B"/>
    <w:rsid w:val="00D97B72"/>
    <w:rsid w:val="00D97B88"/>
    <w:rsid w:val="00D97C21"/>
    <w:rsid w:val="00D97D4F"/>
    <w:rsid w:val="00D97DDC"/>
    <w:rsid w:val="00D97E5B"/>
    <w:rsid w:val="00DA01CE"/>
    <w:rsid w:val="00DA02BC"/>
    <w:rsid w:val="00DA031F"/>
    <w:rsid w:val="00DA058E"/>
    <w:rsid w:val="00DA0592"/>
    <w:rsid w:val="00DA0680"/>
    <w:rsid w:val="00DA06B4"/>
    <w:rsid w:val="00DA06EF"/>
    <w:rsid w:val="00DA06F3"/>
    <w:rsid w:val="00DA0973"/>
    <w:rsid w:val="00DA0AAA"/>
    <w:rsid w:val="00DA0B40"/>
    <w:rsid w:val="00DA0F9E"/>
    <w:rsid w:val="00DA10FD"/>
    <w:rsid w:val="00DA1125"/>
    <w:rsid w:val="00DA11DD"/>
    <w:rsid w:val="00DA1291"/>
    <w:rsid w:val="00DA12B6"/>
    <w:rsid w:val="00DA14F9"/>
    <w:rsid w:val="00DA155C"/>
    <w:rsid w:val="00DA1747"/>
    <w:rsid w:val="00DA1756"/>
    <w:rsid w:val="00DA17E6"/>
    <w:rsid w:val="00DA1888"/>
    <w:rsid w:val="00DA1A2B"/>
    <w:rsid w:val="00DA1A8C"/>
    <w:rsid w:val="00DA1B2A"/>
    <w:rsid w:val="00DA1BE1"/>
    <w:rsid w:val="00DA1EC6"/>
    <w:rsid w:val="00DA2005"/>
    <w:rsid w:val="00DA2054"/>
    <w:rsid w:val="00DA207E"/>
    <w:rsid w:val="00DA2111"/>
    <w:rsid w:val="00DA2192"/>
    <w:rsid w:val="00DA21EE"/>
    <w:rsid w:val="00DA2365"/>
    <w:rsid w:val="00DA26A7"/>
    <w:rsid w:val="00DA2706"/>
    <w:rsid w:val="00DA27B9"/>
    <w:rsid w:val="00DA28E6"/>
    <w:rsid w:val="00DA291B"/>
    <w:rsid w:val="00DA2942"/>
    <w:rsid w:val="00DA2967"/>
    <w:rsid w:val="00DA2A76"/>
    <w:rsid w:val="00DA2AAC"/>
    <w:rsid w:val="00DA2C19"/>
    <w:rsid w:val="00DA2DFD"/>
    <w:rsid w:val="00DA2E66"/>
    <w:rsid w:val="00DA2E9B"/>
    <w:rsid w:val="00DA320C"/>
    <w:rsid w:val="00DA32FF"/>
    <w:rsid w:val="00DA347B"/>
    <w:rsid w:val="00DA35B5"/>
    <w:rsid w:val="00DA3649"/>
    <w:rsid w:val="00DA39C2"/>
    <w:rsid w:val="00DA3B08"/>
    <w:rsid w:val="00DA3C84"/>
    <w:rsid w:val="00DA3E64"/>
    <w:rsid w:val="00DA3EFC"/>
    <w:rsid w:val="00DA4248"/>
    <w:rsid w:val="00DA42D8"/>
    <w:rsid w:val="00DA459E"/>
    <w:rsid w:val="00DA475D"/>
    <w:rsid w:val="00DA478C"/>
    <w:rsid w:val="00DA4C34"/>
    <w:rsid w:val="00DA4D13"/>
    <w:rsid w:val="00DA4E61"/>
    <w:rsid w:val="00DA4F3A"/>
    <w:rsid w:val="00DA4F6D"/>
    <w:rsid w:val="00DA5036"/>
    <w:rsid w:val="00DA50AD"/>
    <w:rsid w:val="00DA50E3"/>
    <w:rsid w:val="00DA512C"/>
    <w:rsid w:val="00DA5581"/>
    <w:rsid w:val="00DA57DC"/>
    <w:rsid w:val="00DA5807"/>
    <w:rsid w:val="00DA5875"/>
    <w:rsid w:val="00DA5893"/>
    <w:rsid w:val="00DA58F9"/>
    <w:rsid w:val="00DA5989"/>
    <w:rsid w:val="00DA59CB"/>
    <w:rsid w:val="00DA5C68"/>
    <w:rsid w:val="00DA5D57"/>
    <w:rsid w:val="00DA6014"/>
    <w:rsid w:val="00DA6150"/>
    <w:rsid w:val="00DA6288"/>
    <w:rsid w:val="00DA6315"/>
    <w:rsid w:val="00DA6357"/>
    <w:rsid w:val="00DA63CA"/>
    <w:rsid w:val="00DA64A5"/>
    <w:rsid w:val="00DA66ED"/>
    <w:rsid w:val="00DA6765"/>
    <w:rsid w:val="00DA67C7"/>
    <w:rsid w:val="00DA6836"/>
    <w:rsid w:val="00DA69F2"/>
    <w:rsid w:val="00DA6C4A"/>
    <w:rsid w:val="00DA6CA1"/>
    <w:rsid w:val="00DA6D30"/>
    <w:rsid w:val="00DA6F12"/>
    <w:rsid w:val="00DA6FF1"/>
    <w:rsid w:val="00DA6FFB"/>
    <w:rsid w:val="00DA709F"/>
    <w:rsid w:val="00DA70B5"/>
    <w:rsid w:val="00DA7102"/>
    <w:rsid w:val="00DA723C"/>
    <w:rsid w:val="00DA7293"/>
    <w:rsid w:val="00DA72E8"/>
    <w:rsid w:val="00DA75E8"/>
    <w:rsid w:val="00DA7701"/>
    <w:rsid w:val="00DA7745"/>
    <w:rsid w:val="00DA7A3E"/>
    <w:rsid w:val="00DA7C15"/>
    <w:rsid w:val="00DA7FEB"/>
    <w:rsid w:val="00DB003C"/>
    <w:rsid w:val="00DB0108"/>
    <w:rsid w:val="00DB013C"/>
    <w:rsid w:val="00DB0296"/>
    <w:rsid w:val="00DB04B3"/>
    <w:rsid w:val="00DB06C9"/>
    <w:rsid w:val="00DB0722"/>
    <w:rsid w:val="00DB075B"/>
    <w:rsid w:val="00DB0815"/>
    <w:rsid w:val="00DB081A"/>
    <w:rsid w:val="00DB0A74"/>
    <w:rsid w:val="00DB0B52"/>
    <w:rsid w:val="00DB0DCB"/>
    <w:rsid w:val="00DB0E1A"/>
    <w:rsid w:val="00DB0FF2"/>
    <w:rsid w:val="00DB11B2"/>
    <w:rsid w:val="00DB1280"/>
    <w:rsid w:val="00DB1437"/>
    <w:rsid w:val="00DB154E"/>
    <w:rsid w:val="00DB1572"/>
    <w:rsid w:val="00DB1721"/>
    <w:rsid w:val="00DB17F0"/>
    <w:rsid w:val="00DB1845"/>
    <w:rsid w:val="00DB1A8A"/>
    <w:rsid w:val="00DB1C51"/>
    <w:rsid w:val="00DB1CE5"/>
    <w:rsid w:val="00DB1E91"/>
    <w:rsid w:val="00DB1EAD"/>
    <w:rsid w:val="00DB1F72"/>
    <w:rsid w:val="00DB2086"/>
    <w:rsid w:val="00DB214C"/>
    <w:rsid w:val="00DB2673"/>
    <w:rsid w:val="00DB267C"/>
    <w:rsid w:val="00DB2688"/>
    <w:rsid w:val="00DB26B9"/>
    <w:rsid w:val="00DB280A"/>
    <w:rsid w:val="00DB2918"/>
    <w:rsid w:val="00DB2D5A"/>
    <w:rsid w:val="00DB2E8E"/>
    <w:rsid w:val="00DB3001"/>
    <w:rsid w:val="00DB3021"/>
    <w:rsid w:val="00DB3113"/>
    <w:rsid w:val="00DB31CE"/>
    <w:rsid w:val="00DB31ED"/>
    <w:rsid w:val="00DB3409"/>
    <w:rsid w:val="00DB349C"/>
    <w:rsid w:val="00DB34EB"/>
    <w:rsid w:val="00DB34EE"/>
    <w:rsid w:val="00DB35A3"/>
    <w:rsid w:val="00DB3621"/>
    <w:rsid w:val="00DB365D"/>
    <w:rsid w:val="00DB39A0"/>
    <w:rsid w:val="00DB39CD"/>
    <w:rsid w:val="00DB3AA7"/>
    <w:rsid w:val="00DB3C28"/>
    <w:rsid w:val="00DB3CA0"/>
    <w:rsid w:val="00DB3DC4"/>
    <w:rsid w:val="00DB3F29"/>
    <w:rsid w:val="00DB3F70"/>
    <w:rsid w:val="00DB3FD5"/>
    <w:rsid w:val="00DB410B"/>
    <w:rsid w:val="00DB422A"/>
    <w:rsid w:val="00DB43BD"/>
    <w:rsid w:val="00DB4410"/>
    <w:rsid w:val="00DB443B"/>
    <w:rsid w:val="00DB4791"/>
    <w:rsid w:val="00DB49F4"/>
    <w:rsid w:val="00DB4B74"/>
    <w:rsid w:val="00DB4E11"/>
    <w:rsid w:val="00DB4E5A"/>
    <w:rsid w:val="00DB4FAC"/>
    <w:rsid w:val="00DB4FF5"/>
    <w:rsid w:val="00DB5041"/>
    <w:rsid w:val="00DB5103"/>
    <w:rsid w:val="00DB5117"/>
    <w:rsid w:val="00DB5357"/>
    <w:rsid w:val="00DB5482"/>
    <w:rsid w:val="00DB5680"/>
    <w:rsid w:val="00DB56AC"/>
    <w:rsid w:val="00DB57D3"/>
    <w:rsid w:val="00DB5851"/>
    <w:rsid w:val="00DB5878"/>
    <w:rsid w:val="00DB5988"/>
    <w:rsid w:val="00DB599D"/>
    <w:rsid w:val="00DB5A1C"/>
    <w:rsid w:val="00DB5B4B"/>
    <w:rsid w:val="00DB5BDE"/>
    <w:rsid w:val="00DB5C76"/>
    <w:rsid w:val="00DB5C8E"/>
    <w:rsid w:val="00DB5D8D"/>
    <w:rsid w:val="00DB5EBE"/>
    <w:rsid w:val="00DB5EDF"/>
    <w:rsid w:val="00DB5F90"/>
    <w:rsid w:val="00DB5FAB"/>
    <w:rsid w:val="00DB5FC5"/>
    <w:rsid w:val="00DB6031"/>
    <w:rsid w:val="00DB6396"/>
    <w:rsid w:val="00DB63E9"/>
    <w:rsid w:val="00DB664A"/>
    <w:rsid w:val="00DB66C5"/>
    <w:rsid w:val="00DB69AA"/>
    <w:rsid w:val="00DB6B61"/>
    <w:rsid w:val="00DB6B89"/>
    <w:rsid w:val="00DB6BBF"/>
    <w:rsid w:val="00DB6C1F"/>
    <w:rsid w:val="00DB6C4B"/>
    <w:rsid w:val="00DB6D68"/>
    <w:rsid w:val="00DB6D91"/>
    <w:rsid w:val="00DB6E5D"/>
    <w:rsid w:val="00DB70A1"/>
    <w:rsid w:val="00DB70A9"/>
    <w:rsid w:val="00DB71CD"/>
    <w:rsid w:val="00DB72D3"/>
    <w:rsid w:val="00DB7364"/>
    <w:rsid w:val="00DB7463"/>
    <w:rsid w:val="00DB74E3"/>
    <w:rsid w:val="00DB74E4"/>
    <w:rsid w:val="00DB7566"/>
    <w:rsid w:val="00DB7592"/>
    <w:rsid w:val="00DB7814"/>
    <w:rsid w:val="00DB78C2"/>
    <w:rsid w:val="00DB78CA"/>
    <w:rsid w:val="00DB7A22"/>
    <w:rsid w:val="00DB7B13"/>
    <w:rsid w:val="00DB7BDD"/>
    <w:rsid w:val="00DB7CFC"/>
    <w:rsid w:val="00DB7F7A"/>
    <w:rsid w:val="00DB7FEE"/>
    <w:rsid w:val="00DBF2AF"/>
    <w:rsid w:val="00DC000D"/>
    <w:rsid w:val="00DC0041"/>
    <w:rsid w:val="00DC00C3"/>
    <w:rsid w:val="00DC0130"/>
    <w:rsid w:val="00DC0137"/>
    <w:rsid w:val="00DC01D4"/>
    <w:rsid w:val="00DC029C"/>
    <w:rsid w:val="00DC0348"/>
    <w:rsid w:val="00DC042E"/>
    <w:rsid w:val="00DC0616"/>
    <w:rsid w:val="00DC062C"/>
    <w:rsid w:val="00DC0688"/>
    <w:rsid w:val="00DC0807"/>
    <w:rsid w:val="00DC08D4"/>
    <w:rsid w:val="00DC08F4"/>
    <w:rsid w:val="00DC0971"/>
    <w:rsid w:val="00DC0A06"/>
    <w:rsid w:val="00DC0A33"/>
    <w:rsid w:val="00DC0A3D"/>
    <w:rsid w:val="00DC0C69"/>
    <w:rsid w:val="00DC0CD0"/>
    <w:rsid w:val="00DC0D08"/>
    <w:rsid w:val="00DC0F14"/>
    <w:rsid w:val="00DC0FF2"/>
    <w:rsid w:val="00DC1137"/>
    <w:rsid w:val="00DC11FB"/>
    <w:rsid w:val="00DC123F"/>
    <w:rsid w:val="00DC1327"/>
    <w:rsid w:val="00DC132A"/>
    <w:rsid w:val="00DC133F"/>
    <w:rsid w:val="00DC14AF"/>
    <w:rsid w:val="00DC1511"/>
    <w:rsid w:val="00DC1641"/>
    <w:rsid w:val="00DC16D5"/>
    <w:rsid w:val="00DC1720"/>
    <w:rsid w:val="00DC1783"/>
    <w:rsid w:val="00DC17D8"/>
    <w:rsid w:val="00DC1C10"/>
    <w:rsid w:val="00DC205A"/>
    <w:rsid w:val="00DC231D"/>
    <w:rsid w:val="00DC23B6"/>
    <w:rsid w:val="00DC242D"/>
    <w:rsid w:val="00DC2437"/>
    <w:rsid w:val="00DC2543"/>
    <w:rsid w:val="00DC28BC"/>
    <w:rsid w:val="00DC28C4"/>
    <w:rsid w:val="00DC296A"/>
    <w:rsid w:val="00DC2999"/>
    <w:rsid w:val="00DC2D0E"/>
    <w:rsid w:val="00DC2DB4"/>
    <w:rsid w:val="00DC2E78"/>
    <w:rsid w:val="00DC2EA9"/>
    <w:rsid w:val="00DC2EAF"/>
    <w:rsid w:val="00DC2EF3"/>
    <w:rsid w:val="00DC3054"/>
    <w:rsid w:val="00DC306C"/>
    <w:rsid w:val="00DC31E9"/>
    <w:rsid w:val="00DC32FF"/>
    <w:rsid w:val="00DC3633"/>
    <w:rsid w:val="00DC3668"/>
    <w:rsid w:val="00DC3669"/>
    <w:rsid w:val="00DC3789"/>
    <w:rsid w:val="00DC388B"/>
    <w:rsid w:val="00DC39FC"/>
    <w:rsid w:val="00DC3A0C"/>
    <w:rsid w:val="00DC3AE1"/>
    <w:rsid w:val="00DC3AE4"/>
    <w:rsid w:val="00DC3B56"/>
    <w:rsid w:val="00DC3BC3"/>
    <w:rsid w:val="00DC3BCF"/>
    <w:rsid w:val="00DC3C25"/>
    <w:rsid w:val="00DC3CA5"/>
    <w:rsid w:val="00DC3CDF"/>
    <w:rsid w:val="00DC3EB0"/>
    <w:rsid w:val="00DC3EDF"/>
    <w:rsid w:val="00DC3F9C"/>
    <w:rsid w:val="00DC4108"/>
    <w:rsid w:val="00DC4167"/>
    <w:rsid w:val="00DC41FD"/>
    <w:rsid w:val="00DC42BF"/>
    <w:rsid w:val="00DC43BB"/>
    <w:rsid w:val="00DC45B8"/>
    <w:rsid w:val="00DC45F9"/>
    <w:rsid w:val="00DC4699"/>
    <w:rsid w:val="00DC46A2"/>
    <w:rsid w:val="00DC4839"/>
    <w:rsid w:val="00DC4A69"/>
    <w:rsid w:val="00DC4B84"/>
    <w:rsid w:val="00DC4B9D"/>
    <w:rsid w:val="00DC4BAC"/>
    <w:rsid w:val="00DC4CE1"/>
    <w:rsid w:val="00DC4D38"/>
    <w:rsid w:val="00DC4DA8"/>
    <w:rsid w:val="00DC4E3A"/>
    <w:rsid w:val="00DC4E49"/>
    <w:rsid w:val="00DC4EC7"/>
    <w:rsid w:val="00DC4F64"/>
    <w:rsid w:val="00DC50C5"/>
    <w:rsid w:val="00DC5180"/>
    <w:rsid w:val="00DC51B2"/>
    <w:rsid w:val="00DC554D"/>
    <w:rsid w:val="00DC555E"/>
    <w:rsid w:val="00DC56DF"/>
    <w:rsid w:val="00DC57F7"/>
    <w:rsid w:val="00DC586D"/>
    <w:rsid w:val="00DC5955"/>
    <w:rsid w:val="00DC5ACF"/>
    <w:rsid w:val="00DC5AED"/>
    <w:rsid w:val="00DC5B71"/>
    <w:rsid w:val="00DC5C70"/>
    <w:rsid w:val="00DC5C9D"/>
    <w:rsid w:val="00DC5D6D"/>
    <w:rsid w:val="00DC6342"/>
    <w:rsid w:val="00DC64A7"/>
    <w:rsid w:val="00DC64BF"/>
    <w:rsid w:val="00DC65F1"/>
    <w:rsid w:val="00DC662D"/>
    <w:rsid w:val="00DC67DF"/>
    <w:rsid w:val="00DC68C0"/>
    <w:rsid w:val="00DC6914"/>
    <w:rsid w:val="00DC6C8B"/>
    <w:rsid w:val="00DC6E0A"/>
    <w:rsid w:val="00DC6E52"/>
    <w:rsid w:val="00DC6F64"/>
    <w:rsid w:val="00DC6FF4"/>
    <w:rsid w:val="00DC70F5"/>
    <w:rsid w:val="00DC712D"/>
    <w:rsid w:val="00DC7303"/>
    <w:rsid w:val="00DC7381"/>
    <w:rsid w:val="00DC75A0"/>
    <w:rsid w:val="00DC7604"/>
    <w:rsid w:val="00DC7627"/>
    <w:rsid w:val="00DC76DC"/>
    <w:rsid w:val="00DC779D"/>
    <w:rsid w:val="00DC7896"/>
    <w:rsid w:val="00DC7BB4"/>
    <w:rsid w:val="00DC7D33"/>
    <w:rsid w:val="00DC7EFA"/>
    <w:rsid w:val="00DC7F57"/>
    <w:rsid w:val="00DC7F86"/>
    <w:rsid w:val="00DD00E9"/>
    <w:rsid w:val="00DD02D3"/>
    <w:rsid w:val="00DD0426"/>
    <w:rsid w:val="00DD052C"/>
    <w:rsid w:val="00DD081C"/>
    <w:rsid w:val="00DD08F3"/>
    <w:rsid w:val="00DD0953"/>
    <w:rsid w:val="00DD0AAC"/>
    <w:rsid w:val="00DD0B6D"/>
    <w:rsid w:val="00DD0D0C"/>
    <w:rsid w:val="00DD0DE7"/>
    <w:rsid w:val="00DD0EAC"/>
    <w:rsid w:val="00DD0F05"/>
    <w:rsid w:val="00DD1051"/>
    <w:rsid w:val="00DD127C"/>
    <w:rsid w:val="00DD12BC"/>
    <w:rsid w:val="00DD1316"/>
    <w:rsid w:val="00DD14D4"/>
    <w:rsid w:val="00DD160C"/>
    <w:rsid w:val="00DD1716"/>
    <w:rsid w:val="00DD18E7"/>
    <w:rsid w:val="00DD1A95"/>
    <w:rsid w:val="00DD1B00"/>
    <w:rsid w:val="00DD1B07"/>
    <w:rsid w:val="00DD1B9C"/>
    <w:rsid w:val="00DD1BED"/>
    <w:rsid w:val="00DD1BF1"/>
    <w:rsid w:val="00DD1C78"/>
    <w:rsid w:val="00DD1DB2"/>
    <w:rsid w:val="00DD1F47"/>
    <w:rsid w:val="00DD1F72"/>
    <w:rsid w:val="00DD22FA"/>
    <w:rsid w:val="00DD2513"/>
    <w:rsid w:val="00DD276B"/>
    <w:rsid w:val="00DD27CF"/>
    <w:rsid w:val="00DD27F0"/>
    <w:rsid w:val="00DD287C"/>
    <w:rsid w:val="00DD2888"/>
    <w:rsid w:val="00DD2A9A"/>
    <w:rsid w:val="00DD2C81"/>
    <w:rsid w:val="00DD2C9D"/>
    <w:rsid w:val="00DD2DBE"/>
    <w:rsid w:val="00DD2E82"/>
    <w:rsid w:val="00DD2EEF"/>
    <w:rsid w:val="00DD2FBE"/>
    <w:rsid w:val="00DD2FDF"/>
    <w:rsid w:val="00DD3021"/>
    <w:rsid w:val="00DD30B4"/>
    <w:rsid w:val="00DD30EF"/>
    <w:rsid w:val="00DD3179"/>
    <w:rsid w:val="00DD31D3"/>
    <w:rsid w:val="00DD33E1"/>
    <w:rsid w:val="00DD3484"/>
    <w:rsid w:val="00DD34C0"/>
    <w:rsid w:val="00DD3527"/>
    <w:rsid w:val="00DD361B"/>
    <w:rsid w:val="00DD3641"/>
    <w:rsid w:val="00DD364C"/>
    <w:rsid w:val="00DD36D8"/>
    <w:rsid w:val="00DD38D9"/>
    <w:rsid w:val="00DD3A1C"/>
    <w:rsid w:val="00DD3A87"/>
    <w:rsid w:val="00DD3BFD"/>
    <w:rsid w:val="00DD3D95"/>
    <w:rsid w:val="00DD3F76"/>
    <w:rsid w:val="00DD40E2"/>
    <w:rsid w:val="00DD41AF"/>
    <w:rsid w:val="00DD41DD"/>
    <w:rsid w:val="00DD469D"/>
    <w:rsid w:val="00DD472B"/>
    <w:rsid w:val="00DD492A"/>
    <w:rsid w:val="00DD4999"/>
    <w:rsid w:val="00DD4A82"/>
    <w:rsid w:val="00DD4B3E"/>
    <w:rsid w:val="00DD4FB4"/>
    <w:rsid w:val="00DD55CD"/>
    <w:rsid w:val="00DD5720"/>
    <w:rsid w:val="00DD58AA"/>
    <w:rsid w:val="00DD5AA8"/>
    <w:rsid w:val="00DD5B09"/>
    <w:rsid w:val="00DD5B7D"/>
    <w:rsid w:val="00DD5C74"/>
    <w:rsid w:val="00DD5D2E"/>
    <w:rsid w:val="00DD5DCB"/>
    <w:rsid w:val="00DD5DE0"/>
    <w:rsid w:val="00DD5F62"/>
    <w:rsid w:val="00DD5F70"/>
    <w:rsid w:val="00DD6164"/>
    <w:rsid w:val="00DD61B2"/>
    <w:rsid w:val="00DD6220"/>
    <w:rsid w:val="00DD6274"/>
    <w:rsid w:val="00DD62D2"/>
    <w:rsid w:val="00DD648F"/>
    <w:rsid w:val="00DD64EB"/>
    <w:rsid w:val="00DD658F"/>
    <w:rsid w:val="00DD659F"/>
    <w:rsid w:val="00DD65C1"/>
    <w:rsid w:val="00DD65DE"/>
    <w:rsid w:val="00DD6629"/>
    <w:rsid w:val="00DD67BB"/>
    <w:rsid w:val="00DD6A41"/>
    <w:rsid w:val="00DD6AB7"/>
    <w:rsid w:val="00DD6AFC"/>
    <w:rsid w:val="00DD6C71"/>
    <w:rsid w:val="00DD6D91"/>
    <w:rsid w:val="00DD6DC0"/>
    <w:rsid w:val="00DD6E8A"/>
    <w:rsid w:val="00DD7572"/>
    <w:rsid w:val="00DD7866"/>
    <w:rsid w:val="00DD788B"/>
    <w:rsid w:val="00DD799E"/>
    <w:rsid w:val="00DD7B43"/>
    <w:rsid w:val="00DD7C97"/>
    <w:rsid w:val="00DD7CE8"/>
    <w:rsid w:val="00DD7D58"/>
    <w:rsid w:val="00DD7DAF"/>
    <w:rsid w:val="00DD7DD8"/>
    <w:rsid w:val="00DE0074"/>
    <w:rsid w:val="00DE0161"/>
    <w:rsid w:val="00DE0254"/>
    <w:rsid w:val="00DE02D6"/>
    <w:rsid w:val="00DE0322"/>
    <w:rsid w:val="00DE043E"/>
    <w:rsid w:val="00DE0465"/>
    <w:rsid w:val="00DE04F6"/>
    <w:rsid w:val="00DE0540"/>
    <w:rsid w:val="00DE0636"/>
    <w:rsid w:val="00DE06E9"/>
    <w:rsid w:val="00DE071D"/>
    <w:rsid w:val="00DE07C8"/>
    <w:rsid w:val="00DE0E48"/>
    <w:rsid w:val="00DE0E4C"/>
    <w:rsid w:val="00DE121A"/>
    <w:rsid w:val="00DE1305"/>
    <w:rsid w:val="00DE14AD"/>
    <w:rsid w:val="00DE14ED"/>
    <w:rsid w:val="00DE1533"/>
    <w:rsid w:val="00DE16ED"/>
    <w:rsid w:val="00DE17AD"/>
    <w:rsid w:val="00DE18ED"/>
    <w:rsid w:val="00DE19EA"/>
    <w:rsid w:val="00DE1A1A"/>
    <w:rsid w:val="00DE1A1D"/>
    <w:rsid w:val="00DE1C20"/>
    <w:rsid w:val="00DE1C39"/>
    <w:rsid w:val="00DE1EAA"/>
    <w:rsid w:val="00DE21B6"/>
    <w:rsid w:val="00DE2413"/>
    <w:rsid w:val="00DE2483"/>
    <w:rsid w:val="00DE2496"/>
    <w:rsid w:val="00DE26DA"/>
    <w:rsid w:val="00DE274C"/>
    <w:rsid w:val="00DE27AB"/>
    <w:rsid w:val="00DE283B"/>
    <w:rsid w:val="00DE28A4"/>
    <w:rsid w:val="00DE29E0"/>
    <w:rsid w:val="00DE2A32"/>
    <w:rsid w:val="00DE2C48"/>
    <w:rsid w:val="00DE2C80"/>
    <w:rsid w:val="00DE2CCF"/>
    <w:rsid w:val="00DE2F07"/>
    <w:rsid w:val="00DE2F24"/>
    <w:rsid w:val="00DE316B"/>
    <w:rsid w:val="00DE317A"/>
    <w:rsid w:val="00DE31D5"/>
    <w:rsid w:val="00DE34F3"/>
    <w:rsid w:val="00DE357C"/>
    <w:rsid w:val="00DE3634"/>
    <w:rsid w:val="00DE370D"/>
    <w:rsid w:val="00DE37C7"/>
    <w:rsid w:val="00DE38AA"/>
    <w:rsid w:val="00DE3B2C"/>
    <w:rsid w:val="00DE3D18"/>
    <w:rsid w:val="00DE3D92"/>
    <w:rsid w:val="00DE3F77"/>
    <w:rsid w:val="00DE4120"/>
    <w:rsid w:val="00DE428D"/>
    <w:rsid w:val="00DE4314"/>
    <w:rsid w:val="00DE432F"/>
    <w:rsid w:val="00DE4351"/>
    <w:rsid w:val="00DE4501"/>
    <w:rsid w:val="00DE4554"/>
    <w:rsid w:val="00DE4583"/>
    <w:rsid w:val="00DE479D"/>
    <w:rsid w:val="00DE488F"/>
    <w:rsid w:val="00DE4974"/>
    <w:rsid w:val="00DE4E0D"/>
    <w:rsid w:val="00DE4F7E"/>
    <w:rsid w:val="00DE5177"/>
    <w:rsid w:val="00DE51FD"/>
    <w:rsid w:val="00DE5245"/>
    <w:rsid w:val="00DE542D"/>
    <w:rsid w:val="00DE55FC"/>
    <w:rsid w:val="00DE55FE"/>
    <w:rsid w:val="00DE563F"/>
    <w:rsid w:val="00DE583C"/>
    <w:rsid w:val="00DE5B58"/>
    <w:rsid w:val="00DE5C4E"/>
    <w:rsid w:val="00DE5CB8"/>
    <w:rsid w:val="00DE5E1B"/>
    <w:rsid w:val="00DE5E90"/>
    <w:rsid w:val="00DE5FF8"/>
    <w:rsid w:val="00DE619E"/>
    <w:rsid w:val="00DE61D1"/>
    <w:rsid w:val="00DE61DB"/>
    <w:rsid w:val="00DE6417"/>
    <w:rsid w:val="00DE663A"/>
    <w:rsid w:val="00DE666B"/>
    <w:rsid w:val="00DE66D3"/>
    <w:rsid w:val="00DE6708"/>
    <w:rsid w:val="00DE68DF"/>
    <w:rsid w:val="00DE6938"/>
    <w:rsid w:val="00DE695C"/>
    <w:rsid w:val="00DE6A00"/>
    <w:rsid w:val="00DE6A2C"/>
    <w:rsid w:val="00DE6AA2"/>
    <w:rsid w:val="00DE6AC0"/>
    <w:rsid w:val="00DE6BE1"/>
    <w:rsid w:val="00DE6C6A"/>
    <w:rsid w:val="00DE6CBE"/>
    <w:rsid w:val="00DE6E36"/>
    <w:rsid w:val="00DE6E68"/>
    <w:rsid w:val="00DE6FD9"/>
    <w:rsid w:val="00DE7099"/>
    <w:rsid w:val="00DE73E5"/>
    <w:rsid w:val="00DE7490"/>
    <w:rsid w:val="00DE7631"/>
    <w:rsid w:val="00DE7711"/>
    <w:rsid w:val="00DE77F5"/>
    <w:rsid w:val="00DE781D"/>
    <w:rsid w:val="00DE7857"/>
    <w:rsid w:val="00DE78BB"/>
    <w:rsid w:val="00DE795A"/>
    <w:rsid w:val="00DE7D5D"/>
    <w:rsid w:val="00DE7DAB"/>
    <w:rsid w:val="00DE7E01"/>
    <w:rsid w:val="00DF0027"/>
    <w:rsid w:val="00DF0079"/>
    <w:rsid w:val="00DF0189"/>
    <w:rsid w:val="00DF01F8"/>
    <w:rsid w:val="00DF0284"/>
    <w:rsid w:val="00DF036B"/>
    <w:rsid w:val="00DF0387"/>
    <w:rsid w:val="00DF0565"/>
    <w:rsid w:val="00DF0846"/>
    <w:rsid w:val="00DF08F7"/>
    <w:rsid w:val="00DF0A6D"/>
    <w:rsid w:val="00DF0C12"/>
    <w:rsid w:val="00DF0ED5"/>
    <w:rsid w:val="00DF0FAA"/>
    <w:rsid w:val="00DF105D"/>
    <w:rsid w:val="00DF117D"/>
    <w:rsid w:val="00DF1239"/>
    <w:rsid w:val="00DF1368"/>
    <w:rsid w:val="00DF1387"/>
    <w:rsid w:val="00DF14AE"/>
    <w:rsid w:val="00DF1542"/>
    <w:rsid w:val="00DF1549"/>
    <w:rsid w:val="00DF15CB"/>
    <w:rsid w:val="00DF1686"/>
    <w:rsid w:val="00DF1721"/>
    <w:rsid w:val="00DF173F"/>
    <w:rsid w:val="00DF176D"/>
    <w:rsid w:val="00DF1B0C"/>
    <w:rsid w:val="00DF1C46"/>
    <w:rsid w:val="00DF1E23"/>
    <w:rsid w:val="00DF1F75"/>
    <w:rsid w:val="00DF202C"/>
    <w:rsid w:val="00DF207C"/>
    <w:rsid w:val="00DF2235"/>
    <w:rsid w:val="00DF2289"/>
    <w:rsid w:val="00DF22DE"/>
    <w:rsid w:val="00DF2357"/>
    <w:rsid w:val="00DF2712"/>
    <w:rsid w:val="00DF271F"/>
    <w:rsid w:val="00DF298C"/>
    <w:rsid w:val="00DF2BA0"/>
    <w:rsid w:val="00DF2D82"/>
    <w:rsid w:val="00DF324A"/>
    <w:rsid w:val="00DF3269"/>
    <w:rsid w:val="00DF32E2"/>
    <w:rsid w:val="00DF3311"/>
    <w:rsid w:val="00DF340D"/>
    <w:rsid w:val="00DF341B"/>
    <w:rsid w:val="00DF341D"/>
    <w:rsid w:val="00DF3446"/>
    <w:rsid w:val="00DF347D"/>
    <w:rsid w:val="00DF3539"/>
    <w:rsid w:val="00DF363A"/>
    <w:rsid w:val="00DF3774"/>
    <w:rsid w:val="00DF3864"/>
    <w:rsid w:val="00DF39E9"/>
    <w:rsid w:val="00DF3A13"/>
    <w:rsid w:val="00DF3A20"/>
    <w:rsid w:val="00DF3ADD"/>
    <w:rsid w:val="00DF3BD1"/>
    <w:rsid w:val="00DF3CB7"/>
    <w:rsid w:val="00DF3D7C"/>
    <w:rsid w:val="00DF3FA3"/>
    <w:rsid w:val="00DF431B"/>
    <w:rsid w:val="00DF49E0"/>
    <w:rsid w:val="00DF4A1E"/>
    <w:rsid w:val="00DF4A8B"/>
    <w:rsid w:val="00DF4C72"/>
    <w:rsid w:val="00DF4D52"/>
    <w:rsid w:val="00DF4DB3"/>
    <w:rsid w:val="00DF4E13"/>
    <w:rsid w:val="00DF4E20"/>
    <w:rsid w:val="00DF4E2C"/>
    <w:rsid w:val="00DF4EE4"/>
    <w:rsid w:val="00DF505E"/>
    <w:rsid w:val="00DF509D"/>
    <w:rsid w:val="00DF50E5"/>
    <w:rsid w:val="00DF54A8"/>
    <w:rsid w:val="00DF56DE"/>
    <w:rsid w:val="00DF586E"/>
    <w:rsid w:val="00DF58C7"/>
    <w:rsid w:val="00DF58D5"/>
    <w:rsid w:val="00DF5953"/>
    <w:rsid w:val="00DF5960"/>
    <w:rsid w:val="00DF59A9"/>
    <w:rsid w:val="00DF5B1C"/>
    <w:rsid w:val="00DF5C88"/>
    <w:rsid w:val="00DF5CC4"/>
    <w:rsid w:val="00DF5D04"/>
    <w:rsid w:val="00DF5ED5"/>
    <w:rsid w:val="00DF5F78"/>
    <w:rsid w:val="00DF60F4"/>
    <w:rsid w:val="00DF61CD"/>
    <w:rsid w:val="00DF62A1"/>
    <w:rsid w:val="00DF631D"/>
    <w:rsid w:val="00DF63B8"/>
    <w:rsid w:val="00DF6566"/>
    <w:rsid w:val="00DF65BE"/>
    <w:rsid w:val="00DF69E7"/>
    <w:rsid w:val="00DF6A68"/>
    <w:rsid w:val="00DF6A89"/>
    <w:rsid w:val="00DF6BB3"/>
    <w:rsid w:val="00DF70D6"/>
    <w:rsid w:val="00DF70E7"/>
    <w:rsid w:val="00DF7222"/>
    <w:rsid w:val="00DF7252"/>
    <w:rsid w:val="00DF74CF"/>
    <w:rsid w:val="00DF74D9"/>
    <w:rsid w:val="00DF781A"/>
    <w:rsid w:val="00DF79B1"/>
    <w:rsid w:val="00DF7AF2"/>
    <w:rsid w:val="00DF7B3A"/>
    <w:rsid w:val="00DF7E0B"/>
    <w:rsid w:val="00DF7E21"/>
    <w:rsid w:val="00DF7E68"/>
    <w:rsid w:val="00DF7EA7"/>
    <w:rsid w:val="00DF7FB6"/>
    <w:rsid w:val="00E0006D"/>
    <w:rsid w:val="00E00170"/>
    <w:rsid w:val="00E001B6"/>
    <w:rsid w:val="00E002F8"/>
    <w:rsid w:val="00E003B0"/>
    <w:rsid w:val="00E003B2"/>
    <w:rsid w:val="00E003DA"/>
    <w:rsid w:val="00E00559"/>
    <w:rsid w:val="00E00805"/>
    <w:rsid w:val="00E0080A"/>
    <w:rsid w:val="00E00849"/>
    <w:rsid w:val="00E00922"/>
    <w:rsid w:val="00E009CE"/>
    <w:rsid w:val="00E00DE7"/>
    <w:rsid w:val="00E00E2D"/>
    <w:rsid w:val="00E00E6D"/>
    <w:rsid w:val="00E01007"/>
    <w:rsid w:val="00E01110"/>
    <w:rsid w:val="00E01250"/>
    <w:rsid w:val="00E01436"/>
    <w:rsid w:val="00E01680"/>
    <w:rsid w:val="00E016A6"/>
    <w:rsid w:val="00E016EE"/>
    <w:rsid w:val="00E0171B"/>
    <w:rsid w:val="00E017EF"/>
    <w:rsid w:val="00E018FE"/>
    <w:rsid w:val="00E01AF9"/>
    <w:rsid w:val="00E01CDD"/>
    <w:rsid w:val="00E01F8E"/>
    <w:rsid w:val="00E02200"/>
    <w:rsid w:val="00E022E3"/>
    <w:rsid w:val="00E0245C"/>
    <w:rsid w:val="00E02494"/>
    <w:rsid w:val="00E025CF"/>
    <w:rsid w:val="00E02636"/>
    <w:rsid w:val="00E02656"/>
    <w:rsid w:val="00E026EF"/>
    <w:rsid w:val="00E02737"/>
    <w:rsid w:val="00E02819"/>
    <w:rsid w:val="00E02A6B"/>
    <w:rsid w:val="00E02B2A"/>
    <w:rsid w:val="00E02BC0"/>
    <w:rsid w:val="00E02BD7"/>
    <w:rsid w:val="00E02C23"/>
    <w:rsid w:val="00E02D92"/>
    <w:rsid w:val="00E02F5A"/>
    <w:rsid w:val="00E030A8"/>
    <w:rsid w:val="00E03118"/>
    <w:rsid w:val="00E031A2"/>
    <w:rsid w:val="00E032ED"/>
    <w:rsid w:val="00E03321"/>
    <w:rsid w:val="00E0351A"/>
    <w:rsid w:val="00E0360B"/>
    <w:rsid w:val="00E03947"/>
    <w:rsid w:val="00E03A96"/>
    <w:rsid w:val="00E03B42"/>
    <w:rsid w:val="00E03BC8"/>
    <w:rsid w:val="00E03CD8"/>
    <w:rsid w:val="00E03F23"/>
    <w:rsid w:val="00E03FAA"/>
    <w:rsid w:val="00E04420"/>
    <w:rsid w:val="00E04595"/>
    <w:rsid w:val="00E045A7"/>
    <w:rsid w:val="00E045AA"/>
    <w:rsid w:val="00E04672"/>
    <w:rsid w:val="00E04810"/>
    <w:rsid w:val="00E048EC"/>
    <w:rsid w:val="00E0496D"/>
    <w:rsid w:val="00E04A1F"/>
    <w:rsid w:val="00E04C46"/>
    <w:rsid w:val="00E04C9B"/>
    <w:rsid w:val="00E04CC1"/>
    <w:rsid w:val="00E04F89"/>
    <w:rsid w:val="00E05014"/>
    <w:rsid w:val="00E0503E"/>
    <w:rsid w:val="00E05069"/>
    <w:rsid w:val="00E052E1"/>
    <w:rsid w:val="00E05364"/>
    <w:rsid w:val="00E054ED"/>
    <w:rsid w:val="00E0572F"/>
    <w:rsid w:val="00E0597D"/>
    <w:rsid w:val="00E059B1"/>
    <w:rsid w:val="00E05B6D"/>
    <w:rsid w:val="00E05D16"/>
    <w:rsid w:val="00E05D56"/>
    <w:rsid w:val="00E05ED3"/>
    <w:rsid w:val="00E063FC"/>
    <w:rsid w:val="00E0651F"/>
    <w:rsid w:val="00E0652A"/>
    <w:rsid w:val="00E06661"/>
    <w:rsid w:val="00E06697"/>
    <w:rsid w:val="00E066B9"/>
    <w:rsid w:val="00E066FD"/>
    <w:rsid w:val="00E0687E"/>
    <w:rsid w:val="00E06926"/>
    <w:rsid w:val="00E06A52"/>
    <w:rsid w:val="00E06C0B"/>
    <w:rsid w:val="00E06DD0"/>
    <w:rsid w:val="00E06E2F"/>
    <w:rsid w:val="00E06E6F"/>
    <w:rsid w:val="00E06FB4"/>
    <w:rsid w:val="00E0704C"/>
    <w:rsid w:val="00E07058"/>
    <w:rsid w:val="00E0707D"/>
    <w:rsid w:val="00E070CA"/>
    <w:rsid w:val="00E071C6"/>
    <w:rsid w:val="00E071F9"/>
    <w:rsid w:val="00E0725A"/>
    <w:rsid w:val="00E07260"/>
    <w:rsid w:val="00E0733D"/>
    <w:rsid w:val="00E07367"/>
    <w:rsid w:val="00E07489"/>
    <w:rsid w:val="00E07541"/>
    <w:rsid w:val="00E07551"/>
    <w:rsid w:val="00E075CE"/>
    <w:rsid w:val="00E07723"/>
    <w:rsid w:val="00E0781C"/>
    <w:rsid w:val="00E0782F"/>
    <w:rsid w:val="00E07864"/>
    <w:rsid w:val="00E078F6"/>
    <w:rsid w:val="00E07986"/>
    <w:rsid w:val="00E079B8"/>
    <w:rsid w:val="00E079E3"/>
    <w:rsid w:val="00E07A73"/>
    <w:rsid w:val="00E07C35"/>
    <w:rsid w:val="00E07DFF"/>
    <w:rsid w:val="00E07E70"/>
    <w:rsid w:val="00E100B7"/>
    <w:rsid w:val="00E1019B"/>
    <w:rsid w:val="00E102CF"/>
    <w:rsid w:val="00E10408"/>
    <w:rsid w:val="00E105A9"/>
    <w:rsid w:val="00E1068F"/>
    <w:rsid w:val="00E106B5"/>
    <w:rsid w:val="00E106C9"/>
    <w:rsid w:val="00E108C3"/>
    <w:rsid w:val="00E10A71"/>
    <w:rsid w:val="00E10BBC"/>
    <w:rsid w:val="00E10C0C"/>
    <w:rsid w:val="00E10E1D"/>
    <w:rsid w:val="00E10FD7"/>
    <w:rsid w:val="00E1122E"/>
    <w:rsid w:val="00E1129A"/>
    <w:rsid w:val="00E11594"/>
    <w:rsid w:val="00E1159C"/>
    <w:rsid w:val="00E1166B"/>
    <w:rsid w:val="00E11710"/>
    <w:rsid w:val="00E11758"/>
    <w:rsid w:val="00E11AC4"/>
    <w:rsid w:val="00E11AC6"/>
    <w:rsid w:val="00E11AD7"/>
    <w:rsid w:val="00E11BF8"/>
    <w:rsid w:val="00E11F7B"/>
    <w:rsid w:val="00E1206E"/>
    <w:rsid w:val="00E121E4"/>
    <w:rsid w:val="00E1223C"/>
    <w:rsid w:val="00E12299"/>
    <w:rsid w:val="00E12562"/>
    <w:rsid w:val="00E126D9"/>
    <w:rsid w:val="00E127BF"/>
    <w:rsid w:val="00E127CB"/>
    <w:rsid w:val="00E12888"/>
    <w:rsid w:val="00E128ED"/>
    <w:rsid w:val="00E12957"/>
    <w:rsid w:val="00E12A78"/>
    <w:rsid w:val="00E12B9C"/>
    <w:rsid w:val="00E12BA8"/>
    <w:rsid w:val="00E12C73"/>
    <w:rsid w:val="00E12CF0"/>
    <w:rsid w:val="00E12D5B"/>
    <w:rsid w:val="00E12DA5"/>
    <w:rsid w:val="00E12F0C"/>
    <w:rsid w:val="00E12F5B"/>
    <w:rsid w:val="00E13222"/>
    <w:rsid w:val="00E1332E"/>
    <w:rsid w:val="00E13440"/>
    <w:rsid w:val="00E1350C"/>
    <w:rsid w:val="00E1362E"/>
    <w:rsid w:val="00E13762"/>
    <w:rsid w:val="00E13845"/>
    <w:rsid w:val="00E1390D"/>
    <w:rsid w:val="00E1391D"/>
    <w:rsid w:val="00E139E6"/>
    <w:rsid w:val="00E13ACD"/>
    <w:rsid w:val="00E13D0E"/>
    <w:rsid w:val="00E13DF9"/>
    <w:rsid w:val="00E13F32"/>
    <w:rsid w:val="00E13FCD"/>
    <w:rsid w:val="00E13FDC"/>
    <w:rsid w:val="00E1406E"/>
    <w:rsid w:val="00E140D5"/>
    <w:rsid w:val="00E141AD"/>
    <w:rsid w:val="00E141C8"/>
    <w:rsid w:val="00E14298"/>
    <w:rsid w:val="00E14394"/>
    <w:rsid w:val="00E1444B"/>
    <w:rsid w:val="00E1454A"/>
    <w:rsid w:val="00E14582"/>
    <w:rsid w:val="00E145A1"/>
    <w:rsid w:val="00E145BC"/>
    <w:rsid w:val="00E14634"/>
    <w:rsid w:val="00E14692"/>
    <w:rsid w:val="00E14750"/>
    <w:rsid w:val="00E14A48"/>
    <w:rsid w:val="00E14B2E"/>
    <w:rsid w:val="00E14D9A"/>
    <w:rsid w:val="00E14E34"/>
    <w:rsid w:val="00E14FB3"/>
    <w:rsid w:val="00E15056"/>
    <w:rsid w:val="00E15243"/>
    <w:rsid w:val="00E15283"/>
    <w:rsid w:val="00E154B1"/>
    <w:rsid w:val="00E154F3"/>
    <w:rsid w:val="00E155C0"/>
    <w:rsid w:val="00E156B9"/>
    <w:rsid w:val="00E156CC"/>
    <w:rsid w:val="00E156EF"/>
    <w:rsid w:val="00E15740"/>
    <w:rsid w:val="00E15759"/>
    <w:rsid w:val="00E1579A"/>
    <w:rsid w:val="00E157C9"/>
    <w:rsid w:val="00E15873"/>
    <w:rsid w:val="00E158DA"/>
    <w:rsid w:val="00E159C9"/>
    <w:rsid w:val="00E15A7F"/>
    <w:rsid w:val="00E15A9A"/>
    <w:rsid w:val="00E15AE8"/>
    <w:rsid w:val="00E15CFE"/>
    <w:rsid w:val="00E15DB1"/>
    <w:rsid w:val="00E16070"/>
    <w:rsid w:val="00E1609D"/>
    <w:rsid w:val="00E161AD"/>
    <w:rsid w:val="00E16281"/>
    <w:rsid w:val="00E162E7"/>
    <w:rsid w:val="00E16307"/>
    <w:rsid w:val="00E1640F"/>
    <w:rsid w:val="00E1649F"/>
    <w:rsid w:val="00E164BF"/>
    <w:rsid w:val="00E16733"/>
    <w:rsid w:val="00E1674D"/>
    <w:rsid w:val="00E16961"/>
    <w:rsid w:val="00E16BBD"/>
    <w:rsid w:val="00E16BC2"/>
    <w:rsid w:val="00E16E9F"/>
    <w:rsid w:val="00E1701E"/>
    <w:rsid w:val="00E1718E"/>
    <w:rsid w:val="00E172CE"/>
    <w:rsid w:val="00E17552"/>
    <w:rsid w:val="00E17627"/>
    <w:rsid w:val="00E177E4"/>
    <w:rsid w:val="00E1786D"/>
    <w:rsid w:val="00E178D4"/>
    <w:rsid w:val="00E17A01"/>
    <w:rsid w:val="00E17AC0"/>
    <w:rsid w:val="00E17B94"/>
    <w:rsid w:val="00E17C6B"/>
    <w:rsid w:val="00E17C70"/>
    <w:rsid w:val="00E17EA0"/>
    <w:rsid w:val="00E20109"/>
    <w:rsid w:val="00E202C1"/>
    <w:rsid w:val="00E20301"/>
    <w:rsid w:val="00E20634"/>
    <w:rsid w:val="00E20711"/>
    <w:rsid w:val="00E20905"/>
    <w:rsid w:val="00E20CC8"/>
    <w:rsid w:val="00E20FB6"/>
    <w:rsid w:val="00E2139C"/>
    <w:rsid w:val="00E21445"/>
    <w:rsid w:val="00E214AB"/>
    <w:rsid w:val="00E214AC"/>
    <w:rsid w:val="00E214B7"/>
    <w:rsid w:val="00E21733"/>
    <w:rsid w:val="00E2184C"/>
    <w:rsid w:val="00E218A0"/>
    <w:rsid w:val="00E2192D"/>
    <w:rsid w:val="00E21997"/>
    <w:rsid w:val="00E219DE"/>
    <w:rsid w:val="00E21B03"/>
    <w:rsid w:val="00E21C9D"/>
    <w:rsid w:val="00E21DC8"/>
    <w:rsid w:val="00E21E7B"/>
    <w:rsid w:val="00E21ED5"/>
    <w:rsid w:val="00E2208C"/>
    <w:rsid w:val="00E221B7"/>
    <w:rsid w:val="00E22204"/>
    <w:rsid w:val="00E22445"/>
    <w:rsid w:val="00E22573"/>
    <w:rsid w:val="00E225C2"/>
    <w:rsid w:val="00E22644"/>
    <w:rsid w:val="00E2266F"/>
    <w:rsid w:val="00E22A94"/>
    <w:rsid w:val="00E22AAA"/>
    <w:rsid w:val="00E22ACF"/>
    <w:rsid w:val="00E22AD3"/>
    <w:rsid w:val="00E22B47"/>
    <w:rsid w:val="00E22C19"/>
    <w:rsid w:val="00E22C41"/>
    <w:rsid w:val="00E22CF4"/>
    <w:rsid w:val="00E22D5D"/>
    <w:rsid w:val="00E22DDE"/>
    <w:rsid w:val="00E22E92"/>
    <w:rsid w:val="00E22F40"/>
    <w:rsid w:val="00E23068"/>
    <w:rsid w:val="00E23136"/>
    <w:rsid w:val="00E23153"/>
    <w:rsid w:val="00E23166"/>
    <w:rsid w:val="00E2347F"/>
    <w:rsid w:val="00E234DE"/>
    <w:rsid w:val="00E23742"/>
    <w:rsid w:val="00E23775"/>
    <w:rsid w:val="00E23871"/>
    <w:rsid w:val="00E238F0"/>
    <w:rsid w:val="00E23A9C"/>
    <w:rsid w:val="00E23B00"/>
    <w:rsid w:val="00E23B8E"/>
    <w:rsid w:val="00E23CA5"/>
    <w:rsid w:val="00E240AD"/>
    <w:rsid w:val="00E241A3"/>
    <w:rsid w:val="00E243FE"/>
    <w:rsid w:val="00E2452D"/>
    <w:rsid w:val="00E249A6"/>
    <w:rsid w:val="00E24C40"/>
    <w:rsid w:val="00E24DA4"/>
    <w:rsid w:val="00E24DB1"/>
    <w:rsid w:val="00E24EC0"/>
    <w:rsid w:val="00E24F58"/>
    <w:rsid w:val="00E24F72"/>
    <w:rsid w:val="00E250C0"/>
    <w:rsid w:val="00E25116"/>
    <w:rsid w:val="00E25339"/>
    <w:rsid w:val="00E25796"/>
    <w:rsid w:val="00E257AB"/>
    <w:rsid w:val="00E257B9"/>
    <w:rsid w:val="00E257DD"/>
    <w:rsid w:val="00E257FF"/>
    <w:rsid w:val="00E25834"/>
    <w:rsid w:val="00E25862"/>
    <w:rsid w:val="00E2590E"/>
    <w:rsid w:val="00E25ACA"/>
    <w:rsid w:val="00E25AD6"/>
    <w:rsid w:val="00E25B7A"/>
    <w:rsid w:val="00E25B9F"/>
    <w:rsid w:val="00E25C45"/>
    <w:rsid w:val="00E25CB1"/>
    <w:rsid w:val="00E25EFC"/>
    <w:rsid w:val="00E25F6B"/>
    <w:rsid w:val="00E26080"/>
    <w:rsid w:val="00E260A3"/>
    <w:rsid w:val="00E260CB"/>
    <w:rsid w:val="00E260F2"/>
    <w:rsid w:val="00E264C6"/>
    <w:rsid w:val="00E265AE"/>
    <w:rsid w:val="00E267F7"/>
    <w:rsid w:val="00E26918"/>
    <w:rsid w:val="00E269E8"/>
    <w:rsid w:val="00E26AED"/>
    <w:rsid w:val="00E26BD1"/>
    <w:rsid w:val="00E26C81"/>
    <w:rsid w:val="00E26D15"/>
    <w:rsid w:val="00E26D8D"/>
    <w:rsid w:val="00E26E10"/>
    <w:rsid w:val="00E26F0E"/>
    <w:rsid w:val="00E26F5B"/>
    <w:rsid w:val="00E272B5"/>
    <w:rsid w:val="00E2746D"/>
    <w:rsid w:val="00E2757F"/>
    <w:rsid w:val="00E275BD"/>
    <w:rsid w:val="00E2774D"/>
    <w:rsid w:val="00E27810"/>
    <w:rsid w:val="00E27994"/>
    <w:rsid w:val="00E27A0A"/>
    <w:rsid w:val="00E27B7D"/>
    <w:rsid w:val="00E27DDB"/>
    <w:rsid w:val="00E27DDC"/>
    <w:rsid w:val="00E3004A"/>
    <w:rsid w:val="00E302CA"/>
    <w:rsid w:val="00E302D7"/>
    <w:rsid w:val="00E30408"/>
    <w:rsid w:val="00E30554"/>
    <w:rsid w:val="00E305F9"/>
    <w:rsid w:val="00E30711"/>
    <w:rsid w:val="00E3072F"/>
    <w:rsid w:val="00E308EB"/>
    <w:rsid w:val="00E30BE8"/>
    <w:rsid w:val="00E30BEF"/>
    <w:rsid w:val="00E30C1C"/>
    <w:rsid w:val="00E30C24"/>
    <w:rsid w:val="00E30C96"/>
    <w:rsid w:val="00E30CE2"/>
    <w:rsid w:val="00E30CF8"/>
    <w:rsid w:val="00E30DA7"/>
    <w:rsid w:val="00E31054"/>
    <w:rsid w:val="00E310AC"/>
    <w:rsid w:val="00E310E1"/>
    <w:rsid w:val="00E310E9"/>
    <w:rsid w:val="00E310F3"/>
    <w:rsid w:val="00E31369"/>
    <w:rsid w:val="00E314E3"/>
    <w:rsid w:val="00E315A7"/>
    <w:rsid w:val="00E315C3"/>
    <w:rsid w:val="00E31621"/>
    <w:rsid w:val="00E31689"/>
    <w:rsid w:val="00E31702"/>
    <w:rsid w:val="00E31762"/>
    <w:rsid w:val="00E3197F"/>
    <w:rsid w:val="00E31B5C"/>
    <w:rsid w:val="00E31B75"/>
    <w:rsid w:val="00E31EAB"/>
    <w:rsid w:val="00E31F2A"/>
    <w:rsid w:val="00E31FCD"/>
    <w:rsid w:val="00E322B9"/>
    <w:rsid w:val="00E32368"/>
    <w:rsid w:val="00E3239A"/>
    <w:rsid w:val="00E32412"/>
    <w:rsid w:val="00E3242E"/>
    <w:rsid w:val="00E32588"/>
    <w:rsid w:val="00E326F6"/>
    <w:rsid w:val="00E328F2"/>
    <w:rsid w:val="00E32AE2"/>
    <w:rsid w:val="00E32C3E"/>
    <w:rsid w:val="00E32CAE"/>
    <w:rsid w:val="00E32FBF"/>
    <w:rsid w:val="00E32FC1"/>
    <w:rsid w:val="00E33053"/>
    <w:rsid w:val="00E330C9"/>
    <w:rsid w:val="00E33284"/>
    <w:rsid w:val="00E332A9"/>
    <w:rsid w:val="00E33302"/>
    <w:rsid w:val="00E3330E"/>
    <w:rsid w:val="00E3334D"/>
    <w:rsid w:val="00E333D4"/>
    <w:rsid w:val="00E33451"/>
    <w:rsid w:val="00E3346E"/>
    <w:rsid w:val="00E33491"/>
    <w:rsid w:val="00E3350B"/>
    <w:rsid w:val="00E3351F"/>
    <w:rsid w:val="00E33569"/>
    <w:rsid w:val="00E3372D"/>
    <w:rsid w:val="00E33757"/>
    <w:rsid w:val="00E3393F"/>
    <w:rsid w:val="00E33992"/>
    <w:rsid w:val="00E339B7"/>
    <w:rsid w:val="00E33AC0"/>
    <w:rsid w:val="00E33BA9"/>
    <w:rsid w:val="00E33C55"/>
    <w:rsid w:val="00E33CD1"/>
    <w:rsid w:val="00E33DDD"/>
    <w:rsid w:val="00E341A0"/>
    <w:rsid w:val="00E3463E"/>
    <w:rsid w:val="00E34666"/>
    <w:rsid w:val="00E34762"/>
    <w:rsid w:val="00E3476A"/>
    <w:rsid w:val="00E34825"/>
    <w:rsid w:val="00E34986"/>
    <w:rsid w:val="00E349AD"/>
    <w:rsid w:val="00E349AE"/>
    <w:rsid w:val="00E34A86"/>
    <w:rsid w:val="00E34B0E"/>
    <w:rsid w:val="00E34B54"/>
    <w:rsid w:val="00E34CF5"/>
    <w:rsid w:val="00E34DAD"/>
    <w:rsid w:val="00E34F7C"/>
    <w:rsid w:val="00E35008"/>
    <w:rsid w:val="00E35093"/>
    <w:rsid w:val="00E352C2"/>
    <w:rsid w:val="00E355D8"/>
    <w:rsid w:val="00E3567F"/>
    <w:rsid w:val="00E356A8"/>
    <w:rsid w:val="00E35798"/>
    <w:rsid w:val="00E357E8"/>
    <w:rsid w:val="00E35802"/>
    <w:rsid w:val="00E35850"/>
    <w:rsid w:val="00E359BE"/>
    <w:rsid w:val="00E35A22"/>
    <w:rsid w:val="00E35BED"/>
    <w:rsid w:val="00E360BB"/>
    <w:rsid w:val="00E361AA"/>
    <w:rsid w:val="00E361EE"/>
    <w:rsid w:val="00E362BA"/>
    <w:rsid w:val="00E362D3"/>
    <w:rsid w:val="00E362F1"/>
    <w:rsid w:val="00E3641D"/>
    <w:rsid w:val="00E364BD"/>
    <w:rsid w:val="00E366B1"/>
    <w:rsid w:val="00E368B5"/>
    <w:rsid w:val="00E3693C"/>
    <w:rsid w:val="00E369D5"/>
    <w:rsid w:val="00E36A53"/>
    <w:rsid w:val="00E36B2B"/>
    <w:rsid w:val="00E36B36"/>
    <w:rsid w:val="00E36BBA"/>
    <w:rsid w:val="00E36C72"/>
    <w:rsid w:val="00E36D7C"/>
    <w:rsid w:val="00E36E82"/>
    <w:rsid w:val="00E37055"/>
    <w:rsid w:val="00E3709A"/>
    <w:rsid w:val="00E3723B"/>
    <w:rsid w:val="00E37324"/>
    <w:rsid w:val="00E374C4"/>
    <w:rsid w:val="00E37534"/>
    <w:rsid w:val="00E375CF"/>
    <w:rsid w:val="00E376B6"/>
    <w:rsid w:val="00E37722"/>
    <w:rsid w:val="00E3799D"/>
    <w:rsid w:val="00E37AA2"/>
    <w:rsid w:val="00E37AB8"/>
    <w:rsid w:val="00E37AFA"/>
    <w:rsid w:val="00E37DBF"/>
    <w:rsid w:val="00E4015C"/>
    <w:rsid w:val="00E40210"/>
    <w:rsid w:val="00E402E1"/>
    <w:rsid w:val="00E403E4"/>
    <w:rsid w:val="00E4061C"/>
    <w:rsid w:val="00E4063E"/>
    <w:rsid w:val="00E40831"/>
    <w:rsid w:val="00E40907"/>
    <w:rsid w:val="00E409A8"/>
    <w:rsid w:val="00E40C50"/>
    <w:rsid w:val="00E40C59"/>
    <w:rsid w:val="00E40CB8"/>
    <w:rsid w:val="00E40DAE"/>
    <w:rsid w:val="00E40F61"/>
    <w:rsid w:val="00E40F62"/>
    <w:rsid w:val="00E41253"/>
    <w:rsid w:val="00E412FC"/>
    <w:rsid w:val="00E4134F"/>
    <w:rsid w:val="00E414A8"/>
    <w:rsid w:val="00E41501"/>
    <w:rsid w:val="00E417E2"/>
    <w:rsid w:val="00E418BF"/>
    <w:rsid w:val="00E41A5A"/>
    <w:rsid w:val="00E41A9B"/>
    <w:rsid w:val="00E41AA2"/>
    <w:rsid w:val="00E41BC7"/>
    <w:rsid w:val="00E41D89"/>
    <w:rsid w:val="00E41D9E"/>
    <w:rsid w:val="00E41DF8"/>
    <w:rsid w:val="00E41E67"/>
    <w:rsid w:val="00E41EF0"/>
    <w:rsid w:val="00E41F84"/>
    <w:rsid w:val="00E4218C"/>
    <w:rsid w:val="00E421E5"/>
    <w:rsid w:val="00E422CA"/>
    <w:rsid w:val="00E424D3"/>
    <w:rsid w:val="00E424E2"/>
    <w:rsid w:val="00E4289B"/>
    <w:rsid w:val="00E429CF"/>
    <w:rsid w:val="00E429E4"/>
    <w:rsid w:val="00E42A67"/>
    <w:rsid w:val="00E42B06"/>
    <w:rsid w:val="00E42BD3"/>
    <w:rsid w:val="00E42C2A"/>
    <w:rsid w:val="00E42C8F"/>
    <w:rsid w:val="00E42CD4"/>
    <w:rsid w:val="00E42E41"/>
    <w:rsid w:val="00E42FD9"/>
    <w:rsid w:val="00E4309D"/>
    <w:rsid w:val="00E43108"/>
    <w:rsid w:val="00E431C0"/>
    <w:rsid w:val="00E43249"/>
    <w:rsid w:val="00E4325E"/>
    <w:rsid w:val="00E43261"/>
    <w:rsid w:val="00E43584"/>
    <w:rsid w:val="00E436A2"/>
    <w:rsid w:val="00E436C0"/>
    <w:rsid w:val="00E436D0"/>
    <w:rsid w:val="00E4389D"/>
    <w:rsid w:val="00E43912"/>
    <w:rsid w:val="00E43951"/>
    <w:rsid w:val="00E43A07"/>
    <w:rsid w:val="00E43C5E"/>
    <w:rsid w:val="00E43CC9"/>
    <w:rsid w:val="00E43D57"/>
    <w:rsid w:val="00E43E1A"/>
    <w:rsid w:val="00E43F2F"/>
    <w:rsid w:val="00E43FE3"/>
    <w:rsid w:val="00E4409D"/>
    <w:rsid w:val="00E441FC"/>
    <w:rsid w:val="00E44455"/>
    <w:rsid w:val="00E445D0"/>
    <w:rsid w:val="00E4461E"/>
    <w:rsid w:val="00E44890"/>
    <w:rsid w:val="00E44903"/>
    <w:rsid w:val="00E44A23"/>
    <w:rsid w:val="00E44A4D"/>
    <w:rsid w:val="00E44AEC"/>
    <w:rsid w:val="00E44D90"/>
    <w:rsid w:val="00E44E7A"/>
    <w:rsid w:val="00E44E9B"/>
    <w:rsid w:val="00E44F3B"/>
    <w:rsid w:val="00E4501B"/>
    <w:rsid w:val="00E451CC"/>
    <w:rsid w:val="00E45369"/>
    <w:rsid w:val="00E454C8"/>
    <w:rsid w:val="00E454CE"/>
    <w:rsid w:val="00E455B0"/>
    <w:rsid w:val="00E455D3"/>
    <w:rsid w:val="00E45803"/>
    <w:rsid w:val="00E45888"/>
    <w:rsid w:val="00E458D8"/>
    <w:rsid w:val="00E45D2E"/>
    <w:rsid w:val="00E45E1F"/>
    <w:rsid w:val="00E45F2F"/>
    <w:rsid w:val="00E46045"/>
    <w:rsid w:val="00E46158"/>
    <w:rsid w:val="00E46163"/>
    <w:rsid w:val="00E46520"/>
    <w:rsid w:val="00E46638"/>
    <w:rsid w:val="00E46B40"/>
    <w:rsid w:val="00E46B96"/>
    <w:rsid w:val="00E46D82"/>
    <w:rsid w:val="00E46E41"/>
    <w:rsid w:val="00E47179"/>
    <w:rsid w:val="00E473D9"/>
    <w:rsid w:val="00E47495"/>
    <w:rsid w:val="00E47608"/>
    <w:rsid w:val="00E47642"/>
    <w:rsid w:val="00E476CF"/>
    <w:rsid w:val="00E47890"/>
    <w:rsid w:val="00E47895"/>
    <w:rsid w:val="00E4789F"/>
    <w:rsid w:val="00E47921"/>
    <w:rsid w:val="00E4792E"/>
    <w:rsid w:val="00E47942"/>
    <w:rsid w:val="00E4797D"/>
    <w:rsid w:val="00E479B5"/>
    <w:rsid w:val="00E47ABE"/>
    <w:rsid w:val="00E47C33"/>
    <w:rsid w:val="00E47C9E"/>
    <w:rsid w:val="00E47D6E"/>
    <w:rsid w:val="00E501FE"/>
    <w:rsid w:val="00E5024C"/>
    <w:rsid w:val="00E50529"/>
    <w:rsid w:val="00E5068D"/>
    <w:rsid w:val="00E509B9"/>
    <w:rsid w:val="00E50A04"/>
    <w:rsid w:val="00E50C01"/>
    <w:rsid w:val="00E50CD4"/>
    <w:rsid w:val="00E50D3A"/>
    <w:rsid w:val="00E50DCF"/>
    <w:rsid w:val="00E50E6E"/>
    <w:rsid w:val="00E50F44"/>
    <w:rsid w:val="00E50F9C"/>
    <w:rsid w:val="00E51090"/>
    <w:rsid w:val="00E51094"/>
    <w:rsid w:val="00E51189"/>
    <w:rsid w:val="00E5137C"/>
    <w:rsid w:val="00E5150E"/>
    <w:rsid w:val="00E51564"/>
    <w:rsid w:val="00E5156E"/>
    <w:rsid w:val="00E515BD"/>
    <w:rsid w:val="00E517F3"/>
    <w:rsid w:val="00E5184C"/>
    <w:rsid w:val="00E51867"/>
    <w:rsid w:val="00E518A7"/>
    <w:rsid w:val="00E5196E"/>
    <w:rsid w:val="00E519F7"/>
    <w:rsid w:val="00E51CE3"/>
    <w:rsid w:val="00E51D57"/>
    <w:rsid w:val="00E51D87"/>
    <w:rsid w:val="00E51E7A"/>
    <w:rsid w:val="00E51E84"/>
    <w:rsid w:val="00E520E5"/>
    <w:rsid w:val="00E522F4"/>
    <w:rsid w:val="00E524CE"/>
    <w:rsid w:val="00E526C5"/>
    <w:rsid w:val="00E528A2"/>
    <w:rsid w:val="00E528AF"/>
    <w:rsid w:val="00E529BA"/>
    <w:rsid w:val="00E529E8"/>
    <w:rsid w:val="00E529F5"/>
    <w:rsid w:val="00E52BC7"/>
    <w:rsid w:val="00E52C6D"/>
    <w:rsid w:val="00E52C93"/>
    <w:rsid w:val="00E52E58"/>
    <w:rsid w:val="00E52E8B"/>
    <w:rsid w:val="00E52EB7"/>
    <w:rsid w:val="00E5309F"/>
    <w:rsid w:val="00E53155"/>
    <w:rsid w:val="00E531BA"/>
    <w:rsid w:val="00E53298"/>
    <w:rsid w:val="00E5356B"/>
    <w:rsid w:val="00E535FD"/>
    <w:rsid w:val="00E53605"/>
    <w:rsid w:val="00E53664"/>
    <w:rsid w:val="00E537D2"/>
    <w:rsid w:val="00E53809"/>
    <w:rsid w:val="00E53999"/>
    <w:rsid w:val="00E539C2"/>
    <w:rsid w:val="00E53D32"/>
    <w:rsid w:val="00E53D34"/>
    <w:rsid w:val="00E53DA9"/>
    <w:rsid w:val="00E53E00"/>
    <w:rsid w:val="00E53E2F"/>
    <w:rsid w:val="00E53E42"/>
    <w:rsid w:val="00E53F28"/>
    <w:rsid w:val="00E54133"/>
    <w:rsid w:val="00E541D0"/>
    <w:rsid w:val="00E541D6"/>
    <w:rsid w:val="00E54221"/>
    <w:rsid w:val="00E542D1"/>
    <w:rsid w:val="00E542DC"/>
    <w:rsid w:val="00E5454E"/>
    <w:rsid w:val="00E5483C"/>
    <w:rsid w:val="00E54856"/>
    <w:rsid w:val="00E54869"/>
    <w:rsid w:val="00E5495F"/>
    <w:rsid w:val="00E54A3F"/>
    <w:rsid w:val="00E54B0B"/>
    <w:rsid w:val="00E54BF6"/>
    <w:rsid w:val="00E54DC0"/>
    <w:rsid w:val="00E54DF8"/>
    <w:rsid w:val="00E54E63"/>
    <w:rsid w:val="00E54EF6"/>
    <w:rsid w:val="00E55116"/>
    <w:rsid w:val="00E553D8"/>
    <w:rsid w:val="00E55523"/>
    <w:rsid w:val="00E555F3"/>
    <w:rsid w:val="00E55792"/>
    <w:rsid w:val="00E55838"/>
    <w:rsid w:val="00E5593D"/>
    <w:rsid w:val="00E55B23"/>
    <w:rsid w:val="00E55BCD"/>
    <w:rsid w:val="00E55BFE"/>
    <w:rsid w:val="00E55C22"/>
    <w:rsid w:val="00E55D17"/>
    <w:rsid w:val="00E55E45"/>
    <w:rsid w:val="00E560D0"/>
    <w:rsid w:val="00E560F2"/>
    <w:rsid w:val="00E561FB"/>
    <w:rsid w:val="00E5638F"/>
    <w:rsid w:val="00E5650A"/>
    <w:rsid w:val="00E5668A"/>
    <w:rsid w:val="00E56775"/>
    <w:rsid w:val="00E567E8"/>
    <w:rsid w:val="00E56A24"/>
    <w:rsid w:val="00E56A32"/>
    <w:rsid w:val="00E56A5D"/>
    <w:rsid w:val="00E56BBD"/>
    <w:rsid w:val="00E56D28"/>
    <w:rsid w:val="00E5732E"/>
    <w:rsid w:val="00E573FE"/>
    <w:rsid w:val="00E574EC"/>
    <w:rsid w:val="00E577B2"/>
    <w:rsid w:val="00E578DA"/>
    <w:rsid w:val="00E57B7D"/>
    <w:rsid w:val="00E57C2D"/>
    <w:rsid w:val="00E57C56"/>
    <w:rsid w:val="00E57D0E"/>
    <w:rsid w:val="00E57F53"/>
    <w:rsid w:val="00E57F65"/>
    <w:rsid w:val="00E57F9C"/>
    <w:rsid w:val="00E57FCD"/>
    <w:rsid w:val="00E6000B"/>
    <w:rsid w:val="00E600C2"/>
    <w:rsid w:val="00E6014A"/>
    <w:rsid w:val="00E60187"/>
    <w:rsid w:val="00E60215"/>
    <w:rsid w:val="00E6028E"/>
    <w:rsid w:val="00E602E3"/>
    <w:rsid w:val="00E604C5"/>
    <w:rsid w:val="00E60531"/>
    <w:rsid w:val="00E60615"/>
    <w:rsid w:val="00E606DD"/>
    <w:rsid w:val="00E6090B"/>
    <w:rsid w:val="00E6094C"/>
    <w:rsid w:val="00E60B53"/>
    <w:rsid w:val="00E60D62"/>
    <w:rsid w:val="00E60DF6"/>
    <w:rsid w:val="00E60E95"/>
    <w:rsid w:val="00E60ED7"/>
    <w:rsid w:val="00E60F2F"/>
    <w:rsid w:val="00E60F7B"/>
    <w:rsid w:val="00E60FB4"/>
    <w:rsid w:val="00E60FE8"/>
    <w:rsid w:val="00E60FE9"/>
    <w:rsid w:val="00E61059"/>
    <w:rsid w:val="00E61156"/>
    <w:rsid w:val="00E6117B"/>
    <w:rsid w:val="00E61195"/>
    <w:rsid w:val="00E61229"/>
    <w:rsid w:val="00E61239"/>
    <w:rsid w:val="00E61248"/>
    <w:rsid w:val="00E61468"/>
    <w:rsid w:val="00E614BE"/>
    <w:rsid w:val="00E614DA"/>
    <w:rsid w:val="00E615F9"/>
    <w:rsid w:val="00E6171D"/>
    <w:rsid w:val="00E617F9"/>
    <w:rsid w:val="00E6185E"/>
    <w:rsid w:val="00E6193C"/>
    <w:rsid w:val="00E619ED"/>
    <w:rsid w:val="00E61A85"/>
    <w:rsid w:val="00E61B23"/>
    <w:rsid w:val="00E61B59"/>
    <w:rsid w:val="00E61C44"/>
    <w:rsid w:val="00E61C47"/>
    <w:rsid w:val="00E61CEB"/>
    <w:rsid w:val="00E61D36"/>
    <w:rsid w:val="00E61D61"/>
    <w:rsid w:val="00E61E91"/>
    <w:rsid w:val="00E620AD"/>
    <w:rsid w:val="00E62304"/>
    <w:rsid w:val="00E6231C"/>
    <w:rsid w:val="00E62415"/>
    <w:rsid w:val="00E62775"/>
    <w:rsid w:val="00E62952"/>
    <w:rsid w:val="00E62B28"/>
    <w:rsid w:val="00E62BC2"/>
    <w:rsid w:val="00E62CF4"/>
    <w:rsid w:val="00E630A6"/>
    <w:rsid w:val="00E6322E"/>
    <w:rsid w:val="00E6343A"/>
    <w:rsid w:val="00E637E5"/>
    <w:rsid w:val="00E63B3C"/>
    <w:rsid w:val="00E63B95"/>
    <w:rsid w:val="00E63C41"/>
    <w:rsid w:val="00E63DAA"/>
    <w:rsid w:val="00E63FB6"/>
    <w:rsid w:val="00E64004"/>
    <w:rsid w:val="00E64089"/>
    <w:rsid w:val="00E640CC"/>
    <w:rsid w:val="00E64532"/>
    <w:rsid w:val="00E64753"/>
    <w:rsid w:val="00E6484B"/>
    <w:rsid w:val="00E64BBD"/>
    <w:rsid w:val="00E64C60"/>
    <w:rsid w:val="00E64D3E"/>
    <w:rsid w:val="00E64D7E"/>
    <w:rsid w:val="00E64E7C"/>
    <w:rsid w:val="00E64EC6"/>
    <w:rsid w:val="00E64F9E"/>
    <w:rsid w:val="00E650A6"/>
    <w:rsid w:val="00E650F0"/>
    <w:rsid w:val="00E65179"/>
    <w:rsid w:val="00E651E9"/>
    <w:rsid w:val="00E651EF"/>
    <w:rsid w:val="00E652F9"/>
    <w:rsid w:val="00E65852"/>
    <w:rsid w:val="00E6590C"/>
    <w:rsid w:val="00E65C94"/>
    <w:rsid w:val="00E65CE5"/>
    <w:rsid w:val="00E65D14"/>
    <w:rsid w:val="00E65D3F"/>
    <w:rsid w:val="00E65E13"/>
    <w:rsid w:val="00E65E62"/>
    <w:rsid w:val="00E65E80"/>
    <w:rsid w:val="00E65EA0"/>
    <w:rsid w:val="00E6614F"/>
    <w:rsid w:val="00E6630B"/>
    <w:rsid w:val="00E66372"/>
    <w:rsid w:val="00E6637B"/>
    <w:rsid w:val="00E6650F"/>
    <w:rsid w:val="00E66590"/>
    <w:rsid w:val="00E665BD"/>
    <w:rsid w:val="00E665D1"/>
    <w:rsid w:val="00E665D9"/>
    <w:rsid w:val="00E667A1"/>
    <w:rsid w:val="00E667C9"/>
    <w:rsid w:val="00E669B5"/>
    <w:rsid w:val="00E66A23"/>
    <w:rsid w:val="00E66C99"/>
    <w:rsid w:val="00E66CFD"/>
    <w:rsid w:val="00E66DBF"/>
    <w:rsid w:val="00E66DC7"/>
    <w:rsid w:val="00E66E44"/>
    <w:rsid w:val="00E66EF7"/>
    <w:rsid w:val="00E6726A"/>
    <w:rsid w:val="00E672F2"/>
    <w:rsid w:val="00E676B3"/>
    <w:rsid w:val="00E6775C"/>
    <w:rsid w:val="00E6788C"/>
    <w:rsid w:val="00E678C1"/>
    <w:rsid w:val="00E67A99"/>
    <w:rsid w:val="00E67AB5"/>
    <w:rsid w:val="00E67C0E"/>
    <w:rsid w:val="00E67C7B"/>
    <w:rsid w:val="00E67F72"/>
    <w:rsid w:val="00E67F88"/>
    <w:rsid w:val="00E67FAC"/>
    <w:rsid w:val="00E67FC2"/>
    <w:rsid w:val="00E70025"/>
    <w:rsid w:val="00E700BF"/>
    <w:rsid w:val="00E700F0"/>
    <w:rsid w:val="00E702AF"/>
    <w:rsid w:val="00E70672"/>
    <w:rsid w:val="00E7069D"/>
    <w:rsid w:val="00E7091D"/>
    <w:rsid w:val="00E70944"/>
    <w:rsid w:val="00E709C0"/>
    <w:rsid w:val="00E70A6F"/>
    <w:rsid w:val="00E70AE7"/>
    <w:rsid w:val="00E70C0D"/>
    <w:rsid w:val="00E70C77"/>
    <w:rsid w:val="00E70CFD"/>
    <w:rsid w:val="00E70D14"/>
    <w:rsid w:val="00E70E1A"/>
    <w:rsid w:val="00E70EFC"/>
    <w:rsid w:val="00E70F19"/>
    <w:rsid w:val="00E70F50"/>
    <w:rsid w:val="00E710CF"/>
    <w:rsid w:val="00E712B1"/>
    <w:rsid w:val="00E71414"/>
    <w:rsid w:val="00E71491"/>
    <w:rsid w:val="00E716D3"/>
    <w:rsid w:val="00E71754"/>
    <w:rsid w:val="00E717BB"/>
    <w:rsid w:val="00E718D6"/>
    <w:rsid w:val="00E718F1"/>
    <w:rsid w:val="00E71B2A"/>
    <w:rsid w:val="00E71C27"/>
    <w:rsid w:val="00E71DD4"/>
    <w:rsid w:val="00E71ECC"/>
    <w:rsid w:val="00E71F60"/>
    <w:rsid w:val="00E720A7"/>
    <w:rsid w:val="00E720E4"/>
    <w:rsid w:val="00E72149"/>
    <w:rsid w:val="00E7221D"/>
    <w:rsid w:val="00E722F2"/>
    <w:rsid w:val="00E723C1"/>
    <w:rsid w:val="00E7253F"/>
    <w:rsid w:val="00E725E0"/>
    <w:rsid w:val="00E7264C"/>
    <w:rsid w:val="00E727F4"/>
    <w:rsid w:val="00E728A8"/>
    <w:rsid w:val="00E728B9"/>
    <w:rsid w:val="00E729F7"/>
    <w:rsid w:val="00E72AFB"/>
    <w:rsid w:val="00E72B5F"/>
    <w:rsid w:val="00E72BED"/>
    <w:rsid w:val="00E72C44"/>
    <w:rsid w:val="00E72CBA"/>
    <w:rsid w:val="00E72CE7"/>
    <w:rsid w:val="00E72DDA"/>
    <w:rsid w:val="00E72EB8"/>
    <w:rsid w:val="00E72F10"/>
    <w:rsid w:val="00E7302F"/>
    <w:rsid w:val="00E732AD"/>
    <w:rsid w:val="00E73375"/>
    <w:rsid w:val="00E733F4"/>
    <w:rsid w:val="00E7341A"/>
    <w:rsid w:val="00E7344F"/>
    <w:rsid w:val="00E73580"/>
    <w:rsid w:val="00E735AA"/>
    <w:rsid w:val="00E735B4"/>
    <w:rsid w:val="00E736D8"/>
    <w:rsid w:val="00E73794"/>
    <w:rsid w:val="00E737E7"/>
    <w:rsid w:val="00E73973"/>
    <w:rsid w:val="00E73AC3"/>
    <w:rsid w:val="00E73AC5"/>
    <w:rsid w:val="00E73BF6"/>
    <w:rsid w:val="00E73D08"/>
    <w:rsid w:val="00E73D79"/>
    <w:rsid w:val="00E73ECB"/>
    <w:rsid w:val="00E73EEE"/>
    <w:rsid w:val="00E73EF3"/>
    <w:rsid w:val="00E74009"/>
    <w:rsid w:val="00E74056"/>
    <w:rsid w:val="00E74287"/>
    <w:rsid w:val="00E7448B"/>
    <w:rsid w:val="00E74562"/>
    <w:rsid w:val="00E745FF"/>
    <w:rsid w:val="00E74646"/>
    <w:rsid w:val="00E747B2"/>
    <w:rsid w:val="00E74835"/>
    <w:rsid w:val="00E748B8"/>
    <w:rsid w:val="00E74C83"/>
    <w:rsid w:val="00E74E24"/>
    <w:rsid w:val="00E74F5B"/>
    <w:rsid w:val="00E74F84"/>
    <w:rsid w:val="00E750B7"/>
    <w:rsid w:val="00E7514E"/>
    <w:rsid w:val="00E7522D"/>
    <w:rsid w:val="00E75304"/>
    <w:rsid w:val="00E75355"/>
    <w:rsid w:val="00E75357"/>
    <w:rsid w:val="00E753B2"/>
    <w:rsid w:val="00E753DB"/>
    <w:rsid w:val="00E7549B"/>
    <w:rsid w:val="00E759AF"/>
    <w:rsid w:val="00E759E6"/>
    <w:rsid w:val="00E75A1C"/>
    <w:rsid w:val="00E75A28"/>
    <w:rsid w:val="00E75BBB"/>
    <w:rsid w:val="00E75C22"/>
    <w:rsid w:val="00E75C4A"/>
    <w:rsid w:val="00E75D89"/>
    <w:rsid w:val="00E75DAE"/>
    <w:rsid w:val="00E75DC2"/>
    <w:rsid w:val="00E75FDB"/>
    <w:rsid w:val="00E7604F"/>
    <w:rsid w:val="00E7615F"/>
    <w:rsid w:val="00E761B7"/>
    <w:rsid w:val="00E76221"/>
    <w:rsid w:val="00E76236"/>
    <w:rsid w:val="00E763A5"/>
    <w:rsid w:val="00E768DC"/>
    <w:rsid w:val="00E7691F"/>
    <w:rsid w:val="00E7693A"/>
    <w:rsid w:val="00E76A6B"/>
    <w:rsid w:val="00E76AE0"/>
    <w:rsid w:val="00E76DAC"/>
    <w:rsid w:val="00E76E2C"/>
    <w:rsid w:val="00E76E83"/>
    <w:rsid w:val="00E76F01"/>
    <w:rsid w:val="00E76F3E"/>
    <w:rsid w:val="00E76FDE"/>
    <w:rsid w:val="00E7705D"/>
    <w:rsid w:val="00E77102"/>
    <w:rsid w:val="00E77171"/>
    <w:rsid w:val="00E771A2"/>
    <w:rsid w:val="00E771C6"/>
    <w:rsid w:val="00E771CD"/>
    <w:rsid w:val="00E773F1"/>
    <w:rsid w:val="00E775D8"/>
    <w:rsid w:val="00E776F7"/>
    <w:rsid w:val="00E778F7"/>
    <w:rsid w:val="00E77B79"/>
    <w:rsid w:val="00E77C01"/>
    <w:rsid w:val="00E800DB"/>
    <w:rsid w:val="00E80437"/>
    <w:rsid w:val="00E805F3"/>
    <w:rsid w:val="00E8066D"/>
    <w:rsid w:val="00E80715"/>
    <w:rsid w:val="00E80830"/>
    <w:rsid w:val="00E80902"/>
    <w:rsid w:val="00E80903"/>
    <w:rsid w:val="00E80AC8"/>
    <w:rsid w:val="00E80D9F"/>
    <w:rsid w:val="00E80E6E"/>
    <w:rsid w:val="00E80F2B"/>
    <w:rsid w:val="00E812BB"/>
    <w:rsid w:val="00E81614"/>
    <w:rsid w:val="00E817AA"/>
    <w:rsid w:val="00E817F2"/>
    <w:rsid w:val="00E817F5"/>
    <w:rsid w:val="00E81935"/>
    <w:rsid w:val="00E8199A"/>
    <w:rsid w:val="00E81A87"/>
    <w:rsid w:val="00E81C79"/>
    <w:rsid w:val="00E81D8F"/>
    <w:rsid w:val="00E81E6B"/>
    <w:rsid w:val="00E81F3C"/>
    <w:rsid w:val="00E821F3"/>
    <w:rsid w:val="00E82229"/>
    <w:rsid w:val="00E8244F"/>
    <w:rsid w:val="00E8268A"/>
    <w:rsid w:val="00E82761"/>
    <w:rsid w:val="00E82884"/>
    <w:rsid w:val="00E82896"/>
    <w:rsid w:val="00E829FB"/>
    <w:rsid w:val="00E82A22"/>
    <w:rsid w:val="00E82B04"/>
    <w:rsid w:val="00E82B5E"/>
    <w:rsid w:val="00E82B74"/>
    <w:rsid w:val="00E82DD2"/>
    <w:rsid w:val="00E82DE6"/>
    <w:rsid w:val="00E82E9F"/>
    <w:rsid w:val="00E82EF9"/>
    <w:rsid w:val="00E82F1F"/>
    <w:rsid w:val="00E8314C"/>
    <w:rsid w:val="00E832AA"/>
    <w:rsid w:val="00E833FB"/>
    <w:rsid w:val="00E83948"/>
    <w:rsid w:val="00E83B1A"/>
    <w:rsid w:val="00E83BC1"/>
    <w:rsid w:val="00E83C48"/>
    <w:rsid w:val="00E83CA8"/>
    <w:rsid w:val="00E83CF9"/>
    <w:rsid w:val="00E8404C"/>
    <w:rsid w:val="00E84200"/>
    <w:rsid w:val="00E8422A"/>
    <w:rsid w:val="00E842F3"/>
    <w:rsid w:val="00E843C0"/>
    <w:rsid w:val="00E8447B"/>
    <w:rsid w:val="00E84518"/>
    <w:rsid w:val="00E84587"/>
    <w:rsid w:val="00E845D9"/>
    <w:rsid w:val="00E84743"/>
    <w:rsid w:val="00E84B85"/>
    <w:rsid w:val="00E84CBF"/>
    <w:rsid w:val="00E84D0E"/>
    <w:rsid w:val="00E84D10"/>
    <w:rsid w:val="00E84D44"/>
    <w:rsid w:val="00E84DB0"/>
    <w:rsid w:val="00E84DE3"/>
    <w:rsid w:val="00E84E20"/>
    <w:rsid w:val="00E84EC1"/>
    <w:rsid w:val="00E85005"/>
    <w:rsid w:val="00E85055"/>
    <w:rsid w:val="00E85112"/>
    <w:rsid w:val="00E85312"/>
    <w:rsid w:val="00E8544C"/>
    <w:rsid w:val="00E854D1"/>
    <w:rsid w:val="00E856B4"/>
    <w:rsid w:val="00E85704"/>
    <w:rsid w:val="00E85936"/>
    <w:rsid w:val="00E859EA"/>
    <w:rsid w:val="00E85A71"/>
    <w:rsid w:val="00E85B96"/>
    <w:rsid w:val="00E85D0E"/>
    <w:rsid w:val="00E86217"/>
    <w:rsid w:val="00E86245"/>
    <w:rsid w:val="00E863CD"/>
    <w:rsid w:val="00E86442"/>
    <w:rsid w:val="00E86559"/>
    <w:rsid w:val="00E8655C"/>
    <w:rsid w:val="00E8665D"/>
    <w:rsid w:val="00E8682A"/>
    <w:rsid w:val="00E8684C"/>
    <w:rsid w:val="00E869EC"/>
    <w:rsid w:val="00E86CD2"/>
    <w:rsid w:val="00E86D5D"/>
    <w:rsid w:val="00E86D6C"/>
    <w:rsid w:val="00E86E99"/>
    <w:rsid w:val="00E86F11"/>
    <w:rsid w:val="00E86F5E"/>
    <w:rsid w:val="00E87033"/>
    <w:rsid w:val="00E870A9"/>
    <w:rsid w:val="00E87192"/>
    <w:rsid w:val="00E8726B"/>
    <w:rsid w:val="00E872E7"/>
    <w:rsid w:val="00E8757B"/>
    <w:rsid w:val="00E875AE"/>
    <w:rsid w:val="00E875B3"/>
    <w:rsid w:val="00E875C7"/>
    <w:rsid w:val="00E875EE"/>
    <w:rsid w:val="00E8789F"/>
    <w:rsid w:val="00E879BA"/>
    <w:rsid w:val="00E87A06"/>
    <w:rsid w:val="00E87A10"/>
    <w:rsid w:val="00E87A40"/>
    <w:rsid w:val="00E87A50"/>
    <w:rsid w:val="00E87B29"/>
    <w:rsid w:val="00E87B81"/>
    <w:rsid w:val="00E87B9E"/>
    <w:rsid w:val="00E9026F"/>
    <w:rsid w:val="00E9068B"/>
    <w:rsid w:val="00E907A4"/>
    <w:rsid w:val="00E9084D"/>
    <w:rsid w:val="00E90984"/>
    <w:rsid w:val="00E90B04"/>
    <w:rsid w:val="00E90B58"/>
    <w:rsid w:val="00E90B84"/>
    <w:rsid w:val="00E90BE7"/>
    <w:rsid w:val="00E90DE9"/>
    <w:rsid w:val="00E91110"/>
    <w:rsid w:val="00E91182"/>
    <w:rsid w:val="00E91233"/>
    <w:rsid w:val="00E91402"/>
    <w:rsid w:val="00E91431"/>
    <w:rsid w:val="00E915B2"/>
    <w:rsid w:val="00E91658"/>
    <w:rsid w:val="00E9165A"/>
    <w:rsid w:val="00E916DD"/>
    <w:rsid w:val="00E918A4"/>
    <w:rsid w:val="00E91B35"/>
    <w:rsid w:val="00E91C41"/>
    <w:rsid w:val="00E91DAC"/>
    <w:rsid w:val="00E91E7B"/>
    <w:rsid w:val="00E91F0C"/>
    <w:rsid w:val="00E91FA4"/>
    <w:rsid w:val="00E92126"/>
    <w:rsid w:val="00E9217B"/>
    <w:rsid w:val="00E923F2"/>
    <w:rsid w:val="00E924C6"/>
    <w:rsid w:val="00E92733"/>
    <w:rsid w:val="00E92770"/>
    <w:rsid w:val="00E927CD"/>
    <w:rsid w:val="00E92919"/>
    <w:rsid w:val="00E92974"/>
    <w:rsid w:val="00E92AC5"/>
    <w:rsid w:val="00E92BBB"/>
    <w:rsid w:val="00E92CF0"/>
    <w:rsid w:val="00E92D6D"/>
    <w:rsid w:val="00E92F4B"/>
    <w:rsid w:val="00E92F98"/>
    <w:rsid w:val="00E930A7"/>
    <w:rsid w:val="00E93207"/>
    <w:rsid w:val="00E9321E"/>
    <w:rsid w:val="00E93297"/>
    <w:rsid w:val="00E932C6"/>
    <w:rsid w:val="00E9331D"/>
    <w:rsid w:val="00E93444"/>
    <w:rsid w:val="00E9352B"/>
    <w:rsid w:val="00E935AB"/>
    <w:rsid w:val="00E93974"/>
    <w:rsid w:val="00E93B2E"/>
    <w:rsid w:val="00E93C79"/>
    <w:rsid w:val="00E93D52"/>
    <w:rsid w:val="00E93D7A"/>
    <w:rsid w:val="00E93EE4"/>
    <w:rsid w:val="00E93F6A"/>
    <w:rsid w:val="00E93F93"/>
    <w:rsid w:val="00E94138"/>
    <w:rsid w:val="00E9421B"/>
    <w:rsid w:val="00E94236"/>
    <w:rsid w:val="00E943A4"/>
    <w:rsid w:val="00E94404"/>
    <w:rsid w:val="00E9445B"/>
    <w:rsid w:val="00E94528"/>
    <w:rsid w:val="00E94587"/>
    <w:rsid w:val="00E9467B"/>
    <w:rsid w:val="00E94777"/>
    <w:rsid w:val="00E948AC"/>
    <w:rsid w:val="00E9493C"/>
    <w:rsid w:val="00E94B89"/>
    <w:rsid w:val="00E94BA5"/>
    <w:rsid w:val="00E94C86"/>
    <w:rsid w:val="00E94C9E"/>
    <w:rsid w:val="00E94CBF"/>
    <w:rsid w:val="00E94CF2"/>
    <w:rsid w:val="00E94D55"/>
    <w:rsid w:val="00E94D90"/>
    <w:rsid w:val="00E94EE2"/>
    <w:rsid w:val="00E94F26"/>
    <w:rsid w:val="00E9526F"/>
    <w:rsid w:val="00E95322"/>
    <w:rsid w:val="00E953CD"/>
    <w:rsid w:val="00E95490"/>
    <w:rsid w:val="00E95533"/>
    <w:rsid w:val="00E95581"/>
    <w:rsid w:val="00E955F6"/>
    <w:rsid w:val="00E95679"/>
    <w:rsid w:val="00E95751"/>
    <w:rsid w:val="00E9595C"/>
    <w:rsid w:val="00E959AA"/>
    <w:rsid w:val="00E95BCF"/>
    <w:rsid w:val="00E95C44"/>
    <w:rsid w:val="00E95F1B"/>
    <w:rsid w:val="00E95F31"/>
    <w:rsid w:val="00E96076"/>
    <w:rsid w:val="00E9623B"/>
    <w:rsid w:val="00E9627D"/>
    <w:rsid w:val="00E9629B"/>
    <w:rsid w:val="00E96320"/>
    <w:rsid w:val="00E963B9"/>
    <w:rsid w:val="00E9640D"/>
    <w:rsid w:val="00E9658B"/>
    <w:rsid w:val="00E9666C"/>
    <w:rsid w:val="00E966C6"/>
    <w:rsid w:val="00E9683F"/>
    <w:rsid w:val="00E96877"/>
    <w:rsid w:val="00E968C1"/>
    <w:rsid w:val="00E9692A"/>
    <w:rsid w:val="00E96A9B"/>
    <w:rsid w:val="00E96D71"/>
    <w:rsid w:val="00E96DBE"/>
    <w:rsid w:val="00E971C6"/>
    <w:rsid w:val="00E971D1"/>
    <w:rsid w:val="00E971EA"/>
    <w:rsid w:val="00E971F6"/>
    <w:rsid w:val="00E97235"/>
    <w:rsid w:val="00E97402"/>
    <w:rsid w:val="00E97505"/>
    <w:rsid w:val="00E9763B"/>
    <w:rsid w:val="00E9789C"/>
    <w:rsid w:val="00E978CD"/>
    <w:rsid w:val="00E97B51"/>
    <w:rsid w:val="00E97E0F"/>
    <w:rsid w:val="00E97E71"/>
    <w:rsid w:val="00EA00F3"/>
    <w:rsid w:val="00EA019E"/>
    <w:rsid w:val="00EA01D7"/>
    <w:rsid w:val="00EA01EB"/>
    <w:rsid w:val="00EA0493"/>
    <w:rsid w:val="00EA05AE"/>
    <w:rsid w:val="00EA05B8"/>
    <w:rsid w:val="00EA05F5"/>
    <w:rsid w:val="00EA0657"/>
    <w:rsid w:val="00EA06EC"/>
    <w:rsid w:val="00EA0807"/>
    <w:rsid w:val="00EA0835"/>
    <w:rsid w:val="00EA084B"/>
    <w:rsid w:val="00EA087D"/>
    <w:rsid w:val="00EA0913"/>
    <w:rsid w:val="00EA0CA6"/>
    <w:rsid w:val="00EA0E54"/>
    <w:rsid w:val="00EA1284"/>
    <w:rsid w:val="00EA1314"/>
    <w:rsid w:val="00EA134E"/>
    <w:rsid w:val="00EA1435"/>
    <w:rsid w:val="00EA145F"/>
    <w:rsid w:val="00EA14D5"/>
    <w:rsid w:val="00EA1507"/>
    <w:rsid w:val="00EA1656"/>
    <w:rsid w:val="00EA1769"/>
    <w:rsid w:val="00EA17C8"/>
    <w:rsid w:val="00EA1918"/>
    <w:rsid w:val="00EA197E"/>
    <w:rsid w:val="00EA19CA"/>
    <w:rsid w:val="00EA1AED"/>
    <w:rsid w:val="00EA1AEE"/>
    <w:rsid w:val="00EA1B32"/>
    <w:rsid w:val="00EA1B78"/>
    <w:rsid w:val="00EA1BE8"/>
    <w:rsid w:val="00EA1E2C"/>
    <w:rsid w:val="00EA1F24"/>
    <w:rsid w:val="00EA1FDE"/>
    <w:rsid w:val="00EA1FF6"/>
    <w:rsid w:val="00EA20B9"/>
    <w:rsid w:val="00EA20C0"/>
    <w:rsid w:val="00EA224D"/>
    <w:rsid w:val="00EA22AF"/>
    <w:rsid w:val="00EA2416"/>
    <w:rsid w:val="00EA265F"/>
    <w:rsid w:val="00EA274A"/>
    <w:rsid w:val="00EA2826"/>
    <w:rsid w:val="00EA283C"/>
    <w:rsid w:val="00EA2938"/>
    <w:rsid w:val="00EA29C2"/>
    <w:rsid w:val="00EA2A85"/>
    <w:rsid w:val="00EA2AED"/>
    <w:rsid w:val="00EA2E41"/>
    <w:rsid w:val="00EA2E4A"/>
    <w:rsid w:val="00EA2FB5"/>
    <w:rsid w:val="00EA2FBE"/>
    <w:rsid w:val="00EA3074"/>
    <w:rsid w:val="00EA30B9"/>
    <w:rsid w:val="00EA30ED"/>
    <w:rsid w:val="00EA310C"/>
    <w:rsid w:val="00EA314D"/>
    <w:rsid w:val="00EA3671"/>
    <w:rsid w:val="00EA3684"/>
    <w:rsid w:val="00EA3760"/>
    <w:rsid w:val="00EA37CA"/>
    <w:rsid w:val="00EA3980"/>
    <w:rsid w:val="00EA39DD"/>
    <w:rsid w:val="00EA3A53"/>
    <w:rsid w:val="00EA3A6F"/>
    <w:rsid w:val="00EA3D01"/>
    <w:rsid w:val="00EA3EF5"/>
    <w:rsid w:val="00EA3F98"/>
    <w:rsid w:val="00EA3FE9"/>
    <w:rsid w:val="00EA404C"/>
    <w:rsid w:val="00EA40D7"/>
    <w:rsid w:val="00EA40F6"/>
    <w:rsid w:val="00EA450A"/>
    <w:rsid w:val="00EA450C"/>
    <w:rsid w:val="00EA4952"/>
    <w:rsid w:val="00EA4B5B"/>
    <w:rsid w:val="00EA4B6A"/>
    <w:rsid w:val="00EA4BBD"/>
    <w:rsid w:val="00EA4CCF"/>
    <w:rsid w:val="00EA4DAE"/>
    <w:rsid w:val="00EA4E07"/>
    <w:rsid w:val="00EA4E2B"/>
    <w:rsid w:val="00EA4E57"/>
    <w:rsid w:val="00EA4EA3"/>
    <w:rsid w:val="00EA4F43"/>
    <w:rsid w:val="00EA4FD6"/>
    <w:rsid w:val="00EA501B"/>
    <w:rsid w:val="00EA5152"/>
    <w:rsid w:val="00EA51AA"/>
    <w:rsid w:val="00EA54A5"/>
    <w:rsid w:val="00EA56A1"/>
    <w:rsid w:val="00EA5886"/>
    <w:rsid w:val="00EA58B2"/>
    <w:rsid w:val="00EA58C0"/>
    <w:rsid w:val="00EA597F"/>
    <w:rsid w:val="00EA5B6E"/>
    <w:rsid w:val="00EA5C60"/>
    <w:rsid w:val="00EA5CC1"/>
    <w:rsid w:val="00EA5D7F"/>
    <w:rsid w:val="00EA5E88"/>
    <w:rsid w:val="00EA6168"/>
    <w:rsid w:val="00EA6198"/>
    <w:rsid w:val="00EA61EA"/>
    <w:rsid w:val="00EA61F0"/>
    <w:rsid w:val="00EA63EE"/>
    <w:rsid w:val="00EA6459"/>
    <w:rsid w:val="00EA6477"/>
    <w:rsid w:val="00EA659D"/>
    <w:rsid w:val="00EA6751"/>
    <w:rsid w:val="00EA677D"/>
    <w:rsid w:val="00EA6789"/>
    <w:rsid w:val="00EA67BA"/>
    <w:rsid w:val="00EA6931"/>
    <w:rsid w:val="00EA6BA3"/>
    <w:rsid w:val="00EA6BBF"/>
    <w:rsid w:val="00EA6C42"/>
    <w:rsid w:val="00EA6C9E"/>
    <w:rsid w:val="00EA70C5"/>
    <w:rsid w:val="00EA71EF"/>
    <w:rsid w:val="00EA760D"/>
    <w:rsid w:val="00EA76C9"/>
    <w:rsid w:val="00EA76F7"/>
    <w:rsid w:val="00EA784C"/>
    <w:rsid w:val="00EA78AF"/>
    <w:rsid w:val="00EA7A57"/>
    <w:rsid w:val="00EA7A65"/>
    <w:rsid w:val="00EA7BEA"/>
    <w:rsid w:val="00EA7BF5"/>
    <w:rsid w:val="00EA7C80"/>
    <w:rsid w:val="00EA7E09"/>
    <w:rsid w:val="00EA7EE7"/>
    <w:rsid w:val="00EA7FBA"/>
    <w:rsid w:val="00EB0069"/>
    <w:rsid w:val="00EB011F"/>
    <w:rsid w:val="00EB028A"/>
    <w:rsid w:val="00EB02ED"/>
    <w:rsid w:val="00EB039E"/>
    <w:rsid w:val="00EB0603"/>
    <w:rsid w:val="00EB077A"/>
    <w:rsid w:val="00EB0785"/>
    <w:rsid w:val="00EB0C1F"/>
    <w:rsid w:val="00EB0D43"/>
    <w:rsid w:val="00EB0DEA"/>
    <w:rsid w:val="00EB0F8D"/>
    <w:rsid w:val="00EB134A"/>
    <w:rsid w:val="00EB13A4"/>
    <w:rsid w:val="00EB165A"/>
    <w:rsid w:val="00EB183A"/>
    <w:rsid w:val="00EB19B0"/>
    <w:rsid w:val="00EB1A84"/>
    <w:rsid w:val="00EB1B50"/>
    <w:rsid w:val="00EB1B51"/>
    <w:rsid w:val="00EB1B82"/>
    <w:rsid w:val="00EB1BFF"/>
    <w:rsid w:val="00EB1E41"/>
    <w:rsid w:val="00EB1E77"/>
    <w:rsid w:val="00EB1F63"/>
    <w:rsid w:val="00EB2101"/>
    <w:rsid w:val="00EB22B9"/>
    <w:rsid w:val="00EB2553"/>
    <w:rsid w:val="00EB25D7"/>
    <w:rsid w:val="00EB25EB"/>
    <w:rsid w:val="00EB27BC"/>
    <w:rsid w:val="00EB2856"/>
    <w:rsid w:val="00EB2924"/>
    <w:rsid w:val="00EB2963"/>
    <w:rsid w:val="00EB2A84"/>
    <w:rsid w:val="00EB2C96"/>
    <w:rsid w:val="00EB2CF0"/>
    <w:rsid w:val="00EB2D5F"/>
    <w:rsid w:val="00EB2E80"/>
    <w:rsid w:val="00EB2F4B"/>
    <w:rsid w:val="00EB302E"/>
    <w:rsid w:val="00EB30D4"/>
    <w:rsid w:val="00EB31B1"/>
    <w:rsid w:val="00EB32FA"/>
    <w:rsid w:val="00EB3324"/>
    <w:rsid w:val="00EB3356"/>
    <w:rsid w:val="00EB3424"/>
    <w:rsid w:val="00EB36DE"/>
    <w:rsid w:val="00EB3808"/>
    <w:rsid w:val="00EB3B4A"/>
    <w:rsid w:val="00EB3B61"/>
    <w:rsid w:val="00EB3C91"/>
    <w:rsid w:val="00EB3D4C"/>
    <w:rsid w:val="00EB3FCC"/>
    <w:rsid w:val="00EB3FD4"/>
    <w:rsid w:val="00EB4059"/>
    <w:rsid w:val="00EB41B2"/>
    <w:rsid w:val="00EB41BC"/>
    <w:rsid w:val="00EB427D"/>
    <w:rsid w:val="00EB42BB"/>
    <w:rsid w:val="00EB43F9"/>
    <w:rsid w:val="00EB44A3"/>
    <w:rsid w:val="00EB451C"/>
    <w:rsid w:val="00EB45F6"/>
    <w:rsid w:val="00EB4616"/>
    <w:rsid w:val="00EB46DF"/>
    <w:rsid w:val="00EB46F6"/>
    <w:rsid w:val="00EB474B"/>
    <w:rsid w:val="00EB47C3"/>
    <w:rsid w:val="00EB4834"/>
    <w:rsid w:val="00EB4887"/>
    <w:rsid w:val="00EB4A52"/>
    <w:rsid w:val="00EB4A77"/>
    <w:rsid w:val="00EB4B0B"/>
    <w:rsid w:val="00EB4B9C"/>
    <w:rsid w:val="00EB4C50"/>
    <w:rsid w:val="00EB4CD5"/>
    <w:rsid w:val="00EB4F0C"/>
    <w:rsid w:val="00EB5093"/>
    <w:rsid w:val="00EB54D4"/>
    <w:rsid w:val="00EB5774"/>
    <w:rsid w:val="00EB582D"/>
    <w:rsid w:val="00EB58A8"/>
    <w:rsid w:val="00EB591A"/>
    <w:rsid w:val="00EB5B16"/>
    <w:rsid w:val="00EB5B69"/>
    <w:rsid w:val="00EB5BA8"/>
    <w:rsid w:val="00EB5CD7"/>
    <w:rsid w:val="00EB5CEE"/>
    <w:rsid w:val="00EB5D00"/>
    <w:rsid w:val="00EB5D26"/>
    <w:rsid w:val="00EB5D63"/>
    <w:rsid w:val="00EB5D9F"/>
    <w:rsid w:val="00EB5EA5"/>
    <w:rsid w:val="00EB5FFC"/>
    <w:rsid w:val="00EB6053"/>
    <w:rsid w:val="00EB6139"/>
    <w:rsid w:val="00EB6415"/>
    <w:rsid w:val="00EB6488"/>
    <w:rsid w:val="00EB6501"/>
    <w:rsid w:val="00EB652E"/>
    <w:rsid w:val="00EB6557"/>
    <w:rsid w:val="00EB661C"/>
    <w:rsid w:val="00EB6681"/>
    <w:rsid w:val="00EB6704"/>
    <w:rsid w:val="00EB6920"/>
    <w:rsid w:val="00EB69C3"/>
    <w:rsid w:val="00EB6A32"/>
    <w:rsid w:val="00EB6ED1"/>
    <w:rsid w:val="00EB7162"/>
    <w:rsid w:val="00EB71A4"/>
    <w:rsid w:val="00EB749F"/>
    <w:rsid w:val="00EB74E5"/>
    <w:rsid w:val="00EB75AD"/>
    <w:rsid w:val="00EB77B6"/>
    <w:rsid w:val="00EB7879"/>
    <w:rsid w:val="00EB787B"/>
    <w:rsid w:val="00EB79D3"/>
    <w:rsid w:val="00EB7A0E"/>
    <w:rsid w:val="00EB7A5E"/>
    <w:rsid w:val="00EB7AB5"/>
    <w:rsid w:val="00EB7B15"/>
    <w:rsid w:val="00EB7B4B"/>
    <w:rsid w:val="00EB7CB4"/>
    <w:rsid w:val="00EB7DF7"/>
    <w:rsid w:val="00EB7E32"/>
    <w:rsid w:val="00EB7F41"/>
    <w:rsid w:val="00EB7F5E"/>
    <w:rsid w:val="00EB7FA4"/>
    <w:rsid w:val="00EC00D5"/>
    <w:rsid w:val="00EC01F6"/>
    <w:rsid w:val="00EC033C"/>
    <w:rsid w:val="00EC03C3"/>
    <w:rsid w:val="00EC0508"/>
    <w:rsid w:val="00EC050D"/>
    <w:rsid w:val="00EC0780"/>
    <w:rsid w:val="00EC09E5"/>
    <w:rsid w:val="00EC0A30"/>
    <w:rsid w:val="00EC0B17"/>
    <w:rsid w:val="00EC0CB4"/>
    <w:rsid w:val="00EC0CC3"/>
    <w:rsid w:val="00EC0DB1"/>
    <w:rsid w:val="00EC0FBC"/>
    <w:rsid w:val="00EC0FF1"/>
    <w:rsid w:val="00EC1222"/>
    <w:rsid w:val="00EC1229"/>
    <w:rsid w:val="00EC12DB"/>
    <w:rsid w:val="00EC18C7"/>
    <w:rsid w:val="00EC1A0F"/>
    <w:rsid w:val="00EC1AE9"/>
    <w:rsid w:val="00EC1B13"/>
    <w:rsid w:val="00EC1BA2"/>
    <w:rsid w:val="00EC1E18"/>
    <w:rsid w:val="00EC213D"/>
    <w:rsid w:val="00EC2149"/>
    <w:rsid w:val="00EC215C"/>
    <w:rsid w:val="00EC22D5"/>
    <w:rsid w:val="00EC24EB"/>
    <w:rsid w:val="00EC2546"/>
    <w:rsid w:val="00EC25B9"/>
    <w:rsid w:val="00EC2635"/>
    <w:rsid w:val="00EC2703"/>
    <w:rsid w:val="00EC274C"/>
    <w:rsid w:val="00EC28FB"/>
    <w:rsid w:val="00EC2AFC"/>
    <w:rsid w:val="00EC2C9C"/>
    <w:rsid w:val="00EC2DF2"/>
    <w:rsid w:val="00EC3014"/>
    <w:rsid w:val="00EC316E"/>
    <w:rsid w:val="00EC33A0"/>
    <w:rsid w:val="00EC33B0"/>
    <w:rsid w:val="00EC34B6"/>
    <w:rsid w:val="00EC36B8"/>
    <w:rsid w:val="00EC36C9"/>
    <w:rsid w:val="00EC36E3"/>
    <w:rsid w:val="00EC37AE"/>
    <w:rsid w:val="00EC3BD3"/>
    <w:rsid w:val="00EC3BE3"/>
    <w:rsid w:val="00EC3C29"/>
    <w:rsid w:val="00EC3C5E"/>
    <w:rsid w:val="00EC3E3C"/>
    <w:rsid w:val="00EC3ED7"/>
    <w:rsid w:val="00EC3F70"/>
    <w:rsid w:val="00EC3F74"/>
    <w:rsid w:val="00EC4113"/>
    <w:rsid w:val="00EC4211"/>
    <w:rsid w:val="00EC4239"/>
    <w:rsid w:val="00EC43ED"/>
    <w:rsid w:val="00EC4704"/>
    <w:rsid w:val="00EC4763"/>
    <w:rsid w:val="00EC4818"/>
    <w:rsid w:val="00EC4836"/>
    <w:rsid w:val="00EC4841"/>
    <w:rsid w:val="00EC489C"/>
    <w:rsid w:val="00EC4B35"/>
    <w:rsid w:val="00EC4CF5"/>
    <w:rsid w:val="00EC4F62"/>
    <w:rsid w:val="00EC4FD8"/>
    <w:rsid w:val="00EC500B"/>
    <w:rsid w:val="00EC5058"/>
    <w:rsid w:val="00EC5086"/>
    <w:rsid w:val="00EC5088"/>
    <w:rsid w:val="00EC5134"/>
    <w:rsid w:val="00EC513A"/>
    <w:rsid w:val="00EC5152"/>
    <w:rsid w:val="00EC529D"/>
    <w:rsid w:val="00EC52CE"/>
    <w:rsid w:val="00EC52EB"/>
    <w:rsid w:val="00EC5341"/>
    <w:rsid w:val="00EC54D7"/>
    <w:rsid w:val="00EC5565"/>
    <w:rsid w:val="00EC55C1"/>
    <w:rsid w:val="00EC57B9"/>
    <w:rsid w:val="00EC58B6"/>
    <w:rsid w:val="00EC58E9"/>
    <w:rsid w:val="00EC592C"/>
    <w:rsid w:val="00EC5974"/>
    <w:rsid w:val="00EC5A26"/>
    <w:rsid w:val="00EC5C0E"/>
    <w:rsid w:val="00EC5D67"/>
    <w:rsid w:val="00EC5DA4"/>
    <w:rsid w:val="00EC5EDB"/>
    <w:rsid w:val="00EC5F88"/>
    <w:rsid w:val="00EC621A"/>
    <w:rsid w:val="00EC62A6"/>
    <w:rsid w:val="00EC62A7"/>
    <w:rsid w:val="00EC638F"/>
    <w:rsid w:val="00EC6405"/>
    <w:rsid w:val="00EC675F"/>
    <w:rsid w:val="00EC6791"/>
    <w:rsid w:val="00EC67A9"/>
    <w:rsid w:val="00EC6881"/>
    <w:rsid w:val="00EC6907"/>
    <w:rsid w:val="00EC6955"/>
    <w:rsid w:val="00EC6AC4"/>
    <w:rsid w:val="00EC6ADA"/>
    <w:rsid w:val="00EC6B18"/>
    <w:rsid w:val="00EC6B8C"/>
    <w:rsid w:val="00EC6FAC"/>
    <w:rsid w:val="00EC7187"/>
    <w:rsid w:val="00EC7190"/>
    <w:rsid w:val="00EC72CA"/>
    <w:rsid w:val="00EC7343"/>
    <w:rsid w:val="00EC7361"/>
    <w:rsid w:val="00EC7495"/>
    <w:rsid w:val="00EC74D3"/>
    <w:rsid w:val="00EC77B0"/>
    <w:rsid w:val="00EC79A5"/>
    <w:rsid w:val="00EC7AA3"/>
    <w:rsid w:val="00EC7AF1"/>
    <w:rsid w:val="00EC7B5C"/>
    <w:rsid w:val="00EC7B60"/>
    <w:rsid w:val="00EC7C1C"/>
    <w:rsid w:val="00EC7C31"/>
    <w:rsid w:val="00EC7C58"/>
    <w:rsid w:val="00EC7E77"/>
    <w:rsid w:val="00EC7E9E"/>
    <w:rsid w:val="00EC7F0D"/>
    <w:rsid w:val="00EC7F88"/>
    <w:rsid w:val="00ED00B8"/>
    <w:rsid w:val="00ED0115"/>
    <w:rsid w:val="00ED0380"/>
    <w:rsid w:val="00ED0492"/>
    <w:rsid w:val="00ED0498"/>
    <w:rsid w:val="00ED055F"/>
    <w:rsid w:val="00ED056E"/>
    <w:rsid w:val="00ED085B"/>
    <w:rsid w:val="00ED0919"/>
    <w:rsid w:val="00ED0922"/>
    <w:rsid w:val="00ED092E"/>
    <w:rsid w:val="00ED09FA"/>
    <w:rsid w:val="00ED0A1E"/>
    <w:rsid w:val="00ED0A89"/>
    <w:rsid w:val="00ED0B4D"/>
    <w:rsid w:val="00ED0C37"/>
    <w:rsid w:val="00ED0CC5"/>
    <w:rsid w:val="00ED0D88"/>
    <w:rsid w:val="00ED0E09"/>
    <w:rsid w:val="00ED0E38"/>
    <w:rsid w:val="00ED0EC2"/>
    <w:rsid w:val="00ED0F50"/>
    <w:rsid w:val="00ED116B"/>
    <w:rsid w:val="00ED1213"/>
    <w:rsid w:val="00ED1437"/>
    <w:rsid w:val="00ED14D9"/>
    <w:rsid w:val="00ED15A8"/>
    <w:rsid w:val="00ED15D2"/>
    <w:rsid w:val="00ED1604"/>
    <w:rsid w:val="00ED1772"/>
    <w:rsid w:val="00ED1788"/>
    <w:rsid w:val="00ED179C"/>
    <w:rsid w:val="00ED197E"/>
    <w:rsid w:val="00ED19D7"/>
    <w:rsid w:val="00ED1A4E"/>
    <w:rsid w:val="00ED1AAA"/>
    <w:rsid w:val="00ED1F97"/>
    <w:rsid w:val="00ED20EA"/>
    <w:rsid w:val="00ED2116"/>
    <w:rsid w:val="00ED2383"/>
    <w:rsid w:val="00ED23AF"/>
    <w:rsid w:val="00ED250F"/>
    <w:rsid w:val="00ED26D5"/>
    <w:rsid w:val="00ED273F"/>
    <w:rsid w:val="00ED2740"/>
    <w:rsid w:val="00ED27A7"/>
    <w:rsid w:val="00ED290F"/>
    <w:rsid w:val="00ED2A03"/>
    <w:rsid w:val="00ED2ACC"/>
    <w:rsid w:val="00ED2BB4"/>
    <w:rsid w:val="00ED2C4E"/>
    <w:rsid w:val="00ED2ED8"/>
    <w:rsid w:val="00ED2F5A"/>
    <w:rsid w:val="00ED3136"/>
    <w:rsid w:val="00ED3233"/>
    <w:rsid w:val="00ED3405"/>
    <w:rsid w:val="00ED34FF"/>
    <w:rsid w:val="00ED357F"/>
    <w:rsid w:val="00ED35E2"/>
    <w:rsid w:val="00ED3612"/>
    <w:rsid w:val="00ED3774"/>
    <w:rsid w:val="00ED385E"/>
    <w:rsid w:val="00ED386E"/>
    <w:rsid w:val="00ED3992"/>
    <w:rsid w:val="00ED3A0B"/>
    <w:rsid w:val="00ED3A2C"/>
    <w:rsid w:val="00ED3B6F"/>
    <w:rsid w:val="00ED3CFF"/>
    <w:rsid w:val="00ED3DA0"/>
    <w:rsid w:val="00ED3E2D"/>
    <w:rsid w:val="00ED3E6A"/>
    <w:rsid w:val="00ED3F34"/>
    <w:rsid w:val="00ED406A"/>
    <w:rsid w:val="00ED413F"/>
    <w:rsid w:val="00ED4144"/>
    <w:rsid w:val="00ED41EF"/>
    <w:rsid w:val="00ED43A7"/>
    <w:rsid w:val="00ED45CE"/>
    <w:rsid w:val="00ED472F"/>
    <w:rsid w:val="00ED4796"/>
    <w:rsid w:val="00ED4851"/>
    <w:rsid w:val="00ED485D"/>
    <w:rsid w:val="00ED48C0"/>
    <w:rsid w:val="00ED4AC8"/>
    <w:rsid w:val="00ED4AFE"/>
    <w:rsid w:val="00ED4CC8"/>
    <w:rsid w:val="00ED4DDD"/>
    <w:rsid w:val="00ED4E8E"/>
    <w:rsid w:val="00ED4EF4"/>
    <w:rsid w:val="00ED4FC1"/>
    <w:rsid w:val="00ED5084"/>
    <w:rsid w:val="00ED5092"/>
    <w:rsid w:val="00ED5097"/>
    <w:rsid w:val="00ED510D"/>
    <w:rsid w:val="00ED557A"/>
    <w:rsid w:val="00ED56B6"/>
    <w:rsid w:val="00ED58EA"/>
    <w:rsid w:val="00ED5929"/>
    <w:rsid w:val="00ED5A06"/>
    <w:rsid w:val="00ED5B31"/>
    <w:rsid w:val="00ED5CE1"/>
    <w:rsid w:val="00ED5E38"/>
    <w:rsid w:val="00ED651B"/>
    <w:rsid w:val="00ED65D4"/>
    <w:rsid w:val="00ED65E9"/>
    <w:rsid w:val="00ED67AB"/>
    <w:rsid w:val="00ED6AA9"/>
    <w:rsid w:val="00ED6BEB"/>
    <w:rsid w:val="00ED6DFB"/>
    <w:rsid w:val="00ED70CB"/>
    <w:rsid w:val="00ED7136"/>
    <w:rsid w:val="00ED7261"/>
    <w:rsid w:val="00ED72BC"/>
    <w:rsid w:val="00ED72BD"/>
    <w:rsid w:val="00ED7455"/>
    <w:rsid w:val="00ED745E"/>
    <w:rsid w:val="00ED7491"/>
    <w:rsid w:val="00ED761C"/>
    <w:rsid w:val="00ED7938"/>
    <w:rsid w:val="00ED799B"/>
    <w:rsid w:val="00ED7B11"/>
    <w:rsid w:val="00ED7C28"/>
    <w:rsid w:val="00ED7D00"/>
    <w:rsid w:val="00ED7E56"/>
    <w:rsid w:val="00ED7FC8"/>
    <w:rsid w:val="00ED7FCE"/>
    <w:rsid w:val="00EE0041"/>
    <w:rsid w:val="00EE012B"/>
    <w:rsid w:val="00EE0136"/>
    <w:rsid w:val="00EE0471"/>
    <w:rsid w:val="00EE0518"/>
    <w:rsid w:val="00EE0616"/>
    <w:rsid w:val="00EE0695"/>
    <w:rsid w:val="00EE0A75"/>
    <w:rsid w:val="00EE0B5C"/>
    <w:rsid w:val="00EE0E00"/>
    <w:rsid w:val="00EE0FA9"/>
    <w:rsid w:val="00EE1172"/>
    <w:rsid w:val="00EE12AF"/>
    <w:rsid w:val="00EE1366"/>
    <w:rsid w:val="00EE13E6"/>
    <w:rsid w:val="00EE13E8"/>
    <w:rsid w:val="00EE148A"/>
    <w:rsid w:val="00EE148E"/>
    <w:rsid w:val="00EE150B"/>
    <w:rsid w:val="00EE1759"/>
    <w:rsid w:val="00EE18C7"/>
    <w:rsid w:val="00EE18CB"/>
    <w:rsid w:val="00EE1909"/>
    <w:rsid w:val="00EE191D"/>
    <w:rsid w:val="00EE19C6"/>
    <w:rsid w:val="00EE1AE0"/>
    <w:rsid w:val="00EE1B22"/>
    <w:rsid w:val="00EE1C01"/>
    <w:rsid w:val="00EE1D0B"/>
    <w:rsid w:val="00EE1EC7"/>
    <w:rsid w:val="00EE1F29"/>
    <w:rsid w:val="00EE21DA"/>
    <w:rsid w:val="00EE227E"/>
    <w:rsid w:val="00EE2467"/>
    <w:rsid w:val="00EE24BB"/>
    <w:rsid w:val="00EE26FE"/>
    <w:rsid w:val="00EE2761"/>
    <w:rsid w:val="00EE2892"/>
    <w:rsid w:val="00EE28D1"/>
    <w:rsid w:val="00EE2957"/>
    <w:rsid w:val="00EE29CB"/>
    <w:rsid w:val="00EE29D4"/>
    <w:rsid w:val="00EE2AB6"/>
    <w:rsid w:val="00EE2B0F"/>
    <w:rsid w:val="00EE2BCF"/>
    <w:rsid w:val="00EE2BE7"/>
    <w:rsid w:val="00EE2CE7"/>
    <w:rsid w:val="00EE2FE9"/>
    <w:rsid w:val="00EE30C8"/>
    <w:rsid w:val="00EE3177"/>
    <w:rsid w:val="00EE3289"/>
    <w:rsid w:val="00EE32FD"/>
    <w:rsid w:val="00EE3571"/>
    <w:rsid w:val="00EE3604"/>
    <w:rsid w:val="00EE3606"/>
    <w:rsid w:val="00EE3620"/>
    <w:rsid w:val="00EE3716"/>
    <w:rsid w:val="00EE37E4"/>
    <w:rsid w:val="00EE39C1"/>
    <w:rsid w:val="00EE39CF"/>
    <w:rsid w:val="00EE3A20"/>
    <w:rsid w:val="00EE3BBC"/>
    <w:rsid w:val="00EE3D8D"/>
    <w:rsid w:val="00EE3E0D"/>
    <w:rsid w:val="00EE3FF9"/>
    <w:rsid w:val="00EE4145"/>
    <w:rsid w:val="00EE4196"/>
    <w:rsid w:val="00EE42CF"/>
    <w:rsid w:val="00EE4451"/>
    <w:rsid w:val="00EE446E"/>
    <w:rsid w:val="00EE4490"/>
    <w:rsid w:val="00EE46A3"/>
    <w:rsid w:val="00EE4732"/>
    <w:rsid w:val="00EE48DF"/>
    <w:rsid w:val="00EE4908"/>
    <w:rsid w:val="00EE49E2"/>
    <w:rsid w:val="00EE4A84"/>
    <w:rsid w:val="00EE4C85"/>
    <w:rsid w:val="00EE4CC4"/>
    <w:rsid w:val="00EE4E04"/>
    <w:rsid w:val="00EE4EEF"/>
    <w:rsid w:val="00EE515A"/>
    <w:rsid w:val="00EE52AA"/>
    <w:rsid w:val="00EE53C9"/>
    <w:rsid w:val="00EE53E2"/>
    <w:rsid w:val="00EE53EB"/>
    <w:rsid w:val="00EE569A"/>
    <w:rsid w:val="00EE58A1"/>
    <w:rsid w:val="00EE58FD"/>
    <w:rsid w:val="00EE5903"/>
    <w:rsid w:val="00EE59E4"/>
    <w:rsid w:val="00EE5A3E"/>
    <w:rsid w:val="00EE5D3F"/>
    <w:rsid w:val="00EE5E40"/>
    <w:rsid w:val="00EE5EC0"/>
    <w:rsid w:val="00EE5F47"/>
    <w:rsid w:val="00EE5FDE"/>
    <w:rsid w:val="00EE60FB"/>
    <w:rsid w:val="00EE6481"/>
    <w:rsid w:val="00EE64C2"/>
    <w:rsid w:val="00EE67A3"/>
    <w:rsid w:val="00EE6832"/>
    <w:rsid w:val="00EE6993"/>
    <w:rsid w:val="00EE69A4"/>
    <w:rsid w:val="00EE6A27"/>
    <w:rsid w:val="00EE6AD9"/>
    <w:rsid w:val="00EE6C07"/>
    <w:rsid w:val="00EE6E5D"/>
    <w:rsid w:val="00EE6EF2"/>
    <w:rsid w:val="00EE724A"/>
    <w:rsid w:val="00EE72B0"/>
    <w:rsid w:val="00EE7415"/>
    <w:rsid w:val="00EE757D"/>
    <w:rsid w:val="00EE7796"/>
    <w:rsid w:val="00EE78F1"/>
    <w:rsid w:val="00EE7A43"/>
    <w:rsid w:val="00EE7AA2"/>
    <w:rsid w:val="00EE7B6A"/>
    <w:rsid w:val="00EE7B73"/>
    <w:rsid w:val="00EE7E4E"/>
    <w:rsid w:val="00EE7E66"/>
    <w:rsid w:val="00EF042A"/>
    <w:rsid w:val="00EF043F"/>
    <w:rsid w:val="00EF044A"/>
    <w:rsid w:val="00EF044C"/>
    <w:rsid w:val="00EF050F"/>
    <w:rsid w:val="00EF056E"/>
    <w:rsid w:val="00EF05AC"/>
    <w:rsid w:val="00EF05CD"/>
    <w:rsid w:val="00EF078F"/>
    <w:rsid w:val="00EF07D9"/>
    <w:rsid w:val="00EF0807"/>
    <w:rsid w:val="00EF08F1"/>
    <w:rsid w:val="00EF0978"/>
    <w:rsid w:val="00EF09DD"/>
    <w:rsid w:val="00EF0C38"/>
    <w:rsid w:val="00EF0E86"/>
    <w:rsid w:val="00EF0F24"/>
    <w:rsid w:val="00EF1026"/>
    <w:rsid w:val="00EF1261"/>
    <w:rsid w:val="00EF13D4"/>
    <w:rsid w:val="00EF14A9"/>
    <w:rsid w:val="00EF151C"/>
    <w:rsid w:val="00EF15AF"/>
    <w:rsid w:val="00EF15E5"/>
    <w:rsid w:val="00EF1755"/>
    <w:rsid w:val="00EF1807"/>
    <w:rsid w:val="00EF1821"/>
    <w:rsid w:val="00EF187C"/>
    <w:rsid w:val="00EF18B4"/>
    <w:rsid w:val="00EF1AAF"/>
    <w:rsid w:val="00EF1C6B"/>
    <w:rsid w:val="00EF1FC2"/>
    <w:rsid w:val="00EF1FCF"/>
    <w:rsid w:val="00EF21C0"/>
    <w:rsid w:val="00EF21E2"/>
    <w:rsid w:val="00EF229F"/>
    <w:rsid w:val="00EF22D9"/>
    <w:rsid w:val="00EF23F2"/>
    <w:rsid w:val="00EF2409"/>
    <w:rsid w:val="00EF2448"/>
    <w:rsid w:val="00EF2778"/>
    <w:rsid w:val="00EF28D3"/>
    <w:rsid w:val="00EF295E"/>
    <w:rsid w:val="00EF2ABE"/>
    <w:rsid w:val="00EF2AE5"/>
    <w:rsid w:val="00EF2B76"/>
    <w:rsid w:val="00EF2F0C"/>
    <w:rsid w:val="00EF2F24"/>
    <w:rsid w:val="00EF2F7D"/>
    <w:rsid w:val="00EF30CE"/>
    <w:rsid w:val="00EF32E9"/>
    <w:rsid w:val="00EF333E"/>
    <w:rsid w:val="00EF3584"/>
    <w:rsid w:val="00EF35C5"/>
    <w:rsid w:val="00EF360A"/>
    <w:rsid w:val="00EF379A"/>
    <w:rsid w:val="00EF38C7"/>
    <w:rsid w:val="00EF3A4A"/>
    <w:rsid w:val="00EF3ADC"/>
    <w:rsid w:val="00EF3B82"/>
    <w:rsid w:val="00EF3D58"/>
    <w:rsid w:val="00EF3DDC"/>
    <w:rsid w:val="00EF3F20"/>
    <w:rsid w:val="00EF3FF5"/>
    <w:rsid w:val="00EF4090"/>
    <w:rsid w:val="00EF4211"/>
    <w:rsid w:val="00EF42C7"/>
    <w:rsid w:val="00EF4365"/>
    <w:rsid w:val="00EF438B"/>
    <w:rsid w:val="00EF4390"/>
    <w:rsid w:val="00EF439C"/>
    <w:rsid w:val="00EF43F0"/>
    <w:rsid w:val="00EF440E"/>
    <w:rsid w:val="00EF4578"/>
    <w:rsid w:val="00EF46E3"/>
    <w:rsid w:val="00EF47D0"/>
    <w:rsid w:val="00EF49FE"/>
    <w:rsid w:val="00EF4B9C"/>
    <w:rsid w:val="00EF4DBB"/>
    <w:rsid w:val="00EF5235"/>
    <w:rsid w:val="00EF52C7"/>
    <w:rsid w:val="00EF5365"/>
    <w:rsid w:val="00EF5486"/>
    <w:rsid w:val="00EF567E"/>
    <w:rsid w:val="00EF5685"/>
    <w:rsid w:val="00EF56FA"/>
    <w:rsid w:val="00EF5735"/>
    <w:rsid w:val="00EF580F"/>
    <w:rsid w:val="00EF59AD"/>
    <w:rsid w:val="00EF5B8A"/>
    <w:rsid w:val="00EF5C5E"/>
    <w:rsid w:val="00EF5D04"/>
    <w:rsid w:val="00EF6355"/>
    <w:rsid w:val="00EF644A"/>
    <w:rsid w:val="00EF6586"/>
    <w:rsid w:val="00EF66A0"/>
    <w:rsid w:val="00EF6799"/>
    <w:rsid w:val="00EF6942"/>
    <w:rsid w:val="00EF69AA"/>
    <w:rsid w:val="00EF6A12"/>
    <w:rsid w:val="00EF6A70"/>
    <w:rsid w:val="00EF6B34"/>
    <w:rsid w:val="00EF6B77"/>
    <w:rsid w:val="00EF6BB5"/>
    <w:rsid w:val="00EF6DEE"/>
    <w:rsid w:val="00EF6F09"/>
    <w:rsid w:val="00EF6F2C"/>
    <w:rsid w:val="00EF6F82"/>
    <w:rsid w:val="00EF7063"/>
    <w:rsid w:val="00EF7084"/>
    <w:rsid w:val="00EF70FE"/>
    <w:rsid w:val="00EF72CD"/>
    <w:rsid w:val="00EF7682"/>
    <w:rsid w:val="00EF77E3"/>
    <w:rsid w:val="00EF78E1"/>
    <w:rsid w:val="00EF78FA"/>
    <w:rsid w:val="00EF7990"/>
    <w:rsid w:val="00EF7B1C"/>
    <w:rsid w:val="00EF7B87"/>
    <w:rsid w:val="00EF7C1F"/>
    <w:rsid w:val="00EF7C9B"/>
    <w:rsid w:val="00EF7F38"/>
    <w:rsid w:val="00EF7F5A"/>
    <w:rsid w:val="00EF7FEB"/>
    <w:rsid w:val="00F000E9"/>
    <w:rsid w:val="00F002BA"/>
    <w:rsid w:val="00F00303"/>
    <w:rsid w:val="00F00353"/>
    <w:rsid w:val="00F003C8"/>
    <w:rsid w:val="00F0054F"/>
    <w:rsid w:val="00F00718"/>
    <w:rsid w:val="00F00807"/>
    <w:rsid w:val="00F008D8"/>
    <w:rsid w:val="00F009CA"/>
    <w:rsid w:val="00F00A29"/>
    <w:rsid w:val="00F00AF8"/>
    <w:rsid w:val="00F00CED"/>
    <w:rsid w:val="00F00D49"/>
    <w:rsid w:val="00F01113"/>
    <w:rsid w:val="00F012DE"/>
    <w:rsid w:val="00F012E1"/>
    <w:rsid w:val="00F016AB"/>
    <w:rsid w:val="00F01840"/>
    <w:rsid w:val="00F01856"/>
    <w:rsid w:val="00F01B66"/>
    <w:rsid w:val="00F01CBA"/>
    <w:rsid w:val="00F01CDC"/>
    <w:rsid w:val="00F01E44"/>
    <w:rsid w:val="00F01FA3"/>
    <w:rsid w:val="00F020F7"/>
    <w:rsid w:val="00F02187"/>
    <w:rsid w:val="00F021AF"/>
    <w:rsid w:val="00F0227F"/>
    <w:rsid w:val="00F02451"/>
    <w:rsid w:val="00F024DD"/>
    <w:rsid w:val="00F0282C"/>
    <w:rsid w:val="00F0296F"/>
    <w:rsid w:val="00F0297C"/>
    <w:rsid w:val="00F02AF2"/>
    <w:rsid w:val="00F02B1E"/>
    <w:rsid w:val="00F02B3D"/>
    <w:rsid w:val="00F02E6F"/>
    <w:rsid w:val="00F030C6"/>
    <w:rsid w:val="00F03270"/>
    <w:rsid w:val="00F03278"/>
    <w:rsid w:val="00F032AB"/>
    <w:rsid w:val="00F0332E"/>
    <w:rsid w:val="00F03386"/>
    <w:rsid w:val="00F0338E"/>
    <w:rsid w:val="00F03399"/>
    <w:rsid w:val="00F0339A"/>
    <w:rsid w:val="00F0375C"/>
    <w:rsid w:val="00F03A75"/>
    <w:rsid w:val="00F03AB9"/>
    <w:rsid w:val="00F03B39"/>
    <w:rsid w:val="00F03BEE"/>
    <w:rsid w:val="00F03E40"/>
    <w:rsid w:val="00F03F30"/>
    <w:rsid w:val="00F04052"/>
    <w:rsid w:val="00F0415C"/>
    <w:rsid w:val="00F04249"/>
    <w:rsid w:val="00F045E0"/>
    <w:rsid w:val="00F046AF"/>
    <w:rsid w:val="00F04898"/>
    <w:rsid w:val="00F04AE8"/>
    <w:rsid w:val="00F04C72"/>
    <w:rsid w:val="00F04D1D"/>
    <w:rsid w:val="00F04D7D"/>
    <w:rsid w:val="00F04F90"/>
    <w:rsid w:val="00F04FED"/>
    <w:rsid w:val="00F05220"/>
    <w:rsid w:val="00F052FA"/>
    <w:rsid w:val="00F05367"/>
    <w:rsid w:val="00F05530"/>
    <w:rsid w:val="00F057B4"/>
    <w:rsid w:val="00F05857"/>
    <w:rsid w:val="00F05973"/>
    <w:rsid w:val="00F05AEF"/>
    <w:rsid w:val="00F05B45"/>
    <w:rsid w:val="00F05B5B"/>
    <w:rsid w:val="00F05B7A"/>
    <w:rsid w:val="00F05C55"/>
    <w:rsid w:val="00F05D0F"/>
    <w:rsid w:val="00F05D22"/>
    <w:rsid w:val="00F05D4C"/>
    <w:rsid w:val="00F05DAB"/>
    <w:rsid w:val="00F06014"/>
    <w:rsid w:val="00F0602C"/>
    <w:rsid w:val="00F06061"/>
    <w:rsid w:val="00F06232"/>
    <w:rsid w:val="00F063DD"/>
    <w:rsid w:val="00F063FC"/>
    <w:rsid w:val="00F06673"/>
    <w:rsid w:val="00F06694"/>
    <w:rsid w:val="00F066CC"/>
    <w:rsid w:val="00F06961"/>
    <w:rsid w:val="00F0697C"/>
    <w:rsid w:val="00F06C59"/>
    <w:rsid w:val="00F06C6A"/>
    <w:rsid w:val="00F06C72"/>
    <w:rsid w:val="00F06CF2"/>
    <w:rsid w:val="00F06D80"/>
    <w:rsid w:val="00F06E41"/>
    <w:rsid w:val="00F06E50"/>
    <w:rsid w:val="00F0712A"/>
    <w:rsid w:val="00F071C2"/>
    <w:rsid w:val="00F0747C"/>
    <w:rsid w:val="00F074A4"/>
    <w:rsid w:val="00F0764A"/>
    <w:rsid w:val="00F07731"/>
    <w:rsid w:val="00F0785C"/>
    <w:rsid w:val="00F079B1"/>
    <w:rsid w:val="00F07F6D"/>
    <w:rsid w:val="00F0E6D1"/>
    <w:rsid w:val="00F1004A"/>
    <w:rsid w:val="00F1013D"/>
    <w:rsid w:val="00F10286"/>
    <w:rsid w:val="00F102D7"/>
    <w:rsid w:val="00F10388"/>
    <w:rsid w:val="00F103F8"/>
    <w:rsid w:val="00F10413"/>
    <w:rsid w:val="00F10575"/>
    <w:rsid w:val="00F105F4"/>
    <w:rsid w:val="00F10615"/>
    <w:rsid w:val="00F1066F"/>
    <w:rsid w:val="00F10AD7"/>
    <w:rsid w:val="00F10B13"/>
    <w:rsid w:val="00F10EDE"/>
    <w:rsid w:val="00F10F8B"/>
    <w:rsid w:val="00F111A9"/>
    <w:rsid w:val="00F1128A"/>
    <w:rsid w:val="00F115DB"/>
    <w:rsid w:val="00F116D6"/>
    <w:rsid w:val="00F11BE6"/>
    <w:rsid w:val="00F11D78"/>
    <w:rsid w:val="00F11DEA"/>
    <w:rsid w:val="00F11F01"/>
    <w:rsid w:val="00F120E5"/>
    <w:rsid w:val="00F12149"/>
    <w:rsid w:val="00F122D2"/>
    <w:rsid w:val="00F122EB"/>
    <w:rsid w:val="00F12445"/>
    <w:rsid w:val="00F1245A"/>
    <w:rsid w:val="00F12573"/>
    <w:rsid w:val="00F126B2"/>
    <w:rsid w:val="00F126BC"/>
    <w:rsid w:val="00F127AE"/>
    <w:rsid w:val="00F12A20"/>
    <w:rsid w:val="00F12A98"/>
    <w:rsid w:val="00F12B8E"/>
    <w:rsid w:val="00F12BA2"/>
    <w:rsid w:val="00F12C23"/>
    <w:rsid w:val="00F12C52"/>
    <w:rsid w:val="00F12DC0"/>
    <w:rsid w:val="00F12FCD"/>
    <w:rsid w:val="00F12FE9"/>
    <w:rsid w:val="00F1300E"/>
    <w:rsid w:val="00F131BB"/>
    <w:rsid w:val="00F1329E"/>
    <w:rsid w:val="00F132AF"/>
    <w:rsid w:val="00F13300"/>
    <w:rsid w:val="00F13657"/>
    <w:rsid w:val="00F13737"/>
    <w:rsid w:val="00F13805"/>
    <w:rsid w:val="00F138A2"/>
    <w:rsid w:val="00F13990"/>
    <w:rsid w:val="00F13991"/>
    <w:rsid w:val="00F139D2"/>
    <w:rsid w:val="00F13A38"/>
    <w:rsid w:val="00F13A54"/>
    <w:rsid w:val="00F13C63"/>
    <w:rsid w:val="00F13D2D"/>
    <w:rsid w:val="00F13E69"/>
    <w:rsid w:val="00F13F05"/>
    <w:rsid w:val="00F13F36"/>
    <w:rsid w:val="00F13FEF"/>
    <w:rsid w:val="00F1404D"/>
    <w:rsid w:val="00F140C1"/>
    <w:rsid w:val="00F1415F"/>
    <w:rsid w:val="00F14201"/>
    <w:rsid w:val="00F14204"/>
    <w:rsid w:val="00F1420C"/>
    <w:rsid w:val="00F143C8"/>
    <w:rsid w:val="00F14595"/>
    <w:rsid w:val="00F1465C"/>
    <w:rsid w:val="00F14663"/>
    <w:rsid w:val="00F14752"/>
    <w:rsid w:val="00F14827"/>
    <w:rsid w:val="00F14891"/>
    <w:rsid w:val="00F148D6"/>
    <w:rsid w:val="00F14970"/>
    <w:rsid w:val="00F14C26"/>
    <w:rsid w:val="00F14C75"/>
    <w:rsid w:val="00F14D7A"/>
    <w:rsid w:val="00F14F2F"/>
    <w:rsid w:val="00F1508C"/>
    <w:rsid w:val="00F15270"/>
    <w:rsid w:val="00F152D8"/>
    <w:rsid w:val="00F15364"/>
    <w:rsid w:val="00F1547F"/>
    <w:rsid w:val="00F1558F"/>
    <w:rsid w:val="00F156E4"/>
    <w:rsid w:val="00F15715"/>
    <w:rsid w:val="00F1578E"/>
    <w:rsid w:val="00F157F3"/>
    <w:rsid w:val="00F158CD"/>
    <w:rsid w:val="00F1598A"/>
    <w:rsid w:val="00F15A3F"/>
    <w:rsid w:val="00F15B43"/>
    <w:rsid w:val="00F15CA7"/>
    <w:rsid w:val="00F15ED0"/>
    <w:rsid w:val="00F15ED3"/>
    <w:rsid w:val="00F16070"/>
    <w:rsid w:val="00F161A7"/>
    <w:rsid w:val="00F16341"/>
    <w:rsid w:val="00F163E5"/>
    <w:rsid w:val="00F16423"/>
    <w:rsid w:val="00F1646A"/>
    <w:rsid w:val="00F16585"/>
    <w:rsid w:val="00F16740"/>
    <w:rsid w:val="00F1693D"/>
    <w:rsid w:val="00F169A8"/>
    <w:rsid w:val="00F16CE3"/>
    <w:rsid w:val="00F16D70"/>
    <w:rsid w:val="00F16D90"/>
    <w:rsid w:val="00F16E5A"/>
    <w:rsid w:val="00F16F1B"/>
    <w:rsid w:val="00F17146"/>
    <w:rsid w:val="00F17174"/>
    <w:rsid w:val="00F1721C"/>
    <w:rsid w:val="00F1774D"/>
    <w:rsid w:val="00F17912"/>
    <w:rsid w:val="00F17966"/>
    <w:rsid w:val="00F17A79"/>
    <w:rsid w:val="00F17B02"/>
    <w:rsid w:val="00F17BDC"/>
    <w:rsid w:val="00F17E2F"/>
    <w:rsid w:val="00F17E45"/>
    <w:rsid w:val="00F17E52"/>
    <w:rsid w:val="00F17F09"/>
    <w:rsid w:val="00F201A5"/>
    <w:rsid w:val="00F20225"/>
    <w:rsid w:val="00F2027F"/>
    <w:rsid w:val="00F20296"/>
    <w:rsid w:val="00F202D9"/>
    <w:rsid w:val="00F205E8"/>
    <w:rsid w:val="00F20655"/>
    <w:rsid w:val="00F2071A"/>
    <w:rsid w:val="00F20763"/>
    <w:rsid w:val="00F208BF"/>
    <w:rsid w:val="00F208EC"/>
    <w:rsid w:val="00F20A4B"/>
    <w:rsid w:val="00F20B04"/>
    <w:rsid w:val="00F20BE7"/>
    <w:rsid w:val="00F20CB4"/>
    <w:rsid w:val="00F20CED"/>
    <w:rsid w:val="00F20D9A"/>
    <w:rsid w:val="00F20DC4"/>
    <w:rsid w:val="00F20E66"/>
    <w:rsid w:val="00F20EF8"/>
    <w:rsid w:val="00F211A9"/>
    <w:rsid w:val="00F212B9"/>
    <w:rsid w:val="00F21300"/>
    <w:rsid w:val="00F2135E"/>
    <w:rsid w:val="00F2153A"/>
    <w:rsid w:val="00F21B63"/>
    <w:rsid w:val="00F21D20"/>
    <w:rsid w:val="00F21D34"/>
    <w:rsid w:val="00F21D93"/>
    <w:rsid w:val="00F220A7"/>
    <w:rsid w:val="00F220DC"/>
    <w:rsid w:val="00F220E2"/>
    <w:rsid w:val="00F220EE"/>
    <w:rsid w:val="00F221A0"/>
    <w:rsid w:val="00F222F4"/>
    <w:rsid w:val="00F224DB"/>
    <w:rsid w:val="00F226E4"/>
    <w:rsid w:val="00F22724"/>
    <w:rsid w:val="00F227C8"/>
    <w:rsid w:val="00F22A67"/>
    <w:rsid w:val="00F22BBA"/>
    <w:rsid w:val="00F22BFE"/>
    <w:rsid w:val="00F22E59"/>
    <w:rsid w:val="00F22FEE"/>
    <w:rsid w:val="00F23053"/>
    <w:rsid w:val="00F23074"/>
    <w:rsid w:val="00F23110"/>
    <w:rsid w:val="00F23229"/>
    <w:rsid w:val="00F23389"/>
    <w:rsid w:val="00F2340C"/>
    <w:rsid w:val="00F2344D"/>
    <w:rsid w:val="00F2346E"/>
    <w:rsid w:val="00F236C3"/>
    <w:rsid w:val="00F2378C"/>
    <w:rsid w:val="00F2392D"/>
    <w:rsid w:val="00F23993"/>
    <w:rsid w:val="00F239D4"/>
    <w:rsid w:val="00F23A5E"/>
    <w:rsid w:val="00F23AEA"/>
    <w:rsid w:val="00F23B24"/>
    <w:rsid w:val="00F23C6B"/>
    <w:rsid w:val="00F23CB7"/>
    <w:rsid w:val="00F23CBD"/>
    <w:rsid w:val="00F23CFE"/>
    <w:rsid w:val="00F23D6F"/>
    <w:rsid w:val="00F23E42"/>
    <w:rsid w:val="00F23F4D"/>
    <w:rsid w:val="00F23F74"/>
    <w:rsid w:val="00F24007"/>
    <w:rsid w:val="00F2426E"/>
    <w:rsid w:val="00F242AF"/>
    <w:rsid w:val="00F243F5"/>
    <w:rsid w:val="00F24477"/>
    <w:rsid w:val="00F24483"/>
    <w:rsid w:val="00F24622"/>
    <w:rsid w:val="00F24755"/>
    <w:rsid w:val="00F24776"/>
    <w:rsid w:val="00F24CF9"/>
    <w:rsid w:val="00F24FF6"/>
    <w:rsid w:val="00F2505C"/>
    <w:rsid w:val="00F2509B"/>
    <w:rsid w:val="00F25116"/>
    <w:rsid w:val="00F25185"/>
    <w:rsid w:val="00F254D6"/>
    <w:rsid w:val="00F2565C"/>
    <w:rsid w:val="00F257B5"/>
    <w:rsid w:val="00F257BF"/>
    <w:rsid w:val="00F257D2"/>
    <w:rsid w:val="00F257FC"/>
    <w:rsid w:val="00F2595C"/>
    <w:rsid w:val="00F259A9"/>
    <w:rsid w:val="00F25A54"/>
    <w:rsid w:val="00F25B6A"/>
    <w:rsid w:val="00F25C00"/>
    <w:rsid w:val="00F25D3C"/>
    <w:rsid w:val="00F25FD7"/>
    <w:rsid w:val="00F2608B"/>
    <w:rsid w:val="00F261C0"/>
    <w:rsid w:val="00F26663"/>
    <w:rsid w:val="00F266D4"/>
    <w:rsid w:val="00F267E1"/>
    <w:rsid w:val="00F2681C"/>
    <w:rsid w:val="00F268B7"/>
    <w:rsid w:val="00F268F4"/>
    <w:rsid w:val="00F268F5"/>
    <w:rsid w:val="00F2695D"/>
    <w:rsid w:val="00F26A32"/>
    <w:rsid w:val="00F26BAF"/>
    <w:rsid w:val="00F26C91"/>
    <w:rsid w:val="00F26CDD"/>
    <w:rsid w:val="00F26DB6"/>
    <w:rsid w:val="00F26E74"/>
    <w:rsid w:val="00F270ED"/>
    <w:rsid w:val="00F2720E"/>
    <w:rsid w:val="00F272BA"/>
    <w:rsid w:val="00F27552"/>
    <w:rsid w:val="00F276B2"/>
    <w:rsid w:val="00F276D3"/>
    <w:rsid w:val="00F2776D"/>
    <w:rsid w:val="00F2795F"/>
    <w:rsid w:val="00F27A7C"/>
    <w:rsid w:val="00F27C95"/>
    <w:rsid w:val="00F27CFF"/>
    <w:rsid w:val="00F27EE8"/>
    <w:rsid w:val="00F3032A"/>
    <w:rsid w:val="00F30379"/>
    <w:rsid w:val="00F303BC"/>
    <w:rsid w:val="00F303BE"/>
    <w:rsid w:val="00F3040F"/>
    <w:rsid w:val="00F30487"/>
    <w:rsid w:val="00F3082A"/>
    <w:rsid w:val="00F30833"/>
    <w:rsid w:val="00F3099E"/>
    <w:rsid w:val="00F309E3"/>
    <w:rsid w:val="00F30D6A"/>
    <w:rsid w:val="00F30E92"/>
    <w:rsid w:val="00F30F66"/>
    <w:rsid w:val="00F31495"/>
    <w:rsid w:val="00F315F3"/>
    <w:rsid w:val="00F31679"/>
    <w:rsid w:val="00F3170B"/>
    <w:rsid w:val="00F31810"/>
    <w:rsid w:val="00F31F18"/>
    <w:rsid w:val="00F31FDD"/>
    <w:rsid w:val="00F320C1"/>
    <w:rsid w:val="00F321B0"/>
    <w:rsid w:val="00F32327"/>
    <w:rsid w:val="00F32473"/>
    <w:rsid w:val="00F32502"/>
    <w:rsid w:val="00F32619"/>
    <w:rsid w:val="00F32917"/>
    <w:rsid w:val="00F329D2"/>
    <w:rsid w:val="00F32B5B"/>
    <w:rsid w:val="00F32C61"/>
    <w:rsid w:val="00F32D99"/>
    <w:rsid w:val="00F32E1C"/>
    <w:rsid w:val="00F32EF0"/>
    <w:rsid w:val="00F32FD9"/>
    <w:rsid w:val="00F33262"/>
    <w:rsid w:val="00F33329"/>
    <w:rsid w:val="00F335EB"/>
    <w:rsid w:val="00F335EF"/>
    <w:rsid w:val="00F33633"/>
    <w:rsid w:val="00F33A3C"/>
    <w:rsid w:val="00F33A8E"/>
    <w:rsid w:val="00F33BCE"/>
    <w:rsid w:val="00F33C42"/>
    <w:rsid w:val="00F33C44"/>
    <w:rsid w:val="00F33CDD"/>
    <w:rsid w:val="00F342C1"/>
    <w:rsid w:val="00F342E8"/>
    <w:rsid w:val="00F3436F"/>
    <w:rsid w:val="00F343A3"/>
    <w:rsid w:val="00F343FF"/>
    <w:rsid w:val="00F34405"/>
    <w:rsid w:val="00F3451D"/>
    <w:rsid w:val="00F3464E"/>
    <w:rsid w:val="00F346E6"/>
    <w:rsid w:val="00F347F6"/>
    <w:rsid w:val="00F348DA"/>
    <w:rsid w:val="00F34BFA"/>
    <w:rsid w:val="00F34DD4"/>
    <w:rsid w:val="00F34DF6"/>
    <w:rsid w:val="00F34E3E"/>
    <w:rsid w:val="00F34EE8"/>
    <w:rsid w:val="00F34EFC"/>
    <w:rsid w:val="00F35011"/>
    <w:rsid w:val="00F35533"/>
    <w:rsid w:val="00F35884"/>
    <w:rsid w:val="00F358CD"/>
    <w:rsid w:val="00F35B3D"/>
    <w:rsid w:val="00F35BB9"/>
    <w:rsid w:val="00F35E39"/>
    <w:rsid w:val="00F35F97"/>
    <w:rsid w:val="00F35FB2"/>
    <w:rsid w:val="00F363C9"/>
    <w:rsid w:val="00F363D2"/>
    <w:rsid w:val="00F3660C"/>
    <w:rsid w:val="00F366F5"/>
    <w:rsid w:val="00F3677E"/>
    <w:rsid w:val="00F36A64"/>
    <w:rsid w:val="00F36BF2"/>
    <w:rsid w:val="00F36EB1"/>
    <w:rsid w:val="00F36FE2"/>
    <w:rsid w:val="00F370F2"/>
    <w:rsid w:val="00F37189"/>
    <w:rsid w:val="00F37190"/>
    <w:rsid w:val="00F37202"/>
    <w:rsid w:val="00F37360"/>
    <w:rsid w:val="00F377E7"/>
    <w:rsid w:val="00F378FE"/>
    <w:rsid w:val="00F37A08"/>
    <w:rsid w:val="00F37A4C"/>
    <w:rsid w:val="00F37A7F"/>
    <w:rsid w:val="00F37E67"/>
    <w:rsid w:val="00F37F81"/>
    <w:rsid w:val="00F40147"/>
    <w:rsid w:val="00F40148"/>
    <w:rsid w:val="00F40231"/>
    <w:rsid w:val="00F402FE"/>
    <w:rsid w:val="00F4043C"/>
    <w:rsid w:val="00F40552"/>
    <w:rsid w:val="00F4055B"/>
    <w:rsid w:val="00F4060E"/>
    <w:rsid w:val="00F40635"/>
    <w:rsid w:val="00F4070C"/>
    <w:rsid w:val="00F4074E"/>
    <w:rsid w:val="00F40864"/>
    <w:rsid w:val="00F40B08"/>
    <w:rsid w:val="00F40B50"/>
    <w:rsid w:val="00F40B9D"/>
    <w:rsid w:val="00F40BDB"/>
    <w:rsid w:val="00F40C00"/>
    <w:rsid w:val="00F40CE1"/>
    <w:rsid w:val="00F40D78"/>
    <w:rsid w:val="00F40EEC"/>
    <w:rsid w:val="00F40FA8"/>
    <w:rsid w:val="00F40FDE"/>
    <w:rsid w:val="00F41044"/>
    <w:rsid w:val="00F41067"/>
    <w:rsid w:val="00F410EA"/>
    <w:rsid w:val="00F41132"/>
    <w:rsid w:val="00F41211"/>
    <w:rsid w:val="00F4128F"/>
    <w:rsid w:val="00F412B3"/>
    <w:rsid w:val="00F4147F"/>
    <w:rsid w:val="00F414EC"/>
    <w:rsid w:val="00F415A9"/>
    <w:rsid w:val="00F41661"/>
    <w:rsid w:val="00F416AB"/>
    <w:rsid w:val="00F418B6"/>
    <w:rsid w:val="00F418C6"/>
    <w:rsid w:val="00F41BF5"/>
    <w:rsid w:val="00F41E7A"/>
    <w:rsid w:val="00F42022"/>
    <w:rsid w:val="00F4208E"/>
    <w:rsid w:val="00F42172"/>
    <w:rsid w:val="00F4235E"/>
    <w:rsid w:val="00F4260A"/>
    <w:rsid w:val="00F42746"/>
    <w:rsid w:val="00F42E0F"/>
    <w:rsid w:val="00F43128"/>
    <w:rsid w:val="00F43184"/>
    <w:rsid w:val="00F43216"/>
    <w:rsid w:val="00F43328"/>
    <w:rsid w:val="00F43381"/>
    <w:rsid w:val="00F435B2"/>
    <w:rsid w:val="00F43751"/>
    <w:rsid w:val="00F437F3"/>
    <w:rsid w:val="00F43B46"/>
    <w:rsid w:val="00F43CAB"/>
    <w:rsid w:val="00F43FBA"/>
    <w:rsid w:val="00F441EC"/>
    <w:rsid w:val="00F4423C"/>
    <w:rsid w:val="00F442C6"/>
    <w:rsid w:val="00F442D8"/>
    <w:rsid w:val="00F444C6"/>
    <w:rsid w:val="00F445FA"/>
    <w:rsid w:val="00F4481D"/>
    <w:rsid w:val="00F4486C"/>
    <w:rsid w:val="00F44895"/>
    <w:rsid w:val="00F44A2B"/>
    <w:rsid w:val="00F44A42"/>
    <w:rsid w:val="00F44AC4"/>
    <w:rsid w:val="00F44C1D"/>
    <w:rsid w:val="00F44F8F"/>
    <w:rsid w:val="00F450B0"/>
    <w:rsid w:val="00F45250"/>
    <w:rsid w:val="00F452AC"/>
    <w:rsid w:val="00F4589F"/>
    <w:rsid w:val="00F45A5B"/>
    <w:rsid w:val="00F45AA5"/>
    <w:rsid w:val="00F45B12"/>
    <w:rsid w:val="00F45D0D"/>
    <w:rsid w:val="00F45D2C"/>
    <w:rsid w:val="00F45DCC"/>
    <w:rsid w:val="00F45E36"/>
    <w:rsid w:val="00F45E5F"/>
    <w:rsid w:val="00F45E89"/>
    <w:rsid w:val="00F45FD5"/>
    <w:rsid w:val="00F461C0"/>
    <w:rsid w:val="00F4645A"/>
    <w:rsid w:val="00F46518"/>
    <w:rsid w:val="00F465EC"/>
    <w:rsid w:val="00F465EE"/>
    <w:rsid w:val="00F46700"/>
    <w:rsid w:val="00F46789"/>
    <w:rsid w:val="00F4679B"/>
    <w:rsid w:val="00F467E4"/>
    <w:rsid w:val="00F4683D"/>
    <w:rsid w:val="00F46871"/>
    <w:rsid w:val="00F46ACD"/>
    <w:rsid w:val="00F46AF8"/>
    <w:rsid w:val="00F46B8E"/>
    <w:rsid w:val="00F46C59"/>
    <w:rsid w:val="00F46CC1"/>
    <w:rsid w:val="00F46DFB"/>
    <w:rsid w:val="00F46F6A"/>
    <w:rsid w:val="00F4719E"/>
    <w:rsid w:val="00F47478"/>
    <w:rsid w:val="00F475F7"/>
    <w:rsid w:val="00F47606"/>
    <w:rsid w:val="00F476A0"/>
    <w:rsid w:val="00F477F0"/>
    <w:rsid w:val="00F479D8"/>
    <w:rsid w:val="00F47B61"/>
    <w:rsid w:val="00F47BCA"/>
    <w:rsid w:val="00F47CC3"/>
    <w:rsid w:val="00F47EAF"/>
    <w:rsid w:val="00F47F69"/>
    <w:rsid w:val="00F47FC6"/>
    <w:rsid w:val="00F5027F"/>
    <w:rsid w:val="00F50462"/>
    <w:rsid w:val="00F5047A"/>
    <w:rsid w:val="00F50585"/>
    <w:rsid w:val="00F508A5"/>
    <w:rsid w:val="00F50974"/>
    <w:rsid w:val="00F50A55"/>
    <w:rsid w:val="00F50B86"/>
    <w:rsid w:val="00F50C57"/>
    <w:rsid w:val="00F50C5D"/>
    <w:rsid w:val="00F50D79"/>
    <w:rsid w:val="00F50E8C"/>
    <w:rsid w:val="00F50F33"/>
    <w:rsid w:val="00F50F4C"/>
    <w:rsid w:val="00F50FCB"/>
    <w:rsid w:val="00F51088"/>
    <w:rsid w:val="00F51111"/>
    <w:rsid w:val="00F51136"/>
    <w:rsid w:val="00F51176"/>
    <w:rsid w:val="00F5138F"/>
    <w:rsid w:val="00F51555"/>
    <w:rsid w:val="00F51584"/>
    <w:rsid w:val="00F516E3"/>
    <w:rsid w:val="00F518D7"/>
    <w:rsid w:val="00F51BE9"/>
    <w:rsid w:val="00F51C2B"/>
    <w:rsid w:val="00F51CF1"/>
    <w:rsid w:val="00F51DB9"/>
    <w:rsid w:val="00F521CB"/>
    <w:rsid w:val="00F52207"/>
    <w:rsid w:val="00F524B4"/>
    <w:rsid w:val="00F52571"/>
    <w:rsid w:val="00F52954"/>
    <w:rsid w:val="00F52B50"/>
    <w:rsid w:val="00F52B97"/>
    <w:rsid w:val="00F52BB7"/>
    <w:rsid w:val="00F52DA9"/>
    <w:rsid w:val="00F52E73"/>
    <w:rsid w:val="00F53047"/>
    <w:rsid w:val="00F530B8"/>
    <w:rsid w:val="00F5310A"/>
    <w:rsid w:val="00F53346"/>
    <w:rsid w:val="00F534C0"/>
    <w:rsid w:val="00F534DA"/>
    <w:rsid w:val="00F535A8"/>
    <w:rsid w:val="00F536A3"/>
    <w:rsid w:val="00F5371C"/>
    <w:rsid w:val="00F5397F"/>
    <w:rsid w:val="00F53A67"/>
    <w:rsid w:val="00F53AA2"/>
    <w:rsid w:val="00F53B1A"/>
    <w:rsid w:val="00F53BC7"/>
    <w:rsid w:val="00F53C23"/>
    <w:rsid w:val="00F53C91"/>
    <w:rsid w:val="00F53DC9"/>
    <w:rsid w:val="00F540EE"/>
    <w:rsid w:val="00F54251"/>
    <w:rsid w:val="00F54586"/>
    <w:rsid w:val="00F54759"/>
    <w:rsid w:val="00F5477C"/>
    <w:rsid w:val="00F54821"/>
    <w:rsid w:val="00F54832"/>
    <w:rsid w:val="00F54953"/>
    <w:rsid w:val="00F549FB"/>
    <w:rsid w:val="00F54A4E"/>
    <w:rsid w:val="00F54A6B"/>
    <w:rsid w:val="00F54B91"/>
    <w:rsid w:val="00F54C11"/>
    <w:rsid w:val="00F54C14"/>
    <w:rsid w:val="00F54CA3"/>
    <w:rsid w:val="00F54E19"/>
    <w:rsid w:val="00F54EB6"/>
    <w:rsid w:val="00F550E8"/>
    <w:rsid w:val="00F55116"/>
    <w:rsid w:val="00F55157"/>
    <w:rsid w:val="00F5516F"/>
    <w:rsid w:val="00F554D6"/>
    <w:rsid w:val="00F555CD"/>
    <w:rsid w:val="00F555D4"/>
    <w:rsid w:val="00F5563C"/>
    <w:rsid w:val="00F55649"/>
    <w:rsid w:val="00F55835"/>
    <w:rsid w:val="00F55910"/>
    <w:rsid w:val="00F55969"/>
    <w:rsid w:val="00F559AE"/>
    <w:rsid w:val="00F55ACF"/>
    <w:rsid w:val="00F55B09"/>
    <w:rsid w:val="00F55D90"/>
    <w:rsid w:val="00F55DCB"/>
    <w:rsid w:val="00F55E4E"/>
    <w:rsid w:val="00F55F20"/>
    <w:rsid w:val="00F56134"/>
    <w:rsid w:val="00F56214"/>
    <w:rsid w:val="00F56411"/>
    <w:rsid w:val="00F5641D"/>
    <w:rsid w:val="00F56931"/>
    <w:rsid w:val="00F56A5F"/>
    <w:rsid w:val="00F56A85"/>
    <w:rsid w:val="00F56D9D"/>
    <w:rsid w:val="00F56DD5"/>
    <w:rsid w:val="00F56E9E"/>
    <w:rsid w:val="00F56EBD"/>
    <w:rsid w:val="00F572B1"/>
    <w:rsid w:val="00F5733F"/>
    <w:rsid w:val="00F573AD"/>
    <w:rsid w:val="00F574DA"/>
    <w:rsid w:val="00F576F5"/>
    <w:rsid w:val="00F577B6"/>
    <w:rsid w:val="00F57885"/>
    <w:rsid w:val="00F579F9"/>
    <w:rsid w:val="00F57A12"/>
    <w:rsid w:val="00F57B61"/>
    <w:rsid w:val="00F57B96"/>
    <w:rsid w:val="00F57C38"/>
    <w:rsid w:val="00F57C5C"/>
    <w:rsid w:val="00F57C96"/>
    <w:rsid w:val="00F57D88"/>
    <w:rsid w:val="00F57F20"/>
    <w:rsid w:val="00F57FC6"/>
    <w:rsid w:val="00F603F5"/>
    <w:rsid w:val="00F604F8"/>
    <w:rsid w:val="00F6058B"/>
    <w:rsid w:val="00F60863"/>
    <w:rsid w:val="00F60A43"/>
    <w:rsid w:val="00F60B48"/>
    <w:rsid w:val="00F60BFE"/>
    <w:rsid w:val="00F60C3B"/>
    <w:rsid w:val="00F60C8C"/>
    <w:rsid w:val="00F60F08"/>
    <w:rsid w:val="00F60F38"/>
    <w:rsid w:val="00F6101F"/>
    <w:rsid w:val="00F610B3"/>
    <w:rsid w:val="00F6123E"/>
    <w:rsid w:val="00F6145A"/>
    <w:rsid w:val="00F6158F"/>
    <w:rsid w:val="00F61772"/>
    <w:rsid w:val="00F6180E"/>
    <w:rsid w:val="00F61941"/>
    <w:rsid w:val="00F61A9B"/>
    <w:rsid w:val="00F61D82"/>
    <w:rsid w:val="00F61D96"/>
    <w:rsid w:val="00F61E46"/>
    <w:rsid w:val="00F62032"/>
    <w:rsid w:val="00F6203B"/>
    <w:rsid w:val="00F6241A"/>
    <w:rsid w:val="00F6255A"/>
    <w:rsid w:val="00F62567"/>
    <w:rsid w:val="00F62B33"/>
    <w:rsid w:val="00F62D3F"/>
    <w:rsid w:val="00F62EA6"/>
    <w:rsid w:val="00F62EE5"/>
    <w:rsid w:val="00F630B4"/>
    <w:rsid w:val="00F630EC"/>
    <w:rsid w:val="00F6337D"/>
    <w:rsid w:val="00F633BC"/>
    <w:rsid w:val="00F633EE"/>
    <w:rsid w:val="00F634FF"/>
    <w:rsid w:val="00F63706"/>
    <w:rsid w:val="00F63793"/>
    <w:rsid w:val="00F639C8"/>
    <w:rsid w:val="00F63A16"/>
    <w:rsid w:val="00F63B33"/>
    <w:rsid w:val="00F63CA4"/>
    <w:rsid w:val="00F63CFB"/>
    <w:rsid w:val="00F63D69"/>
    <w:rsid w:val="00F63D6A"/>
    <w:rsid w:val="00F63E65"/>
    <w:rsid w:val="00F63ED3"/>
    <w:rsid w:val="00F6406F"/>
    <w:rsid w:val="00F64074"/>
    <w:rsid w:val="00F64210"/>
    <w:rsid w:val="00F64250"/>
    <w:rsid w:val="00F643BE"/>
    <w:rsid w:val="00F64472"/>
    <w:rsid w:val="00F644D2"/>
    <w:rsid w:val="00F64630"/>
    <w:rsid w:val="00F6466E"/>
    <w:rsid w:val="00F64688"/>
    <w:rsid w:val="00F6496B"/>
    <w:rsid w:val="00F64AB3"/>
    <w:rsid w:val="00F64AB9"/>
    <w:rsid w:val="00F64B3F"/>
    <w:rsid w:val="00F64D21"/>
    <w:rsid w:val="00F64D36"/>
    <w:rsid w:val="00F64EE0"/>
    <w:rsid w:val="00F64F7F"/>
    <w:rsid w:val="00F6506F"/>
    <w:rsid w:val="00F653BF"/>
    <w:rsid w:val="00F654EB"/>
    <w:rsid w:val="00F654FE"/>
    <w:rsid w:val="00F65719"/>
    <w:rsid w:val="00F65763"/>
    <w:rsid w:val="00F65A85"/>
    <w:rsid w:val="00F65D1E"/>
    <w:rsid w:val="00F65D76"/>
    <w:rsid w:val="00F65F56"/>
    <w:rsid w:val="00F66082"/>
    <w:rsid w:val="00F660E2"/>
    <w:rsid w:val="00F66144"/>
    <w:rsid w:val="00F661A8"/>
    <w:rsid w:val="00F66256"/>
    <w:rsid w:val="00F662BB"/>
    <w:rsid w:val="00F6655C"/>
    <w:rsid w:val="00F665DA"/>
    <w:rsid w:val="00F66723"/>
    <w:rsid w:val="00F66797"/>
    <w:rsid w:val="00F668DC"/>
    <w:rsid w:val="00F66C95"/>
    <w:rsid w:val="00F66CF5"/>
    <w:rsid w:val="00F66D45"/>
    <w:rsid w:val="00F66F6A"/>
    <w:rsid w:val="00F66F91"/>
    <w:rsid w:val="00F66FA4"/>
    <w:rsid w:val="00F66FC6"/>
    <w:rsid w:val="00F6700C"/>
    <w:rsid w:val="00F67038"/>
    <w:rsid w:val="00F6713F"/>
    <w:rsid w:val="00F672E5"/>
    <w:rsid w:val="00F673C3"/>
    <w:rsid w:val="00F67493"/>
    <w:rsid w:val="00F67544"/>
    <w:rsid w:val="00F67669"/>
    <w:rsid w:val="00F676FE"/>
    <w:rsid w:val="00F6784B"/>
    <w:rsid w:val="00F678FB"/>
    <w:rsid w:val="00F67A98"/>
    <w:rsid w:val="00F67B99"/>
    <w:rsid w:val="00F67C5A"/>
    <w:rsid w:val="00F67E05"/>
    <w:rsid w:val="00F67E8D"/>
    <w:rsid w:val="00F67F0D"/>
    <w:rsid w:val="00F70038"/>
    <w:rsid w:val="00F7003F"/>
    <w:rsid w:val="00F701F9"/>
    <w:rsid w:val="00F7043D"/>
    <w:rsid w:val="00F7045C"/>
    <w:rsid w:val="00F7047B"/>
    <w:rsid w:val="00F70513"/>
    <w:rsid w:val="00F705EC"/>
    <w:rsid w:val="00F7061A"/>
    <w:rsid w:val="00F70671"/>
    <w:rsid w:val="00F707C4"/>
    <w:rsid w:val="00F707F4"/>
    <w:rsid w:val="00F70845"/>
    <w:rsid w:val="00F70A46"/>
    <w:rsid w:val="00F70A6A"/>
    <w:rsid w:val="00F70BC9"/>
    <w:rsid w:val="00F70DEB"/>
    <w:rsid w:val="00F70EA0"/>
    <w:rsid w:val="00F710CC"/>
    <w:rsid w:val="00F711A8"/>
    <w:rsid w:val="00F7132C"/>
    <w:rsid w:val="00F71496"/>
    <w:rsid w:val="00F7149D"/>
    <w:rsid w:val="00F714A1"/>
    <w:rsid w:val="00F71865"/>
    <w:rsid w:val="00F71B9C"/>
    <w:rsid w:val="00F71C38"/>
    <w:rsid w:val="00F72157"/>
    <w:rsid w:val="00F72162"/>
    <w:rsid w:val="00F7218C"/>
    <w:rsid w:val="00F72545"/>
    <w:rsid w:val="00F727D4"/>
    <w:rsid w:val="00F7282F"/>
    <w:rsid w:val="00F728FF"/>
    <w:rsid w:val="00F72956"/>
    <w:rsid w:val="00F72C4C"/>
    <w:rsid w:val="00F72CA6"/>
    <w:rsid w:val="00F72F88"/>
    <w:rsid w:val="00F731DB"/>
    <w:rsid w:val="00F732AA"/>
    <w:rsid w:val="00F733AD"/>
    <w:rsid w:val="00F7362C"/>
    <w:rsid w:val="00F73741"/>
    <w:rsid w:val="00F73856"/>
    <w:rsid w:val="00F738A9"/>
    <w:rsid w:val="00F73908"/>
    <w:rsid w:val="00F73959"/>
    <w:rsid w:val="00F7395C"/>
    <w:rsid w:val="00F73EC5"/>
    <w:rsid w:val="00F73EDD"/>
    <w:rsid w:val="00F73EFF"/>
    <w:rsid w:val="00F73F6E"/>
    <w:rsid w:val="00F73FDD"/>
    <w:rsid w:val="00F74245"/>
    <w:rsid w:val="00F74293"/>
    <w:rsid w:val="00F742B5"/>
    <w:rsid w:val="00F74315"/>
    <w:rsid w:val="00F7439E"/>
    <w:rsid w:val="00F7440A"/>
    <w:rsid w:val="00F745BA"/>
    <w:rsid w:val="00F7478A"/>
    <w:rsid w:val="00F74855"/>
    <w:rsid w:val="00F7498A"/>
    <w:rsid w:val="00F74B51"/>
    <w:rsid w:val="00F74BBC"/>
    <w:rsid w:val="00F74C35"/>
    <w:rsid w:val="00F74EC2"/>
    <w:rsid w:val="00F74F98"/>
    <w:rsid w:val="00F75225"/>
    <w:rsid w:val="00F75506"/>
    <w:rsid w:val="00F75513"/>
    <w:rsid w:val="00F7563C"/>
    <w:rsid w:val="00F7569B"/>
    <w:rsid w:val="00F756EB"/>
    <w:rsid w:val="00F7570F"/>
    <w:rsid w:val="00F757AC"/>
    <w:rsid w:val="00F757BC"/>
    <w:rsid w:val="00F7596A"/>
    <w:rsid w:val="00F75AD3"/>
    <w:rsid w:val="00F75F1F"/>
    <w:rsid w:val="00F76025"/>
    <w:rsid w:val="00F761A5"/>
    <w:rsid w:val="00F76343"/>
    <w:rsid w:val="00F763EC"/>
    <w:rsid w:val="00F76794"/>
    <w:rsid w:val="00F76833"/>
    <w:rsid w:val="00F76894"/>
    <w:rsid w:val="00F76ABA"/>
    <w:rsid w:val="00F76C3C"/>
    <w:rsid w:val="00F76CAD"/>
    <w:rsid w:val="00F76CF5"/>
    <w:rsid w:val="00F76DD0"/>
    <w:rsid w:val="00F770CB"/>
    <w:rsid w:val="00F7736F"/>
    <w:rsid w:val="00F77391"/>
    <w:rsid w:val="00F774B3"/>
    <w:rsid w:val="00F77647"/>
    <w:rsid w:val="00F77909"/>
    <w:rsid w:val="00F77B21"/>
    <w:rsid w:val="00F77B68"/>
    <w:rsid w:val="00F77D12"/>
    <w:rsid w:val="00F77D8D"/>
    <w:rsid w:val="00F77D8E"/>
    <w:rsid w:val="00F77F70"/>
    <w:rsid w:val="00F800B6"/>
    <w:rsid w:val="00F800CE"/>
    <w:rsid w:val="00F801DC"/>
    <w:rsid w:val="00F803FA"/>
    <w:rsid w:val="00F80466"/>
    <w:rsid w:val="00F80520"/>
    <w:rsid w:val="00F80742"/>
    <w:rsid w:val="00F807E3"/>
    <w:rsid w:val="00F80821"/>
    <w:rsid w:val="00F80B5A"/>
    <w:rsid w:val="00F80C07"/>
    <w:rsid w:val="00F80CB5"/>
    <w:rsid w:val="00F81362"/>
    <w:rsid w:val="00F813DB"/>
    <w:rsid w:val="00F813F9"/>
    <w:rsid w:val="00F81438"/>
    <w:rsid w:val="00F81706"/>
    <w:rsid w:val="00F8177C"/>
    <w:rsid w:val="00F8178B"/>
    <w:rsid w:val="00F817DB"/>
    <w:rsid w:val="00F818FF"/>
    <w:rsid w:val="00F81C42"/>
    <w:rsid w:val="00F81C63"/>
    <w:rsid w:val="00F81CFA"/>
    <w:rsid w:val="00F81EEB"/>
    <w:rsid w:val="00F82013"/>
    <w:rsid w:val="00F8208F"/>
    <w:rsid w:val="00F820AE"/>
    <w:rsid w:val="00F825E3"/>
    <w:rsid w:val="00F82613"/>
    <w:rsid w:val="00F82637"/>
    <w:rsid w:val="00F827A8"/>
    <w:rsid w:val="00F827EF"/>
    <w:rsid w:val="00F82819"/>
    <w:rsid w:val="00F82B4A"/>
    <w:rsid w:val="00F82C14"/>
    <w:rsid w:val="00F82D04"/>
    <w:rsid w:val="00F82D50"/>
    <w:rsid w:val="00F82E7A"/>
    <w:rsid w:val="00F82F12"/>
    <w:rsid w:val="00F83455"/>
    <w:rsid w:val="00F83456"/>
    <w:rsid w:val="00F834FA"/>
    <w:rsid w:val="00F835FB"/>
    <w:rsid w:val="00F83986"/>
    <w:rsid w:val="00F839E0"/>
    <w:rsid w:val="00F83A27"/>
    <w:rsid w:val="00F83AF6"/>
    <w:rsid w:val="00F83B52"/>
    <w:rsid w:val="00F83EB7"/>
    <w:rsid w:val="00F83F18"/>
    <w:rsid w:val="00F841EF"/>
    <w:rsid w:val="00F8448B"/>
    <w:rsid w:val="00F844C9"/>
    <w:rsid w:val="00F844DE"/>
    <w:rsid w:val="00F84609"/>
    <w:rsid w:val="00F847EF"/>
    <w:rsid w:val="00F84812"/>
    <w:rsid w:val="00F8481B"/>
    <w:rsid w:val="00F84828"/>
    <w:rsid w:val="00F848E1"/>
    <w:rsid w:val="00F84AE6"/>
    <w:rsid w:val="00F84B96"/>
    <w:rsid w:val="00F84C16"/>
    <w:rsid w:val="00F84CE4"/>
    <w:rsid w:val="00F84DB7"/>
    <w:rsid w:val="00F84DE4"/>
    <w:rsid w:val="00F84E05"/>
    <w:rsid w:val="00F84E28"/>
    <w:rsid w:val="00F85064"/>
    <w:rsid w:val="00F85168"/>
    <w:rsid w:val="00F851C5"/>
    <w:rsid w:val="00F853A8"/>
    <w:rsid w:val="00F853DA"/>
    <w:rsid w:val="00F85425"/>
    <w:rsid w:val="00F854E9"/>
    <w:rsid w:val="00F854EB"/>
    <w:rsid w:val="00F854EE"/>
    <w:rsid w:val="00F8562B"/>
    <w:rsid w:val="00F856AC"/>
    <w:rsid w:val="00F856B7"/>
    <w:rsid w:val="00F85763"/>
    <w:rsid w:val="00F8580C"/>
    <w:rsid w:val="00F85B5D"/>
    <w:rsid w:val="00F85C82"/>
    <w:rsid w:val="00F85E32"/>
    <w:rsid w:val="00F85E86"/>
    <w:rsid w:val="00F8607C"/>
    <w:rsid w:val="00F86359"/>
    <w:rsid w:val="00F863FA"/>
    <w:rsid w:val="00F865FD"/>
    <w:rsid w:val="00F8664D"/>
    <w:rsid w:val="00F866A0"/>
    <w:rsid w:val="00F86763"/>
    <w:rsid w:val="00F868E4"/>
    <w:rsid w:val="00F868E5"/>
    <w:rsid w:val="00F86966"/>
    <w:rsid w:val="00F86A1C"/>
    <w:rsid w:val="00F86C4E"/>
    <w:rsid w:val="00F86D3A"/>
    <w:rsid w:val="00F86F65"/>
    <w:rsid w:val="00F87007"/>
    <w:rsid w:val="00F87662"/>
    <w:rsid w:val="00F87826"/>
    <w:rsid w:val="00F87861"/>
    <w:rsid w:val="00F8786A"/>
    <w:rsid w:val="00F878B2"/>
    <w:rsid w:val="00F87AF1"/>
    <w:rsid w:val="00F87B36"/>
    <w:rsid w:val="00F87BAC"/>
    <w:rsid w:val="00F87BCE"/>
    <w:rsid w:val="00F87FF4"/>
    <w:rsid w:val="00F90471"/>
    <w:rsid w:val="00F9061F"/>
    <w:rsid w:val="00F906C9"/>
    <w:rsid w:val="00F9070E"/>
    <w:rsid w:val="00F9078F"/>
    <w:rsid w:val="00F90842"/>
    <w:rsid w:val="00F90855"/>
    <w:rsid w:val="00F90929"/>
    <w:rsid w:val="00F90945"/>
    <w:rsid w:val="00F90E57"/>
    <w:rsid w:val="00F90E98"/>
    <w:rsid w:val="00F90F7B"/>
    <w:rsid w:val="00F910EB"/>
    <w:rsid w:val="00F9117D"/>
    <w:rsid w:val="00F9127E"/>
    <w:rsid w:val="00F91353"/>
    <w:rsid w:val="00F913B0"/>
    <w:rsid w:val="00F915EF"/>
    <w:rsid w:val="00F918C2"/>
    <w:rsid w:val="00F91BA6"/>
    <w:rsid w:val="00F91C9B"/>
    <w:rsid w:val="00F91D85"/>
    <w:rsid w:val="00F91D96"/>
    <w:rsid w:val="00F92125"/>
    <w:rsid w:val="00F9216C"/>
    <w:rsid w:val="00F923AD"/>
    <w:rsid w:val="00F923D6"/>
    <w:rsid w:val="00F9250D"/>
    <w:rsid w:val="00F929C6"/>
    <w:rsid w:val="00F929FF"/>
    <w:rsid w:val="00F92AA8"/>
    <w:rsid w:val="00F92AC6"/>
    <w:rsid w:val="00F92CB9"/>
    <w:rsid w:val="00F92CDE"/>
    <w:rsid w:val="00F92D8E"/>
    <w:rsid w:val="00F92E8D"/>
    <w:rsid w:val="00F92EA0"/>
    <w:rsid w:val="00F92FBB"/>
    <w:rsid w:val="00F933C9"/>
    <w:rsid w:val="00F9343C"/>
    <w:rsid w:val="00F934D1"/>
    <w:rsid w:val="00F935B8"/>
    <w:rsid w:val="00F93617"/>
    <w:rsid w:val="00F936B6"/>
    <w:rsid w:val="00F9377F"/>
    <w:rsid w:val="00F938BD"/>
    <w:rsid w:val="00F93938"/>
    <w:rsid w:val="00F93A0B"/>
    <w:rsid w:val="00F93A5C"/>
    <w:rsid w:val="00F93BD7"/>
    <w:rsid w:val="00F93F3F"/>
    <w:rsid w:val="00F93FCE"/>
    <w:rsid w:val="00F940B7"/>
    <w:rsid w:val="00F941FF"/>
    <w:rsid w:val="00F9456B"/>
    <w:rsid w:val="00F946A7"/>
    <w:rsid w:val="00F9478B"/>
    <w:rsid w:val="00F9483B"/>
    <w:rsid w:val="00F948F2"/>
    <w:rsid w:val="00F9497E"/>
    <w:rsid w:val="00F94BEB"/>
    <w:rsid w:val="00F94BF1"/>
    <w:rsid w:val="00F94CFE"/>
    <w:rsid w:val="00F94D01"/>
    <w:rsid w:val="00F94E11"/>
    <w:rsid w:val="00F94E1C"/>
    <w:rsid w:val="00F95064"/>
    <w:rsid w:val="00F95074"/>
    <w:rsid w:val="00F950B8"/>
    <w:rsid w:val="00F9513D"/>
    <w:rsid w:val="00F951E8"/>
    <w:rsid w:val="00F95891"/>
    <w:rsid w:val="00F95A88"/>
    <w:rsid w:val="00F95BFA"/>
    <w:rsid w:val="00F95CEE"/>
    <w:rsid w:val="00F961F8"/>
    <w:rsid w:val="00F961FF"/>
    <w:rsid w:val="00F96470"/>
    <w:rsid w:val="00F964B5"/>
    <w:rsid w:val="00F965D2"/>
    <w:rsid w:val="00F9673F"/>
    <w:rsid w:val="00F96740"/>
    <w:rsid w:val="00F967E5"/>
    <w:rsid w:val="00F9684A"/>
    <w:rsid w:val="00F968DD"/>
    <w:rsid w:val="00F9693A"/>
    <w:rsid w:val="00F96969"/>
    <w:rsid w:val="00F969C4"/>
    <w:rsid w:val="00F969DD"/>
    <w:rsid w:val="00F96A7D"/>
    <w:rsid w:val="00F96B12"/>
    <w:rsid w:val="00F96B74"/>
    <w:rsid w:val="00F96CB2"/>
    <w:rsid w:val="00F96F89"/>
    <w:rsid w:val="00F97314"/>
    <w:rsid w:val="00F9731D"/>
    <w:rsid w:val="00F97411"/>
    <w:rsid w:val="00F97412"/>
    <w:rsid w:val="00F974E4"/>
    <w:rsid w:val="00F97528"/>
    <w:rsid w:val="00F975AD"/>
    <w:rsid w:val="00F97769"/>
    <w:rsid w:val="00F97A24"/>
    <w:rsid w:val="00F97A2C"/>
    <w:rsid w:val="00F97B9D"/>
    <w:rsid w:val="00F97CB0"/>
    <w:rsid w:val="00F97DBE"/>
    <w:rsid w:val="00F97DC7"/>
    <w:rsid w:val="00F97E22"/>
    <w:rsid w:val="00F97E63"/>
    <w:rsid w:val="00F97EE2"/>
    <w:rsid w:val="00FA00E3"/>
    <w:rsid w:val="00FA0102"/>
    <w:rsid w:val="00FA0106"/>
    <w:rsid w:val="00FA044A"/>
    <w:rsid w:val="00FA056D"/>
    <w:rsid w:val="00FA06D6"/>
    <w:rsid w:val="00FA0825"/>
    <w:rsid w:val="00FA08AD"/>
    <w:rsid w:val="00FA0977"/>
    <w:rsid w:val="00FA0A27"/>
    <w:rsid w:val="00FA0AE9"/>
    <w:rsid w:val="00FA0AF8"/>
    <w:rsid w:val="00FA0B3B"/>
    <w:rsid w:val="00FA0E08"/>
    <w:rsid w:val="00FA100C"/>
    <w:rsid w:val="00FA103C"/>
    <w:rsid w:val="00FA10C6"/>
    <w:rsid w:val="00FA11C8"/>
    <w:rsid w:val="00FA1314"/>
    <w:rsid w:val="00FA15A5"/>
    <w:rsid w:val="00FA1632"/>
    <w:rsid w:val="00FA192D"/>
    <w:rsid w:val="00FA1BBC"/>
    <w:rsid w:val="00FA1E17"/>
    <w:rsid w:val="00FA1E2D"/>
    <w:rsid w:val="00FA214A"/>
    <w:rsid w:val="00FA246C"/>
    <w:rsid w:val="00FA248C"/>
    <w:rsid w:val="00FA249F"/>
    <w:rsid w:val="00FA28FC"/>
    <w:rsid w:val="00FA2AA2"/>
    <w:rsid w:val="00FA2B86"/>
    <w:rsid w:val="00FA2BA9"/>
    <w:rsid w:val="00FA2E3D"/>
    <w:rsid w:val="00FA2F27"/>
    <w:rsid w:val="00FA2F5F"/>
    <w:rsid w:val="00FA327D"/>
    <w:rsid w:val="00FA3307"/>
    <w:rsid w:val="00FA3430"/>
    <w:rsid w:val="00FA3455"/>
    <w:rsid w:val="00FA355B"/>
    <w:rsid w:val="00FA3596"/>
    <w:rsid w:val="00FA3639"/>
    <w:rsid w:val="00FA36CB"/>
    <w:rsid w:val="00FA3718"/>
    <w:rsid w:val="00FA377F"/>
    <w:rsid w:val="00FA396F"/>
    <w:rsid w:val="00FA39BB"/>
    <w:rsid w:val="00FA3A02"/>
    <w:rsid w:val="00FA3ADA"/>
    <w:rsid w:val="00FA3BD0"/>
    <w:rsid w:val="00FA3DC2"/>
    <w:rsid w:val="00FA3E72"/>
    <w:rsid w:val="00FA4150"/>
    <w:rsid w:val="00FA41C4"/>
    <w:rsid w:val="00FA41F8"/>
    <w:rsid w:val="00FA43F0"/>
    <w:rsid w:val="00FA4442"/>
    <w:rsid w:val="00FA44F9"/>
    <w:rsid w:val="00FA4739"/>
    <w:rsid w:val="00FA47B3"/>
    <w:rsid w:val="00FA47D9"/>
    <w:rsid w:val="00FA48DF"/>
    <w:rsid w:val="00FA491C"/>
    <w:rsid w:val="00FA492E"/>
    <w:rsid w:val="00FA4963"/>
    <w:rsid w:val="00FA49BB"/>
    <w:rsid w:val="00FA4A62"/>
    <w:rsid w:val="00FA4AA1"/>
    <w:rsid w:val="00FA4B85"/>
    <w:rsid w:val="00FA4BB2"/>
    <w:rsid w:val="00FA4E9C"/>
    <w:rsid w:val="00FA4F49"/>
    <w:rsid w:val="00FA4FAD"/>
    <w:rsid w:val="00FA5041"/>
    <w:rsid w:val="00FA5136"/>
    <w:rsid w:val="00FA55B9"/>
    <w:rsid w:val="00FA5766"/>
    <w:rsid w:val="00FA5812"/>
    <w:rsid w:val="00FA5847"/>
    <w:rsid w:val="00FA5C34"/>
    <w:rsid w:val="00FA5F9E"/>
    <w:rsid w:val="00FA607D"/>
    <w:rsid w:val="00FA636F"/>
    <w:rsid w:val="00FA6391"/>
    <w:rsid w:val="00FA6441"/>
    <w:rsid w:val="00FA6662"/>
    <w:rsid w:val="00FA6931"/>
    <w:rsid w:val="00FA6D14"/>
    <w:rsid w:val="00FA6D4B"/>
    <w:rsid w:val="00FA6DCA"/>
    <w:rsid w:val="00FA6DF1"/>
    <w:rsid w:val="00FA6E26"/>
    <w:rsid w:val="00FA700E"/>
    <w:rsid w:val="00FA7271"/>
    <w:rsid w:val="00FA732B"/>
    <w:rsid w:val="00FA74A0"/>
    <w:rsid w:val="00FA75FF"/>
    <w:rsid w:val="00FA76E2"/>
    <w:rsid w:val="00FA785E"/>
    <w:rsid w:val="00FA78D9"/>
    <w:rsid w:val="00FA78E9"/>
    <w:rsid w:val="00FA7999"/>
    <w:rsid w:val="00FA799E"/>
    <w:rsid w:val="00FA799F"/>
    <w:rsid w:val="00FA79F9"/>
    <w:rsid w:val="00FA7AF1"/>
    <w:rsid w:val="00FA7B28"/>
    <w:rsid w:val="00FA7C8E"/>
    <w:rsid w:val="00FA7D7D"/>
    <w:rsid w:val="00FA7D81"/>
    <w:rsid w:val="00FA7DB8"/>
    <w:rsid w:val="00FA7DEF"/>
    <w:rsid w:val="00FB0042"/>
    <w:rsid w:val="00FB0129"/>
    <w:rsid w:val="00FB023A"/>
    <w:rsid w:val="00FB0299"/>
    <w:rsid w:val="00FB029A"/>
    <w:rsid w:val="00FB02DF"/>
    <w:rsid w:val="00FB0423"/>
    <w:rsid w:val="00FB05B0"/>
    <w:rsid w:val="00FB0671"/>
    <w:rsid w:val="00FB06EB"/>
    <w:rsid w:val="00FB08E3"/>
    <w:rsid w:val="00FB0ADF"/>
    <w:rsid w:val="00FB0B40"/>
    <w:rsid w:val="00FB0B55"/>
    <w:rsid w:val="00FB0B7A"/>
    <w:rsid w:val="00FB0E7D"/>
    <w:rsid w:val="00FB0F95"/>
    <w:rsid w:val="00FB1223"/>
    <w:rsid w:val="00FB1252"/>
    <w:rsid w:val="00FB1297"/>
    <w:rsid w:val="00FB133A"/>
    <w:rsid w:val="00FB14BF"/>
    <w:rsid w:val="00FB1588"/>
    <w:rsid w:val="00FB16E2"/>
    <w:rsid w:val="00FB1707"/>
    <w:rsid w:val="00FB17F9"/>
    <w:rsid w:val="00FB187E"/>
    <w:rsid w:val="00FB18C5"/>
    <w:rsid w:val="00FB193F"/>
    <w:rsid w:val="00FB19D0"/>
    <w:rsid w:val="00FB1B39"/>
    <w:rsid w:val="00FB1B4E"/>
    <w:rsid w:val="00FB1C86"/>
    <w:rsid w:val="00FB1D98"/>
    <w:rsid w:val="00FB1F20"/>
    <w:rsid w:val="00FB2090"/>
    <w:rsid w:val="00FB21F8"/>
    <w:rsid w:val="00FB2512"/>
    <w:rsid w:val="00FB2778"/>
    <w:rsid w:val="00FB2883"/>
    <w:rsid w:val="00FB28A8"/>
    <w:rsid w:val="00FB2A01"/>
    <w:rsid w:val="00FB2C31"/>
    <w:rsid w:val="00FB2D20"/>
    <w:rsid w:val="00FB2E6C"/>
    <w:rsid w:val="00FB311F"/>
    <w:rsid w:val="00FB36DF"/>
    <w:rsid w:val="00FB36E0"/>
    <w:rsid w:val="00FB399B"/>
    <w:rsid w:val="00FB3A82"/>
    <w:rsid w:val="00FB3BE9"/>
    <w:rsid w:val="00FB3CA2"/>
    <w:rsid w:val="00FB3D49"/>
    <w:rsid w:val="00FB3D87"/>
    <w:rsid w:val="00FB3DEE"/>
    <w:rsid w:val="00FB3F8D"/>
    <w:rsid w:val="00FB4002"/>
    <w:rsid w:val="00FB4034"/>
    <w:rsid w:val="00FB40A2"/>
    <w:rsid w:val="00FB421D"/>
    <w:rsid w:val="00FB42F5"/>
    <w:rsid w:val="00FB44EB"/>
    <w:rsid w:val="00FB452D"/>
    <w:rsid w:val="00FB455F"/>
    <w:rsid w:val="00FB471E"/>
    <w:rsid w:val="00FB473D"/>
    <w:rsid w:val="00FB475C"/>
    <w:rsid w:val="00FB490A"/>
    <w:rsid w:val="00FB4991"/>
    <w:rsid w:val="00FB4993"/>
    <w:rsid w:val="00FB4A5A"/>
    <w:rsid w:val="00FB4BC1"/>
    <w:rsid w:val="00FB4BEA"/>
    <w:rsid w:val="00FB4CF9"/>
    <w:rsid w:val="00FB4DBC"/>
    <w:rsid w:val="00FB4DF7"/>
    <w:rsid w:val="00FB4ED7"/>
    <w:rsid w:val="00FB4FFC"/>
    <w:rsid w:val="00FB5019"/>
    <w:rsid w:val="00FB50F4"/>
    <w:rsid w:val="00FB519B"/>
    <w:rsid w:val="00FB51B9"/>
    <w:rsid w:val="00FB52C4"/>
    <w:rsid w:val="00FB5378"/>
    <w:rsid w:val="00FB537F"/>
    <w:rsid w:val="00FB53A4"/>
    <w:rsid w:val="00FB5463"/>
    <w:rsid w:val="00FB54CE"/>
    <w:rsid w:val="00FB55BD"/>
    <w:rsid w:val="00FB55E4"/>
    <w:rsid w:val="00FB5750"/>
    <w:rsid w:val="00FB5794"/>
    <w:rsid w:val="00FB5980"/>
    <w:rsid w:val="00FB5B3A"/>
    <w:rsid w:val="00FB5D56"/>
    <w:rsid w:val="00FB5E95"/>
    <w:rsid w:val="00FB5F79"/>
    <w:rsid w:val="00FB5FD8"/>
    <w:rsid w:val="00FB604B"/>
    <w:rsid w:val="00FB620D"/>
    <w:rsid w:val="00FB63C2"/>
    <w:rsid w:val="00FB651A"/>
    <w:rsid w:val="00FB66A7"/>
    <w:rsid w:val="00FB67CA"/>
    <w:rsid w:val="00FB6889"/>
    <w:rsid w:val="00FB69A7"/>
    <w:rsid w:val="00FB69EE"/>
    <w:rsid w:val="00FB6CD3"/>
    <w:rsid w:val="00FB6D36"/>
    <w:rsid w:val="00FB6DD9"/>
    <w:rsid w:val="00FB6DE5"/>
    <w:rsid w:val="00FB6F67"/>
    <w:rsid w:val="00FB6F8E"/>
    <w:rsid w:val="00FB6FE9"/>
    <w:rsid w:val="00FB709E"/>
    <w:rsid w:val="00FB70C7"/>
    <w:rsid w:val="00FB719F"/>
    <w:rsid w:val="00FB71C3"/>
    <w:rsid w:val="00FB7293"/>
    <w:rsid w:val="00FB72BD"/>
    <w:rsid w:val="00FB72FE"/>
    <w:rsid w:val="00FB731B"/>
    <w:rsid w:val="00FB734A"/>
    <w:rsid w:val="00FB73B8"/>
    <w:rsid w:val="00FB7538"/>
    <w:rsid w:val="00FB7539"/>
    <w:rsid w:val="00FB7808"/>
    <w:rsid w:val="00FB7989"/>
    <w:rsid w:val="00FB79F6"/>
    <w:rsid w:val="00FB7BFE"/>
    <w:rsid w:val="00FB7CCD"/>
    <w:rsid w:val="00FB7EC7"/>
    <w:rsid w:val="00FB7F7C"/>
    <w:rsid w:val="00FB7FC0"/>
    <w:rsid w:val="00FC008F"/>
    <w:rsid w:val="00FC01C0"/>
    <w:rsid w:val="00FC08AD"/>
    <w:rsid w:val="00FC0947"/>
    <w:rsid w:val="00FC0A64"/>
    <w:rsid w:val="00FC0AD7"/>
    <w:rsid w:val="00FC0C09"/>
    <w:rsid w:val="00FC0DB5"/>
    <w:rsid w:val="00FC0EE4"/>
    <w:rsid w:val="00FC0F43"/>
    <w:rsid w:val="00FC0FB0"/>
    <w:rsid w:val="00FC101E"/>
    <w:rsid w:val="00FC10B9"/>
    <w:rsid w:val="00FC10DE"/>
    <w:rsid w:val="00FC1597"/>
    <w:rsid w:val="00FC166A"/>
    <w:rsid w:val="00FC1728"/>
    <w:rsid w:val="00FC1766"/>
    <w:rsid w:val="00FC1847"/>
    <w:rsid w:val="00FC1891"/>
    <w:rsid w:val="00FC18A4"/>
    <w:rsid w:val="00FC1A30"/>
    <w:rsid w:val="00FC1BFD"/>
    <w:rsid w:val="00FC1C20"/>
    <w:rsid w:val="00FC1D7D"/>
    <w:rsid w:val="00FC1F79"/>
    <w:rsid w:val="00FC2086"/>
    <w:rsid w:val="00FC2104"/>
    <w:rsid w:val="00FC23CE"/>
    <w:rsid w:val="00FC2575"/>
    <w:rsid w:val="00FC25B7"/>
    <w:rsid w:val="00FC25F2"/>
    <w:rsid w:val="00FC26CB"/>
    <w:rsid w:val="00FC273A"/>
    <w:rsid w:val="00FC27B6"/>
    <w:rsid w:val="00FC2979"/>
    <w:rsid w:val="00FC2A07"/>
    <w:rsid w:val="00FC2B6A"/>
    <w:rsid w:val="00FC2BB1"/>
    <w:rsid w:val="00FC2D5F"/>
    <w:rsid w:val="00FC2DB2"/>
    <w:rsid w:val="00FC2F24"/>
    <w:rsid w:val="00FC2F72"/>
    <w:rsid w:val="00FC2FC1"/>
    <w:rsid w:val="00FC2FD9"/>
    <w:rsid w:val="00FC3084"/>
    <w:rsid w:val="00FC30BF"/>
    <w:rsid w:val="00FC339B"/>
    <w:rsid w:val="00FC353A"/>
    <w:rsid w:val="00FC35D0"/>
    <w:rsid w:val="00FC367A"/>
    <w:rsid w:val="00FC36C3"/>
    <w:rsid w:val="00FC375B"/>
    <w:rsid w:val="00FC3851"/>
    <w:rsid w:val="00FC3A2B"/>
    <w:rsid w:val="00FC3B50"/>
    <w:rsid w:val="00FC3B85"/>
    <w:rsid w:val="00FC3C37"/>
    <w:rsid w:val="00FC3D6F"/>
    <w:rsid w:val="00FC3D7F"/>
    <w:rsid w:val="00FC3E14"/>
    <w:rsid w:val="00FC3F12"/>
    <w:rsid w:val="00FC3F85"/>
    <w:rsid w:val="00FC3FA6"/>
    <w:rsid w:val="00FC401D"/>
    <w:rsid w:val="00FC40CA"/>
    <w:rsid w:val="00FC4199"/>
    <w:rsid w:val="00FC41FB"/>
    <w:rsid w:val="00FC4240"/>
    <w:rsid w:val="00FC42B3"/>
    <w:rsid w:val="00FC430B"/>
    <w:rsid w:val="00FC43A1"/>
    <w:rsid w:val="00FC43CF"/>
    <w:rsid w:val="00FC442A"/>
    <w:rsid w:val="00FC44DF"/>
    <w:rsid w:val="00FC4527"/>
    <w:rsid w:val="00FC46ED"/>
    <w:rsid w:val="00FC4A16"/>
    <w:rsid w:val="00FC4C12"/>
    <w:rsid w:val="00FC4D0C"/>
    <w:rsid w:val="00FC4EFB"/>
    <w:rsid w:val="00FC4FED"/>
    <w:rsid w:val="00FC50EC"/>
    <w:rsid w:val="00FC53D0"/>
    <w:rsid w:val="00FC53E3"/>
    <w:rsid w:val="00FC5563"/>
    <w:rsid w:val="00FC55E2"/>
    <w:rsid w:val="00FC5603"/>
    <w:rsid w:val="00FC568B"/>
    <w:rsid w:val="00FC56A4"/>
    <w:rsid w:val="00FC56B6"/>
    <w:rsid w:val="00FC56EA"/>
    <w:rsid w:val="00FC5704"/>
    <w:rsid w:val="00FC5961"/>
    <w:rsid w:val="00FC59CD"/>
    <w:rsid w:val="00FC5A42"/>
    <w:rsid w:val="00FC5B7E"/>
    <w:rsid w:val="00FC5CD6"/>
    <w:rsid w:val="00FC5F82"/>
    <w:rsid w:val="00FC6117"/>
    <w:rsid w:val="00FC6142"/>
    <w:rsid w:val="00FC6251"/>
    <w:rsid w:val="00FC6425"/>
    <w:rsid w:val="00FC661F"/>
    <w:rsid w:val="00FC66EF"/>
    <w:rsid w:val="00FC678A"/>
    <w:rsid w:val="00FC67ED"/>
    <w:rsid w:val="00FC6897"/>
    <w:rsid w:val="00FC698B"/>
    <w:rsid w:val="00FC6C95"/>
    <w:rsid w:val="00FC6CCC"/>
    <w:rsid w:val="00FC6D8D"/>
    <w:rsid w:val="00FC6EC5"/>
    <w:rsid w:val="00FC6F34"/>
    <w:rsid w:val="00FC719D"/>
    <w:rsid w:val="00FC720A"/>
    <w:rsid w:val="00FC7277"/>
    <w:rsid w:val="00FC7376"/>
    <w:rsid w:val="00FC73B6"/>
    <w:rsid w:val="00FC7401"/>
    <w:rsid w:val="00FC74E1"/>
    <w:rsid w:val="00FC779A"/>
    <w:rsid w:val="00FC7B1E"/>
    <w:rsid w:val="00FC7C2B"/>
    <w:rsid w:val="00FC7E86"/>
    <w:rsid w:val="00FD00C9"/>
    <w:rsid w:val="00FD02A3"/>
    <w:rsid w:val="00FD030A"/>
    <w:rsid w:val="00FD03DC"/>
    <w:rsid w:val="00FD0459"/>
    <w:rsid w:val="00FD045E"/>
    <w:rsid w:val="00FD0521"/>
    <w:rsid w:val="00FD068E"/>
    <w:rsid w:val="00FD07B3"/>
    <w:rsid w:val="00FD07BA"/>
    <w:rsid w:val="00FD08C4"/>
    <w:rsid w:val="00FD09B4"/>
    <w:rsid w:val="00FD0AD8"/>
    <w:rsid w:val="00FD0B28"/>
    <w:rsid w:val="00FD0BD8"/>
    <w:rsid w:val="00FD0CC4"/>
    <w:rsid w:val="00FD0D64"/>
    <w:rsid w:val="00FD0F05"/>
    <w:rsid w:val="00FD0F63"/>
    <w:rsid w:val="00FD104E"/>
    <w:rsid w:val="00FD118D"/>
    <w:rsid w:val="00FD1290"/>
    <w:rsid w:val="00FD136F"/>
    <w:rsid w:val="00FD1377"/>
    <w:rsid w:val="00FD13CD"/>
    <w:rsid w:val="00FD13EF"/>
    <w:rsid w:val="00FD1426"/>
    <w:rsid w:val="00FD150A"/>
    <w:rsid w:val="00FD15A5"/>
    <w:rsid w:val="00FD15DB"/>
    <w:rsid w:val="00FD1731"/>
    <w:rsid w:val="00FD1750"/>
    <w:rsid w:val="00FD17BA"/>
    <w:rsid w:val="00FD184A"/>
    <w:rsid w:val="00FD1BED"/>
    <w:rsid w:val="00FD1CDD"/>
    <w:rsid w:val="00FD1E20"/>
    <w:rsid w:val="00FD1E97"/>
    <w:rsid w:val="00FD1F05"/>
    <w:rsid w:val="00FD1F46"/>
    <w:rsid w:val="00FD21C1"/>
    <w:rsid w:val="00FD21E6"/>
    <w:rsid w:val="00FD2203"/>
    <w:rsid w:val="00FD22A7"/>
    <w:rsid w:val="00FD2540"/>
    <w:rsid w:val="00FD25E4"/>
    <w:rsid w:val="00FD2772"/>
    <w:rsid w:val="00FD2AFF"/>
    <w:rsid w:val="00FD2C9D"/>
    <w:rsid w:val="00FD2CC4"/>
    <w:rsid w:val="00FD2DDF"/>
    <w:rsid w:val="00FD2F74"/>
    <w:rsid w:val="00FD3042"/>
    <w:rsid w:val="00FD30B3"/>
    <w:rsid w:val="00FD3153"/>
    <w:rsid w:val="00FD323D"/>
    <w:rsid w:val="00FD331B"/>
    <w:rsid w:val="00FD353D"/>
    <w:rsid w:val="00FD377C"/>
    <w:rsid w:val="00FD37C4"/>
    <w:rsid w:val="00FD380C"/>
    <w:rsid w:val="00FD3844"/>
    <w:rsid w:val="00FD38B5"/>
    <w:rsid w:val="00FD39E9"/>
    <w:rsid w:val="00FD3A02"/>
    <w:rsid w:val="00FD3B94"/>
    <w:rsid w:val="00FD3C90"/>
    <w:rsid w:val="00FD3E4E"/>
    <w:rsid w:val="00FD3ECE"/>
    <w:rsid w:val="00FD3F2B"/>
    <w:rsid w:val="00FD40DD"/>
    <w:rsid w:val="00FD4148"/>
    <w:rsid w:val="00FD416D"/>
    <w:rsid w:val="00FD41DD"/>
    <w:rsid w:val="00FD427D"/>
    <w:rsid w:val="00FD42C3"/>
    <w:rsid w:val="00FD42CD"/>
    <w:rsid w:val="00FD42DF"/>
    <w:rsid w:val="00FD42E2"/>
    <w:rsid w:val="00FD43B3"/>
    <w:rsid w:val="00FD4741"/>
    <w:rsid w:val="00FD4800"/>
    <w:rsid w:val="00FD48EA"/>
    <w:rsid w:val="00FD4D71"/>
    <w:rsid w:val="00FD4D96"/>
    <w:rsid w:val="00FD4E66"/>
    <w:rsid w:val="00FD4EF1"/>
    <w:rsid w:val="00FD51CA"/>
    <w:rsid w:val="00FD54A7"/>
    <w:rsid w:val="00FD55EA"/>
    <w:rsid w:val="00FD565F"/>
    <w:rsid w:val="00FD583F"/>
    <w:rsid w:val="00FD58EF"/>
    <w:rsid w:val="00FD5A2B"/>
    <w:rsid w:val="00FD5A48"/>
    <w:rsid w:val="00FD5BA3"/>
    <w:rsid w:val="00FD5C19"/>
    <w:rsid w:val="00FD5C5B"/>
    <w:rsid w:val="00FD5CB9"/>
    <w:rsid w:val="00FD5D95"/>
    <w:rsid w:val="00FD5F4C"/>
    <w:rsid w:val="00FD5FAB"/>
    <w:rsid w:val="00FD618D"/>
    <w:rsid w:val="00FD628D"/>
    <w:rsid w:val="00FD6295"/>
    <w:rsid w:val="00FD6301"/>
    <w:rsid w:val="00FD631A"/>
    <w:rsid w:val="00FD6324"/>
    <w:rsid w:val="00FD6403"/>
    <w:rsid w:val="00FD644F"/>
    <w:rsid w:val="00FD6460"/>
    <w:rsid w:val="00FD6463"/>
    <w:rsid w:val="00FD667D"/>
    <w:rsid w:val="00FD67E0"/>
    <w:rsid w:val="00FD67EF"/>
    <w:rsid w:val="00FD6883"/>
    <w:rsid w:val="00FD68F5"/>
    <w:rsid w:val="00FD6A33"/>
    <w:rsid w:val="00FD6D32"/>
    <w:rsid w:val="00FD6DE5"/>
    <w:rsid w:val="00FD6F84"/>
    <w:rsid w:val="00FD6FFB"/>
    <w:rsid w:val="00FD7160"/>
    <w:rsid w:val="00FD71D4"/>
    <w:rsid w:val="00FD74B4"/>
    <w:rsid w:val="00FD74E5"/>
    <w:rsid w:val="00FD7544"/>
    <w:rsid w:val="00FD7577"/>
    <w:rsid w:val="00FD7696"/>
    <w:rsid w:val="00FD771A"/>
    <w:rsid w:val="00FD778B"/>
    <w:rsid w:val="00FD77A9"/>
    <w:rsid w:val="00FD795A"/>
    <w:rsid w:val="00FD79C5"/>
    <w:rsid w:val="00FD7A10"/>
    <w:rsid w:val="00FD7A6B"/>
    <w:rsid w:val="00FD7B8F"/>
    <w:rsid w:val="00FD7C8B"/>
    <w:rsid w:val="00FD7D84"/>
    <w:rsid w:val="00FE00A6"/>
    <w:rsid w:val="00FE00D8"/>
    <w:rsid w:val="00FE0135"/>
    <w:rsid w:val="00FE01A8"/>
    <w:rsid w:val="00FE021C"/>
    <w:rsid w:val="00FE0230"/>
    <w:rsid w:val="00FE0303"/>
    <w:rsid w:val="00FE0315"/>
    <w:rsid w:val="00FE03EE"/>
    <w:rsid w:val="00FE046E"/>
    <w:rsid w:val="00FE0490"/>
    <w:rsid w:val="00FE04F2"/>
    <w:rsid w:val="00FE0716"/>
    <w:rsid w:val="00FE0721"/>
    <w:rsid w:val="00FE0742"/>
    <w:rsid w:val="00FE08E7"/>
    <w:rsid w:val="00FE0D89"/>
    <w:rsid w:val="00FE0E3C"/>
    <w:rsid w:val="00FE0EA5"/>
    <w:rsid w:val="00FE1080"/>
    <w:rsid w:val="00FE1118"/>
    <w:rsid w:val="00FE111B"/>
    <w:rsid w:val="00FE116F"/>
    <w:rsid w:val="00FE125A"/>
    <w:rsid w:val="00FE1345"/>
    <w:rsid w:val="00FE151D"/>
    <w:rsid w:val="00FE1566"/>
    <w:rsid w:val="00FE159E"/>
    <w:rsid w:val="00FE1815"/>
    <w:rsid w:val="00FE19AA"/>
    <w:rsid w:val="00FE1A34"/>
    <w:rsid w:val="00FE1B44"/>
    <w:rsid w:val="00FE1CD0"/>
    <w:rsid w:val="00FE1EC6"/>
    <w:rsid w:val="00FE1FC9"/>
    <w:rsid w:val="00FE2046"/>
    <w:rsid w:val="00FE207B"/>
    <w:rsid w:val="00FE20B0"/>
    <w:rsid w:val="00FE20FF"/>
    <w:rsid w:val="00FE217B"/>
    <w:rsid w:val="00FE223C"/>
    <w:rsid w:val="00FE226D"/>
    <w:rsid w:val="00FE229C"/>
    <w:rsid w:val="00FE22CC"/>
    <w:rsid w:val="00FE234A"/>
    <w:rsid w:val="00FE2367"/>
    <w:rsid w:val="00FE26C3"/>
    <w:rsid w:val="00FE2AD7"/>
    <w:rsid w:val="00FE2B61"/>
    <w:rsid w:val="00FE2D53"/>
    <w:rsid w:val="00FE2DF5"/>
    <w:rsid w:val="00FE2E12"/>
    <w:rsid w:val="00FE2E1B"/>
    <w:rsid w:val="00FE2E84"/>
    <w:rsid w:val="00FE3022"/>
    <w:rsid w:val="00FE34A1"/>
    <w:rsid w:val="00FE35B5"/>
    <w:rsid w:val="00FE391C"/>
    <w:rsid w:val="00FE3983"/>
    <w:rsid w:val="00FE39A0"/>
    <w:rsid w:val="00FE3A65"/>
    <w:rsid w:val="00FE3A8D"/>
    <w:rsid w:val="00FE3A92"/>
    <w:rsid w:val="00FE3B40"/>
    <w:rsid w:val="00FE3BB1"/>
    <w:rsid w:val="00FE3CB8"/>
    <w:rsid w:val="00FE3EF4"/>
    <w:rsid w:val="00FE40E5"/>
    <w:rsid w:val="00FE418D"/>
    <w:rsid w:val="00FE41B3"/>
    <w:rsid w:val="00FE4245"/>
    <w:rsid w:val="00FE4314"/>
    <w:rsid w:val="00FE43D9"/>
    <w:rsid w:val="00FE4422"/>
    <w:rsid w:val="00FE4509"/>
    <w:rsid w:val="00FE45EF"/>
    <w:rsid w:val="00FE4739"/>
    <w:rsid w:val="00FE4751"/>
    <w:rsid w:val="00FE4A75"/>
    <w:rsid w:val="00FE4AA2"/>
    <w:rsid w:val="00FE4B1D"/>
    <w:rsid w:val="00FE4C45"/>
    <w:rsid w:val="00FE4C51"/>
    <w:rsid w:val="00FE4CAF"/>
    <w:rsid w:val="00FE4DB2"/>
    <w:rsid w:val="00FE4DBF"/>
    <w:rsid w:val="00FE5189"/>
    <w:rsid w:val="00FE5522"/>
    <w:rsid w:val="00FE56F3"/>
    <w:rsid w:val="00FE575D"/>
    <w:rsid w:val="00FE58BA"/>
    <w:rsid w:val="00FE59A6"/>
    <w:rsid w:val="00FE5AFB"/>
    <w:rsid w:val="00FE5D09"/>
    <w:rsid w:val="00FE5D99"/>
    <w:rsid w:val="00FE5DAC"/>
    <w:rsid w:val="00FE5E01"/>
    <w:rsid w:val="00FE5E3B"/>
    <w:rsid w:val="00FE5E71"/>
    <w:rsid w:val="00FE5EC4"/>
    <w:rsid w:val="00FE5EDC"/>
    <w:rsid w:val="00FE5F0B"/>
    <w:rsid w:val="00FE5F8F"/>
    <w:rsid w:val="00FE63BC"/>
    <w:rsid w:val="00FE63D4"/>
    <w:rsid w:val="00FE6488"/>
    <w:rsid w:val="00FE6539"/>
    <w:rsid w:val="00FE65DE"/>
    <w:rsid w:val="00FE65E0"/>
    <w:rsid w:val="00FE662E"/>
    <w:rsid w:val="00FE681D"/>
    <w:rsid w:val="00FE6821"/>
    <w:rsid w:val="00FE6859"/>
    <w:rsid w:val="00FE6885"/>
    <w:rsid w:val="00FE69F5"/>
    <w:rsid w:val="00FE6A34"/>
    <w:rsid w:val="00FE6C4C"/>
    <w:rsid w:val="00FE705F"/>
    <w:rsid w:val="00FE7156"/>
    <w:rsid w:val="00FE7195"/>
    <w:rsid w:val="00FE7253"/>
    <w:rsid w:val="00FE72E3"/>
    <w:rsid w:val="00FE73FC"/>
    <w:rsid w:val="00FE7457"/>
    <w:rsid w:val="00FE74D3"/>
    <w:rsid w:val="00FE74DF"/>
    <w:rsid w:val="00FE76F9"/>
    <w:rsid w:val="00FE77E6"/>
    <w:rsid w:val="00FE7B02"/>
    <w:rsid w:val="00FE7DEC"/>
    <w:rsid w:val="00FE7DF8"/>
    <w:rsid w:val="00FE7E58"/>
    <w:rsid w:val="00FE7E9D"/>
    <w:rsid w:val="00FE7F7E"/>
    <w:rsid w:val="00FEB87B"/>
    <w:rsid w:val="00FF0135"/>
    <w:rsid w:val="00FF0147"/>
    <w:rsid w:val="00FF02E7"/>
    <w:rsid w:val="00FF02F7"/>
    <w:rsid w:val="00FF0339"/>
    <w:rsid w:val="00FF0491"/>
    <w:rsid w:val="00FF055A"/>
    <w:rsid w:val="00FF07A2"/>
    <w:rsid w:val="00FF0887"/>
    <w:rsid w:val="00FF0BEF"/>
    <w:rsid w:val="00FF0CBA"/>
    <w:rsid w:val="00FF0CE5"/>
    <w:rsid w:val="00FF0DBD"/>
    <w:rsid w:val="00FF0DFA"/>
    <w:rsid w:val="00FF0EC0"/>
    <w:rsid w:val="00FF0FD8"/>
    <w:rsid w:val="00FF0FF8"/>
    <w:rsid w:val="00FF1206"/>
    <w:rsid w:val="00FF12B1"/>
    <w:rsid w:val="00FF12B5"/>
    <w:rsid w:val="00FF13E0"/>
    <w:rsid w:val="00FF14E4"/>
    <w:rsid w:val="00FF1616"/>
    <w:rsid w:val="00FF1647"/>
    <w:rsid w:val="00FF168E"/>
    <w:rsid w:val="00FF16E7"/>
    <w:rsid w:val="00FF1BDB"/>
    <w:rsid w:val="00FF1EF5"/>
    <w:rsid w:val="00FF2060"/>
    <w:rsid w:val="00FF2100"/>
    <w:rsid w:val="00FF2275"/>
    <w:rsid w:val="00FF24D4"/>
    <w:rsid w:val="00FF25BF"/>
    <w:rsid w:val="00FF2655"/>
    <w:rsid w:val="00FF2785"/>
    <w:rsid w:val="00FF285C"/>
    <w:rsid w:val="00FF2862"/>
    <w:rsid w:val="00FF290C"/>
    <w:rsid w:val="00FF2A1C"/>
    <w:rsid w:val="00FF2C18"/>
    <w:rsid w:val="00FF2C9A"/>
    <w:rsid w:val="00FF2ECB"/>
    <w:rsid w:val="00FF2F94"/>
    <w:rsid w:val="00FF3470"/>
    <w:rsid w:val="00FF35FA"/>
    <w:rsid w:val="00FF36DF"/>
    <w:rsid w:val="00FF36FB"/>
    <w:rsid w:val="00FF37A6"/>
    <w:rsid w:val="00FF38B0"/>
    <w:rsid w:val="00FF395A"/>
    <w:rsid w:val="00FF3984"/>
    <w:rsid w:val="00FF3A07"/>
    <w:rsid w:val="00FF3B09"/>
    <w:rsid w:val="00FF3BE7"/>
    <w:rsid w:val="00FF3E3C"/>
    <w:rsid w:val="00FF3E63"/>
    <w:rsid w:val="00FF3FCC"/>
    <w:rsid w:val="00FF3FEA"/>
    <w:rsid w:val="00FF40A5"/>
    <w:rsid w:val="00FF40C8"/>
    <w:rsid w:val="00FF4160"/>
    <w:rsid w:val="00FF4190"/>
    <w:rsid w:val="00FF419F"/>
    <w:rsid w:val="00FF42CA"/>
    <w:rsid w:val="00FF4367"/>
    <w:rsid w:val="00FF43F2"/>
    <w:rsid w:val="00FF44FF"/>
    <w:rsid w:val="00FF4514"/>
    <w:rsid w:val="00FF4560"/>
    <w:rsid w:val="00FF47B2"/>
    <w:rsid w:val="00FF4A9D"/>
    <w:rsid w:val="00FF4B4B"/>
    <w:rsid w:val="00FF4BA7"/>
    <w:rsid w:val="00FF4BCE"/>
    <w:rsid w:val="00FF4C68"/>
    <w:rsid w:val="00FF4D03"/>
    <w:rsid w:val="00FF4DFD"/>
    <w:rsid w:val="00FF4F76"/>
    <w:rsid w:val="00FF52E1"/>
    <w:rsid w:val="00FF53AA"/>
    <w:rsid w:val="00FF53F2"/>
    <w:rsid w:val="00FF55CB"/>
    <w:rsid w:val="00FF566C"/>
    <w:rsid w:val="00FF56AD"/>
    <w:rsid w:val="00FF5939"/>
    <w:rsid w:val="00FF595F"/>
    <w:rsid w:val="00FF59BA"/>
    <w:rsid w:val="00FF59FE"/>
    <w:rsid w:val="00FF5A5C"/>
    <w:rsid w:val="00FF5B7A"/>
    <w:rsid w:val="00FF5D98"/>
    <w:rsid w:val="00FF5DD4"/>
    <w:rsid w:val="00FF5DDB"/>
    <w:rsid w:val="00FF5E66"/>
    <w:rsid w:val="00FF5E6E"/>
    <w:rsid w:val="00FF5F3D"/>
    <w:rsid w:val="00FF6030"/>
    <w:rsid w:val="00FF6153"/>
    <w:rsid w:val="00FF63AF"/>
    <w:rsid w:val="00FF64C7"/>
    <w:rsid w:val="00FF67B9"/>
    <w:rsid w:val="00FF686A"/>
    <w:rsid w:val="00FF68FC"/>
    <w:rsid w:val="00FF6AA6"/>
    <w:rsid w:val="00FF71EA"/>
    <w:rsid w:val="00FF7243"/>
    <w:rsid w:val="00FF72FE"/>
    <w:rsid w:val="00FF769F"/>
    <w:rsid w:val="00FF76A5"/>
    <w:rsid w:val="00FF770D"/>
    <w:rsid w:val="00FF7862"/>
    <w:rsid w:val="00FF788C"/>
    <w:rsid w:val="00FF7DC5"/>
    <w:rsid w:val="00FF7E58"/>
    <w:rsid w:val="00FF7F69"/>
    <w:rsid w:val="00FF7FAC"/>
    <w:rsid w:val="00FF7FC8"/>
    <w:rsid w:val="01134060"/>
    <w:rsid w:val="01144378"/>
    <w:rsid w:val="01266430"/>
    <w:rsid w:val="012D95A8"/>
    <w:rsid w:val="01359A76"/>
    <w:rsid w:val="013BA049"/>
    <w:rsid w:val="01413E47"/>
    <w:rsid w:val="0143AFD3"/>
    <w:rsid w:val="014AB19D"/>
    <w:rsid w:val="01562888"/>
    <w:rsid w:val="0162D389"/>
    <w:rsid w:val="016D07CB"/>
    <w:rsid w:val="016DA9B5"/>
    <w:rsid w:val="01711C99"/>
    <w:rsid w:val="0171E6DF"/>
    <w:rsid w:val="017C0B50"/>
    <w:rsid w:val="0183ACFA"/>
    <w:rsid w:val="0183DE82"/>
    <w:rsid w:val="018AEA1B"/>
    <w:rsid w:val="01B98EB7"/>
    <w:rsid w:val="01CF9B10"/>
    <w:rsid w:val="01DDB771"/>
    <w:rsid w:val="01E35455"/>
    <w:rsid w:val="01E85875"/>
    <w:rsid w:val="01E860AD"/>
    <w:rsid w:val="01EBDB24"/>
    <w:rsid w:val="01FF24DF"/>
    <w:rsid w:val="020083A4"/>
    <w:rsid w:val="020974C4"/>
    <w:rsid w:val="021471DA"/>
    <w:rsid w:val="02155AB4"/>
    <w:rsid w:val="02225DFF"/>
    <w:rsid w:val="0226319F"/>
    <w:rsid w:val="02275EC3"/>
    <w:rsid w:val="022D2104"/>
    <w:rsid w:val="023F1F58"/>
    <w:rsid w:val="024EB3D5"/>
    <w:rsid w:val="02502CE7"/>
    <w:rsid w:val="02570303"/>
    <w:rsid w:val="0274196D"/>
    <w:rsid w:val="0274B06C"/>
    <w:rsid w:val="028F087B"/>
    <w:rsid w:val="0295B735"/>
    <w:rsid w:val="029ED1A1"/>
    <w:rsid w:val="02A75A34"/>
    <w:rsid w:val="02BB2806"/>
    <w:rsid w:val="02D21847"/>
    <w:rsid w:val="02D483E7"/>
    <w:rsid w:val="02D84E12"/>
    <w:rsid w:val="02DC32B3"/>
    <w:rsid w:val="02E8A4AE"/>
    <w:rsid w:val="02E9B382"/>
    <w:rsid w:val="02F58A55"/>
    <w:rsid w:val="02FCECB7"/>
    <w:rsid w:val="030300DA"/>
    <w:rsid w:val="0303D919"/>
    <w:rsid w:val="030C7DFA"/>
    <w:rsid w:val="030F1C9E"/>
    <w:rsid w:val="0320EB49"/>
    <w:rsid w:val="0331D8A3"/>
    <w:rsid w:val="0334C144"/>
    <w:rsid w:val="03396600"/>
    <w:rsid w:val="0340C4DC"/>
    <w:rsid w:val="0342D775"/>
    <w:rsid w:val="034A4213"/>
    <w:rsid w:val="035643A1"/>
    <w:rsid w:val="036CCB59"/>
    <w:rsid w:val="03745DCE"/>
    <w:rsid w:val="03752E59"/>
    <w:rsid w:val="0386698F"/>
    <w:rsid w:val="038E14A3"/>
    <w:rsid w:val="039E4CE0"/>
    <w:rsid w:val="03A0FC32"/>
    <w:rsid w:val="03A30282"/>
    <w:rsid w:val="03A6E796"/>
    <w:rsid w:val="03A8ADC7"/>
    <w:rsid w:val="03B10ED2"/>
    <w:rsid w:val="03B6CF6A"/>
    <w:rsid w:val="03CD391D"/>
    <w:rsid w:val="03D0A926"/>
    <w:rsid w:val="03D9F77F"/>
    <w:rsid w:val="03E88587"/>
    <w:rsid w:val="04003D6D"/>
    <w:rsid w:val="04014BA6"/>
    <w:rsid w:val="04110619"/>
    <w:rsid w:val="041DAB78"/>
    <w:rsid w:val="0427DC9B"/>
    <w:rsid w:val="042B5127"/>
    <w:rsid w:val="04325B94"/>
    <w:rsid w:val="043A900C"/>
    <w:rsid w:val="04468227"/>
    <w:rsid w:val="044E3D4C"/>
    <w:rsid w:val="045BEC93"/>
    <w:rsid w:val="04663036"/>
    <w:rsid w:val="046AFC4B"/>
    <w:rsid w:val="048929BB"/>
    <w:rsid w:val="048EA8DD"/>
    <w:rsid w:val="04954A5C"/>
    <w:rsid w:val="0498550A"/>
    <w:rsid w:val="049E66C2"/>
    <w:rsid w:val="049EB824"/>
    <w:rsid w:val="04A8FA78"/>
    <w:rsid w:val="04AB478C"/>
    <w:rsid w:val="04AB7062"/>
    <w:rsid w:val="04ABC634"/>
    <w:rsid w:val="04B9999D"/>
    <w:rsid w:val="04C03675"/>
    <w:rsid w:val="04DBA11C"/>
    <w:rsid w:val="04DE2796"/>
    <w:rsid w:val="04F6F9D0"/>
    <w:rsid w:val="04FD9E35"/>
    <w:rsid w:val="050168CA"/>
    <w:rsid w:val="0505E3DA"/>
    <w:rsid w:val="050A1015"/>
    <w:rsid w:val="0515110B"/>
    <w:rsid w:val="0525704E"/>
    <w:rsid w:val="05297F36"/>
    <w:rsid w:val="052E9674"/>
    <w:rsid w:val="0560E089"/>
    <w:rsid w:val="056AD49B"/>
    <w:rsid w:val="056CFD60"/>
    <w:rsid w:val="05717DC2"/>
    <w:rsid w:val="0573EACD"/>
    <w:rsid w:val="0576A6FB"/>
    <w:rsid w:val="0593497D"/>
    <w:rsid w:val="059F9E67"/>
    <w:rsid w:val="05A50F0D"/>
    <w:rsid w:val="05A5A27E"/>
    <w:rsid w:val="05ABB104"/>
    <w:rsid w:val="05B16766"/>
    <w:rsid w:val="05C084B9"/>
    <w:rsid w:val="05C34D55"/>
    <w:rsid w:val="05CAA671"/>
    <w:rsid w:val="06117CF9"/>
    <w:rsid w:val="0617BA43"/>
    <w:rsid w:val="06181666"/>
    <w:rsid w:val="0625FE83"/>
    <w:rsid w:val="06285541"/>
    <w:rsid w:val="062E7615"/>
    <w:rsid w:val="0631EC7D"/>
    <w:rsid w:val="0634D383"/>
    <w:rsid w:val="063ED088"/>
    <w:rsid w:val="0640C417"/>
    <w:rsid w:val="0642D014"/>
    <w:rsid w:val="06520A4D"/>
    <w:rsid w:val="06677BC7"/>
    <w:rsid w:val="0674096A"/>
    <w:rsid w:val="0677FCA8"/>
    <w:rsid w:val="06790B79"/>
    <w:rsid w:val="0682275E"/>
    <w:rsid w:val="068429F8"/>
    <w:rsid w:val="069D4563"/>
    <w:rsid w:val="06B7F35A"/>
    <w:rsid w:val="06C85989"/>
    <w:rsid w:val="06CE3659"/>
    <w:rsid w:val="06D75A11"/>
    <w:rsid w:val="06EEC9F2"/>
    <w:rsid w:val="06F53F26"/>
    <w:rsid w:val="06F59ABF"/>
    <w:rsid w:val="0733622E"/>
    <w:rsid w:val="073E8F79"/>
    <w:rsid w:val="07492A78"/>
    <w:rsid w:val="07547278"/>
    <w:rsid w:val="07758471"/>
    <w:rsid w:val="0775AF64"/>
    <w:rsid w:val="0777CAB3"/>
    <w:rsid w:val="07793866"/>
    <w:rsid w:val="07854356"/>
    <w:rsid w:val="07855A09"/>
    <w:rsid w:val="078747FF"/>
    <w:rsid w:val="078986FB"/>
    <w:rsid w:val="07901421"/>
    <w:rsid w:val="0795DC89"/>
    <w:rsid w:val="07A025D9"/>
    <w:rsid w:val="07A12CEB"/>
    <w:rsid w:val="07A59978"/>
    <w:rsid w:val="07A8E658"/>
    <w:rsid w:val="07ABFE76"/>
    <w:rsid w:val="07CEE89C"/>
    <w:rsid w:val="07D20AC7"/>
    <w:rsid w:val="07F23619"/>
    <w:rsid w:val="07F6F9DD"/>
    <w:rsid w:val="07FC263D"/>
    <w:rsid w:val="07FE48EF"/>
    <w:rsid w:val="08163330"/>
    <w:rsid w:val="081A53CB"/>
    <w:rsid w:val="0823F58E"/>
    <w:rsid w:val="0830EE0D"/>
    <w:rsid w:val="0832DF54"/>
    <w:rsid w:val="08342E6C"/>
    <w:rsid w:val="08398CD7"/>
    <w:rsid w:val="08559469"/>
    <w:rsid w:val="085CEE33"/>
    <w:rsid w:val="089D1AFA"/>
    <w:rsid w:val="08ADF33A"/>
    <w:rsid w:val="08B9A6B8"/>
    <w:rsid w:val="08C28823"/>
    <w:rsid w:val="08C658B3"/>
    <w:rsid w:val="08C7BBD5"/>
    <w:rsid w:val="08D933F5"/>
    <w:rsid w:val="08F249FB"/>
    <w:rsid w:val="08FB9CEA"/>
    <w:rsid w:val="08FF1DBC"/>
    <w:rsid w:val="09070E38"/>
    <w:rsid w:val="09096892"/>
    <w:rsid w:val="090DFB7A"/>
    <w:rsid w:val="091A3542"/>
    <w:rsid w:val="09260322"/>
    <w:rsid w:val="0932972E"/>
    <w:rsid w:val="0936300C"/>
    <w:rsid w:val="094B83A0"/>
    <w:rsid w:val="094D9C52"/>
    <w:rsid w:val="095256F1"/>
    <w:rsid w:val="095C0293"/>
    <w:rsid w:val="09625FD9"/>
    <w:rsid w:val="09648BAE"/>
    <w:rsid w:val="0965C794"/>
    <w:rsid w:val="096FA6D2"/>
    <w:rsid w:val="09856103"/>
    <w:rsid w:val="099111C5"/>
    <w:rsid w:val="09A21A0B"/>
    <w:rsid w:val="09B221F7"/>
    <w:rsid w:val="09CA6D32"/>
    <w:rsid w:val="09CAA52F"/>
    <w:rsid w:val="09E8497F"/>
    <w:rsid w:val="09EB088A"/>
    <w:rsid w:val="09EE25AF"/>
    <w:rsid w:val="09FA7D2E"/>
    <w:rsid w:val="09FD07D0"/>
    <w:rsid w:val="0A04F3C4"/>
    <w:rsid w:val="0A060F0C"/>
    <w:rsid w:val="0A08C0BB"/>
    <w:rsid w:val="0A0A8702"/>
    <w:rsid w:val="0A110C19"/>
    <w:rsid w:val="0A15CC57"/>
    <w:rsid w:val="0A211A48"/>
    <w:rsid w:val="0A38F419"/>
    <w:rsid w:val="0A4005C3"/>
    <w:rsid w:val="0A4948FD"/>
    <w:rsid w:val="0A64D75A"/>
    <w:rsid w:val="0A689E8E"/>
    <w:rsid w:val="0A7FABB1"/>
    <w:rsid w:val="0A892B90"/>
    <w:rsid w:val="0A935322"/>
    <w:rsid w:val="0A97F888"/>
    <w:rsid w:val="0AA77B7E"/>
    <w:rsid w:val="0AB9143E"/>
    <w:rsid w:val="0ABC4109"/>
    <w:rsid w:val="0AD44030"/>
    <w:rsid w:val="0B010184"/>
    <w:rsid w:val="0B0D246C"/>
    <w:rsid w:val="0B14A127"/>
    <w:rsid w:val="0B1BC02A"/>
    <w:rsid w:val="0B25F4CC"/>
    <w:rsid w:val="0B27E925"/>
    <w:rsid w:val="0B2AE875"/>
    <w:rsid w:val="0B3B3A19"/>
    <w:rsid w:val="0B40F51A"/>
    <w:rsid w:val="0B428B58"/>
    <w:rsid w:val="0B6A9A76"/>
    <w:rsid w:val="0B8394D7"/>
    <w:rsid w:val="0BA85D15"/>
    <w:rsid w:val="0BAC05C0"/>
    <w:rsid w:val="0BAE78A1"/>
    <w:rsid w:val="0BB11809"/>
    <w:rsid w:val="0BCE2CD3"/>
    <w:rsid w:val="0BCE4FA8"/>
    <w:rsid w:val="0BDC1926"/>
    <w:rsid w:val="0BE39F13"/>
    <w:rsid w:val="0BE80EAF"/>
    <w:rsid w:val="0BF33642"/>
    <w:rsid w:val="0BF7E16B"/>
    <w:rsid w:val="0C01C5EE"/>
    <w:rsid w:val="0C024E06"/>
    <w:rsid w:val="0C097F45"/>
    <w:rsid w:val="0C0EBC35"/>
    <w:rsid w:val="0C0EF079"/>
    <w:rsid w:val="0C3DD674"/>
    <w:rsid w:val="0C409993"/>
    <w:rsid w:val="0C40F309"/>
    <w:rsid w:val="0C4D266D"/>
    <w:rsid w:val="0C522540"/>
    <w:rsid w:val="0C56D28B"/>
    <w:rsid w:val="0C5F0F95"/>
    <w:rsid w:val="0C618249"/>
    <w:rsid w:val="0C668702"/>
    <w:rsid w:val="0C718B85"/>
    <w:rsid w:val="0C73FBF1"/>
    <w:rsid w:val="0C7885CA"/>
    <w:rsid w:val="0C80145C"/>
    <w:rsid w:val="0C8541BD"/>
    <w:rsid w:val="0C86E377"/>
    <w:rsid w:val="0C87D6DE"/>
    <w:rsid w:val="0C8FFA77"/>
    <w:rsid w:val="0C92F94E"/>
    <w:rsid w:val="0C984982"/>
    <w:rsid w:val="0CA171F5"/>
    <w:rsid w:val="0CA1AB35"/>
    <w:rsid w:val="0CA52EDF"/>
    <w:rsid w:val="0CAA54BF"/>
    <w:rsid w:val="0CC1F3DA"/>
    <w:rsid w:val="0CC68123"/>
    <w:rsid w:val="0CCCA725"/>
    <w:rsid w:val="0CE6F2A3"/>
    <w:rsid w:val="0CE902B1"/>
    <w:rsid w:val="0CFFA95E"/>
    <w:rsid w:val="0D03C20E"/>
    <w:rsid w:val="0D05967E"/>
    <w:rsid w:val="0D06EF4C"/>
    <w:rsid w:val="0D0CDE8D"/>
    <w:rsid w:val="0D0E76AA"/>
    <w:rsid w:val="0D0F2F55"/>
    <w:rsid w:val="0D1E4781"/>
    <w:rsid w:val="0D2A0F8E"/>
    <w:rsid w:val="0D2B3EF5"/>
    <w:rsid w:val="0D31A2A1"/>
    <w:rsid w:val="0D35141D"/>
    <w:rsid w:val="0D38FACD"/>
    <w:rsid w:val="0D486E85"/>
    <w:rsid w:val="0D4DB3AA"/>
    <w:rsid w:val="0D4EF9CF"/>
    <w:rsid w:val="0D500412"/>
    <w:rsid w:val="0D55D5C8"/>
    <w:rsid w:val="0D5725D2"/>
    <w:rsid w:val="0D649071"/>
    <w:rsid w:val="0D77DCC5"/>
    <w:rsid w:val="0D9439BB"/>
    <w:rsid w:val="0D98AEA5"/>
    <w:rsid w:val="0DB18D14"/>
    <w:rsid w:val="0DBC190C"/>
    <w:rsid w:val="0DCDA9A0"/>
    <w:rsid w:val="0DCEC864"/>
    <w:rsid w:val="0DD2144A"/>
    <w:rsid w:val="0DDFF17E"/>
    <w:rsid w:val="0DE4289B"/>
    <w:rsid w:val="0DE768DE"/>
    <w:rsid w:val="0DEE2B76"/>
    <w:rsid w:val="0DEE3EB4"/>
    <w:rsid w:val="0DF1740B"/>
    <w:rsid w:val="0DF175C0"/>
    <w:rsid w:val="0DF87A41"/>
    <w:rsid w:val="0E05C9D9"/>
    <w:rsid w:val="0E0D8081"/>
    <w:rsid w:val="0E0FC219"/>
    <w:rsid w:val="0E17954C"/>
    <w:rsid w:val="0E1CC9FA"/>
    <w:rsid w:val="0E1D0DD6"/>
    <w:rsid w:val="0E28B62D"/>
    <w:rsid w:val="0E33FA9D"/>
    <w:rsid w:val="0E399485"/>
    <w:rsid w:val="0E4311F9"/>
    <w:rsid w:val="0E5C6207"/>
    <w:rsid w:val="0E6BF9D8"/>
    <w:rsid w:val="0E733AF8"/>
    <w:rsid w:val="0E762D67"/>
    <w:rsid w:val="0E76F443"/>
    <w:rsid w:val="0E811F95"/>
    <w:rsid w:val="0E8CD26E"/>
    <w:rsid w:val="0E9B8982"/>
    <w:rsid w:val="0E9E1BB2"/>
    <w:rsid w:val="0EADB50D"/>
    <w:rsid w:val="0EB1FA18"/>
    <w:rsid w:val="0EB5643D"/>
    <w:rsid w:val="0EBE4891"/>
    <w:rsid w:val="0EC65DAD"/>
    <w:rsid w:val="0ED12E3D"/>
    <w:rsid w:val="0ED5CABF"/>
    <w:rsid w:val="0EDA8340"/>
    <w:rsid w:val="0EDED6AD"/>
    <w:rsid w:val="0EE44420"/>
    <w:rsid w:val="0EE9EDFD"/>
    <w:rsid w:val="0EF7F08F"/>
    <w:rsid w:val="0F022739"/>
    <w:rsid w:val="0F1A5BE3"/>
    <w:rsid w:val="0F23C9DB"/>
    <w:rsid w:val="0F2CC05F"/>
    <w:rsid w:val="0F39EB13"/>
    <w:rsid w:val="0F45904B"/>
    <w:rsid w:val="0F518903"/>
    <w:rsid w:val="0F51A4EC"/>
    <w:rsid w:val="0F6553B9"/>
    <w:rsid w:val="0F6C6E02"/>
    <w:rsid w:val="0F777EAC"/>
    <w:rsid w:val="0FBD6495"/>
    <w:rsid w:val="0FC068FD"/>
    <w:rsid w:val="0FDD7662"/>
    <w:rsid w:val="10036790"/>
    <w:rsid w:val="100BDBF6"/>
    <w:rsid w:val="100EABDC"/>
    <w:rsid w:val="1018E602"/>
    <w:rsid w:val="101E9563"/>
    <w:rsid w:val="101FC313"/>
    <w:rsid w:val="102EFC9F"/>
    <w:rsid w:val="105F482A"/>
    <w:rsid w:val="1061D3BC"/>
    <w:rsid w:val="1061ECCE"/>
    <w:rsid w:val="10623A06"/>
    <w:rsid w:val="1066BBC3"/>
    <w:rsid w:val="107116DC"/>
    <w:rsid w:val="1074F6DA"/>
    <w:rsid w:val="107B0F82"/>
    <w:rsid w:val="107B29ED"/>
    <w:rsid w:val="10892156"/>
    <w:rsid w:val="10912840"/>
    <w:rsid w:val="10964B80"/>
    <w:rsid w:val="1096DE15"/>
    <w:rsid w:val="109AB287"/>
    <w:rsid w:val="109BB46A"/>
    <w:rsid w:val="10AAF35C"/>
    <w:rsid w:val="10AB3D0A"/>
    <w:rsid w:val="10B10B68"/>
    <w:rsid w:val="10B17A1F"/>
    <w:rsid w:val="10B53E6F"/>
    <w:rsid w:val="10B899FF"/>
    <w:rsid w:val="10BB3924"/>
    <w:rsid w:val="10C6EC05"/>
    <w:rsid w:val="10C99BA5"/>
    <w:rsid w:val="10CC8CDD"/>
    <w:rsid w:val="10CE0209"/>
    <w:rsid w:val="10D49FDE"/>
    <w:rsid w:val="10D80E19"/>
    <w:rsid w:val="10F07218"/>
    <w:rsid w:val="10F22965"/>
    <w:rsid w:val="10FDA9B0"/>
    <w:rsid w:val="10FDAAB6"/>
    <w:rsid w:val="1102F268"/>
    <w:rsid w:val="112932D9"/>
    <w:rsid w:val="11413D39"/>
    <w:rsid w:val="114417EA"/>
    <w:rsid w:val="114D2608"/>
    <w:rsid w:val="1160B056"/>
    <w:rsid w:val="1162FEF6"/>
    <w:rsid w:val="116BFC9E"/>
    <w:rsid w:val="116E0B0B"/>
    <w:rsid w:val="116F0B2C"/>
    <w:rsid w:val="118189F7"/>
    <w:rsid w:val="119AA846"/>
    <w:rsid w:val="11A4100A"/>
    <w:rsid w:val="11BAC9BA"/>
    <w:rsid w:val="11BC0420"/>
    <w:rsid w:val="11BE2FA4"/>
    <w:rsid w:val="11BE56AE"/>
    <w:rsid w:val="11D6E0D7"/>
    <w:rsid w:val="11E694DE"/>
    <w:rsid w:val="11E6E0A9"/>
    <w:rsid w:val="11E846C1"/>
    <w:rsid w:val="11EDB583"/>
    <w:rsid w:val="1200463E"/>
    <w:rsid w:val="1230A57F"/>
    <w:rsid w:val="12310035"/>
    <w:rsid w:val="12386EC8"/>
    <w:rsid w:val="12727E57"/>
    <w:rsid w:val="127B1DA6"/>
    <w:rsid w:val="12936319"/>
    <w:rsid w:val="1296CA21"/>
    <w:rsid w:val="12A28E44"/>
    <w:rsid w:val="12A40E7B"/>
    <w:rsid w:val="12B58974"/>
    <w:rsid w:val="12CA8C4F"/>
    <w:rsid w:val="12D05C97"/>
    <w:rsid w:val="12E7823A"/>
    <w:rsid w:val="12F75CC3"/>
    <w:rsid w:val="12F78776"/>
    <w:rsid w:val="130FFE3D"/>
    <w:rsid w:val="13119BB1"/>
    <w:rsid w:val="13197FA8"/>
    <w:rsid w:val="131A9825"/>
    <w:rsid w:val="1332D11B"/>
    <w:rsid w:val="133F59D6"/>
    <w:rsid w:val="13413CA3"/>
    <w:rsid w:val="134B8054"/>
    <w:rsid w:val="136A16D4"/>
    <w:rsid w:val="13A12113"/>
    <w:rsid w:val="13A38CF4"/>
    <w:rsid w:val="13B652B7"/>
    <w:rsid w:val="13B99478"/>
    <w:rsid w:val="13D3B2EA"/>
    <w:rsid w:val="13E7FEDC"/>
    <w:rsid w:val="13F736D4"/>
    <w:rsid w:val="140C7740"/>
    <w:rsid w:val="140CB0CB"/>
    <w:rsid w:val="14132A3D"/>
    <w:rsid w:val="1415314C"/>
    <w:rsid w:val="142E0BB4"/>
    <w:rsid w:val="1435601D"/>
    <w:rsid w:val="144FCBF6"/>
    <w:rsid w:val="14526E6F"/>
    <w:rsid w:val="1454DBAD"/>
    <w:rsid w:val="1467C7CE"/>
    <w:rsid w:val="1474F5D4"/>
    <w:rsid w:val="1486615B"/>
    <w:rsid w:val="14872CB2"/>
    <w:rsid w:val="14953F01"/>
    <w:rsid w:val="1496D5EF"/>
    <w:rsid w:val="14A25335"/>
    <w:rsid w:val="14A63696"/>
    <w:rsid w:val="14A6E66C"/>
    <w:rsid w:val="14B0364B"/>
    <w:rsid w:val="14B0BD50"/>
    <w:rsid w:val="14E179D6"/>
    <w:rsid w:val="14EF2367"/>
    <w:rsid w:val="14F3EABD"/>
    <w:rsid w:val="14F8DBD4"/>
    <w:rsid w:val="14FD01FC"/>
    <w:rsid w:val="14FD4F5F"/>
    <w:rsid w:val="1519090E"/>
    <w:rsid w:val="151B2018"/>
    <w:rsid w:val="152D1E1C"/>
    <w:rsid w:val="154B4C6D"/>
    <w:rsid w:val="15558DF0"/>
    <w:rsid w:val="1555EC01"/>
    <w:rsid w:val="155D03F6"/>
    <w:rsid w:val="157AE6F8"/>
    <w:rsid w:val="157FBD53"/>
    <w:rsid w:val="1593086A"/>
    <w:rsid w:val="159E526A"/>
    <w:rsid w:val="15A11A37"/>
    <w:rsid w:val="15B059C8"/>
    <w:rsid w:val="15B1B6FD"/>
    <w:rsid w:val="15BBE70F"/>
    <w:rsid w:val="15BF8B16"/>
    <w:rsid w:val="15DD4E30"/>
    <w:rsid w:val="15E5A6A2"/>
    <w:rsid w:val="15EBCF72"/>
    <w:rsid w:val="15EF73F4"/>
    <w:rsid w:val="160B4885"/>
    <w:rsid w:val="160C8E27"/>
    <w:rsid w:val="16228498"/>
    <w:rsid w:val="1630318C"/>
    <w:rsid w:val="16478D63"/>
    <w:rsid w:val="165379E3"/>
    <w:rsid w:val="1653AABB"/>
    <w:rsid w:val="167E9BC1"/>
    <w:rsid w:val="168C2483"/>
    <w:rsid w:val="16A0FA73"/>
    <w:rsid w:val="16A85996"/>
    <w:rsid w:val="16B6ADA6"/>
    <w:rsid w:val="16B77C32"/>
    <w:rsid w:val="16C21DCE"/>
    <w:rsid w:val="16CEF263"/>
    <w:rsid w:val="16DC656B"/>
    <w:rsid w:val="16DFABE7"/>
    <w:rsid w:val="16E83C37"/>
    <w:rsid w:val="16EECA2A"/>
    <w:rsid w:val="16EF9BD8"/>
    <w:rsid w:val="16FEE43C"/>
    <w:rsid w:val="17011847"/>
    <w:rsid w:val="170AA5BE"/>
    <w:rsid w:val="17153EB2"/>
    <w:rsid w:val="171705E9"/>
    <w:rsid w:val="1718968D"/>
    <w:rsid w:val="1729C408"/>
    <w:rsid w:val="1734DD26"/>
    <w:rsid w:val="17363938"/>
    <w:rsid w:val="173CBA20"/>
    <w:rsid w:val="173DBC86"/>
    <w:rsid w:val="174566F4"/>
    <w:rsid w:val="1751355C"/>
    <w:rsid w:val="1757E929"/>
    <w:rsid w:val="1761BA32"/>
    <w:rsid w:val="176C2AD2"/>
    <w:rsid w:val="178DE5F4"/>
    <w:rsid w:val="179C2A19"/>
    <w:rsid w:val="179D50A3"/>
    <w:rsid w:val="17A4B46B"/>
    <w:rsid w:val="17A4DD06"/>
    <w:rsid w:val="17B09D4B"/>
    <w:rsid w:val="17B293B6"/>
    <w:rsid w:val="17B439C4"/>
    <w:rsid w:val="17BC7E59"/>
    <w:rsid w:val="17C8084B"/>
    <w:rsid w:val="180069DF"/>
    <w:rsid w:val="1802DE32"/>
    <w:rsid w:val="180D4CC4"/>
    <w:rsid w:val="18180520"/>
    <w:rsid w:val="181B4FA1"/>
    <w:rsid w:val="181C30FD"/>
    <w:rsid w:val="18244267"/>
    <w:rsid w:val="184167E6"/>
    <w:rsid w:val="184CCFE2"/>
    <w:rsid w:val="18596C30"/>
    <w:rsid w:val="18646F28"/>
    <w:rsid w:val="189FA08A"/>
    <w:rsid w:val="18A69593"/>
    <w:rsid w:val="18C0DE21"/>
    <w:rsid w:val="18C86C29"/>
    <w:rsid w:val="18DC57F7"/>
    <w:rsid w:val="18DF63C7"/>
    <w:rsid w:val="18E9053C"/>
    <w:rsid w:val="18ECBCF1"/>
    <w:rsid w:val="1900B173"/>
    <w:rsid w:val="190683D7"/>
    <w:rsid w:val="190FF44A"/>
    <w:rsid w:val="191C8AE5"/>
    <w:rsid w:val="191D5BCB"/>
    <w:rsid w:val="1928E3A8"/>
    <w:rsid w:val="1943C714"/>
    <w:rsid w:val="194AD9EC"/>
    <w:rsid w:val="197148C8"/>
    <w:rsid w:val="1975B1C1"/>
    <w:rsid w:val="1987AE27"/>
    <w:rsid w:val="198BD807"/>
    <w:rsid w:val="199AFBB7"/>
    <w:rsid w:val="19AC809D"/>
    <w:rsid w:val="19AEF5AE"/>
    <w:rsid w:val="19B6604C"/>
    <w:rsid w:val="19B98A5A"/>
    <w:rsid w:val="19C365BB"/>
    <w:rsid w:val="19D6C8BA"/>
    <w:rsid w:val="19D8C848"/>
    <w:rsid w:val="19E30A62"/>
    <w:rsid w:val="19E8863F"/>
    <w:rsid w:val="19EA2F83"/>
    <w:rsid w:val="19ECD624"/>
    <w:rsid w:val="19F277DE"/>
    <w:rsid w:val="19F629D1"/>
    <w:rsid w:val="19FADC16"/>
    <w:rsid w:val="1A0E4921"/>
    <w:rsid w:val="1A1323CB"/>
    <w:rsid w:val="1A249969"/>
    <w:rsid w:val="1A332598"/>
    <w:rsid w:val="1A4B2E4D"/>
    <w:rsid w:val="1A55FE6B"/>
    <w:rsid w:val="1A64A6B6"/>
    <w:rsid w:val="1A674AAD"/>
    <w:rsid w:val="1A76ACFA"/>
    <w:rsid w:val="1A87AB1F"/>
    <w:rsid w:val="1A96242F"/>
    <w:rsid w:val="1A9E8AEF"/>
    <w:rsid w:val="1A9EC75D"/>
    <w:rsid w:val="1AB8A58D"/>
    <w:rsid w:val="1AC064D8"/>
    <w:rsid w:val="1AC6B39D"/>
    <w:rsid w:val="1ACC9343"/>
    <w:rsid w:val="1AD5A164"/>
    <w:rsid w:val="1AEB0788"/>
    <w:rsid w:val="1B00B6BD"/>
    <w:rsid w:val="1B07069D"/>
    <w:rsid w:val="1B120044"/>
    <w:rsid w:val="1B1E4B07"/>
    <w:rsid w:val="1B1FB8E0"/>
    <w:rsid w:val="1B38B28F"/>
    <w:rsid w:val="1B3D8555"/>
    <w:rsid w:val="1B76BE58"/>
    <w:rsid w:val="1B798E78"/>
    <w:rsid w:val="1B7D7117"/>
    <w:rsid w:val="1B7EC6B0"/>
    <w:rsid w:val="1B7F7FDF"/>
    <w:rsid w:val="1BA3B463"/>
    <w:rsid w:val="1BB78470"/>
    <w:rsid w:val="1BBA8FF1"/>
    <w:rsid w:val="1BC5371A"/>
    <w:rsid w:val="1BCD660E"/>
    <w:rsid w:val="1BE8F960"/>
    <w:rsid w:val="1BEE5FD0"/>
    <w:rsid w:val="1BF3EB66"/>
    <w:rsid w:val="1BFFDB1D"/>
    <w:rsid w:val="1C161CAE"/>
    <w:rsid w:val="1C266A49"/>
    <w:rsid w:val="1C3A1CD7"/>
    <w:rsid w:val="1C40374F"/>
    <w:rsid w:val="1C4137A2"/>
    <w:rsid w:val="1C418470"/>
    <w:rsid w:val="1C5A419C"/>
    <w:rsid w:val="1C795F1D"/>
    <w:rsid w:val="1C8BCDE1"/>
    <w:rsid w:val="1C97B1ED"/>
    <w:rsid w:val="1C9B31AB"/>
    <w:rsid w:val="1C9D001A"/>
    <w:rsid w:val="1CA5DCF5"/>
    <w:rsid w:val="1CB0C222"/>
    <w:rsid w:val="1CB1C911"/>
    <w:rsid w:val="1CB3BD68"/>
    <w:rsid w:val="1CDFE64E"/>
    <w:rsid w:val="1CE7BB0C"/>
    <w:rsid w:val="1CECA9AA"/>
    <w:rsid w:val="1CEEC18F"/>
    <w:rsid w:val="1CF01088"/>
    <w:rsid w:val="1D01A7AB"/>
    <w:rsid w:val="1D0376A2"/>
    <w:rsid w:val="1D0B0334"/>
    <w:rsid w:val="1D135255"/>
    <w:rsid w:val="1D1F6C85"/>
    <w:rsid w:val="1D220156"/>
    <w:rsid w:val="1D277835"/>
    <w:rsid w:val="1D28BD24"/>
    <w:rsid w:val="1D2AB8A0"/>
    <w:rsid w:val="1D4150E4"/>
    <w:rsid w:val="1D5D3A42"/>
    <w:rsid w:val="1D66A5E1"/>
    <w:rsid w:val="1D714539"/>
    <w:rsid w:val="1D87ED30"/>
    <w:rsid w:val="1D8CBCE5"/>
    <w:rsid w:val="1D9F1A1C"/>
    <w:rsid w:val="1DA76D74"/>
    <w:rsid w:val="1DBB7040"/>
    <w:rsid w:val="1DC7EE04"/>
    <w:rsid w:val="1DD15823"/>
    <w:rsid w:val="1DD44830"/>
    <w:rsid w:val="1DD68074"/>
    <w:rsid w:val="1DFFF23A"/>
    <w:rsid w:val="1E07E770"/>
    <w:rsid w:val="1E096CD7"/>
    <w:rsid w:val="1E1981BB"/>
    <w:rsid w:val="1E2C9715"/>
    <w:rsid w:val="1E32293E"/>
    <w:rsid w:val="1E4DC221"/>
    <w:rsid w:val="1E4EC473"/>
    <w:rsid w:val="1E511577"/>
    <w:rsid w:val="1E5240C0"/>
    <w:rsid w:val="1E606EC4"/>
    <w:rsid w:val="1E63E1CE"/>
    <w:rsid w:val="1E656D3D"/>
    <w:rsid w:val="1E67807E"/>
    <w:rsid w:val="1E69DD25"/>
    <w:rsid w:val="1E6FFBDA"/>
    <w:rsid w:val="1E771823"/>
    <w:rsid w:val="1E7879EE"/>
    <w:rsid w:val="1E78AB69"/>
    <w:rsid w:val="1E9F28E2"/>
    <w:rsid w:val="1EAED849"/>
    <w:rsid w:val="1EB6A33B"/>
    <w:rsid w:val="1EB76A97"/>
    <w:rsid w:val="1EB91456"/>
    <w:rsid w:val="1EC274C2"/>
    <w:rsid w:val="1EC783FE"/>
    <w:rsid w:val="1ECBA124"/>
    <w:rsid w:val="1EDB9EA3"/>
    <w:rsid w:val="1EF4B727"/>
    <w:rsid w:val="1F089D9F"/>
    <w:rsid w:val="1F08E35F"/>
    <w:rsid w:val="1F0C8756"/>
    <w:rsid w:val="1F2F3173"/>
    <w:rsid w:val="1F322F8A"/>
    <w:rsid w:val="1F35C3D3"/>
    <w:rsid w:val="1F64D437"/>
    <w:rsid w:val="1F7F0DC2"/>
    <w:rsid w:val="1F9CDC68"/>
    <w:rsid w:val="1FA27FA3"/>
    <w:rsid w:val="1FA2BB6E"/>
    <w:rsid w:val="1FAB0D19"/>
    <w:rsid w:val="1FCA5715"/>
    <w:rsid w:val="1FD7E731"/>
    <w:rsid w:val="1FE3CB4F"/>
    <w:rsid w:val="1FFD0FC2"/>
    <w:rsid w:val="1FFF596D"/>
    <w:rsid w:val="20015368"/>
    <w:rsid w:val="2018477F"/>
    <w:rsid w:val="2028854F"/>
    <w:rsid w:val="202AF37A"/>
    <w:rsid w:val="203817C9"/>
    <w:rsid w:val="204FD2D7"/>
    <w:rsid w:val="20649F8F"/>
    <w:rsid w:val="20865A03"/>
    <w:rsid w:val="208C92BE"/>
    <w:rsid w:val="20933D89"/>
    <w:rsid w:val="209E27EC"/>
    <w:rsid w:val="20C2C93F"/>
    <w:rsid w:val="20D006CB"/>
    <w:rsid w:val="20D61BB2"/>
    <w:rsid w:val="20D7EEE4"/>
    <w:rsid w:val="20ECC1FE"/>
    <w:rsid w:val="20F3DE23"/>
    <w:rsid w:val="20FF5D74"/>
    <w:rsid w:val="2100D706"/>
    <w:rsid w:val="210FF7B1"/>
    <w:rsid w:val="2110A1C8"/>
    <w:rsid w:val="211549F1"/>
    <w:rsid w:val="21319D3B"/>
    <w:rsid w:val="21370EE2"/>
    <w:rsid w:val="21479372"/>
    <w:rsid w:val="2148BA46"/>
    <w:rsid w:val="214AAB0A"/>
    <w:rsid w:val="214DF539"/>
    <w:rsid w:val="215FBB6B"/>
    <w:rsid w:val="21801270"/>
    <w:rsid w:val="21807CBF"/>
    <w:rsid w:val="2181B03F"/>
    <w:rsid w:val="218DFB71"/>
    <w:rsid w:val="219642E9"/>
    <w:rsid w:val="219A4295"/>
    <w:rsid w:val="219CB58A"/>
    <w:rsid w:val="21A82B00"/>
    <w:rsid w:val="21A94504"/>
    <w:rsid w:val="21AF7BEE"/>
    <w:rsid w:val="21AFBEB3"/>
    <w:rsid w:val="21B012EC"/>
    <w:rsid w:val="21CC5D17"/>
    <w:rsid w:val="21E39994"/>
    <w:rsid w:val="21E9C1B2"/>
    <w:rsid w:val="21FA6E5A"/>
    <w:rsid w:val="22028969"/>
    <w:rsid w:val="220F01DF"/>
    <w:rsid w:val="22143F03"/>
    <w:rsid w:val="221CF118"/>
    <w:rsid w:val="22248D83"/>
    <w:rsid w:val="22312320"/>
    <w:rsid w:val="22475071"/>
    <w:rsid w:val="224A1ECA"/>
    <w:rsid w:val="2250F033"/>
    <w:rsid w:val="2256735F"/>
    <w:rsid w:val="2269B7E8"/>
    <w:rsid w:val="228E4C35"/>
    <w:rsid w:val="2290E8F0"/>
    <w:rsid w:val="229A2EF3"/>
    <w:rsid w:val="229E689C"/>
    <w:rsid w:val="22ADE5D8"/>
    <w:rsid w:val="22B1943B"/>
    <w:rsid w:val="22B59813"/>
    <w:rsid w:val="22C7FC41"/>
    <w:rsid w:val="22C9C5DE"/>
    <w:rsid w:val="22CC5FEC"/>
    <w:rsid w:val="22D614A6"/>
    <w:rsid w:val="22D6E53C"/>
    <w:rsid w:val="22E2EE41"/>
    <w:rsid w:val="22E68430"/>
    <w:rsid w:val="22ECC84A"/>
    <w:rsid w:val="22FC6815"/>
    <w:rsid w:val="22FFC7E8"/>
    <w:rsid w:val="231245E2"/>
    <w:rsid w:val="232129E1"/>
    <w:rsid w:val="232AC926"/>
    <w:rsid w:val="234912BA"/>
    <w:rsid w:val="2354E7CA"/>
    <w:rsid w:val="23560082"/>
    <w:rsid w:val="2357B1CE"/>
    <w:rsid w:val="235907B6"/>
    <w:rsid w:val="235B6445"/>
    <w:rsid w:val="2382E1F0"/>
    <w:rsid w:val="238627B6"/>
    <w:rsid w:val="238803B0"/>
    <w:rsid w:val="23880BF2"/>
    <w:rsid w:val="2390B15D"/>
    <w:rsid w:val="2391562A"/>
    <w:rsid w:val="2399BC9B"/>
    <w:rsid w:val="23A54AD2"/>
    <w:rsid w:val="23B29813"/>
    <w:rsid w:val="23B611F0"/>
    <w:rsid w:val="23B773B6"/>
    <w:rsid w:val="23BCD8E7"/>
    <w:rsid w:val="23BDB7DB"/>
    <w:rsid w:val="23E6D90F"/>
    <w:rsid w:val="23F5514D"/>
    <w:rsid w:val="23F6BAEE"/>
    <w:rsid w:val="2402378F"/>
    <w:rsid w:val="24045425"/>
    <w:rsid w:val="2405B9D0"/>
    <w:rsid w:val="2407090A"/>
    <w:rsid w:val="2410659B"/>
    <w:rsid w:val="2410FA36"/>
    <w:rsid w:val="24317DA6"/>
    <w:rsid w:val="2446CE50"/>
    <w:rsid w:val="245679D1"/>
    <w:rsid w:val="245C0BB6"/>
    <w:rsid w:val="2473B4B6"/>
    <w:rsid w:val="247A31DC"/>
    <w:rsid w:val="2481A160"/>
    <w:rsid w:val="248C78E6"/>
    <w:rsid w:val="248C946A"/>
    <w:rsid w:val="248CCF80"/>
    <w:rsid w:val="2499A1E8"/>
    <w:rsid w:val="24A5B721"/>
    <w:rsid w:val="24A77411"/>
    <w:rsid w:val="24AB2248"/>
    <w:rsid w:val="24BABFC9"/>
    <w:rsid w:val="24E8CA9F"/>
    <w:rsid w:val="24EBDC65"/>
    <w:rsid w:val="24F5924C"/>
    <w:rsid w:val="24FED5E1"/>
    <w:rsid w:val="2525F06A"/>
    <w:rsid w:val="2549B166"/>
    <w:rsid w:val="254B8724"/>
    <w:rsid w:val="254F8F83"/>
    <w:rsid w:val="255AC723"/>
    <w:rsid w:val="25639DAC"/>
    <w:rsid w:val="25654889"/>
    <w:rsid w:val="258FDA23"/>
    <w:rsid w:val="259380DB"/>
    <w:rsid w:val="2593FDF0"/>
    <w:rsid w:val="259AAAF9"/>
    <w:rsid w:val="25AEDCE2"/>
    <w:rsid w:val="25BF3EAB"/>
    <w:rsid w:val="25D26774"/>
    <w:rsid w:val="25EF02C6"/>
    <w:rsid w:val="2606B633"/>
    <w:rsid w:val="261554C6"/>
    <w:rsid w:val="2621A8C5"/>
    <w:rsid w:val="263011C9"/>
    <w:rsid w:val="264068B8"/>
    <w:rsid w:val="26452522"/>
    <w:rsid w:val="264C44F3"/>
    <w:rsid w:val="265B24C2"/>
    <w:rsid w:val="266A3E6D"/>
    <w:rsid w:val="266EA123"/>
    <w:rsid w:val="26701D46"/>
    <w:rsid w:val="2671A103"/>
    <w:rsid w:val="26720AA3"/>
    <w:rsid w:val="2674900B"/>
    <w:rsid w:val="267A04F7"/>
    <w:rsid w:val="267D0AE1"/>
    <w:rsid w:val="267F847E"/>
    <w:rsid w:val="268C540E"/>
    <w:rsid w:val="26A07287"/>
    <w:rsid w:val="26A2678C"/>
    <w:rsid w:val="26BA40F9"/>
    <w:rsid w:val="26C1FC51"/>
    <w:rsid w:val="26DBB447"/>
    <w:rsid w:val="26DFDFCF"/>
    <w:rsid w:val="26E90CFD"/>
    <w:rsid w:val="2712B271"/>
    <w:rsid w:val="271806E5"/>
    <w:rsid w:val="2724C30F"/>
    <w:rsid w:val="2743FCBE"/>
    <w:rsid w:val="27528212"/>
    <w:rsid w:val="27695E74"/>
    <w:rsid w:val="276B5462"/>
    <w:rsid w:val="276DDC2A"/>
    <w:rsid w:val="277159F3"/>
    <w:rsid w:val="277F960B"/>
    <w:rsid w:val="2780122E"/>
    <w:rsid w:val="27823046"/>
    <w:rsid w:val="2789C292"/>
    <w:rsid w:val="27927868"/>
    <w:rsid w:val="2798B6E4"/>
    <w:rsid w:val="27AC7B12"/>
    <w:rsid w:val="27C095A9"/>
    <w:rsid w:val="27CE19B7"/>
    <w:rsid w:val="27D2BF21"/>
    <w:rsid w:val="27D3E3BB"/>
    <w:rsid w:val="27DAF5C6"/>
    <w:rsid w:val="27DCDF24"/>
    <w:rsid w:val="27DF6DBC"/>
    <w:rsid w:val="27E11AEB"/>
    <w:rsid w:val="27E363BA"/>
    <w:rsid w:val="27E83F96"/>
    <w:rsid w:val="27FA982C"/>
    <w:rsid w:val="280F4261"/>
    <w:rsid w:val="2826D4EE"/>
    <w:rsid w:val="28276B2B"/>
    <w:rsid w:val="283856FB"/>
    <w:rsid w:val="283EBFFD"/>
    <w:rsid w:val="284BE0F1"/>
    <w:rsid w:val="28510253"/>
    <w:rsid w:val="2856DC99"/>
    <w:rsid w:val="286359E3"/>
    <w:rsid w:val="286D1224"/>
    <w:rsid w:val="286F13B2"/>
    <w:rsid w:val="287D177C"/>
    <w:rsid w:val="287E0CFD"/>
    <w:rsid w:val="2881D45A"/>
    <w:rsid w:val="28837C4B"/>
    <w:rsid w:val="2890C20B"/>
    <w:rsid w:val="2894E716"/>
    <w:rsid w:val="28984D8E"/>
    <w:rsid w:val="28AAFCD8"/>
    <w:rsid w:val="28C94C8D"/>
    <w:rsid w:val="28D23F56"/>
    <w:rsid w:val="28D6430D"/>
    <w:rsid w:val="28D8000D"/>
    <w:rsid w:val="28F8A940"/>
    <w:rsid w:val="290031E3"/>
    <w:rsid w:val="291E74FA"/>
    <w:rsid w:val="293C674B"/>
    <w:rsid w:val="293F7E61"/>
    <w:rsid w:val="295B3B04"/>
    <w:rsid w:val="29610CDA"/>
    <w:rsid w:val="296DA68C"/>
    <w:rsid w:val="298F7FE1"/>
    <w:rsid w:val="29995287"/>
    <w:rsid w:val="299C019A"/>
    <w:rsid w:val="299C737A"/>
    <w:rsid w:val="29A850A8"/>
    <w:rsid w:val="29CF73F1"/>
    <w:rsid w:val="29CFF096"/>
    <w:rsid w:val="29D73D40"/>
    <w:rsid w:val="29E15DC2"/>
    <w:rsid w:val="29ED46A1"/>
    <w:rsid w:val="29F5BE59"/>
    <w:rsid w:val="29FD816C"/>
    <w:rsid w:val="2A0D6902"/>
    <w:rsid w:val="2A0E11EF"/>
    <w:rsid w:val="2A122E06"/>
    <w:rsid w:val="2A2A95B6"/>
    <w:rsid w:val="2A350744"/>
    <w:rsid w:val="2A382C9A"/>
    <w:rsid w:val="2A3C3348"/>
    <w:rsid w:val="2A42EA8A"/>
    <w:rsid w:val="2A4B09E9"/>
    <w:rsid w:val="2A4BA804"/>
    <w:rsid w:val="2A4DF8B3"/>
    <w:rsid w:val="2A557A7A"/>
    <w:rsid w:val="2A55BBBC"/>
    <w:rsid w:val="2A631B51"/>
    <w:rsid w:val="2A774C2A"/>
    <w:rsid w:val="2A79BF04"/>
    <w:rsid w:val="2A90B49A"/>
    <w:rsid w:val="2A97A8E5"/>
    <w:rsid w:val="2AA1CA0C"/>
    <w:rsid w:val="2AA2337A"/>
    <w:rsid w:val="2AA5FEA2"/>
    <w:rsid w:val="2AD35A45"/>
    <w:rsid w:val="2ADD0C5C"/>
    <w:rsid w:val="2AE872EB"/>
    <w:rsid w:val="2AEA324A"/>
    <w:rsid w:val="2AF08A62"/>
    <w:rsid w:val="2AF5DC7D"/>
    <w:rsid w:val="2AF60A55"/>
    <w:rsid w:val="2AF6BB39"/>
    <w:rsid w:val="2B100EEC"/>
    <w:rsid w:val="2B138520"/>
    <w:rsid w:val="2B3E9BB5"/>
    <w:rsid w:val="2B3FB955"/>
    <w:rsid w:val="2B4D1D4F"/>
    <w:rsid w:val="2B64D9F7"/>
    <w:rsid w:val="2B6631F7"/>
    <w:rsid w:val="2B6A2834"/>
    <w:rsid w:val="2B7AF753"/>
    <w:rsid w:val="2B9A9806"/>
    <w:rsid w:val="2BB06879"/>
    <w:rsid w:val="2BBDB5F4"/>
    <w:rsid w:val="2BBF1E06"/>
    <w:rsid w:val="2BC929D1"/>
    <w:rsid w:val="2BCC9FE4"/>
    <w:rsid w:val="2BF10771"/>
    <w:rsid w:val="2BF84D4D"/>
    <w:rsid w:val="2BFA3FAE"/>
    <w:rsid w:val="2BFD6F5D"/>
    <w:rsid w:val="2C0182BF"/>
    <w:rsid w:val="2C05EED0"/>
    <w:rsid w:val="2C078917"/>
    <w:rsid w:val="2C0C2CE6"/>
    <w:rsid w:val="2C121111"/>
    <w:rsid w:val="2C14136E"/>
    <w:rsid w:val="2C2AB603"/>
    <w:rsid w:val="2C333842"/>
    <w:rsid w:val="2C3E8C93"/>
    <w:rsid w:val="2C50591D"/>
    <w:rsid w:val="2C61E7E1"/>
    <w:rsid w:val="2C7227EE"/>
    <w:rsid w:val="2C7925AB"/>
    <w:rsid w:val="2C7A829B"/>
    <w:rsid w:val="2C7C372A"/>
    <w:rsid w:val="2C8345E6"/>
    <w:rsid w:val="2C88A423"/>
    <w:rsid w:val="2C8C8B36"/>
    <w:rsid w:val="2C8FAC84"/>
    <w:rsid w:val="2CAD12AD"/>
    <w:rsid w:val="2CAEFA05"/>
    <w:rsid w:val="2CB1AFD9"/>
    <w:rsid w:val="2CBAD4AE"/>
    <w:rsid w:val="2CC9E94F"/>
    <w:rsid w:val="2CD7B971"/>
    <w:rsid w:val="2CE7E98A"/>
    <w:rsid w:val="2CEEF606"/>
    <w:rsid w:val="2CFB05F6"/>
    <w:rsid w:val="2CFD0313"/>
    <w:rsid w:val="2D03DA64"/>
    <w:rsid w:val="2D0D8B6C"/>
    <w:rsid w:val="2D11DA22"/>
    <w:rsid w:val="2D182070"/>
    <w:rsid w:val="2D25768A"/>
    <w:rsid w:val="2D2C876D"/>
    <w:rsid w:val="2D31CF13"/>
    <w:rsid w:val="2D439A78"/>
    <w:rsid w:val="2D461A53"/>
    <w:rsid w:val="2D4E7FDF"/>
    <w:rsid w:val="2D5B22FF"/>
    <w:rsid w:val="2D616CA3"/>
    <w:rsid w:val="2D65D61B"/>
    <w:rsid w:val="2D6BD040"/>
    <w:rsid w:val="2D7D55DA"/>
    <w:rsid w:val="2D7EDF77"/>
    <w:rsid w:val="2D85C482"/>
    <w:rsid w:val="2D886A06"/>
    <w:rsid w:val="2D890948"/>
    <w:rsid w:val="2D8D436C"/>
    <w:rsid w:val="2D93A007"/>
    <w:rsid w:val="2D963119"/>
    <w:rsid w:val="2D9FC1FC"/>
    <w:rsid w:val="2DA7A7CF"/>
    <w:rsid w:val="2DB124B9"/>
    <w:rsid w:val="2DB37596"/>
    <w:rsid w:val="2DB4CFB5"/>
    <w:rsid w:val="2DB606E1"/>
    <w:rsid w:val="2DB86FCA"/>
    <w:rsid w:val="2DC48F74"/>
    <w:rsid w:val="2DC9A17A"/>
    <w:rsid w:val="2DD819C8"/>
    <w:rsid w:val="2DE03365"/>
    <w:rsid w:val="2DE3152D"/>
    <w:rsid w:val="2DE7C8E7"/>
    <w:rsid w:val="2DE8F534"/>
    <w:rsid w:val="2DF6BCE5"/>
    <w:rsid w:val="2E00920E"/>
    <w:rsid w:val="2E024FCE"/>
    <w:rsid w:val="2E128CA6"/>
    <w:rsid w:val="2E1AE424"/>
    <w:rsid w:val="2E26CBC6"/>
    <w:rsid w:val="2E2A47E2"/>
    <w:rsid w:val="2E42B4A3"/>
    <w:rsid w:val="2E44F62D"/>
    <w:rsid w:val="2E450476"/>
    <w:rsid w:val="2E4C9C78"/>
    <w:rsid w:val="2E5BC1FB"/>
    <w:rsid w:val="2E5D27C7"/>
    <w:rsid w:val="2E60586C"/>
    <w:rsid w:val="2E7EC6E5"/>
    <w:rsid w:val="2E802FB2"/>
    <w:rsid w:val="2E9217A6"/>
    <w:rsid w:val="2E92CCB1"/>
    <w:rsid w:val="2E9668EF"/>
    <w:rsid w:val="2E9699BC"/>
    <w:rsid w:val="2E992BCC"/>
    <w:rsid w:val="2E9EF8D4"/>
    <w:rsid w:val="2EC76340"/>
    <w:rsid w:val="2ED28925"/>
    <w:rsid w:val="2ED5C234"/>
    <w:rsid w:val="2EDF1C3D"/>
    <w:rsid w:val="2EEC7482"/>
    <w:rsid w:val="2F0330C8"/>
    <w:rsid w:val="2F0DC511"/>
    <w:rsid w:val="2F0F5DA2"/>
    <w:rsid w:val="2F1E8D05"/>
    <w:rsid w:val="2F1ED9E6"/>
    <w:rsid w:val="2F27D394"/>
    <w:rsid w:val="2F2E52CD"/>
    <w:rsid w:val="2F58466B"/>
    <w:rsid w:val="2F604080"/>
    <w:rsid w:val="2F63BB28"/>
    <w:rsid w:val="2F6E6699"/>
    <w:rsid w:val="2F794EDB"/>
    <w:rsid w:val="2F7C6FA0"/>
    <w:rsid w:val="2F88F9BD"/>
    <w:rsid w:val="2F8F16B7"/>
    <w:rsid w:val="2F9B59C2"/>
    <w:rsid w:val="2F9DD4EA"/>
    <w:rsid w:val="2FA9EE54"/>
    <w:rsid w:val="2FB71CF0"/>
    <w:rsid w:val="2FBA56CC"/>
    <w:rsid w:val="2FC4E8F5"/>
    <w:rsid w:val="2FCFB484"/>
    <w:rsid w:val="2FD30579"/>
    <w:rsid w:val="2FDA657C"/>
    <w:rsid w:val="2FE0E3F3"/>
    <w:rsid w:val="2FE332D4"/>
    <w:rsid w:val="2FE97D54"/>
    <w:rsid w:val="2FEE35EA"/>
    <w:rsid w:val="2FEEECA3"/>
    <w:rsid w:val="2FF40813"/>
    <w:rsid w:val="2FF7FDF3"/>
    <w:rsid w:val="2FF812BC"/>
    <w:rsid w:val="300300DC"/>
    <w:rsid w:val="300DBD47"/>
    <w:rsid w:val="300E41B0"/>
    <w:rsid w:val="301B0D8A"/>
    <w:rsid w:val="301B81C2"/>
    <w:rsid w:val="3020D7E0"/>
    <w:rsid w:val="30262C43"/>
    <w:rsid w:val="30526FD7"/>
    <w:rsid w:val="30538747"/>
    <w:rsid w:val="3055D8C9"/>
    <w:rsid w:val="3059A6E2"/>
    <w:rsid w:val="307EE334"/>
    <w:rsid w:val="3080D9FC"/>
    <w:rsid w:val="30839DBF"/>
    <w:rsid w:val="30858787"/>
    <w:rsid w:val="3094EDED"/>
    <w:rsid w:val="3095FC1C"/>
    <w:rsid w:val="30A3AF90"/>
    <w:rsid w:val="30B72487"/>
    <w:rsid w:val="30BEB3EE"/>
    <w:rsid w:val="30C55EFD"/>
    <w:rsid w:val="30D5C00D"/>
    <w:rsid w:val="30D64E1A"/>
    <w:rsid w:val="30E4FA00"/>
    <w:rsid w:val="30EB86F9"/>
    <w:rsid w:val="30F85983"/>
    <w:rsid w:val="310A1C8D"/>
    <w:rsid w:val="310D7626"/>
    <w:rsid w:val="311B1D9A"/>
    <w:rsid w:val="311F6FF9"/>
    <w:rsid w:val="3126B61A"/>
    <w:rsid w:val="3131DA19"/>
    <w:rsid w:val="313B0F9C"/>
    <w:rsid w:val="313E2475"/>
    <w:rsid w:val="314176A3"/>
    <w:rsid w:val="3141E088"/>
    <w:rsid w:val="3147D003"/>
    <w:rsid w:val="3148AFAD"/>
    <w:rsid w:val="316167F8"/>
    <w:rsid w:val="3161C68B"/>
    <w:rsid w:val="31648695"/>
    <w:rsid w:val="316CBEFD"/>
    <w:rsid w:val="316ED5F3"/>
    <w:rsid w:val="31759D78"/>
    <w:rsid w:val="31760A67"/>
    <w:rsid w:val="317A60A6"/>
    <w:rsid w:val="317E2166"/>
    <w:rsid w:val="31845D97"/>
    <w:rsid w:val="318A3DB5"/>
    <w:rsid w:val="318E0341"/>
    <w:rsid w:val="318E1182"/>
    <w:rsid w:val="3194C0FE"/>
    <w:rsid w:val="3199FF6C"/>
    <w:rsid w:val="31A66FBE"/>
    <w:rsid w:val="31B4B805"/>
    <w:rsid w:val="31B8453E"/>
    <w:rsid w:val="31CA9DF7"/>
    <w:rsid w:val="31F003CF"/>
    <w:rsid w:val="31F0F988"/>
    <w:rsid w:val="31F74B5B"/>
    <w:rsid w:val="31F9F4BF"/>
    <w:rsid w:val="31FCBF39"/>
    <w:rsid w:val="3209C758"/>
    <w:rsid w:val="32100B31"/>
    <w:rsid w:val="3211D126"/>
    <w:rsid w:val="321D0AF1"/>
    <w:rsid w:val="321D5E25"/>
    <w:rsid w:val="323AABB5"/>
    <w:rsid w:val="324FBFB5"/>
    <w:rsid w:val="325A6DD5"/>
    <w:rsid w:val="325B0C09"/>
    <w:rsid w:val="32670844"/>
    <w:rsid w:val="32697B22"/>
    <w:rsid w:val="326D95B9"/>
    <w:rsid w:val="326EB278"/>
    <w:rsid w:val="3277719F"/>
    <w:rsid w:val="3283CAAA"/>
    <w:rsid w:val="3290A4BC"/>
    <w:rsid w:val="32ACA199"/>
    <w:rsid w:val="32B1595A"/>
    <w:rsid w:val="32CD0A4C"/>
    <w:rsid w:val="32D383E8"/>
    <w:rsid w:val="32D773DE"/>
    <w:rsid w:val="32DB2855"/>
    <w:rsid w:val="32EEBDA3"/>
    <w:rsid w:val="32EF230F"/>
    <w:rsid w:val="3300565F"/>
    <w:rsid w:val="332E6A4A"/>
    <w:rsid w:val="3331E1B2"/>
    <w:rsid w:val="33592AF3"/>
    <w:rsid w:val="335FA88E"/>
    <w:rsid w:val="3364DD10"/>
    <w:rsid w:val="337989E6"/>
    <w:rsid w:val="3379F896"/>
    <w:rsid w:val="337BF4D9"/>
    <w:rsid w:val="3387BA69"/>
    <w:rsid w:val="3393EDF9"/>
    <w:rsid w:val="33A810FF"/>
    <w:rsid w:val="33B0446D"/>
    <w:rsid w:val="33C50C0B"/>
    <w:rsid w:val="33C84244"/>
    <w:rsid w:val="33CB42D2"/>
    <w:rsid w:val="33D934E7"/>
    <w:rsid w:val="33EFFA9C"/>
    <w:rsid w:val="33F006B2"/>
    <w:rsid w:val="34004A5F"/>
    <w:rsid w:val="3403EEC1"/>
    <w:rsid w:val="3404F9E2"/>
    <w:rsid w:val="341D9BC2"/>
    <w:rsid w:val="34256754"/>
    <w:rsid w:val="34330C10"/>
    <w:rsid w:val="344C4D6D"/>
    <w:rsid w:val="344F1B60"/>
    <w:rsid w:val="345ABBD7"/>
    <w:rsid w:val="34624E80"/>
    <w:rsid w:val="3464082E"/>
    <w:rsid w:val="34649713"/>
    <w:rsid w:val="346524AF"/>
    <w:rsid w:val="346983AD"/>
    <w:rsid w:val="34760E57"/>
    <w:rsid w:val="347BA3FB"/>
    <w:rsid w:val="348F6BEC"/>
    <w:rsid w:val="348FA28A"/>
    <w:rsid w:val="349719B0"/>
    <w:rsid w:val="349BE4DB"/>
    <w:rsid w:val="34A4FD6E"/>
    <w:rsid w:val="34B3794C"/>
    <w:rsid w:val="34BC81C5"/>
    <w:rsid w:val="34BE10AE"/>
    <w:rsid w:val="34C461AD"/>
    <w:rsid w:val="34C820C5"/>
    <w:rsid w:val="34D02DA0"/>
    <w:rsid w:val="34D13A06"/>
    <w:rsid w:val="34D5FE4B"/>
    <w:rsid w:val="34DA7695"/>
    <w:rsid w:val="34E2C0DE"/>
    <w:rsid w:val="34EF225F"/>
    <w:rsid w:val="34F3E588"/>
    <w:rsid w:val="34FB3F64"/>
    <w:rsid w:val="34FD6F91"/>
    <w:rsid w:val="34FF5A6E"/>
    <w:rsid w:val="351794C0"/>
    <w:rsid w:val="3518E19D"/>
    <w:rsid w:val="351B88E3"/>
    <w:rsid w:val="351CFEB5"/>
    <w:rsid w:val="351E5573"/>
    <w:rsid w:val="353C9C92"/>
    <w:rsid w:val="354857D5"/>
    <w:rsid w:val="354CE838"/>
    <w:rsid w:val="355DE424"/>
    <w:rsid w:val="3566A866"/>
    <w:rsid w:val="358281DF"/>
    <w:rsid w:val="358BAA5E"/>
    <w:rsid w:val="35BB6075"/>
    <w:rsid w:val="35C1CB8F"/>
    <w:rsid w:val="35C2CEE7"/>
    <w:rsid w:val="35C60B7C"/>
    <w:rsid w:val="35D0EE97"/>
    <w:rsid w:val="35D1E3E5"/>
    <w:rsid w:val="35D67D23"/>
    <w:rsid w:val="35D8829A"/>
    <w:rsid w:val="35DA4AB0"/>
    <w:rsid w:val="35E961BF"/>
    <w:rsid w:val="35F1BB05"/>
    <w:rsid w:val="35FD0069"/>
    <w:rsid w:val="360CB735"/>
    <w:rsid w:val="3614B0D2"/>
    <w:rsid w:val="3622F8DA"/>
    <w:rsid w:val="3623FB87"/>
    <w:rsid w:val="362B2534"/>
    <w:rsid w:val="3633C9E6"/>
    <w:rsid w:val="3639E173"/>
    <w:rsid w:val="363D1164"/>
    <w:rsid w:val="363E8120"/>
    <w:rsid w:val="365C3655"/>
    <w:rsid w:val="365DEA64"/>
    <w:rsid w:val="365E9681"/>
    <w:rsid w:val="3664A826"/>
    <w:rsid w:val="3679ED4D"/>
    <w:rsid w:val="368CB531"/>
    <w:rsid w:val="36913973"/>
    <w:rsid w:val="369ACFC5"/>
    <w:rsid w:val="36ACAC20"/>
    <w:rsid w:val="36C52545"/>
    <w:rsid w:val="36D9E85E"/>
    <w:rsid w:val="36E1C0BD"/>
    <w:rsid w:val="36EB7BAA"/>
    <w:rsid w:val="36EC9915"/>
    <w:rsid w:val="36EE7690"/>
    <w:rsid w:val="36F079AC"/>
    <w:rsid w:val="36F661AC"/>
    <w:rsid w:val="36F93A9B"/>
    <w:rsid w:val="36FE7D45"/>
    <w:rsid w:val="3705A16D"/>
    <w:rsid w:val="370AAF51"/>
    <w:rsid w:val="370BB995"/>
    <w:rsid w:val="3718BEF3"/>
    <w:rsid w:val="371E7786"/>
    <w:rsid w:val="372EDD96"/>
    <w:rsid w:val="372FEF5C"/>
    <w:rsid w:val="3742B58C"/>
    <w:rsid w:val="37453672"/>
    <w:rsid w:val="374F7EFD"/>
    <w:rsid w:val="375E465A"/>
    <w:rsid w:val="376B0B21"/>
    <w:rsid w:val="376B37AF"/>
    <w:rsid w:val="376BA9E7"/>
    <w:rsid w:val="3771C704"/>
    <w:rsid w:val="377ADF33"/>
    <w:rsid w:val="378D67C3"/>
    <w:rsid w:val="37A25EDB"/>
    <w:rsid w:val="37AFDB9F"/>
    <w:rsid w:val="37BC296B"/>
    <w:rsid w:val="37D79126"/>
    <w:rsid w:val="381AFE96"/>
    <w:rsid w:val="3822FFF8"/>
    <w:rsid w:val="3824CF4C"/>
    <w:rsid w:val="3834269D"/>
    <w:rsid w:val="3844CF89"/>
    <w:rsid w:val="385F6779"/>
    <w:rsid w:val="386C0BD0"/>
    <w:rsid w:val="3874230F"/>
    <w:rsid w:val="3877571A"/>
    <w:rsid w:val="38863D7C"/>
    <w:rsid w:val="38898EF2"/>
    <w:rsid w:val="388BD14C"/>
    <w:rsid w:val="388E36D7"/>
    <w:rsid w:val="3891ACEA"/>
    <w:rsid w:val="3899AE1C"/>
    <w:rsid w:val="389C8D19"/>
    <w:rsid w:val="389E07CA"/>
    <w:rsid w:val="38A8AF6C"/>
    <w:rsid w:val="38B07542"/>
    <w:rsid w:val="38B0F14C"/>
    <w:rsid w:val="38B5C81C"/>
    <w:rsid w:val="38C1E071"/>
    <w:rsid w:val="38CA00E6"/>
    <w:rsid w:val="38DAEF68"/>
    <w:rsid w:val="38EB3C3A"/>
    <w:rsid w:val="38EF9632"/>
    <w:rsid w:val="38F6EF1E"/>
    <w:rsid w:val="38FEAE2E"/>
    <w:rsid w:val="39022EF3"/>
    <w:rsid w:val="3905668B"/>
    <w:rsid w:val="390AB6D3"/>
    <w:rsid w:val="3918C449"/>
    <w:rsid w:val="39233FEB"/>
    <w:rsid w:val="3924238E"/>
    <w:rsid w:val="3939B4F7"/>
    <w:rsid w:val="39428167"/>
    <w:rsid w:val="394EDD10"/>
    <w:rsid w:val="394F8719"/>
    <w:rsid w:val="39513F93"/>
    <w:rsid w:val="39566F5D"/>
    <w:rsid w:val="3956BF52"/>
    <w:rsid w:val="39721E26"/>
    <w:rsid w:val="397B6B63"/>
    <w:rsid w:val="3983046C"/>
    <w:rsid w:val="398D6225"/>
    <w:rsid w:val="398E5E8A"/>
    <w:rsid w:val="399134F1"/>
    <w:rsid w:val="3993F04A"/>
    <w:rsid w:val="39A02828"/>
    <w:rsid w:val="39B55B49"/>
    <w:rsid w:val="39C3D5BD"/>
    <w:rsid w:val="39C6DB7A"/>
    <w:rsid w:val="39C8B0D0"/>
    <w:rsid w:val="39CAD5A2"/>
    <w:rsid w:val="39CD9762"/>
    <w:rsid w:val="39D69FD6"/>
    <w:rsid w:val="39E69079"/>
    <w:rsid w:val="39EE9837"/>
    <w:rsid w:val="39F545D5"/>
    <w:rsid w:val="39FF91BC"/>
    <w:rsid w:val="3A050135"/>
    <w:rsid w:val="3A062ECC"/>
    <w:rsid w:val="3A1C0FAC"/>
    <w:rsid w:val="3A1C2E7D"/>
    <w:rsid w:val="3A21FC07"/>
    <w:rsid w:val="3A27EE25"/>
    <w:rsid w:val="3A37E54E"/>
    <w:rsid w:val="3A3B901D"/>
    <w:rsid w:val="3A3BBE92"/>
    <w:rsid w:val="3A3EFC02"/>
    <w:rsid w:val="3A46B8F4"/>
    <w:rsid w:val="3A5CD738"/>
    <w:rsid w:val="3A610874"/>
    <w:rsid w:val="3A664179"/>
    <w:rsid w:val="3A70603D"/>
    <w:rsid w:val="3A723150"/>
    <w:rsid w:val="3A78D420"/>
    <w:rsid w:val="3A7E8BF3"/>
    <w:rsid w:val="3A9230F1"/>
    <w:rsid w:val="3AA6B364"/>
    <w:rsid w:val="3AA78E58"/>
    <w:rsid w:val="3AC8A26B"/>
    <w:rsid w:val="3ACEDF35"/>
    <w:rsid w:val="3AD5AFF5"/>
    <w:rsid w:val="3ADDE991"/>
    <w:rsid w:val="3B1F1B87"/>
    <w:rsid w:val="3B2D6928"/>
    <w:rsid w:val="3B31FFBC"/>
    <w:rsid w:val="3B3553B0"/>
    <w:rsid w:val="3B4468B4"/>
    <w:rsid w:val="3B48B668"/>
    <w:rsid w:val="3B4A7043"/>
    <w:rsid w:val="3B6F1BA1"/>
    <w:rsid w:val="3B72855B"/>
    <w:rsid w:val="3B7BFE86"/>
    <w:rsid w:val="3B8A252A"/>
    <w:rsid w:val="3B92DCA0"/>
    <w:rsid w:val="3B93C3EF"/>
    <w:rsid w:val="3B97FEC3"/>
    <w:rsid w:val="3B9EE135"/>
    <w:rsid w:val="3BA4456E"/>
    <w:rsid w:val="3BB4851C"/>
    <w:rsid w:val="3BB88A20"/>
    <w:rsid w:val="3BC522EA"/>
    <w:rsid w:val="3BC7EBC9"/>
    <w:rsid w:val="3BDB53A0"/>
    <w:rsid w:val="3BDC1C2F"/>
    <w:rsid w:val="3BDC2E1D"/>
    <w:rsid w:val="3BE853F5"/>
    <w:rsid w:val="3BE9537A"/>
    <w:rsid w:val="3C03EFC9"/>
    <w:rsid w:val="3C0F032C"/>
    <w:rsid w:val="3C14812A"/>
    <w:rsid w:val="3C170190"/>
    <w:rsid w:val="3C1CE43E"/>
    <w:rsid w:val="3C2A20D8"/>
    <w:rsid w:val="3C2B21E8"/>
    <w:rsid w:val="3C30CC22"/>
    <w:rsid w:val="3C3D85DE"/>
    <w:rsid w:val="3C552DEB"/>
    <w:rsid w:val="3C5564E5"/>
    <w:rsid w:val="3C5A254F"/>
    <w:rsid w:val="3C61E4F9"/>
    <w:rsid w:val="3C6287B7"/>
    <w:rsid w:val="3C75F383"/>
    <w:rsid w:val="3C986B5A"/>
    <w:rsid w:val="3C9B2234"/>
    <w:rsid w:val="3CBF05DC"/>
    <w:rsid w:val="3CC6FE61"/>
    <w:rsid w:val="3CCCDF8D"/>
    <w:rsid w:val="3CD1DC78"/>
    <w:rsid w:val="3CD36D01"/>
    <w:rsid w:val="3CE7E610"/>
    <w:rsid w:val="3CEC50D0"/>
    <w:rsid w:val="3CECC41F"/>
    <w:rsid w:val="3CEFFB80"/>
    <w:rsid w:val="3D0B33AD"/>
    <w:rsid w:val="3D0B37D1"/>
    <w:rsid w:val="3D14B9B0"/>
    <w:rsid w:val="3D1B9AFB"/>
    <w:rsid w:val="3D24BF1E"/>
    <w:rsid w:val="3D3E4CCC"/>
    <w:rsid w:val="3D46FD67"/>
    <w:rsid w:val="3D70941C"/>
    <w:rsid w:val="3D7915FC"/>
    <w:rsid w:val="3D854E1D"/>
    <w:rsid w:val="3D92AE9E"/>
    <w:rsid w:val="3D95BF8E"/>
    <w:rsid w:val="3D985497"/>
    <w:rsid w:val="3DA0A004"/>
    <w:rsid w:val="3DAA1C56"/>
    <w:rsid w:val="3DB185BA"/>
    <w:rsid w:val="3DB90F40"/>
    <w:rsid w:val="3DD022CD"/>
    <w:rsid w:val="3DDDD62D"/>
    <w:rsid w:val="3DE35A41"/>
    <w:rsid w:val="3DE50717"/>
    <w:rsid w:val="3DFBBFCC"/>
    <w:rsid w:val="3E097096"/>
    <w:rsid w:val="3E0BDB94"/>
    <w:rsid w:val="3E0C4EBE"/>
    <w:rsid w:val="3E1CD492"/>
    <w:rsid w:val="3E27AE46"/>
    <w:rsid w:val="3E2BC159"/>
    <w:rsid w:val="3E2CE2ED"/>
    <w:rsid w:val="3E32B4B7"/>
    <w:rsid w:val="3E3ED559"/>
    <w:rsid w:val="3E4610E2"/>
    <w:rsid w:val="3E4663A1"/>
    <w:rsid w:val="3E5C90CD"/>
    <w:rsid w:val="3E61F018"/>
    <w:rsid w:val="3E645469"/>
    <w:rsid w:val="3E681F89"/>
    <w:rsid w:val="3E6A3928"/>
    <w:rsid w:val="3E7042FF"/>
    <w:rsid w:val="3E8AEA78"/>
    <w:rsid w:val="3EAB5ACA"/>
    <w:rsid w:val="3EAEACAA"/>
    <w:rsid w:val="3EB45558"/>
    <w:rsid w:val="3EC39D83"/>
    <w:rsid w:val="3ED9062B"/>
    <w:rsid w:val="3ED9CEFF"/>
    <w:rsid w:val="3EDCCF15"/>
    <w:rsid w:val="3EE0C795"/>
    <w:rsid w:val="3EE9FF28"/>
    <w:rsid w:val="3EEC19F3"/>
    <w:rsid w:val="3EF0A5A8"/>
    <w:rsid w:val="3EF6784D"/>
    <w:rsid w:val="3F01C598"/>
    <w:rsid w:val="3F01D37C"/>
    <w:rsid w:val="3F1B1B98"/>
    <w:rsid w:val="3F1B4849"/>
    <w:rsid w:val="3F27BA89"/>
    <w:rsid w:val="3F2DCD73"/>
    <w:rsid w:val="3F428BD1"/>
    <w:rsid w:val="3F43E8FF"/>
    <w:rsid w:val="3F4E5F76"/>
    <w:rsid w:val="3F560490"/>
    <w:rsid w:val="3F5D392F"/>
    <w:rsid w:val="3F704721"/>
    <w:rsid w:val="3F79DF6F"/>
    <w:rsid w:val="3F91A1C6"/>
    <w:rsid w:val="3F9AD25B"/>
    <w:rsid w:val="3FAB13E3"/>
    <w:rsid w:val="3FAE5F0A"/>
    <w:rsid w:val="3FBB0B67"/>
    <w:rsid w:val="3FC792E4"/>
    <w:rsid w:val="3FDF28AE"/>
    <w:rsid w:val="3FEFE4AD"/>
    <w:rsid w:val="3FF2AA64"/>
    <w:rsid w:val="3FF7EF9E"/>
    <w:rsid w:val="3FFA1C0D"/>
    <w:rsid w:val="40006FC2"/>
    <w:rsid w:val="40124679"/>
    <w:rsid w:val="401A6031"/>
    <w:rsid w:val="401AF72C"/>
    <w:rsid w:val="401D4CBE"/>
    <w:rsid w:val="40241262"/>
    <w:rsid w:val="40259F84"/>
    <w:rsid w:val="40344DDA"/>
    <w:rsid w:val="40389840"/>
    <w:rsid w:val="40435F90"/>
    <w:rsid w:val="4049A407"/>
    <w:rsid w:val="405ECB8B"/>
    <w:rsid w:val="40663474"/>
    <w:rsid w:val="40669AA2"/>
    <w:rsid w:val="40817F3E"/>
    <w:rsid w:val="408C9D29"/>
    <w:rsid w:val="409B3171"/>
    <w:rsid w:val="40A5579A"/>
    <w:rsid w:val="40A87AF2"/>
    <w:rsid w:val="40A9E1A5"/>
    <w:rsid w:val="40ABA97A"/>
    <w:rsid w:val="40AE51A4"/>
    <w:rsid w:val="40B8A353"/>
    <w:rsid w:val="40C33598"/>
    <w:rsid w:val="40C621D0"/>
    <w:rsid w:val="40CE4C66"/>
    <w:rsid w:val="40CFBCA4"/>
    <w:rsid w:val="40D10236"/>
    <w:rsid w:val="40D42AE5"/>
    <w:rsid w:val="40DDCF1B"/>
    <w:rsid w:val="40E3032E"/>
    <w:rsid w:val="40F0099E"/>
    <w:rsid w:val="40F016C4"/>
    <w:rsid w:val="40F3F069"/>
    <w:rsid w:val="410144E7"/>
    <w:rsid w:val="4104FD7A"/>
    <w:rsid w:val="411F85EB"/>
    <w:rsid w:val="41264C9B"/>
    <w:rsid w:val="412D00D0"/>
    <w:rsid w:val="4140EF69"/>
    <w:rsid w:val="415633F5"/>
    <w:rsid w:val="416137BF"/>
    <w:rsid w:val="41774890"/>
    <w:rsid w:val="417D20DC"/>
    <w:rsid w:val="419A36BF"/>
    <w:rsid w:val="41A1FC1A"/>
    <w:rsid w:val="41A6CCC0"/>
    <w:rsid w:val="41A8B277"/>
    <w:rsid w:val="41B96A7B"/>
    <w:rsid w:val="41C8A36A"/>
    <w:rsid w:val="41D0896A"/>
    <w:rsid w:val="41D6172F"/>
    <w:rsid w:val="41D7A608"/>
    <w:rsid w:val="41E10C5E"/>
    <w:rsid w:val="41ECB9DD"/>
    <w:rsid w:val="41F3E262"/>
    <w:rsid w:val="41FBB7C8"/>
    <w:rsid w:val="42144330"/>
    <w:rsid w:val="421C6C3D"/>
    <w:rsid w:val="421C72F7"/>
    <w:rsid w:val="4229497B"/>
    <w:rsid w:val="422B7862"/>
    <w:rsid w:val="422D3624"/>
    <w:rsid w:val="423A40B1"/>
    <w:rsid w:val="423B8CFB"/>
    <w:rsid w:val="423FAFEF"/>
    <w:rsid w:val="42495027"/>
    <w:rsid w:val="424B94CF"/>
    <w:rsid w:val="424D0EAA"/>
    <w:rsid w:val="425CAFFA"/>
    <w:rsid w:val="4264ABC0"/>
    <w:rsid w:val="426B0437"/>
    <w:rsid w:val="4270F317"/>
    <w:rsid w:val="4279F5BB"/>
    <w:rsid w:val="427A9292"/>
    <w:rsid w:val="427FC370"/>
    <w:rsid w:val="428D94CC"/>
    <w:rsid w:val="4298A9B5"/>
    <w:rsid w:val="429C8517"/>
    <w:rsid w:val="42A16400"/>
    <w:rsid w:val="42A90EDB"/>
    <w:rsid w:val="42B441D8"/>
    <w:rsid w:val="42B54898"/>
    <w:rsid w:val="42B938D7"/>
    <w:rsid w:val="42BCB1E7"/>
    <w:rsid w:val="42CBA764"/>
    <w:rsid w:val="42DDE5F4"/>
    <w:rsid w:val="42E648FA"/>
    <w:rsid w:val="42F1C9C7"/>
    <w:rsid w:val="42FBAB22"/>
    <w:rsid w:val="430675E4"/>
    <w:rsid w:val="43068E7E"/>
    <w:rsid w:val="43114FA5"/>
    <w:rsid w:val="4317D0D3"/>
    <w:rsid w:val="431F83BD"/>
    <w:rsid w:val="4325DA10"/>
    <w:rsid w:val="432A91BC"/>
    <w:rsid w:val="43341453"/>
    <w:rsid w:val="433630AF"/>
    <w:rsid w:val="43486135"/>
    <w:rsid w:val="43598C00"/>
    <w:rsid w:val="435B32DD"/>
    <w:rsid w:val="4363B097"/>
    <w:rsid w:val="437FDFA0"/>
    <w:rsid w:val="43917516"/>
    <w:rsid w:val="4396E961"/>
    <w:rsid w:val="43A7CA66"/>
    <w:rsid w:val="43B796A3"/>
    <w:rsid w:val="43B9BC30"/>
    <w:rsid w:val="43C75BF0"/>
    <w:rsid w:val="43CEE403"/>
    <w:rsid w:val="43E29B3D"/>
    <w:rsid w:val="43E98779"/>
    <w:rsid w:val="43F4C3F2"/>
    <w:rsid w:val="43F76F94"/>
    <w:rsid w:val="44127BDE"/>
    <w:rsid w:val="442D7E17"/>
    <w:rsid w:val="4439F3B4"/>
    <w:rsid w:val="443B48C4"/>
    <w:rsid w:val="444D4636"/>
    <w:rsid w:val="44505F19"/>
    <w:rsid w:val="44877CA7"/>
    <w:rsid w:val="44929C84"/>
    <w:rsid w:val="44941E0B"/>
    <w:rsid w:val="449E42CF"/>
    <w:rsid w:val="44A192E3"/>
    <w:rsid w:val="44A37715"/>
    <w:rsid w:val="44BD3856"/>
    <w:rsid w:val="44BE916E"/>
    <w:rsid w:val="44C1D78C"/>
    <w:rsid w:val="44C49E8A"/>
    <w:rsid w:val="44CBCDEC"/>
    <w:rsid w:val="44E448CF"/>
    <w:rsid w:val="44F64C65"/>
    <w:rsid w:val="45160F25"/>
    <w:rsid w:val="4518E25C"/>
    <w:rsid w:val="451F6732"/>
    <w:rsid w:val="45410198"/>
    <w:rsid w:val="4542C8B0"/>
    <w:rsid w:val="4549C717"/>
    <w:rsid w:val="45524F02"/>
    <w:rsid w:val="45630BB6"/>
    <w:rsid w:val="4565008C"/>
    <w:rsid w:val="4565B09F"/>
    <w:rsid w:val="4578D6D6"/>
    <w:rsid w:val="457BDFCB"/>
    <w:rsid w:val="458AC22B"/>
    <w:rsid w:val="459BA93F"/>
    <w:rsid w:val="45A03D03"/>
    <w:rsid w:val="45A564FF"/>
    <w:rsid w:val="45ACFCB8"/>
    <w:rsid w:val="45BA0A28"/>
    <w:rsid w:val="45BCDA04"/>
    <w:rsid w:val="45F1C6BF"/>
    <w:rsid w:val="45F81D9B"/>
    <w:rsid w:val="45FC7AA4"/>
    <w:rsid w:val="45FF6514"/>
    <w:rsid w:val="461949ED"/>
    <w:rsid w:val="461DEEDB"/>
    <w:rsid w:val="462B5355"/>
    <w:rsid w:val="462FF3CF"/>
    <w:rsid w:val="4631DE4D"/>
    <w:rsid w:val="46327A96"/>
    <w:rsid w:val="464604A8"/>
    <w:rsid w:val="4655C9D0"/>
    <w:rsid w:val="465B7514"/>
    <w:rsid w:val="46603C68"/>
    <w:rsid w:val="466E0723"/>
    <w:rsid w:val="46744382"/>
    <w:rsid w:val="467453FE"/>
    <w:rsid w:val="467899E5"/>
    <w:rsid w:val="467E5730"/>
    <w:rsid w:val="467ED391"/>
    <w:rsid w:val="46940BAB"/>
    <w:rsid w:val="4695B2DC"/>
    <w:rsid w:val="46975767"/>
    <w:rsid w:val="46A2BFD0"/>
    <w:rsid w:val="46ADA2FD"/>
    <w:rsid w:val="46AE880B"/>
    <w:rsid w:val="46B2F7A8"/>
    <w:rsid w:val="46B35BDF"/>
    <w:rsid w:val="46C2B66E"/>
    <w:rsid w:val="46C6B932"/>
    <w:rsid w:val="46D324D4"/>
    <w:rsid w:val="46D43BB2"/>
    <w:rsid w:val="46D6A02F"/>
    <w:rsid w:val="46D9B3D2"/>
    <w:rsid w:val="46DDF6F2"/>
    <w:rsid w:val="46E9561D"/>
    <w:rsid w:val="46EAB71E"/>
    <w:rsid w:val="471E054E"/>
    <w:rsid w:val="472795B6"/>
    <w:rsid w:val="47345BF5"/>
    <w:rsid w:val="47529361"/>
    <w:rsid w:val="4766FB14"/>
    <w:rsid w:val="47688207"/>
    <w:rsid w:val="476C8841"/>
    <w:rsid w:val="47772217"/>
    <w:rsid w:val="47AB0330"/>
    <w:rsid w:val="47C59BEF"/>
    <w:rsid w:val="47DAF9A6"/>
    <w:rsid w:val="47FF21DF"/>
    <w:rsid w:val="480488A2"/>
    <w:rsid w:val="4808901F"/>
    <w:rsid w:val="480F6F79"/>
    <w:rsid w:val="48157FCC"/>
    <w:rsid w:val="481D92F5"/>
    <w:rsid w:val="48221D32"/>
    <w:rsid w:val="482D09A2"/>
    <w:rsid w:val="48389D9D"/>
    <w:rsid w:val="483AB9AD"/>
    <w:rsid w:val="4854B586"/>
    <w:rsid w:val="485F407C"/>
    <w:rsid w:val="4871FF5E"/>
    <w:rsid w:val="4879E841"/>
    <w:rsid w:val="4887D598"/>
    <w:rsid w:val="488940DB"/>
    <w:rsid w:val="488A8141"/>
    <w:rsid w:val="488E6B97"/>
    <w:rsid w:val="4893D6F9"/>
    <w:rsid w:val="48989227"/>
    <w:rsid w:val="489CE481"/>
    <w:rsid w:val="48ADBC0E"/>
    <w:rsid w:val="48B4EFE1"/>
    <w:rsid w:val="48B773E7"/>
    <w:rsid w:val="48BFB552"/>
    <w:rsid w:val="48C202EF"/>
    <w:rsid w:val="48E13FDA"/>
    <w:rsid w:val="48F4129B"/>
    <w:rsid w:val="49025A8D"/>
    <w:rsid w:val="4905C2BF"/>
    <w:rsid w:val="4910F173"/>
    <w:rsid w:val="493B4336"/>
    <w:rsid w:val="495258F7"/>
    <w:rsid w:val="4958BE90"/>
    <w:rsid w:val="495A7F9B"/>
    <w:rsid w:val="495CFA96"/>
    <w:rsid w:val="49636E8E"/>
    <w:rsid w:val="496565E2"/>
    <w:rsid w:val="496B8B1A"/>
    <w:rsid w:val="4982BEA5"/>
    <w:rsid w:val="498B8199"/>
    <w:rsid w:val="4997829A"/>
    <w:rsid w:val="49991818"/>
    <w:rsid w:val="499B3F7E"/>
    <w:rsid w:val="49A95224"/>
    <w:rsid w:val="49A999C0"/>
    <w:rsid w:val="49B0F405"/>
    <w:rsid w:val="49B32DDC"/>
    <w:rsid w:val="49BB45FC"/>
    <w:rsid w:val="49CCC6EB"/>
    <w:rsid w:val="49D20E50"/>
    <w:rsid w:val="49EDF858"/>
    <w:rsid w:val="4A0239B1"/>
    <w:rsid w:val="4A0636DA"/>
    <w:rsid w:val="4A0AAC4A"/>
    <w:rsid w:val="4A0E0DF7"/>
    <w:rsid w:val="4A1509F0"/>
    <w:rsid w:val="4A1E3999"/>
    <w:rsid w:val="4A34DCEF"/>
    <w:rsid w:val="4A3975E3"/>
    <w:rsid w:val="4A3B251D"/>
    <w:rsid w:val="4A42AAD4"/>
    <w:rsid w:val="4A8BF8E8"/>
    <w:rsid w:val="4A99A338"/>
    <w:rsid w:val="4AA03501"/>
    <w:rsid w:val="4AAD4D39"/>
    <w:rsid w:val="4AB433EA"/>
    <w:rsid w:val="4AC47346"/>
    <w:rsid w:val="4AC4D6BF"/>
    <w:rsid w:val="4AD068D9"/>
    <w:rsid w:val="4AD21F31"/>
    <w:rsid w:val="4B2161B9"/>
    <w:rsid w:val="4B288B03"/>
    <w:rsid w:val="4B2C59AB"/>
    <w:rsid w:val="4B2D4D54"/>
    <w:rsid w:val="4B3045D3"/>
    <w:rsid w:val="4B35449F"/>
    <w:rsid w:val="4B379E14"/>
    <w:rsid w:val="4B3D8447"/>
    <w:rsid w:val="4B43E90E"/>
    <w:rsid w:val="4B4D36B4"/>
    <w:rsid w:val="4B4D73ED"/>
    <w:rsid w:val="4B5303F4"/>
    <w:rsid w:val="4B5987AB"/>
    <w:rsid w:val="4B64D8EB"/>
    <w:rsid w:val="4B79FE3C"/>
    <w:rsid w:val="4B981D54"/>
    <w:rsid w:val="4B99E87C"/>
    <w:rsid w:val="4B9C5B29"/>
    <w:rsid w:val="4B9D8C3C"/>
    <w:rsid w:val="4BB20595"/>
    <w:rsid w:val="4BC836A4"/>
    <w:rsid w:val="4BD243A9"/>
    <w:rsid w:val="4BED18EA"/>
    <w:rsid w:val="4BFEE94D"/>
    <w:rsid w:val="4C022C29"/>
    <w:rsid w:val="4C1210E8"/>
    <w:rsid w:val="4C297F38"/>
    <w:rsid w:val="4C34D628"/>
    <w:rsid w:val="4C3690AC"/>
    <w:rsid w:val="4C49ED22"/>
    <w:rsid w:val="4C4A76E6"/>
    <w:rsid w:val="4C4AC1AD"/>
    <w:rsid w:val="4C4DAADA"/>
    <w:rsid w:val="4C6EF0EF"/>
    <w:rsid w:val="4C700168"/>
    <w:rsid w:val="4C70860E"/>
    <w:rsid w:val="4C7B3AD1"/>
    <w:rsid w:val="4C7C6A00"/>
    <w:rsid w:val="4C85B75E"/>
    <w:rsid w:val="4C8FD9C0"/>
    <w:rsid w:val="4C92DD93"/>
    <w:rsid w:val="4C93E042"/>
    <w:rsid w:val="4C9A18A1"/>
    <w:rsid w:val="4CBA7304"/>
    <w:rsid w:val="4CC9E9AF"/>
    <w:rsid w:val="4CCDE83D"/>
    <w:rsid w:val="4CCF9984"/>
    <w:rsid w:val="4CD389FA"/>
    <w:rsid w:val="4CDBF50F"/>
    <w:rsid w:val="4CE88B56"/>
    <w:rsid w:val="4CF620D1"/>
    <w:rsid w:val="4CF72BF9"/>
    <w:rsid w:val="4D0869AA"/>
    <w:rsid w:val="4D0D788A"/>
    <w:rsid w:val="4D120E14"/>
    <w:rsid w:val="4D16C5B6"/>
    <w:rsid w:val="4D1A161D"/>
    <w:rsid w:val="4D1FA33B"/>
    <w:rsid w:val="4D45C74F"/>
    <w:rsid w:val="4D4B819E"/>
    <w:rsid w:val="4D548C09"/>
    <w:rsid w:val="4D56BCD3"/>
    <w:rsid w:val="4D588A24"/>
    <w:rsid w:val="4D599158"/>
    <w:rsid w:val="4D59B9E7"/>
    <w:rsid w:val="4D6FC4F0"/>
    <w:rsid w:val="4D8DAF38"/>
    <w:rsid w:val="4D8F8919"/>
    <w:rsid w:val="4DA48F42"/>
    <w:rsid w:val="4DAC1295"/>
    <w:rsid w:val="4DAC7C9A"/>
    <w:rsid w:val="4DAD64E4"/>
    <w:rsid w:val="4DB5458D"/>
    <w:rsid w:val="4DBF68EE"/>
    <w:rsid w:val="4DD20843"/>
    <w:rsid w:val="4DE719B5"/>
    <w:rsid w:val="4DE807F1"/>
    <w:rsid w:val="4DE89330"/>
    <w:rsid w:val="4DF51F00"/>
    <w:rsid w:val="4E0BAD66"/>
    <w:rsid w:val="4E11375E"/>
    <w:rsid w:val="4E154DB1"/>
    <w:rsid w:val="4E23E9A4"/>
    <w:rsid w:val="4E358C32"/>
    <w:rsid w:val="4E4964A0"/>
    <w:rsid w:val="4E4F6972"/>
    <w:rsid w:val="4E512151"/>
    <w:rsid w:val="4E8BCAF2"/>
    <w:rsid w:val="4E93B12C"/>
    <w:rsid w:val="4E9CC595"/>
    <w:rsid w:val="4EA21A1A"/>
    <w:rsid w:val="4EA2A95E"/>
    <w:rsid w:val="4EA562DF"/>
    <w:rsid w:val="4EACE9EA"/>
    <w:rsid w:val="4EB795E8"/>
    <w:rsid w:val="4EBA89B7"/>
    <w:rsid w:val="4EDADA5A"/>
    <w:rsid w:val="4EE0CE4F"/>
    <w:rsid w:val="4EF9AB48"/>
    <w:rsid w:val="4F0938A3"/>
    <w:rsid w:val="4F21F930"/>
    <w:rsid w:val="4F38FCBB"/>
    <w:rsid w:val="4F4532E3"/>
    <w:rsid w:val="4F46467A"/>
    <w:rsid w:val="4F46B722"/>
    <w:rsid w:val="4F4D115A"/>
    <w:rsid w:val="4F51A63E"/>
    <w:rsid w:val="4F5A0911"/>
    <w:rsid w:val="4F5F5D2D"/>
    <w:rsid w:val="4F634184"/>
    <w:rsid w:val="4F65A701"/>
    <w:rsid w:val="4F8C11C2"/>
    <w:rsid w:val="4F8EA6FD"/>
    <w:rsid w:val="4F8F0AA6"/>
    <w:rsid w:val="4F924997"/>
    <w:rsid w:val="4F94AD24"/>
    <w:rsid w:val="4F9E6F8E"/>
    <w:rsid w:val="4FE8C353"/>
    <w:rsid w:val="4FEA3DB5"/>
    <w:rsid w:val="4FF95ED0"/>
    <w:rsid w:val="4FFB2FCA"/>
    <w:rsid w:val="50065F93"/>
    <w:rsid w:val="50080761"/>
    <w:rsid w:val="500EBA3B"/>
    <w:rsid w:val="50103235"/>
    <w:rsid w:val="50120A31"/>
    <w:rsid w:val="5044DDB8"/>
    <w:rsid w:val="5047FD5F"/>
    <w:rsid w:val="5060CEA4"/>
    <w:rsid w:val="506A1557"/>
    <w:rsid w:val="50995852"/>
    <w:rsid w:val="509C6867"/>
    <w:rsid w:val="509D843D"/>
    <w:rsid w:val="50A3D502"/>
    <w:rsid w:val="50A908F6"/>
    <w:rsid w:val="50AA7F30"/>
    <w:rsid w:val="50AAF2D5"/>
    <w:rsid w:val="50B2749A"/>
    <w:rsid w:val="50B28D08"/>
    <w:rsid w:val="50BEDBBF"/>
    <w:rsid w:val="50C118C8"/>
    <w:rsid w:val="50D0A1B8"/>
    <w:rsid w:val="50D629AB"/>
    <w:rsid w:val="50EADBC5"/>
    <w:rsid w:val="50EBBDAE"/>
    <w:rsid w:val="50F09C51"/>
    <w:rsid w:val="50F72635"/>
    <w:rsid w:val="510C87C6"/>
    <w:rsid w:val="511FEF5E"/>
    <w:rsid w:val="513E117F"/>
    <w:rsid w:val="5146CCEB"/>
    <w:rsid w:val="51503BFB"/>
    <w:rsid w:val="5154E12F"/>
    <w:rsid w:val="5154F5A7"/>
    <w:rsid w:val="51613FAA"/>
    <w:rsid w:val="5163E6F0"/>
    <w:rsid w:val="516FBB82"/>
    <w:rsid w:val="5181C6F0"/>
    <w:rsid w:val="51837C0E"/>
    <w:rsid w:val="5185C79E"/>
    <w:rsid w:val="51895B9F"/>
    <w:rsid w:val="51895DC5"/>
    <w:rsid w:val="5199AD5A"/>
    <w:rsid w:val="519E969A"/>
    <w:rsid w:val="51A66457"/>
    <w:rsid w:val="51B2D198"/>
    <w:rsid w:val="51B316A5"/>
    <w:rsid w:val="51B743B7"/>
    <w:rsid w:val="51BED0CE"/>
    <w:rsid w:val="51CCA7F4"/>
    <w:rsid w:val="51E0F427"/>
    <w:rsid w:val="51E1C2C8"/>
    <w:rsid w:val="51F08582"/>
    <w:rsid w:val="521621AE"/>
    <w:rsid w:val="5216B905"/>
    <w:rsid w:val="521E8D06"/>
    <w:rsid w:val="52240D93"/>
    <w:rsid w:val="523D5A26"/>
    <w:rsid w:val="524DD3C8"/>
    <w:rsid w:val="525298FF"/>
    <w:rsid w:val="5253AC03"/>
    <w:rsid w:val="52548145"/>
    <w:rsid w:val="52642FB2"/>
    <w:rsid w:val="52698CB9"/>
    <w:rsid w:val="526F5015"/>
    <w:rsid w:val="5279EDD0"/>
    <w:rsid w:val="528FA9D1"/>
    <w:rsid w:val="529666A7"/>
    <w:rsid w:val="5299C605"/>
    <w:rsid w:val="529AE411"/>
    <w:rsid w:val="52A35C6E"/>
    <w:rsid w:val="52C0DE1E"/>
    <w:rsid w:val="52DAB507"/>
    <w:rsid w:val="52DD9AC8"/>
    <w:rsid w:val="52DF5A81"/>
    <w:rsid w:val="52E4D821"/>
    <w:rsid w:val="52FC5DC9"/>
    <w:rsid w:val="5303F32B"/>
    <w:rsid w:val="530A2589"/>
    <w:rsid w:val="5316CB46"/>
    <w:rsid w:val="5320702F"/>
    <w:rsid w:val="53468D8C"/>
    <w:rsid w:val="536910A2"/>
    <w:rsid w:val="536C5395"/>
    <w:rsid w:val="5374E2B2"/>
    <w:rsid w:val="53763178"/>
    <w:rsid w:val="539F847E"/>
    <w:rsid w:val="53A38BA8"/>
    <w:rsid w:val="53B3BA8F"/>
    <w:rsid w:val="53B52D4D"/>
    <w:rsid w:val="53CF8ABD"/>
    <w:rsid w:val="53D34A2E"/>
    <w:rsid w:val="53D81776"/>
    <w:rsid w:val="53E34210"/>
    <w:rsid w:val="53E669F4"/>
    <w:rsid w:val="53ED0B13"/>
    <w:rsid w:val="53ED1410"/>
    <w:rsid w:val="53F03F9A"/>
    <w:rsid w:val="540AAFCA"/>
    <w:rsid w:val="541C51A9"/>
    <w:rsid w:val="54258577"/>
    <w:rsid w:val="542D6060"/>
    <w:rsid w:val="543F9354"/>
    <w:rsid w:val="54403EF7"/>
    <w:rsid w:val="5441A908"/>
    <w:rsid w:val="5455E7EF"/>
    <w:rsid w:val="54604158"/>
    <w:rsid w:val="54612321"/>
    <w:rsid w:val="5461B4F0"/>
    <w:rsid w:val="5476CBF7"/>
    <w:rsid w:val="547DABB8"/>
    <w:rsid w:val="54843A2B"/>
    <w:rsid w:val="5486430B"/>
    <w:rsid w:val="5489333B"/>
    <w:rsid w:val="54913105"/>
    <w:rsid w:val="54922C9C"/>
    <w:rsid w:val="5492B4D2"/>
    <w:rsid w:val="549F39E0"/>
    <w:rsid w:val="54A04D88"/>
    <w:rsid w:val="54A24587"/>
    <w:rsid w:val="54A6476A"/>
    <w:rsid w:val="54E6CC05"/>
    <w:rsid w:val="54E877A6"/>
    <w:rsid w:val="54F23534"/>
    <w:rsid w:val="54F9DE7F"/>
    <w:rsid w:val="55000C7D"/>
    <w:rsid w:val="550D16C7"/>
    <w:rsid w:val="55132E21"/>
    <w:rsid w:val="5515A4DF"/>
    <w:rsid w:val="55162BEE"/>
    <w:rsid w:val="5520C6C2"/>
    <w:rsid w:val="5524DDF7"/>
    <w:rsid w:val="5529AC89"/>
    <w:rsid w:val="5543418C"/>
    <w:rsid w:val="5547C048"/>
    <w:rsid w:val="554CC72E"/>
    <w:rsid w:val="55582B0F"/>
    <w:rsid w:val="5561EAE6"/>
    <w:rsid w:val="5566C31A"/>
    <w:rsid w:val="556A8275"/>
    <w:rsid w:val="557325DD"/>
    <w:rsid w:val="5581B1E9"/>
    <w:rsid w:val="558224C8"/>
    <w:rsid w:val="559DC174"/>
    <w:rsid w:val="55A6DC8C"/>
    <w:rsid w:val="55ADA4E6"/>
    <w:rsid w:val="55AEA077"/>
    <w:rsid w:val="55BBA682"/>
    <w:rsid w:val="55BE83C1"/>
    <w:rsid w:val="55CA2FB2"/>
    <w:rsid w:val="55F29708"/>
    <w:rsid w:val="5609FCE1"/>
    <w:rsid w:val="560E7EAC"/>
    <w:rsid w:val="5623539C"/>
    <w:rsid w:val="5636EAD7"/>
    <w:rsid w:val="563D5B38"/>
    <w:rsid w:val="56439A66"/>
    <w:rsid w:val="56493273"/>
    <w:rsid w:val="564A860C"/>
    <w:rsid w:val="565F8C15"/>
    <w:rsid w:val="566942B1"/>
    <w:rsid w:val="5672820A"/>
    <w:rsid w:val="5672C84A"/>
    <w:rsid w:val="567B068A"/>
    <w:rsid w:val="56949E78"/>
    <w:rsid w:val="569C6CA9"/>
    <w:rsid w:val="56A0135E"/>
    <w:rsid w:val="56AAA12F"/>
    <w:rsid w:val="56BC46CD"/>
    <w:rsid w:val="56CF14C5"/>
    <w:rsid w:val="56EA190B"/>
    <w:rsid w:val="56FC02C9"/>
    <w:rsid w:val="56FD89E6"/>
    <w:rsid w:val="5709A95D"/>
    <w:rsid w:val="57130339"/>
    <w:rsid w:val="5714045F"/>
    <w:rsid w:val="57143AD8"/>
    <w:rsid w:val="57149FA8"/>
    <w:rsid w:val="571C23D1"/>
    <w:rsid w:val="5731CC92"/>
    <w:rsid w:val="573A5AFB"/>
    <w:rsid w:val="5748A4AB"/>
    <w:rsid w:val="574CA6CB"/>
    <w:rsid w:val="574D07CC"/>
    <w:rsid w:val="57679C9E"/>
    <w:rsid w:val="57802427"/>
    <w:rsid w:val="578523CD"/>
    <w:rsid w:val="57A27CC0"/>
    <w:rsid w:val="57B46A86"/>
    <w:rsid w:val="57C883FC"/>
    <w:rsid w:val="57C8FB01"/>
    <w:rsid w:val="57CD176E"/>
    <w:rsid w:val="57CD5D7E"/>
    <w:rsid w:val="57D6F991"/>
    <w:rsid w:val="57D89983"/>
    <w:rsid w:val="57DB9443"/>
    <w:rsid w:val="57EF4D10"/>
    <w:rsid w:val="57FCD6C7"/>
    <w:rsid w:val="581B0B0D"/>
    <w:rsid w:val="581BA419"/>
    <w:rsid w:val="581D70EE"/>
    <w:rsid w:val="5822D0B2"/>
    <w:rsid w:val="5825B883"/>
    <w:rsid w:val="584C2178"/>
    <w:rsid w:val="584D1A54"/>
    <w:rsid w:val="58557EE4"/>
    <w:rsid w:val="5859ECEA"/>
    <w:rsid w:val="588F6086"/>
    <w:rsid w:val="5891C6A9"/>
    <w:rsid w:val="58980A0E"/>
    <w:rsid w:val="589D63E5"/>
    <w:rsid w:val="58A15009"/>
    <w:rsid w:val="58A2E50E"/>
    <w:rsid w:val="58AABAB8"/>
    <w:rsid w:val="58AC465F"/>
    <w:rsid w:val="58AE933F"/>
    <w:rsid w:val="58B642A9"/>
    <w:rsid w:val="58C73E62"/>
    <w:rsid w:val="58CA7F6C"/>
    <w:rsid w:val="58D1B84C"/>
    <w:rsid w:val="58D7FCD9"/>
    <w:rsid w:val="58E1920E"/>
    <w:rsid w:val="5902A774"/>
    <w:rsid w:val="591367A9"/>
    <w:rsid w:val="591FBE96"/>
    <w:rsid w:val="59296EC1"/>
    <w:rsid w:val="59298B7A"/>
    <w:rsid w:val="5930A2D5"/>
    <w:rsid w:val="59555A13"/>
    <w:rsid w:val="5958C8CE"/>
    <w:rsid w:val="595A9F3C"/>
    <w:rsid w:val="595CCE6E"/>
    <w:rsid w:val="597B150D"/>
    <w:rsid w:val="597C0F6F"/>
    <w:rsid w:val="59811871"/>
    <w:rsid w:val="5991B4EB"/>
    <w:rsid w:val="599AB876"/>
    <w:rsid w:val="59B118AF"/>
    <w:rsid w:val="59BDB0F2"/>
    <w:rsid w:val="59C7A48D"/>
    <w:rsid w:val="59C85FCB"/>
    <w:rsid w:val="59D06862"/>
    <w:rsid w:val="59E1E42A"/>
    <w:rsid w:val="59E734E6"/>
    <w:rsid w:val="59E8D42C"/>
    <w:rsid w:val="59F3544F"/>
    <w:rsid w:val="5A0550B5"/>
    <w:rsid w:val="5A09CBFA"/>
    <w:rsid w:val="5A0A4D15"/>
    <w:rsid w:val="5A104F7A"/>
    <w:rsid w:val="5A11A44A"/>
    <w:rsid w:val="5A19B57A"/>
    <w:rsid w:val="5A246C9D"/>
    <w:rsid w:val="5A33F350"/>
    <w:rsid w:val="5A35B0E9"/>
    <w:rsid w:val="5A41CC0E"/>
    <w:rsid w:val="5A4AA5E5"/>
    <w:rsid w:val="5A4F68D8"/>
    <w:rsid w:val="5A510655"/>
    <w:rsid w:val="5A580831"/>
    <w:rsid w:val="5A6206AA"/>
    <w:rsid w:val="5A75BA21"/>
    <w:rsid w:val="5A7763AF"/>
    <w:rsid w:val="5A7F93A2"/>
    <w:rsid w:val="5A9082A2"/>
    <w:rsid w:val="5A97141D"/>
    <w:rsid w:val="5AC5A85E"/>
    <w:rsid w:val="5AC5E5C8"/>
    <w:rsid w:val="5ACA1AB1"/>
    <w:rsid w:val="5ACC8C2F"/>
    <w:rsid w:val="5AD65207"/>
    <w:rsid w:val="5ADC10E6"/>
    <w:rsid w:val="5AF6A002"/>
    <w:rsid w:val="5AFEFF10"/>
    <w:rsid w:val="5AFF85C3"/>
    <w:rsid w:val="5B08E730"/>
    <w:rsid w:val="5B108219"/>
    <w:rsid w:val="5B1D9DAD"/>
    <w:rsid w:val="5B45D818"/>
    <w:rsid w:val="5B48ED33"/>
    <w:rsid w:val="5B4B54C7"/>
    <w:rsid w:val="5B540FDD"/>
    <w:rsid w:val="5B5C3B4F"/>
    <w:rsid w:val="5B634DBD"/>
    <w:rsid w:val="5B6607E7"/>
    <w:rsid w:val="5B6DE364"/>
    <w:rsid w:val="5B6FB8C3"/>
    <w:rsid w:val="5B761D47"/>
    <w:rsid w:val="5B8240A8"/>
    <w:rsid w:val="5BA0ADB7"/>
    <w:rsid w:val="5BA85539"/>
    <w:rsid w:val="5BA9D310"/>
    <w:rsid w:val="5BBCD6D1"/>
    <w:rsid w:val="5BC84887"/>
    <w:rsid w:val="5BD2C89D"/>
    <w:rsid w:val="5BDECA22"/>
    <w:rsid w:val="5BE25CEC"/>
    <w:rsid w:val="5BFA59D3"/>
    <w:rsid w:val="5C0E59CD"/>
    <w:rsid w:val="5C1A6736"/>
    <w:rsid w:val="5C205B07"/>
    <w:rsid w:val="5C39CCBD"/>
    <w:rsid w:val="5C40E32B"/>
    <w:rsid w:val="5C594D79"/>
    <w:rsid w:val="5C5D42BD"/>
    <w:rsid w:val="5C5EA7B4"/>
    <w:rsid w:val="5C63DD23"/>
    <w:rsid w:val="5C644C78"/>
    <w:rsid w:val="5C6FEF5F"/>
    <w:rsid w:val="5C8D3303"/>
    <w:rsid w:val="5CC2CDC9"/>
    <w:rsid w:val="5CDC2B51"/>
    <w:rsid w:val="5CDE1A49"/>
    <w:rsid w:val="5CDF5009"/>
    <w:rsid w:val="5CE3DF29"/>
    <w:rsid w:val="5CE9D805"/>
    <w:rsid w:val="5CEC1E15"/>
    <w:rsid w:val="5CF61594"/>
    <w:rsid w:val="5D1028A2"/>
    <w:rsid w:val="5D3A5BD1"/>
    <w:rsid w:val="5D40282F"/>
    <w:rsid w:val="5D61B80D"/>
    <w:rsid w:val="5D6731C8"/>
    <w:rsid w:val="5D716A09"/>
    <w:rsid w:val="5D7BD0D1"/>
    <w:rsid w:val="5DA29B39"/>
    <w:rsid w:val="5DA96E1E"/>
    <w:rsid w:val="5DBD8995"/>
    <w:rsid w:val="5DC6065A"/>
    <w:rsid w:val="5DEC12C4"/>
    <w:rsid w:val="5E0B4122"/>
    <w:rsid w:val="5E20B803"/>
    <w:rsid w:val="5E2E48F2"/>
    <w:rsid w:val="5E35D5CF"/>
    <w:rsid w:val="5E41D41C"/>
    <w:rsid w:val="5E4F2BD2"/>
    <w:rsid w:val="5E6DAF88"/>
    <w:rsid w:val="5E80434C"/>
    <w:rsid w:val="5E90B169"/>
    <w:rsid w:val="5E92E5A5"/>
    <w:rsid w:val="5E93F2F1"/>
    <w:rsid w:val="5E99E860"/>
    <w:rsid w:val="5EBB63E7"/>
    <w:rsid w:val="5EF14968"/>
    <w:rsid w:val="5EFD029D"/>
    <w:rsid w:val="5F02E034"/>
    <w:rsid w:val="5F056463"/>
    <w:rsid w:val="5F06DC20"/>
    <w:rsid w:val="5F4050EF"/>
    <w:rsid w:val="5F55925F"/>
    <w:rsid w:val="5F64D493"/>
    <w:rsid w:val="5F7163C7"/>
    <w:rsid w:val="5F7C7F8E"/>
    <w:rsid w:val="5F81CC65"/>
    <w:rsid w:val="5F8A0225"/>
    <w:rsid w:val="5F985622"/>
    <w:rsid w:val="5FA3802F"/>
    <w:rsid w:val="5FAC231B"/>
    <w:rsid w:val="5FC2A40E"/>
    <w:rsid w:val="5FD1EEE9"/>
    <w:rsid w:val="5FD5B1DB"/>
    <w:rsid w:val="5FDDC01F"/>
    <w:rsid w:val="5FDF141A"/>
    <w:rsid w:val="5FF03772"/>
    <w:rsid w:val="60049C9F"/>
    <w:rsid w:val="60154335"/>
    <w:rsid w:val="6018468D"/>
    <w:rsid w:val="601E774B"/>
    <w:rsid w:val="60269EF4"/>
    <w:rsid w:val="603DCF42"/>
    <w:rsid w:val="60445F84"/>
    <w:rsid w:val="6055FCD3"/>
    <w:rsid w:val="6056FA33"/>
    <w:rsid w:val="605B8B14"/>
    <w:rsid w:val="605FF477"/>
    <w:rsid w:val="6061D62A"/>
    <w:rsid w:val="607EBE20"/>
    <w:rsid w:val="6097B7EE"/>
    <w:rsid w:val="60A4295F"/>
    <w:rsid w:val="60A5923D"/>
    <w:rsid w:val="60AA8448"/>
    <w:rsid w:val="60C72392"/>
    <w:rsid w:val="60D0F183"/>
    <w:rsid w:val="60D23296"/>
    <w:rsid w:val="60EFAAFD"/>
    <w:rsid w:val="60F8F1A8"/>
    <w:rsid w:val="60FE2BB5"/>
    <w:rsid w:val="60FFC742"/>
    <w:rsid w:val="61005542"/>
    <w:rsid w:val="610B1C52"/>
    <w:rsid w:val="610F4D30"/>
    <w:rsid w:val="6112F919"/>
    <w:rsid w:val="61198A82"/>
    <w:rsid w:val="611A1CF4"/>
    <w:rsid w:val="611E3D71"/>
    <w:rsid w:val="612334AA"/>
    <w:rsid w:val="612CCFF3"/>
    <w:rsid w:val="61342C05"/>
    <w:rsid w:val="6135E78A"/>
    <w:rsid w:val="613BB8F7"/>
    <w:rsid w:val="613CF847"/>
    <w:rsid w:val="61486C55"/>
    <w:rsid w:val="61499098"/>
    <w:rsid w:val="614BDAF0"/>
    <w:rsid w:val="61521837"/>
    <w:rsid w:val="6164618F"/>
    <w:rsid w:val="6164ACDB"/>
    <w:rsid w:val="6164E257"/>
    <w:rsid w:val="616528BA"/>
    <w:rsid w:val="61659726"/>
    <w:rsid w:val="61696AC2"/>
    <w:rsid w:val="616C852C"/>
    <w:rsid w:val="616EBFBA"/>
    <w:rsid w:val="618D5225"/>
    <w:rsid w:val="6190C633"/>
    <w:rsid w:val="6196C62D"/>
    <w:rsid w:val="6199F4B6"/>
    <w:rsid w:val="61AF0BF7"/>
    <w:rsid w:val="61AF385A"/>
    <w:rsid w:val="61D303BC"/>
    <w:rsid w:val="61DDA2FE"/>
    <w:rsid w:val="61E7F8DD"/>
    <w:rsid w:val="620243C3"/>
    <w:rsid w:val="6203DD9F"/>
    <w:rsid w:val="6205BEB0"/>
    <w:rsid w:val="62076171"/>
    <w:rsid w:val="620EF04E"/>
    <w:rsid w:val="6216A8DD"/>
    <w:rsid w:val="621A4839"/>
    <w:rsid w:val="621B1148"/>
    <w:rsid w:val="622938CD"/>
    <w:rsid w:val="623C2082"/>
    <w:rsid w:val="623EE152"/>
    <w:rsid w:val="624AF072"/>
    <w:rsid w:val="625A9AA6"/>
    <w:rsid w:val="625EE6DF"/>
    <w:rsid w:val="626E6650"/>
    <w:rsid w:val="6273B70A"/>
    <w:rsid w:val="6275B9B5"/>
    <w:rsid w:val="6277BD68"/>
    <w:rsid w:val="628CFEF7"/>
    <w:rsid w:val="6294BC7D"/>
    <w:rsid w:val="62987A37"/>
    <w:rsid w:val="62B406B9"/>
    <w:rsid w:val="62BBB208"/>
    <w:rsid w:val="62D8AE89"/>
    <w:rsid w:val="62E83073"/>
    <w:rsid w:val="62F1D1F2"/>
    <w:rsid w:val="62F46329"/>
    <w:rsid w:val="62F60E84"/>
    <w:rsid w:val="62F749C1"/>
    <w:rsid w:val="630D455B"/>
    <w:rsid w:val="63164793"/>
    <w:rsid w:val="6317717A"/>
    <w:rsid w:val="63348E24"/>
    <w:rsid w:val="6339E908"/>
    <w:rsid w:val="633C8F98"/>
    <w:rsid w:val="633DE919"/>
    <w:rsid w:val="63456D1B"/>
    <w:rsid w:val="634824BB"/>
    <w:rsid w:val="63517E12"/>
    <w:rsid w:val="63561728"/>
    <w:rsid w:val="635C2088"/>
    <w:rsid w:val="636AABFC"/>
    <w:rsid w:val="636B75A2"/>
    <w:rsid w:val="63730FE4"/>
    <w:rsid w:val="63788D53"/>
    <w:rsid w:val="637A5E93"/>
    <w:rsid w:val="637BD1DF"/>
    <w:rsid w:val="63987E40"/>
    <w:rsid w:val="63A1DE19"/>
    <w:rsid w:val="63A691F0"/>
    <w:rsid w:val="63B1F606"/>
    <w:rsid w:val="63CF7964"/>
    <w:rsid w:val="63D6DE60"/>
    <w:rsid w:val="63DF2961"/>
    <w:rsid w:val="63E2F6D5"/>
    <w:rsid w:val="63E442D6"/>
    <w:rsid w:val="63FD1924"/>
    <w:rsid w:val="6402AF53"/>
    <w:rsid w:val="641194EF"/>
    <w:rsid w:val="641CB052"/>
    <w:rsid w:val="641DFFA0"/>
    <w:rsid w:val="642DDBA7"/>
    <w:rsid w:val="6443CB7D"/>
    <w:rsid w:val="64499668"/>
    <w:rsid w:val="6449BDC7"/>
    <w:rsid w:val="644B444D"/>
    <w:rsid w:val="644FFF83"/>
    <w:rsid w:val="645754A7"/>
    <w:rsid w:val="6469333D"/>
    <w:rsid w:val="646D5EDE"/>
    <w:rsid w:val="648D2DA5"/>
    <w:rsid w:val="648DF0FF"/>
    <w:rsid w:val="649152FA"/>
    <w:rsid w:val="64923E00"/>
    <w:rsid w:val="64A84BC6"/>
    <w:rsid w:val="64A898BD"/>
    <w:rsid w:val="64BFCA05"/>
    <w:rsid w:val="64C3B772"/>
    <w:rsid w:val="64D7E62A"/>
    <w:rsid w:val="64E25405"/>
    <w:rsid w:val="64EB883D"/>
    <w:rsid w:val="64F09E56"/>
    <w:rsid w:val="64F609B2"/>
    <w:rsid w:val="64F705AE"/>
    <w:rsid w:val="64F95002"/>
    <w:rsid w:val="64FB48BD"/>
    <w:rsid w:val="64FB7AB3"/>
    <w:rsid w:val="650020B3"/>
    <w:rsid w:val="651C4FD8"/>
    <w:rsid w:val="652A5D3D"/>
    <w:rsid w:val="6534D29E"/>
    <w:rsid w:val="654C2E3B"/>
    <w:rsid w:val="654C70D3"/>
    <w:rsid w:val="654F915F"/>
    <w:rsid w:val="65722634"/>
    <w:rsid w:val="6582D361"/>
    <w:rsid w:val="6584A284"/>
    <w:rsid w:val="65916903"/>
    <w:rsid w:val="65AA7BB4"/>
    <w:rsid w:val="65C51A1A"/>
    <w:rsid w:val="65C80109"/>
    <w:rsid w:val="65E6274F"/>
    <w:rsid w:val="65FB73FD"/>
    <w:rsid w:val="6603DBDA"/>
    <w:rsid w:val="66045614"/>
    <w:rsid w:val="660D1BF9"/>
    <w:rsid w:val="66289DE5"/>
    <w:rsid w:val="6636C696"/>
    <w:rsid w:val="6639B405"/>
    <w:rsid w:val="663D7551"/>
    <w:rsid w:val="6653F034"/>
    <w:rsid w:val="6659839D"/>
    <w:rsid w:val="66604F9D"/>
    <w:rsid w:val="66640647"/>
    <w:rsid w:val="6673776D"/>
    <w:rsid w:val="66797F0D"/>
    <w:rsid w:val="66AB9C7E"/>
    <w:rsid w:val="66AD8DF6"/>
    <w:rsid w:val="66BB0F9D"/>
    <w:rsid w:val="66C04899"/>
    <w:rsid w:val="66C27A54"/>
    <w:rsid w:val="66C2E8FE"/>
    <w:rsid w:val="66CEA78B"/>
    <w:rsid w:val="66D06981"/>
    <w:rsid w:val="66EFCE67"/>
    <w:rsid w:val="66F41F60"/>
    <w:rsid w:val="66F467F1"/>
    <w:rsid w:val="671B0E5E"/>
    <w:rsid w:val="6724DE5C"/>
    <w:rsid w:val="6730EF95"/>
    <w:rsid w:val="6737ECE2"/>
    <w:rsid w:val="673B2F2F"/>
    <w:rsid w:val="6750DB47"/>
    <w:rsid w:val="6765F5B6"/>
    <w:rsid w:val="676735FC"/>
    <w:rsid w:val="67747DE7"/>
    <w:rsid w:val="677C2A18"/>
    <w:rsid w:val="6783113D"/>
    <w:rsid w:val="6787DC2D"/>
    <w:rsid w:val="67966FB2"/>
    <w:rsid w:val="67A3A098"/>
    <w:rsid w:val="67A793F9"/>
    <w:rsid w:val="67AB49DF"/>
    <w:rsid w:val="67B862A1"/>
    <w:rsid w:val="67BDAB12"/>
    <w:rsid w:val="67BE31D1"/>
    <w:rsid w:val="67CC70EA"/>
    <w:rsid w:val="67CCC03C"/>
    <w:rsid w:val="67CD1C64"/>
    <w:rsid w:val="67DC9436"/>
    <w:rsid w:val="67E2B759"/>
    <w:rsid w:val="680D57D7"/>
    <w:rsid w:val="680E67EF"/>
    <w:rsid w:val="68186B68"/>
    <w:rsid w:val="681BA8B9"/>
    <w:rsid w:val="6828145A"/>
    <w:rsid w:val="683054CE"/>
    <w:rsid w:val="6836B661"/>
    <w:rsid w:val="6837E0A4"/>
    <w:rsid w:val="683BB47C"/>
    <w:rsid w:val="68418DBF"/>
    <w:rsid w:val="6841AF98"/>
    <w:rsid w:val="68438D21"/>
    <w:rsid w:val="684F5B6A"/>
    <w:rsid w:val="68528ADA"/>
    <w:rsid w:val="686A24AD"/>
    <w:rsid w:val="686BD508"/>
    <w:rsid w:val="686E65DE"/>
    <w:rsid w:val="687BCFD4"/>
    <w:rsid w:val="6882FA95"/>
    <w:rsid w:val="6887A12B"/>
    <w:rsid w:val="688914E5"/>
    <w:rsid w:val="6894004B"/>
    <w:rsid w:val="68980753"/>
    <w:rsid w:val="6899ACB3"/>
    <w:rsid w:val="68A317CA"/>
    <w:rsid w:val="68AD5E03"/>
    <w:rsid w:val="68BBE04D"/>
    <w:rsid w:val="68C3A27F"/>
    <w:rsid w:val="68CAF91F"/>
    <w:rsid w:val="68CF51D2"/>
    <w:rsid w:val="68F92938"/>
    <w:rsid w:val="68FEA7A6"/>
    <w:rsid w:val="691D22C2"/>
    <w:rsid w:val="6925E9B8"/>
    <w:rsid w:val="694A0F77"/>
    <w:rsid w:val="69548FD8"/>
    <w:rsid w:val="695945D9"/>
    <w:rsid w:val="695E4F64"/>
    <w:rsid w:val="6960C476"/>
    <w:rsid w:val="69616A92"/>
    <w:rsid w:val="697F3F01"/>
    <w:rsid w:val="6999D9DC"/>
    <w:rsid w:val="699C3DD0"/>
    <w:rsid w:val="69A2BA5D"/>
    <w:rsid w:val="69AD2047"/>
    <w:rsid w:val="69C3D4CA"/>
    <w:rsid w:val="69D47075"/>
    <w:rsid w:val="69E6EE0E"/>
    <w:rsid w:val="69E970ED"/>
    <w:rsid w:val="69EE0001"/>
    <w:rsid w:val="69F4C16F"/>
    <w:rsid w:val="69F53037"/>
    <w:rsid w:val="69FE8441"/>
    <w:rsid w:val="69FFDD91"/>
    <w:rsid w:val="6A18AC6A"/>
    <w:rsid w:val="6A1BD19E"/>
    <w:rsid w:val="6A20C041"/>
    <w:rsid w:val="6A27C17E"/>
    <w:rsid w:val="6A2D1928"/>
    <w:rsid w:val="6A317CA9"/>
    <w:rsid w:val="6A3B0957"/>
    <w:rsid w:val="6A4119AF"/>
    <w:rsid w:val="6A476A1C"/>
    <w:rsid w:val="6A53AFE9"/>
    <w:rsid w:val="6A584210"/>
    <w:rsid w:val="6A638D37"/>
    <w:rsid w:val="6A739E08"/>
    <w:rsid w:val="6A7C8FB3"/>
    <w:rsid w:val="6A8C2F8D"/>
    <w:rsid w:val="6A8DE44B"/>
    <w:rsid w:val="6A913761"/>
    <w:rsid w:val="6AA72F9B"/>
    <w:rsid w:val="6AA89ACB"/>
    <w:rsid w:val="6AABEEB9"/>
    <w:rsid w:val="6AAE8F3D"/>
    <w:rsid w:val="6AB0D8D3"/>
    <w:rsid w:val="6AC60E91"/>
    <w:rsid w:val="6AC6F465"/>
    <w:rsid w:val="6AD279B3"/>
    <w:rsid w:val="6AF9F0B4"/>
    <w:rsid w:val="6B1507E8"/>
    <w:rsid w:val="6B1DA969"/>
    <w:rsid w:val="6B25C041"/>
    <w:rsid w:val="6B399635"/>
    <w:rsid w:val="6B449268"/>
    <w:rsid w:val="6B47A7A0"/>
    <w:rsid w:val="6B4AA8B3"/>
    <w:rsid w:val="6B5B3158"/>
    <w:rsid w:val="6B5F0181"/>
    <w:rsid w:val="6B60132F"/>
    <w:rsid w:val="6B6ABC76"/>
    <w:rsid w:val="6B950879"/>
    <w:rsid w:val="6BAB0DE6"/>
    <w:rsid w:val="6BAF7F87"/>
    <w:rsid w:val="6BB626C8"/>
    <w:rsid w:val="6BCF7A6A"/>
    <w:rsid w:val="6BDD62B5"/>
    <w:rsid w:val="6BDF9C31"/>
    <w:rsid w:val="6BEFB78B"/>
    <w:rsid w:val="6BF0FD05"/>
    <w:rsid w:val="6BFC90F6"/>
    <w:rsid w:val="6BFE9BF4"/>
    <w:rsid w:val="6C156FB9"/>
    <w:rsid w:val="6C1854E1"/>
    <w:rsid w:val="6C1DEC8A"/>
    <w:rsid w:val="6C258F6E"/>
    <w:rsid w:val="6C314E8B"/>
    <w:rsid w:val="6C5A53A6"/>
    <w:rsid w:val="6C6BCEF0"/>
    <w:rsid w:val="6C76CC36"/>
    <w:rsid w:val="6C88DB5F"/>
    <w:rsid w:val="6C8D678F"/>
    <w:rsid w:val="6C930659"/>
    <w:rsid w:val="6C9DDF81"/>
    <w:rsid w:val="6C9F5F07"/>
    <w:rsid w:val="6CABED04"/>
    <w:rsid w:val="6CB9535E"/>
    <w:rsid w:val="6CBDF993"/>
    <w:rsid w:val="6CC1B31A"/>
    <w:rsid w:val="6CC55CD6"/>
    <w:rsid w:val="6CE01332"/>
    <w:rsid w:val="6CF0F7E7"/>
    <w:rsid w:val="6CF54A21"/>
    <w:rsid w:val="6CF5E68F"/>
    <w:rsid w:val="6CF7377B"/>
    <w:rsid w:val="6CFC8F6A"/>
    <w:rsid w:val="6D056432"/>
    <w:rsid w:val="6D0A8A5B"/>
    <w:rsid w:val="6D11FB27"/>
    <w:rsid w:val="6D1C5083"/>
    <w:rsid w:val="6D3373EF"/>
    <w:rsid w:val="6D418D2B"/>
    <w:rsid w:val="6D5582BA"/>
    <w:rsid w:val="6D63BD12"/>
    <w:rsid w:val="6D6CE564"/>
    <w:rsid w:val="6D711F05"/>
    <w:rsid w:val="6D72E583"/>
    <w:rsid w:val="6D75E353"/>
    <w:rsid w:val="6D899660"/>
    <w:rsid w:val="6D8AD926"/>
    <w:rsid w:val="6D8F58EF"/>
    <w:rsid w:val="6D999410"/>
    <w:rsid w:val="6DA60928"/>
    <w:rsid w:val="6DA6D7D5"/>
    <w:rsid w:val="6DACAEAA"/>
    <w:rsid w:val="6DACD263"/>
    <w:rsid w:val="6DBCB44C"/>
    <w:rsid w:val="6DC35D63"/>
    <w:rsid w:val="6DC5C035"/>
    <w:rsid w:val="6DCFC481"/>
    <w:rsid w:val="6DE486F4"/>
    <w:rsid w:val="6DE9E35D"/>
    <w:rsid w:val="6DECA7EE"/>
    <w:rsid w:val="6DF9C2C9"/>
    <w:rsid w:val="6E033F17"/>
    <w:rsid w:val="6E114511"/>
    <w:rsid w:val="6E179236"/>
    <w:rsid w:val="6E1D350F"/>
    <w:rsid w:val="6E23CCB9"/>
    <w:rsid w:val="6E2A2092"/>
    <w:rsid w:val="6E344F04"/>
    <w:rsid w:val="6E49C3E3"/>
    <w:rsid w:val="6E50B8BF"/>
    <w:rsid w:val="6E58C6B5"/>
    <w:rsid w:val="6E66C549"/>
    <w:rsid w:val="6E6AA2D8"/>
    <w:rsid w:val="6E9A50F8"/>
    <w:rsid w:val="6EB2EF9F"/>
    <w:rsid w:val="6ECA8954"/>
    <w:rsid w:val="6ED0F788"/>
    <w:rsid w:val="6EE0DAA6"/>
    <w:rsid w:val="6EE13DBC"/>
    <w:rsid w:val="6EF1934E"/>
    <w:rsid w:val="6F141F24"/>
    <w:rsid w:val="6F1824BD"/>
    <w:rsid w:val="6F1A3437"/>
    <w:rsid w:val="6F3CFF8D"/>
    <w:rsid w:val="6F476B61"/>
    <w:rsid w:val="6F47ACB9"/>
    <w:rsid w:val="6F5E22A1"/>
    <w:rsid w:val="6F641EAD"/>
    <w:rsid w:val="6F68D13F"/>
    <w:rsid w:val="6F6A1783"/>
    <w:rsid w:val="6F8F3005"/>
    <w:rsid w:val="6F96C48C"/>
    <w:rsid w:val="6F994E05"/>
    <w:rsid w:val="6FA26C3E"/>
    <w:rsid w:val="6FA2F1EF"/>
    <w:rsid w:val="6FA52E05"/>
    <w:rsid w:val="6FAD5600"/>
    <w:rsid w:val="6FB89615"/>
    <w:rsid w:val="6FCA0E05"/>
    <w:rsid w:val="6FD63BF0"/>
    <w:rsid w:val="6FD9406D"/>
    <w:rsid w:val="6FDF32B3"/>
    <w:rsid w:val="6FE2CD69"/>
    <w:rsid w:val="6FE55DF9"/>
    <w:rsid w:val="6FE5C3DB"/>
    <w:rsid w:val="6FFBBE34"/>
    <w:rsid w:val="7003CE05"/>
    <w:rsid w:val="700EC970"/>
    <w:rsid w:val="70162758"/>
    <w:rsid w:val="70192FDB"/>
    <w:rsid w:val="701A34F3"/>
    <w:rsid w:val="70245DA7"/>
    <w:rsid w:val="70260699"/>
    <w:rsid w:val="70280172"/>
    <w:rsid w:val="702C0A62"/>
    <w:rsid w:val="703B261E"/>
    <w:rsid w:val="7048BE26"/>
    <w:rsid w:val="7062AF6C"/>
    <w:rsid w:val="70783DE6"/>
    <w:rsid w:val="708093A6"/>
    <w:rsid w:val="708879A7"/>
    <w:rsid w:val="70A106A2"/>
    <w:rsid w:val="70A1EC77"/>
    <w:rsid w:val="70AB25A0"/>
    <w:rsid w:val="70B3DAB6"/>
    <w:rsid w:val="70B63D8C"/>
    <w:rsid w:val="70BEE710"/>
    <w:rsid w:val="70CD10F6"/>
    <w:rsid w:val="70D9CF33"/>
    <w:rsid w:val="70EA2398"/>
    <w:rsid w:val="71070E53"/>
    <w:rsid w:val="710C3DFB"/>
    <w:rsid w:val="710C9404"/>
    <w:rsid w:val="71187F9C"/>
    <w:rsid w:val="71228D30"/>
    <w:rsid w:val="71258C43"/>
    <w:rsid w:val="7134E999"/>
    <w:rsid w:val="713782D7"/>
    <w:rsid w:val="71435DD1"/>
    <w:rsid w:val="7146601F"/>
    <w:rsid w:val="71627B13"/>
    <w:rsid w:val="718F8CA0"/>
    <w:rsid w:val="71AD9504"/>
    <w:rsid w:val="71B326EB"/>
    <w:rsid w:val="71D353A6"/>
    <w:rsid w:val="71E012B6"/>
    <w:rsid w:val="71EA57CE"/>
    <w:rsid w:val="71EEBEF3"/>
    <w:rsid w:val="71F50893"/>
    <w:rsid w:val="71F98505"/>
    <w:rsid w:val="72065BDF"/>
    <w:rsid w:val="721026D1"/>
    <w:rsid w:val="721D0CB7"/>
    <w:rsid w:val="7221EF90"/>
    <w:rsid w:val="72245A45"/>
    <w:rsid w:val="722605EC"/>
    <w:rsid w:val="7234AE76"/>
    <w:rsid w:val="724BD604"/>
    <w:rsid w:val="725CCD81"/>
    <w:rsid w:val="7266B185"/>
    <w:rsid w:val="726A0D9C"/>
    <w:rsid w:val="7272F8F7"/>
    <w:rsid w:val="727B6748"/>
    <w:rsid w:val="72888D06"/>
    <w:rsid w:val="729F1897"/>
    <w:rsid w:val="72B89C1E"/>
    <w:rsid w:val="72C0CD91"/>
    <w:rsid w:val="72C4E44E"/>
    <w:rsid w:val="72CCCB21"/>
    <w:rsid w:val="72CD8874"/>
    <w:rsid w:val="72D5ECFF"/>
    <w:rsid w:val="72D7345A"/>
    <w:rsid w:val="72DC0334"/>
    <w:rsid w:val="72E22F0D"/>
    <w:rsid w:val="72FC59F4"/>
    <w:rsid w:val="7303C8E0"/>
    <w:rsid w:val="730B00E0"/>
    <w:rsid w:val="7315DB66"/>
    <w:rsid w:val="731EE031"/>
    <w:rsid w:val="73215DE5"/>
    <w:rsid w:val="73227105"/>
    <w:rsid w:val="732B2767"/>
    <w:rsid w:val="733A183A"/>
    <w:rsid w:val="7344C75A"/>
    <w:rsid w:val="73563900"/>
    <w:rsid w:val="73603D72"/>
    <w:rsid w:val="736AFF67"/>
    <w:rsid w:val="7380D25D"/>
    <w:rsid w:val="73871F40"/>
    <w:rsid w:val="738D72BC"/>
    <w:rsid w:val="7393CD38"/>
    <w:rsid w:val="73A09E4F"/>
    <w:rsid w:val="73A4661A"/>
    <w:rsid w:val="73ADF8FB"/>
    <w:rsid w:val="73C3B142"/>
    <w:rsid w:val="73D45702"/>
    <w:rsid w:val="73D75E34"/>
    <w:rsid w:val="73EA2AA3"/>
    <w:rsid w:val="73FE21B7"/>
    <w:rsid w:val="7405D455"/>
    <w:rsid w:val="7414F390"/>
    <w:rsid w:val="7423C251"/>
    <w:rsid w:val="7426039E"/>
    <w:rsid w:val="7427F3A0"/>
    <w:rsid w:val="743185E6"/>
    <w:rsid w:val="743812F2"/>
    <w:rsid w:val="743C0693"/>
    <w:rsid w:val="74500502"/>
    <w:rsid w:val="7462993A"/>
    <w:rsid w:val="7467631D"/>
    <w:rsid w:val="74767ADC"/>
    <w:rsid w:val="74846C80"/>
    <w:rsid w:val="748D9FD3"/>
    <w:rsid w:val="748F8B0D"/>
    <w:rsid w:val="74A77BA9"/>
    <w:rsid w:val="74B4FB89"/>
    <w:rsid w:val="74BFFC69"/>
    <w:rsid w:val="74C5C330"/>
    <w:rsid w:val="74CA0859"/>
    <w:rsid w:val="74DC3E25"/>
    <w:rsid w:val="74DEE311"/>
    <w:rsid w:val="74DF5625"/>
    <w:rsid w:val="74E983EB"/>
    <w:rsid w:val="74ED5C67"/>
    <w:rsid w:val="74F91366"/>
    <w:rsid w:val="74FD806D"/>
    <w:rsid w:val="7501C46A"/>
    <w:rsid w:val="7503D916"/>
    <w:rsid w:val="75111F9B"/>
    <w:rsid w:val="75137198"/>
    <w:rsid w:val="7514C113"/>
    <w:rsid w:val="7520C5E9"/>
    <w:rsid w:val="7539031E"/>
    <w:rsid w:val="7540E664"/>
    <w:rsid w:val="75435F3E"/>
    <w:rsid w:val="754DCA99"/>
    <w:rsid w:val="7552E7B0"/>
    <w:rsid w:val="758344D5"/>
    <w:rsid w:val="758D1246"/>
    <w:rsid w:val="7592F94A"/>
    <w:rsid w:val="75993801"/>
    <w:rsid w:val="75AEB7DB"/>
    <w:rsid w:val="75B81F85"/>
    <w:rsid w:val="75DA5BDB"/>
    <w:rsid w:val="75E4808D"/>
    <w:rsid w:val="75ED34E7"/>
    <w:rsid w:val="75FD694C"/>
    <w:rsid w:val="7601BE3A"/>
    <w:rsid w:val="760448C3"/>
    <w:rsid w:val="76051D74"/>
    <w:rsid w:val="760F2C9C"/>
    <w:rsid w:val="760F544A"/>
    <w:rsid w:val="76102C60"/>
    <w:rsid w:val="7616B0D0"/>
    <w:rsid w:val="7618749B"/>
    <w:rsid w:val="7618E048"/>
    <w:rsid w:val="763A20E7"/>
    <w:rsid w:val="764158B1"/>
    <w:rsid w:val="764683BC"/>
    <w:rsid w:val="764932B0"/>
    <w:rsid w:val="7660D6D7"/>
    <w:rsid w:val="7673577C"/>
    <w:rsid w:val="7681B418"/>
    <w:rsid w:val="768553C9"/>
    <w:rsid w:val="768B1AE0"/>
    <w:rsid w:val="768C6E4F"/>
    <w:rsid w:val="76A1DA3D"/>
    <w:rsid w:val="76BC117C"/>
    <w:rsid w:val="76BF67C4"/>
    <w:rsid w:val="76C15FDD"/>
    <w:rsid w:val="76D05701"/>
    <w:rsid w:val="76D4797A"/>
    <w:rsid w:val="76D7621E"/>
    <w:rsid w:val="76E34238"/>
    <w:rsid w:val="76EFFD9C"/>
    <w:rsid w:val="76F3A0DE"/>
    <w:rsid w:val="76F3C599"/>
    <w:rsid w:val="76F6CF47"/>
    <w:rsid w:val="76F79BB2"/>
    <w:rsid w:val="77099AAF"/>
    <w:rsid w:val="770A9E62"/>
    <w:rsid w:val="771D95A9"/>
    <w:rsid w:val="7720198F"/>
    <w:rsid w:val="77298BFE"/>
    <w:rsid w:val="773746C7"/>
    <w:rsid w:val="7738A85E"/>
    <w:rsid w:val="774426BF"/>
    <w:rsid w:val="774AC47E"/>
    <w:rsid w:val="774D562D"/>
    <w:rsid w:val="774D68F9"/>
    <w:rsid w:val="7750D8E2"/>
    <w:rsid w:val="77516030"/>
    <w:rsid w:val="775893A1"/>
    <w:rsid w:val="7758C9C7"/>
    <w:rsid w:val="775D1B69"/>
    <w:rsid w:val="77604B7B"/>
    <w:rsid w:val="7767F4C3"/>
    <w:rsid w:val="776B3AE4"/>
    <w:rsid w:val="777011B1"/>
    <w:rsid w:val="77703D0E"/>
    <w:rsid w:val="77848D62"/>
    <w:rsid w:val="779732B6"/>
    <w:rsid w:val="77A882F9"/>
    <w:rsid w:val="77ACF008"/>
    <w:rsid w:val="77AE46AF"/>
    <w:rsid w:val="77C02D5B"/>
    <w:rsid w:val="77C06648"/>
    <w:rsid w:val="77C14CA8"/>
    <w:rsid w:val="77C63D3E"/>
    <w:rsid w:val="77C9899D"/>
    <w:rsid w:val="77CCA84C"/>
    <w:rsid w:val="77DDA692"/>
    <w:rsid w:val="77E34904"/>
    <w:rsid w:val="77F2B35C"/>
    <w:rsid w:val="77F3FC7C"/>
    <w:rsid w:val="77FB804C"/>
    <w:rsid w:val="781B9732"/>
    <w:rsid w:val="781D8A23"/>
    <w:rsid w:val="781EA305"/>
    <w:rsid w:val="782B77A5"/>
    <w:rsid w:val="782C2992"/>
    <w:rsid w:val="7835B2D8"/>
    <w:rsid w:val="7862B30F"/>
    <w:rsid w:val="786B47E8"/>
    <w:rsid w:val="787EE1D6"/>
    <w:rsid w:val="787F9FEA"/>
    <w:rsid w:val="78894CED"/>
    <w:rsid w:val="78971ED3"/>
    <w:rsid w:val="78A4DDE8"/>
    <w:rsid w:val="78AA7C1F"/>
    <w:rsid w:val="78AFDBD6"/>
    <w:rsid w:val="78B256C7"/>
    <w:rsid w:val="78B41E8E"/>
    <w:rsid w:val="78B9E37B"/>
    <w:rsid w:val="78BA29D4"/>
    <w:rsid w:val="78BC3CC0"/>
    <w:rsid w:val="78C2925E"/>
    <w:rsid w:val="78F0AF3A"/>
    <w:rsid w:val="78F896F5"/>
    <w:rsid w:val="78FD84B7"/>
    <w:rsid w:val="79050AED"/>
    <w:rsid w:val="790E98F2"/>
    <w:rsid w:val="791731AE"/>
    <w:rsid w:val="791F8F40"/>
    <w:rsid w:val="79292E3D"/>
    <w:rsid w:val="792C17DA"/>
    <w:rsid w:val="792C45E8"/>
    <w:rsid w:val="793533FA"/>
    <w:rsid w:val="79428295"/>
    <w:rsid w:val="7946C041"/>
    <w:rsid w:val="794B0E0A"/>
    <w:rsid w:val="796C793F"/>
    <w:rsid w:val="796E572E"/>
    <w:rsid w:val="797FEC53"/>
    <w:rsid w:val="798A1B49"/>
    <w:rsid w:val="798BF8CD"/>
    <w:rsid w:val="798CBBFF"/>
    <w:rsid w:val="798F6C13"/>
    <w:rsid w:val="7995DDDE"/>
    <w:rsid w:val="799C1790"/>
    <w:rsid w:val="79A35B44"/>
    <w:rsid w:val="79A5F5FB"/>
    <w:rsid w:val="79C212DB"/>
    <w:rsid w:val="79C7E3B9"/>
    <w:rsid w:val="79D3F30F"/>
    <w:rsid w:val="79DB3B1B"/>
    <w:rsid w:val="79DF457C"/>
    <w:rsid w:val="79E90CAD"/>
    <w:rsid w:val="79FABD4C"/>
    <w:rsid w:val="7A00E0EC"/>
    <w:rsid w:val="7A0A0943"/>
    <w:rsid w:val="7A106250"/>
    <w:rsid w:val="7A1431CE"/>
    <w:rsid w:val="7A1599E5"/>
    <w:rsid w:val="7A22DB10"/>
    <w:rsid w:val="7A244B2D"/>
    <w:rsid w:val="7A2C85A0"/>
    <w:rsid w:val="7A2FC609"/>
    <w:rsid w:val="7A371DA4"/>
    <w:rsid w:val="7A390DD3"/>
    <w:rsid w:val="7A392D8F"/>
    <w:rsid w:val="7A3AADC2"/>
    <w:rsid w:val="7A4ECAFC"/>
    <w:rsid w:val="7A5457E1"/>
    <w:rsid w:val="7A68ED78"/>
    <w:rsid w:val="7A6D9BF7"/>
    <w:rsid w:val="7A6E6E7B"/>
    <w:rsid w:val="7A87A8C6"/>
    <w:rsid w:val="7A882CFF"/>
    <w:rsid w:val="7A9963FE"/>
    <w:rsid w:val="7AA10C4B"/>
    <w:rsid w:val="7AA18D7A"/>
    <w:rsid w:val="7AA7880E"/>
    <w:rsid w:val="7ABE60F7"/>
    <w:rsid w:val="7AD7A56D"/>
    <w:rsid w:val="7AD8245A"/>
    <w:rsid w:val="7AD90CDE"/>
    <w:rsid w:val="7AEB2049"/>
    <w:rsid w:val="7B023C8A"/>
    <w:rsid w:val="7B14C868"/>
    <w:rsid w:val="7B18515F"/>
    <w:rsid w:val="7B394ADB"/>
    <w:rsid w:val="7B3B0EBB"/>
    <w:rsid w:val="7B7B48CD"/>
    <w:rsid w:val="7B7F5119"/>
    <w:rsid w:val="7B809DB2"/>
    <w:rsid w:val="7B841831"/>
    <w:rsid w:val="7B9882D6"/>
    <w:rsid w:val="7B9BE91A"/>
    <w:rsid w:val="7B9DC5F7"/>
    <w:rsid w:val="7BADBCF5"/>
    <w:rsid w:val="7BAE436C"/>
    <w:rsid w:val="7BAFD531"/>
    <w:rsid w:val="7BB000D8"/>
    <w:rsid w:val="7BB34BF8"/>
    <w:rsid w:val="7BB68D15"/>
    <w:rsid w:val="7BC62E3C"/>
    <w:rsid w:val="7BD2334B"/>
    <w:rsid w:val="7BD2A802"/>
    <w:rsid w:val="7BD46A83"/>
    <w:rsid w:val="7BD5F424"/>
    <w:rsid w:val="7BFD2F97"/>
    <w:rsid w:val="7C09C438"/>
    <w:rsid w:val="7C0CFF2E"/>
    <w:rsid w:val="7C0E5DD9"/>
    <w:rsid w:val="7C206623"/>
    <w:rsid w:val="7C2FCDB5"/>
    <w:rsid w:val="7C41E296"/>
    <w:rsid w:val="7C47253B"/>
    <w:rsid w:val="7C57BEF8"/>
    <w:rsid w:val="7C705394"/>
    <w:rsid w:val="7C79B30C"/>
    <w:rsid w:val="7C7F1592"/>
    <w:rsid w:val="7C87F2C9"/>
    <w:rsid w:val="7C91E43B"/>
    <w:rsid w:val="7C9A290B"/>
    <w:rsid w:val="7C9D08E1"/>
    <w:rsid w:val="7C9D1615"/>
    <w:rsid w:val="7CA153E1"/>
    <w:rsid w:val="7CA2AEE2"/>
    <w:rsid w:val="7CACAAC4"/>
    <w:rsid w:val="7CB2D0C8"/>
    <w:rsid w:val="7CB4C21B"/>
    <w:rsid w:val="7CB94ABD"/>
    <w:rsid w:val="7CB9D7FD"/>
    <w:rsid w:val="7CC6F55F"/>
    <w:rsid w:val="7CCC3A06"/>
    <w:rsid w:val="7CD3FBF2"/>
    <w:rsid w:val="7CE0F770"/>
    <w:rsid w:val="7CE109F0"/>
    <w:rsid w:val="7CE1F183"/>
    <w:rsid w:val="7CE58C3E"/>
    <w:rsid w:val="7CF227C8"/>
    <w:rsid w:val="7CF27664"/>
    <w:rsid w:val="7CF32AD0"/>
    <w:rsid w:val="7CF8D8D6"/>
    <w:rsid w:val="7CFBBA3A"/>
    <w:rsid w:val="7D027C64"/>
    <w:rsid w:val="7D12109A"/>
    <w:rsid w:val="7D149E28"/>
    <w:rsid w:val="7D18A789"/>
    <w:rsid w:val="7D1DE0D9"/>
    <w:rsid w:val="7D249097"/>
    <w:rsid w:val="7D251E2F"/>
    <w:rsid w:val="7D26561D"/>
    <w:rsid w:val="7D279D6C"/>
    <w:rsid w:val="7D2F0288"/>
    <w:rsid w:val="7D30B4FB"/>
    <w:rsid w:val="7D3B7791"/>
    <w:rsid w:val="7D409510"/>
    <w:rsid w:val="7D413406"/>
    <w:rsid w:val="7D596EED"/>
    <w:rsid w:val="7D5EE4B3"/>
    <w:rsid w:val="7D62AAA8"/>
    <w:rsid w:val="7D63AE08"/>
    <w:rsid w:val="7D6B1A63"/>
    <w:rsid w:val="7D71D005"/>
    <w:rsid w:val="7D720989"/>
    <w:rsid w:val="7D7F3DB2"/>
    <w:rsid w:val="7D86265F"/>
    <w:rsid w:val="7D8DD208"/>
    <w:rsid w:val="7DAC600B"/>
    <w:rsid w:val="7DAD2051"/>
    <w:rsid w:val="7DAF8047"/>
    <w:rsid w:val="7DB3A9C7"/>
    <w:rsid w:val="7DB7FCE2"/>
    <w:rsid w:val="7DBC6ACD"/>
    <w:rsid w:val="7DCDE332"/>
    <w:rsid w:val="7DCF3C24"/>
    <w:rsid w:val="7DDA3365"/>
    <w:rsid w:val="7DDB93DF"/>
    <w:rsid w:val="7DDDA366"/>
    <w:rsid w:val="7DE990B7"/>
    <w:rsid w:val="7DF38215"/>
    <w:rsid w:val="7DF6CD9F"/>
    <w:rsid w:val="7DFA8547"/>
    <w:rsid w:val="7E034820"/>
    <w:rsid w:val="7E1CC86A"/>
    <w:rsid w:val="7E27B6E9"/>
    <w:rsid w:val="7E31E831"/>
    <w:rsid w:val="7E3C93B1"/>
    <w:rsid w:val="7E40B419"/>
    <w:rsid w:val="7E413A49"/>
    <w:rsid w:val="7E45B248"/>
    <w:rsid w:val="7E49A3D0"/>
    <w:rsid w:val="7E506165"/>
    <w:rsid w:val="7E7B990E"/>
    <w:rsid w:val="7E7F049A"/>
    <w:rsid w:val="7E93A73E"/>
    <w:rsid w:val="7E94FF87"/>
    <w:rsid w:val="7E975A77"/>
    <w:rsid w:val="7EADC8ED"/>
    <w:rsid w:val="7EC53CF3"/>
    <w:rsid w:val="7EE68253"/>
    <w:rsid w:val="7EED6C67"/>
    <w:rsid w:val="7EED9EEB"/>
    <w:rsid w:val="7EF48896"/>
    <w:rsid w:val="7EF59B9F"/>
    <w:rsid w:val="7F059315"/>
    <w:rsid w:val="7F153BF2"/>
    <w:rsid w:val="7F1F8045"/>
    <w:rsid w:val="7F23462C"/>
    <w:rsid w:val="7F39FC4D"/>
    <w:rsid w:val="7F3D9537"/>
    <w:rsid w:val="7F47DF5C"/>
    <w:rsid w:val="7F49C4E8"/>
    <w:rsid w:val="7F4B472E"/>
    <w:rsid w:val="7F582840"/>
    <w:rsid w:val="7F7E02A2"/>
    <w:rsid w:val="7F841FA6"/>
    <w:rsid w:val="7F995C33"/>
    <w:rsid w:val="7F99DC8C"/>
    <w:rsid w:val="7FAFC451"/>
    <w:rsid w:val="7FB4A6F0"/>
    <w:rsid w:val="7FBBFAEE"/>
    <w:rsid w:val="7FBF94E1"/>
    <w:rsid w:val="7FC5B5FF"/>
    <w:rsid w:val="7FC78AFC"/>
    <w:rsid w:val="7FCCB5D1"/>
    <w:rsid w:val="7FD4016E"/>
    <w:rsid w:val="7FD752C9"/>
    <w:rsid w:val="7FDAB7DA"/>
    <w:rsid w:val="7FDBA316"/>
    <w:rsid w:val="7FE0A38C"/>
    <w:rsid w:val="7FE386BC"/>
    <w:rsid w:val="7FF4EC50"/>
    <w:rsid w:val="7FF6D70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703"/>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Normal"/>
    <w:next w:val="Normal"/>
    <w:link w:val="Heading5Char"/>
    <w:uiPriority w:val="9"/>
    <w:unhideWhenUsed/>
    <w:qFormat/>
    <w:rsid w:val="00A4073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qFormat/>
    <w:rsid w:val="00EB591A"/>
    <w:pPr>
      <w:keepNext/>
      <w:spacing w:before="360" w:after="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ahnschrift SemiCondensed" w:hAnsi="Bahnschrift SemiCondensed"/>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uiPriority w:val="99"/>
    <w:rsid w:val="00EB591A"/>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PBAC table,HTAtableplain,Lash Style Table,CMA Table Template,YHEC table,Dossier table,Section 3- footnotes,MSD Table Grid"/>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F90945"/>
    <w:pPr>
      <w:tabs>
        <w:tab w:val="left" w:pos="284"/>
      </w:tabs>
      <w:spacing w:before="40" w:after="240" w:line="240" w:lineRule="auto"/>
      <w:contextualSpacing/>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F90945"/>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4"/>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3"/>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Franklin Gothic" w:hAnsi="Franklin Gothic"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Franklin Gothic" w:hAnsi="Franklin Gothic"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Franklin Gothic" w:hAnsi="Franklin Gothic"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iPriority w:val="99"/>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paragraph" w:customStyle="1" w:styleId="TableFigNotes18">
    <w:name w:val="TableFigNotes+18"/>
    <w:basedOn w:val="Normal"/>
    <w:next w:val="BodyText"/>
    <w:link w:val="TableFigNotes18Char"/>
    <w:uiPriority w:val="4"/>
    <w:qFormat/>
    <w:rsid w:val="008B7E8C"/>
    <w:pPr>
      <w:spacing w:before="60" w:after="360" w:line="276" w:lineRule="auto"/>
      <w:contextualSpacing/>
    </w:pPr>
    <w:rPr>
      <w:rFonts w:ascii="Montserrat" w:hAnsi="Montserrat"/>
      <w:sz w:val="14"/>
    </w:rPr>
  </w:style>
  <w:style w:type="character" w:customStyle="1" w:styleId="TableFigNotes18Char">
    <w:name w:val="TableFigNotes+18 Char"/>
    <w:basedOn w:val="DefaultParagraphFont"/>
    <w:link w:val="TableFigNotes18"/>
    <w:uiPriority w:val="4"/>
    <w:locked/>
    <w:rsid w:val="008B7E8C"/>
    <w:rPr>
      <w:rFonts w:ascii="Montserrat" w:hAnsi="Montserrat"/>
      <w:sz w:val="14"/>
    </w:rPr>
  </w:style>
  <w:style w:type="paragraph" w:styleId="BodyText">
    <w:name w:val="Body Text"/>
    <w:basedOn w:val="Normal"/>
    <w:link w:val="BodyTextChar"/>
    <w:uiPriority w:val="99"/>
    <w:unhideWhenUsed/>
    <w:rsid w:val="008B7E8C"/>
    <w:pPr>
      <w:spacing w:after="120"/>
    </w:pPr>
  </w:style>
  <w:style w:type="character" w:customStyle="1" w:styleId="BodyTextChar">
    <w:name w:val="Body Text Char"/>
    <w:basedOn w:val="DefaultParagraphFont"/>
    <w:link w:val="BodyText"/>
    <w:rsid w:val="008B7E8C"/>
    <w:rPr>
      <w:rFonts w:ascii="Franklin Gothic Book" w:hAnsi="Franklin Gothic Book"/>
    </w:rPr>
  </w:style>
  <w:style w:type="table" w:styleId="PlainTable2">
    <w:name w:val="Plain Table 2"/>
    <w:basedOn w:val="TableNormal"/>
    <w:uiPriority w:val="42"/>
    <w:rsid w:val="005674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D01591"/>
  </w:style>
  <w:style w:type="character" w:customStyle="1" w:styleId="eop">
    <w:name w:val="eop"/>
    <w:basedOn w:val="DefaultParagraphFont"/>
    <w:rsid w:val="00D01591"/>
  </w:style>
  <w:style w:type="paragraph" w:customStyle="1" w:styleId="paragraph">
    <w:name w:val="paragraph"/>
    <w:basedOn w:val="Normal"/>
    <w:rsid w:val="00D0159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indhit">
    <w:name w:val="findhit"/>
    <w:basedOn w:val="DefaultParagraphFont"/>
    <w:rsid w:val="00434A72"/>
  </w:style>
  <w:style w:type="paragraph" w:customStyle="1" w:styleId="TableH28pt">
    <w:name w:val="Table H2 8pt"/>
    <w:basedOn w:val="Normal"/>
    <w:qFormat/>
    <w:rsid w:val="004650A0"/>
    <w:pPr>
      <w:keepNext/>
      <w:keepLines/>
      <w:spacing w:before="20" w:after="20" w:line="240" w:lineRule="auto"/>
      <w:contextualSpacing/>
    </w:pPr>
    <w:rPr>
      <w:rFonts w:ascii="Montserrat" w:eastAsia="PMingLiU" w:hAnsi="Montserrat" w:cs="Calibri"/>
      <w:b/>
      <w:sz w:val="16"/>
      <w:szCs w:val="20"/>
    </w:rPr>
  </w:style>
  <w:style w:type="paragraph" w:customStyle="1" w:styleId="Tabletext8pt">
    <w:name w:val="Table text 8pt"/>
    <w:basedOn w:val="Tabletext0"/>
    <w:link w:val="Tabletext8ptChar"/>
    <w:qFormat/>
    <w:rsid w:val="004650A0"/>
    <w:pPr>
      <w:keepNext/>
      <w:keepLines/>
      <w:spacing w:before="20" w:after="20"/>
      <w:jc w:val="left"/>
    </w:pPr>
    <w:rPr>
      <w:rFonts w:ascii="Montserrat" w:eastAsia="PMingLiU" w:hAnsi="Montserrat" w:cs="Calibri"/>
      <w:sz w:val="16"/>
      <w:szCs w:val="16"/>
    </w:rPr>
  </w:style>
  <w:style w:type="table" w:customStyle="1" w:styleId="HTATableshaded">
    <w:name w:val="HTA Table shaded"/>
    <w:basedOn w:val="TableNormal"/>
    <w:rsid w:val="004650A0"/>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Tabletext8ptChar">
    <w:name w:val="Table text 8pt Char"/>
    <w:basedOn w:val="TabletextChar0"/>
    <w:link w:val="Tabletext8pt"/>
    <w:rsid w:val="004650A0"/>
    <w:rPr>
      <w:rFonts w:ascii="Montserrat" w:eastAsia="PMingLiU" w:hAnsi="Montserrat" w:cs="Calibri"/>
      <w:sz w:val="16"/>
      <w:szCs w:val="16"/>
      <w:lang w:eastAsia="en-AU"/>
    </w:rPr>
  </w:style>
  <w:style w:type="character" w:styleId="Mention">
    <w:name w:val="Mention"/>
    <w:basedOn w:val="DefaultParagraphFont"/>
    <w:uiPriority w:val="99"/>
    <w:unhideWhenUsed/>
    <w:rsid w:val="00E64EC6"/>
    <w:rPr>
      <w:color w:val="2B579A"/>
      <w:shd w:val="clear" w:color="auto" w:fill="E1DFDD"/>
    </w:rPr>
  </w:style>
  <w:style w:type="paragraph" w:customStyle="1" w:styleId="TableH28ptCentered">
    <w:name w:val="Table H2 8pt + Centered"/>
    <w:basedOn w:val="Normal"/>
    <w:qFormat/>
    <w:rsid w:val="00F83EB7"/>
    <w:pPr>
      <w:keepNext/>
      <w:keepLines/>
      <w:spacing w:before="20" w:after="20" w:line="240" w:lineRule="auto"/>
      <w:contextualSpacing/>
      <w:jc w:val="center"/>
    </w:pPr>
    <w:rPr>
      <w:rFonts w:ascii="Montserrat" w:eastAsia="PMingLiU" w:hAnsi="Montserrat" w:cs="Calibri"/>
      <w:b/>
      <w:sz w:val="16"/>
      <w:szCs w:val="20"/>
    </w:rPr>
  </w:style>
  <w:style w:type="paragraph" w:customStyle="1" w:styleId="Tabletext8ptCentered">
    <w:name w:val="Table text 8pt + Centered"/>
    <w:basedOn w:val="Tabletext8pt"/>
    <w:qFormat/>
    <w:rsid w:val="00F83EB7"/>
    <w:pPr>
      <w:jc w:val="center"/>
    </w:pPr>
    <w:rPr>
      <w:lang w:eastAsia="en-US"/>
    </w:rPr>
  </w:style>
  <w:style w:type="character" w:styleId="UnresolvedMention">
    <w:name w:val="Unresolved Mention"/>
    <w:basedOn w:val="DefaultParagraphFont"/>
    <w:uiPriority w:val="99"/>
    <w:semiHidden/>
    <w:unhideWhenUsed/>
    <w:rsid w:val="0007640C"/>
    <w:rPr>
      <w:color w:val="605E5C"/>
      <w:shd w:val="clear" w:color="auto" w:fill="E1DFDD"/>
    </w:rPr>
  </w:style>
  <w:style w:type="character" w:customStyle="1" w:styleId="Heading5Char">
    <w:name w:val="Heading 5 Char"/>
    <w:basedOn w:val="DefaultParagraphFont"/>
    <w:link w:val="Heading5"/>
    <w:uiPriority w:val="9"/>
    <w:rsid w:val="00A4073D"/>
    <w:rPr>
      <w:rFonts w:asciiTheme="majorHAnsi" w:eastAsiaTheme="majorEastAsia" w:hAnsiTheme="majorHAnsi" w:cstheme="majorBidi"/>
      <w:color w:val="2E74B5" w:themeColor="accent1" w:themeShade="BF"/>
    </w:rPr>
  </w:style>
  <w:style w:type="table" w:customStyle="1" w:styleId="MSAC">
    <w:name w:val="MSAC"/>
    <w:basedOn w:val="TableNormal"/>
    <w:next w:val="TableGrid"/>
    <w:locked/>
    <w:rsid w:val="00ED0492"/>
    <w:pPr>
      <w:widowControl w:val="0"/>
      <w:spacing w:before="20" w:after="2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20" w:beforeAutospacing="0" w:afterLines="0" w:after="20" w:afterAutospacing="0"/>
      </w:pPr>
      <w:rPr>
        <w:rFonts w:ascii="Franklin Gothic" w:hAnsi="Franklin Gothic"/>
        <w:b/>
        <w:sz w:val="20"/>
      </w:rPr>
      <w:tblPr/>
      <w:trPr>
        <w:tblHeader/>
      </w:trPr>
      <w:tcPr>
        <w:vAlign w:val="top"/>
      </w:tcPr>
    </w:tblStylePr>
  </w:style>
  <w:style w:type="character" w:styleId="PlaceholderText">
    <w:name w:val="Placeholder Text"/>
    <w:basedOn w:val="DefaultParagraphFont"/>
    <w:uiPriority w:val="99"/>
    <w:semiHidden/>
    <w:rsid w:val="00281565"/>
    <w:rPr>
      <w:color w:val="666666"/>
    </w:rPr>
  </w:style>
  <w:style w:type="paragraph" w:customStyle="1" w:styleId="TableDash">
    <w:name w:val="TableDash"/>
    <w:basedOn w:val="TableText1"/>
    <w:rsid w:val="00C05DB4"/>
    <w:pPr>
      <w:numPr>
        <w:numId w:val="22"/>
      </w:numPr>
      <w:tabs>
        <w:tab w:val="clear" w:pos="216"/>
        <w:tab w:val="num" w:pos="432"/>
      </w:tabs>
      <w:spacing w:before="60" w:after="60" w:line="240" w:lineRule="auto"/>
      <w:jc w:val="left"/>
    </w:pPr>
    <w:rPr>
      <w:rFonts w:ascii="Franklin Gothic Book" w:hAnsi="Franklin Gothic Book" w:cs="Times New Roman"/>
      <w:color w:val="000000"/>
      <w:sz w:val="21"/>
      <w:szCs w:val="21"/>
    </w:rPr>
  </w:style>
  <w:style w:type="paragraph" w:customStyle="1" w:styleId="BulletBeforeDash">
    <w:name w:val="BulletBeforeDash"/>
    <w:basedOn w:val="Normal"/>
    <w:rsid w:val="00C05DB4"/>
    <w:pPr>
      <w:numPr>
        <w:numId w:val="23"/>
      </w:numPr>
      <w:spacing w:before="0" w:after="0" w:line="240" w:lineRule="auto"/>
    </w:pPr>
    <w:rPr>
      <w:rFonts w:eastAsia="Times New Roman" w:cs="Times New Roman"/>
      <w:color w:val="000000"/>
      <w:szCs w:val="20"/>
      <w:lang w:eastAsia="en-AU"/>
    </w:rPr>
  </w:style>
  <w:style w:type="paragraph" w:customStyle="1" w:styleId="BulletLast">
    <w:name w:val="BulletLast"/>
    <w:basedOn w:val="Bullet"/>
    <w:qFormat/>
    <w:rsid w:val="00C05DB4"/>
    <w:pPr>
      <w:numPr>
        <w:numId w:val="0"/>
      </w:numPr>
      <w:spacing w:before="0" w:after="240"/>
      <w:ind w:left="720" w:hanging="360"/>
    </w:pPr>
    <w:rPr>
      <w:rFonts w:ascii="Franklin Gothic Book" w:eastAsia="Times New Roman" w:hAnsi="Franklin Gothic Book" w:cs="Times New Roman"/>
      <w:color w:val="000000"/>
      <w:szCs w:val="20"/>
      <w:lang w:eastAsia="en-AU"/>
    </w:rPr>
  </w:style>
  <w:style w:type="paragraph" w:customStyle="1" w:styleId="NormalBeforeBullet0">
    <w:name w:val="NormalBeforeBullet"/>
    <w:basedOn w:val="Normal"/>
    <w:qFormat/>
    <w:rsid w:val="00C05DB4"/>
    <w:pPr>
      <w:keepNext/>
      <w:spacing w:before="0" w:after="120" w:line="240" w:lineRule="auto"/>
    </w:pPr>
    <w:rPr>
      <w:rFonts w:eastAsia="Times New Roman" w:cs="Times New Roman"/>
      <w:color w:val="000000"/>
      <w:szCs w:val="20"/>
      <w:lang w:eastAsia="en-AU"/>
    </w:rPr>
  </w:style>
  <w:style w:type="paragraph" w:customStyle="1" w:styleId="BoxName0">
    <w:name w:val="BoxName"/>
    <w:basedOn w:val="Normal"/>
    <w:rsid w:val="00C05DB4"/>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C05DB4"/>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C05DB4"/>
    <w:pPr>
      <w:numPr>
        <w:numId w:val="24"/>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table" w:customStyle="1" w:styleId="Section3-footnot1">
    <w:name w:val="Section 3- footnot1"/>
    <w:basedOn w:val="TableNormal"/>
    <w:next w:val="TableGrid"/>
    <w:uiPriority w:val="59"/>
    <w:rsid w:val="007F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6BC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89132023">
      <w:bodyDiv w:val="1"/>
      <w:marLeft w:val="0"/>
      <w:marRight w:val="0"/>
      <w:marTop w:val="0"/>
      <w:marBottom w:val="0"/>
      <w:divBdr>
        <w:top w:val="none" w:sz="0" w:space="0" w:color="auto"/>
        <w:left w:val="none" w:sz="0" w:space="0" w:color="auto"/>
        <w:bottom w:val="none" w:sz="0" w:space="0" w:color="auto"/>
        <w:right w:val="none" w:sz="0" w:space="0" w:color="auto"/>
      </w:divBdr>
    </w:div>
    <w:div w:id="140385286">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75273071">
      <w:bodyDiv w:val="1"/>
      <w:marLeft w:val="0"/>
      <w:marRight w:val="0"/>
      <w:marTop w:val="0"/>
      <w:marBottom w:val="0"/>
      <w:divBdr>
        <w:top w:val="none" w:sz="0" w:space="0" w:color="auto"/>
        <w:left w:val="none" w:sz="0" w:space="0" w:color="auto"/>
        <w:bottom w:val="none" w:sz="0" w:space="0" w:color="auto"/>
        <w:right w:val="none" w:sz="0" w:space="0" w:color="auto"/>
      </w:divBdr>
      <w:divsChild>
        <w:div w:id="953444185">
          <w:marLeft w:val="0"/>
          <w:marRight w:val="0"/>
          <w:marTop w:val="0"/>
          <w:marBottom w:val="0"/>
          <w:divBdr>
            <w:top w:val="none" w:sz="0" w:space="0" w:color="auto"/>
            <w:left w:val="none" w:sz="0" w:space="0" w:color="auto"/>
            <w:bottom w:val="none" w:sz="0" w:space="0" w:color="auto"/>
            <w:right w:val="none" w:sz="0" w:space="0" w:color="auto"/>
          </w:divBdr>
          <w:divsChild>
            <w:div w:id="18551300">
              <w:marLeft w:val="0"/>
              <w:marRight w:val="0"/>
              <w:marTop w:val="0"/>
              <w:marBottom w:val="0"/>
              <w:divBdr>
                <w:top w:val="none" w:sz="0" w:space="0" w:color="auto"/>
                <w:left w:val="none" w:sz="0" w:space="0" w:color="auto"/>
                <w:bottom w:val="none" w:sz="0" w:space="0" w:color="auto"/>
                <w:right w:val="none" w:sz="0" w:space="0" w:color="auto"/>
              </w:divBdr>
            </w:div>
            <w:div w:id="7439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27297182">
      <w:bodyDiv w:val="1"/>
      <w:marLeft w:val="0"/>
      <w:marRight w:val="0"/>
      <w:marTop w:val="0"/>
      <w:marBottom w:val="0"/>
      <w:divBdr>
        <w:top w:val="none" w:sz="0" w:space="0" w:color="auto"/>
        <w:left w:val="none" w:sz="0" w:space="0" w:color="auto"/>
        <w:bottom w:val="none" w:sz="0" w:space="0" w:color="auto"/>
        <w:right w:val="none" w:sz="0" w:space="0" w:color="auto"/>
      </w:divBdr>
      <w:divsChild>
        <w:div w:id="350842962">
          <w:marLeft w:val="0"/>
          <w:marRight w:val="0"/>
          <w:marTop w:val="0"/>
          <w:marBottom w:val="0"/>
          <w:divBdr>
            <w:top w:val="none" w:sz="0" w:space="0" w:color="auto"/>
            <w:left w:val="none" w:sz="0" w:space="0" w:color="auto"/>
            <w:bottom w:val="none" w:sz="0" w:space="0" w:color="auto"/>
            <w:right w:val="none" w:sz="0" w:space="0" w:color="auto"/>
          </w:divBdr>
          <w:divsChild>
            <w:div w:id="1099180050">
              <w:marLeft w:val="0"/>
              <w:marRight w:val="0"/>
              <w:marTop w:val="0"/>
              <w:marBottom w:val="0"/>
              <w:divBdr>
                <w:top w:val="none" w:sz="0" w:space="0" w:color="auto"/>
                <w:left w:val="none" w:sz="0" w:space="0" w:color="auto"/>
                <w:bottom w:val="none" w:sz="0" w:space="0" w:color="auto"/>
                <w:right w:val="none" w:sz="0" w:space="0" w:color="auto"/>
              </w:divBdr>
            </w:div>
            <w:div w:id="1237279004">
              <w:marLeft w:val="0"/>
              <w:marRight w:val="0"/>
              <w:marTop w:val="0"/>
              <w:marBottom w:val="0"/>
              <w:divBdr>
                <w:top w:val="none" w:sz="0" w:space="0" w:color="auto"/>
                <w:left w:val="none" w:sz="0" w:space="0" w:color="auto"/>
                <w:bottom w:val="none" w:sz="0" w:space="0" w:color="auto"/>
                <w:right w:val="none" w:sz="0" w:space="0" w:color="auto"/>
              </w:divBdr>
            </w:div>
            <w:div w:id="1313219710">
              <w:marLeft w:val="0"/>
              <w:marRight w:val="0"/>
              <w:marTop w:val="0"/>
              <w:marBottom w:val="0"/>
              <w:divBdr>
                <w:top w:val="none" w:sz="0" w:space="0" w:color="auto"/>
                <w:left w:val="none" w:sz="0" w:space="0" w:color="auto"/>
                <w:bottom w:val="none" w:sz="0" w:space="0" w:color="auto"/>
                <w:right w:val="none" w:sz="0" w:space="0" w:color="auto"/>
              </w:divBdr>
            </w:div>
            <w:div w:id="18422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09695">
      <w:bodyDiv w:val="1"/>
      <w:marLeft w:val="0"/>
      <w:marRight w:val="0"/>
      <w:marTop w:val="0"/>
      <w:marBottom w:val="0"/>
      <w:divBdr>
        <w:top w:val="none" w:sz="0" w:space="0" w:color="auto"/>
        <w:left w:val="none" w:sz="0" w:space="0" w:color="auto"/>
        <w:bottom w:val="none" w:sz="0" w:space="0" w:color="auto"/>
        <w:right w:val="none" w:sz="0" w:space="0" w:color="auto"/>
      </w:divBdr>
    </w:div>
    <w:div w:id="374089653">
      <w:bodyDiv w:val="1"/>
      <w:marLeft w:val="0"/>
      <w:marRight w:val="0"/>
      <w:marTop w:val="0"/>
      <w:marBottom w:val="0"/>
      <w:divBdr>
        <w:top w:val="none" w:sz="0" w:space="0" w:color="auto"/>
        <w:left w:val="none" w:sz="0" w:space="0" w:color="auto"/>
        <w:bottom w:val="none" w:sz="0" w:space="0" w:color="auto"/>
        <w:right w:val="none" w:sz="0" w:space="0" w:color="auto"/>
      </w:divBdr>
    </w:div>
    <w:div w:id="379600169">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07070745">
      <w:bodyDiv w:val="1"/>
      <w:marLeft w:val="0"/>
      <w:marRight w:val="0"/>
      <w:marTop w:val="0"/>
      <w:marBottom w:val="0"/>
      <w:divBdr>
        <w:top w:val="none" w:sz="0" w:space="0" w:color="auto"/>
        <w:left w:val="none" w:sz="0" w:space="0" w:color="auto"/>
        <w:bottom w:val="none" w:sz="0" w:space="0" w:color="auto"/>
        <w:right w:val="none" w:sz="0" w:space="0" w:color="auto"/>
      </w:divBdr>
      <w:divsChild>
        <w:div w:id="1719628234">
          <w:marLeft w:val="0"/>
          <w:marRight w:val="0"/>
          <w:marTop w:val="0"/>
          <w:marBottom w:val="0"/>
          <w:divBdr>
            <w:top w:val="none" w:sz="0" w:space="0" w:color="auto"/>
            <w:left w:val="none" w:sz="0" w:space="0" w:color="auto"/>
            <w:bottom w:val="none" w:sz="0" w:space="0" w:color="auto"/>
            <w:right w:val="none" w:sz="0" w:space="0" w:color="auto"/>
          </w:divBdr>
        </w:div>
        <w:div w:id="1768308517">
          <w:marLeft w:val="0"/>
          <w:marRight w:val="0"/>
          <w:marTop w:val="0"/>
          <w:marBottom w:val="0"/>
          <w:divBdr>
            <w:top w:val="none" w:sz="0" w:space="0" w:color="auto"/>
            <w:left w:val="none" w:sz="0" w:space="0" w:color="auto"/>
            <w:bottom w:val="none" w:sz="0" w:space="0" w:color="auto"/>
            <w:right w:val="none" w:sz="0" w:space="0" w:color="auto"/>
          </w:divBdr>
        </w:div>
      </w:divsChild>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58764859">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05748368">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2322197">
      <w:bodyDiv w:val="1"/>
      <w:marLeft w:val="0"/>
      <w:marRight w:val="0"/>
      <w:marTop w:val="0"/>
      <w:marBottom w:val="0"/>
      <w:divBdr>
        <w:top w:val="none" w:sz="0" w:space="0" w:color="auto"/>
        <w:left w:val="none" w:sz="0" w:space="0" w:color="auto"/>
        <w:bottom w:val="none" w:sz="0" w:space="0" w:color="auto"/>
        <w:right w:val="none" w:sz="0" w:space="0" w:color="auto"/>
      </w:divBdr>
      <w:divsChild>
        <w:div w:id="1776174699">
          <w:marLeft w:val="0"/>
          <w:marRight w:val="0"/>
          <w:marTop w:val="0"/>
          <w:marBottom w:val="0"/>
          <w:divBdr>
            <w:top w:val="none" w:sz="0" w:space="0" w:color="auto"/>
            <w:left w:val="none" w:sz="0" w:space="0" w:color="auto"/>
            <w:bottom w:val="none" w:sz="0" w:space="0" w:color="auto"/>
            <w:right w:val="none" w:sz="0" w:space="0" w:color="auto"/>
          </w:divBdr>
          <w:divsChild>
            <w:div w:id="420761288">
              <w:marLeft w:val="0"/>
              <w:marRight w:val="0"/>
              <w:marTop w:val="0"/>
              <w:marBottom w:val="0"/>
              <w:divBdr>
                <w:top w:val="none" w:sz="0" w:space="0" w:color="auto"/>
                <w:left w:val="none" w:sz="0" w:space="0" w:color="auto"/>
                <w:bottom w:val="none" w:sz="0" w:space="0" w:color="auto"/>
                <w:right w:val="none" w:sz="0" w:space="0" w:color="auto"/>
              </w:divBdr>
              <w:divsChild>
                <w:div w:id="231238420">
                  <w:marLeft w:val="0"/>
                  <w:marRight w:val="0"/>
                  <w:marTop w:val="0"/>
                  <w:marBottom w:val="0"/>
                  <w:divBdr>
                    <w:top w:val="none" w:sz="0" w:space="0" w:color="auto"/>
                    <w:left w:val="none" w:sz="0" w:space="0" w:color="auto"/>
                    <w:bottom w:val="none" w:sz="0" w:space="0" w:color="auto"/>
                    <w:right w:val="none" w:sz="0" w:space="0" w:color="auto"/>
                  </w:divBdr>
                  <w:divsChild>
                    <w:div w:id="840462611">
                      <w:marLeft w:val="0"/>
                      <w:marRight w:val="0"/>
                      <w:marTop w:val="0"/>
                      <w:marBottom w:val="0"/>
                      <w:divBdr>
                        <w:top w:val="none" w:sz="0" w:space="0" w:color="auto"/>
                        <w:left w:val="none" w:sz="0" w:space="0" w:color="auto"/>
                        <w:bottom w:val="none" w:sz="0" w:space="0" w:color="auto"/>
                        <w:right w:val="none" w:sz="0" w:space="0" w:color="auto"/>
                      </w:divBdr>
                      <w:divsChild>
                        <w:div w:id="2032880203">
                          <w:marLeft w:val="0"/>
                          <w:marRight w:val="0"/>
                          <w:marTop w:val="0"/>
                          <w:marBottom w:val="0"/>
                          <w:divBdr>
                            <w:top w:val="none" w:sz="0" w:space="0" w:color="auto"/>
                            <w:left w:val="none" w:sz="0" w:space="0" w:color="auto"/>
                            <w:bottom w:val="none" w:sz="0" w:space="0" w:color="auto"/>
                            <w:right w:val="none" w:sz="0" w:space="0" w:color="auto"/>
                          </w:divBdr>
                          <w:divsChild>
                            <w:div w:id="146449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46932215">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66592570">
      <w:bodyDiv w:val="1"/>
      <w:marLeft w:val="0"/>
      <w:marRight w:val="0"/>
      <w:marTop w:val="0"/>
      <w:marBottom w:val="0"/>
      <w:divBdr>
        <w:top w:val="none" w:sz="0" w:space="0" w:color="auto"/>
        <w:left w:val="none" w:sz="0" w:space="0" w:color="auto"/>
        <w:bottom w:val="none" w:sz="0" w:space="0" w:color="auto"/>
        <w:right w:val="none" w:sz="0" w:space="0" w:color="auto"/>
      </w:divBdr>
    </w:div>
    <w:div w:id="679428873">
      <w:bodyDiv w:val="1"/>
      <w:marLeft w:val="0"/>
      <w:marRight w:val="0"/>
      <w:marTop w:val="0"/>
      <w:marBottom w:val="0"/>
      <w:divBdr>
        <w:top w:val="none" w:sz="0" w:space="0" w:color="auto"/>
        <w:left w:val="none" w:sz="0" w:space="0" w:color="auto"/>
        <w:bottom w:val="none" w:sz="0" w:space="0" w:color="auto"/>
        <w:right w:val="none" w:sz="0" w:space="0" w:color="auto"/>
      </w:divBdr>
      <w:divsChild>
        <w:div w:id="1417288857">
          <w:marLeft w:val="0"/>
          <w:marRight w:val="0"/>
          <w:marTop w:val="0"/>
          <w:marBottom w:val="0"/>
          <w:divBdr>
            <w:top w:val="none" w:sz="0" w:space="0" w:color="auto"/>
            <w:left w:val="none" w:sz="0" w:space="0" w:color="auto"/>
            <w:bottom w:val="none" w:sz="0" w:space="0" w:color="auto"/>
            <w:right w:val="none" w:sz="0" w:space="0" w:color="auto"/>
          </w:divBdr>
          <w:divsChild>
            <w:div w:id="180900715">
              <w:marLeft w:val="0"/>
              <w:marRight w:val="0"/>
              <w:marTop w:val="0"/>
              <w:marBottom w:val="0"/>
              <w:divBdr>
                <w:top w:val="none" w:sz="0" w:space="0" w:color="auto"/>
                <w:left w:val="none" w:sz="0" w:space="0" w:color="auto"/>
                <w:bottom w:val="none" w:sz="0" w:space="0" w:color="auto"/>
                <w:right w:val="none" w:sz="0" w:space="0" w:color="auto"/>
              </w:divBdr>
              <w:divsChild>
                <w:div w:id="2003658346">
                  <w:marLeft w:val="0"/>
                  <w:marRight w:val="0"/>
                  <w:marTop w:val="0"/>
                  <w:marBottom w:val="0"/>
                  <w:divBdr>
                    <w:top w:val="none" w:sz="0" w:space="0" w:color="auto"/>
                    <w:left w:val="none" w:sz="0" w:space="0" w:color="auto"/>
                    <w:bottom w:val="none" w:sz="0" w:space="0" w:color="auto"/>
                    <w:right w:val="none" w:sz="0" w:space="0" w:color="auto"/>
                  </w:divBdr>
                  <w:divsChild>
                    <w:div w:id="774059515">
                      <w:marLeft w:val="0"/>
                      <w:marRight w:val="0"/>
                      <w:marTop w:val="0"/>
                      <w:marBottom w:val="0"/>
                      <w:divBdr>
                        <w:top w:val="none" w:sz="0" w:space="0" w:color="auto"/>
                        <w:left w:val="none" w:sz="0" w:space="0" w:color="auto"/>
                        <w:bottom w:val="none" w:sz="0" w:space="0" w:color="auto"/>
                        <w:right w:val="none" w:sz="0" w:space="0" w:color="auto"/>
                      </w:divBdr>
                      <w:divsChild>
                        <w:div w:id="815338398">
                          <w:marLeft w:val="0"/>
                          <w:marRight w:val="0"/>
                          <w:marTop w:val="0"/>
                          <w:marBottom w:val="0"/>
                          <w:divBdr>
                            <w:top w:val="none" w:sz="0" w:space="0" w:color="auto"/>
                            <w:left w:val="none" w:sz="0" w:space="0" w:color="auto"/>
                            <w:bottom w:val="none" w:sz="0" w:space="0" w:color="auto"/>
                            <w:right w:val="none" w:sz="0" w:space="0" w:color="auto"/>
                          </w:divBdr>
                          <w:divsChild>
                            <w:div w:id="1417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52627237">
      <w:bodyDiv w:val="1"/>
      <w:marLeft w:val="0"/>
      <w:marRight w:val="0"/>
      <w:marTop w:val="0"/>
      <w:marBottom w:val="0"/>
      <w:divBdr>
        <w:top w:val="none" w:sz="0" w:space="0" w:color="auto"/>
        <w:left w:val="none" w:sz="0" w:space="0" w:color="auto"/>
        <w:bottom w:val="none" w:sz="0" w:space="0" w:color="auto"/>
        <w:right w:val="none" w:sz="0" w:space="0" w:color="auto"/>
      </w:divBdr>
      <w:divsChild>
        <w:div w:id="433984221">
          <w:marLeft w:val="0"/>
          <w:marRight w:val="0"/>
          <w:marTop w:val="0"/>
          <w:marBottom w:val="0"/>
          <w:divBdr>
            <w:top w:val="none" w:sz="0" w:space="0" w:color="auto"/>
            <w:left w:val="none" w:sz="0" w:space="0" w:color="auto"/>
            <w:bottom w:val="none" w:sz="0" w:space="0" w:color="auto"/>
            <w:right w:val="none" w:sz="0" w:space="0" w:color="auto"/>
          </w:divBdr>
          <w:divsChild>
            <w:div w:id="1323240533">
              <w:marLeft w:val="0"/>
              <w:marRight w:val="0"/>
              <w:marTop w:val="0"/>
              <w:marBottom w:val="0"/>
              <w:divBdr>
                <w:top w:val="none" w:sz="0" w:space="0" w:color="auto"/>
                <w:left w:val="none" w:sz="0" w:space="0" w:color="auto"/>
                <w:bottom w:val="none" w:sz="0" w:space="0" w:color="auto"/>
                <w:right w:val="none" w:sz="0" w:space="0" w:color="auto"/>
              </w:divBdr>
            </w:div>
            <w:div w:id="1897810554">
              <w:marLeft w:val="0"/>
              <w:marRight w:val="0"/>
              <w:marTop w:val="0"/>
              <w:marBottom w:val="0"/>
              <w:divBdr>
                <w:top w:val="none" w:sz="0" w:space="0" w:color="auto"/>
                <w:left w:val="none" w:sz="0" w:space="0" w:color="auto"/>
                <w:bottom w:val="none" w:sz="0" w:space="0" w:color="auto"/>
                <w:right w:val="none" w:sz="0" w:space="0" w:color="auto"/>
              </w:divBdr>
            </w:div>
          </w:divsChild>
        </w:div>
        <w:div w:id="510530439">
          <w:marLeft w:val="0"/>
          <w:marRight w:val="0"/>
          <w:marTop w:val="0"/>
          <w:marBottom w:val="0"/>
          <w:divBdr>
            <w:top w:val="none" w:sz="0" w:space="0" w:color="auto"/>
            <w:left w:val="none" w:sz="0" w:space="0" w:color="auto"/>
            <w:bottom w:val="none" w:sz="0" w:space="0" w:color="auto"/>
            <w:right w:val="none" w:sz="0" w:space="0" w:color="auto"/>
          </w:divBdr>
          <w:divsChild>
            <w:div w:id="551694784">
              <w:marLeft w:val="0"/>
              <w:marRight w:val="0"/>
              <w:marTop w:val="0"/>
              <w:marBottom w:val="0"/>
              <w:divBdr>
                <w:top w:val="none" w:sz="0" w:space="0" w:color="auto"/>
                <w:left w:val="none" w:sz="0" w:space="0" w:color="auto"/>
                <w:bottom w:val="none" w:sz="0" w:space="0" w:color="auto"/>
                <w:right w:val="none" w:sz="0" w:space="0" w:color="auto"/>
              </w:divBdr>
            </w:div>
          </w:divsChild>
        </w:div>
        <w:div w:id="953440131">
          <w:marLeft w:val="0"/>
          <w:marRight w:val="0"/>
          <w:marTop w:val="0"/>
          <w:marBottom w:val="0"/>
          <w:divBdr>
            <w:top w:val="none" w:sz="0" w:space="0" w:color="auto"/>
            <w:left w:val="none" w:sz="0" w:space="0" w:color="auto"/>
            <w:bottom w:val="none" w:sz="0" w:space="0" w:color="auto"/>
            <w:right w:val="none" w:sz="0" w:space="0" w:color="auto"/>
          </w:divBdr>
          <w:divsChild>
            <w:div w:id="1195533169">
              <w:marLeft w:val="0"/>
              <w:marRight w:val="0"/>
              <w:marTop w:val="0"/>
              <w:marBottom w:val="0"/>
              <w:divBdr>
                <w:top w:val="none" w:sz="0" w:space="0" w:color="auto"/>
                <w:left w:val="none" w:sz="0" w:space="0" w:color="auto"/>
                <w:bottom w:val="none" w:sz="0" w:space="0" w:color="auto"/>
                <w:right w:val="none" w:sz="0" w:space="0" w:color="auto"/>
              </w:divBdr>
            </w:div>
            <w:div w:id="2136413197">
              <w:marLeft w:val="0"/>
              <w:marRight w:val="0"/>
              <w:marTop w:val="0"/>
              <w:marBottom w:val="0"/>
              <w:divBdr>
                <w:top w:val="none" w:sz="0" w:space="0" w:color="auto"/>
                <w:left w:val="none" w:sz="0" w:space="0" w:color="auto"/>
                <w:bottom w:val="none" w:sz="0" w:space="0" w:color="auto"/>
                <w:right w:val="none" w:sz="0" w:space="0" w:color="auto"/>
              </w:divBdr>
            </w:div>
          </w:divsChild>
        </w:div>
        <w:div w:id="1035428724">
          <w:marLeft w:val="0"/>
          <w:marRight w:val="0"/>
          <w:marTop w:val="0"/>
          <w:marBottom w:val="0"/>
          <w:divBdr>
            <w:top w:val="none" w:sz="0" w:space="0" w:color="auto"/>
            <w:left w:val="none" w:sz="0" w:space="0" w:color="auto"/>
            <w:bottom w:val="none" w:sz="0" w:space="0" w:color="auto"/>
            <w:right w:val="none" w:sz="0" w:space="0" w:color="auto"/>
          </w:divBdr>
          <w:divsChild>
            <w:div w:id="17053519">
              <w:marLeft w:val="0"/>
              <w:marRight w:val="0"/>
              <w:marTop w:val="0"/>
              <w:marBottom w:val="0"/>
              <w:divBdr>
                <w:top w:val="none" w:sz="0" w:space="0" w:color="auto"/>
                <w:left w:val="none" w:sz="0" w:space="0" w:color="auto"/>
                <w:bottom w:val="none" w:sz="0" w:space="0" w:color="auto"/>
                <w:right w:val="none" w:sz="0" w:space="0" w:color="auto"/>
              </w:divBdr>
            </w:div>
            <w:div w:id="28184351">
              <w:marLeft w:val="0"/>
              <w:marRight w:val="0"/>
              <w:marTop w:val="0"/>
              <w:marBottom w:val="0"/>
              <w:divBdr>
                <w:top w:val="none" w:sz="0" w:space="0" w:color="auto"/>
                <w:left w:val="none" w:sz="0" w:space="0" w:color="auto"/>
                <w:bottom w:val="none" w:sz="0" w:space="0" w:color="auto"/>
                <w:right w:val="none" w:sz="0" w:space="0" w:color="auto"/>
              </w:divBdr>
            </w:div>
            <w:div w:id="159927985">
              <w:marLeft w:val="0"/>
              <w:marRight w:val="0"/>
              <w:marTop w:val="0"/>
              <w:marBottom w:val="0"/>
              <w:divBdr>
                <w:top w:val="none" w:sz="0" w:space="0" w:color="auto"/>
                <w:left w:val="none" w:sz="0" w:space="0" w:color="auto"/>
                <w:bottom w:val="none" w:sz="0" w:space="0" w:color="auto"/>
                <w:right w:val="none" w:sz="0" w:space="0" w:color="auto"/>
              </w:divBdr>
            </w:div>
            <w:div w:id="232929083">
              <w:marLeft w:val="0"/>
              <w:marRight w:val="0"/>
              <w:marTop w:val="0"/>
              <w:marBottom w:val="0"/>
              <w:divBdr>
                <w:top w:val="none" w:sz="0" w:space="0" w:color="auto"/>
                <w:left w:val="none" w:sz="0" w:space="0" w:color="auto"/>
                <w:bottom w:val="none" w:sz="0" w:space="0" w:color="auto"/>
                <w:right w:val="none" w:sz="0" w:space="0" w:color="auto"/>
              </w:divBdr>
            </w:div>
            <w:div w:id="496573641">
              <w:marLeft w:val="0"/>
              <w:marRight w:val="0"/>
              <w:marTop w:val="0"/>
              <w:marBottom w:val="0"/>
              <w:divBdr>
                <w:top w:val="none" w:sz="0" w:space="0" w:color="auto"/>
                <w:left w:val="none" w:sz="0" w:space="0" w:color="auto"/>
                <w:bottom w:val="none" w:sz="0" w:space="0" w:color="auto"/>
                <w:right w:val="none" w:sz="0" w:space="0" w:color="auto"/>
              </w:divBdr>
            </w:div>
            <w:div w:id="502278715">
              <w:marLeft w:val="0"/>
              <w:marRight w:val="0"/>
              <w:marTop w:val="0"/>
              <w:marBottom w:val="0"/>
              <w:divBdr>
                <w:top w:val="none" w:sz="0" w:space="0" w:color="auto"/>
                <w:left w:val="none" w:sz="0" w:space="0" w:color="auto"/>
                <w:bottom w:val="none" w:sz="0" w:space="0" w:color="auto"/>
                <w:right w:val="none" w:sz="0" w:space="0" w:color="auto"/>
              </w:divBdr>
            </w:div>
            <w:div w:id="564920445">
              <w:marLeft w:val="0"/>
              <w:marRight w:val="0"/>
              <w:marTop w:val="0"/>
              <w:marBottom w:val="0"/>
              <w:divBdr>
                <w:top w:val="none" w:sz="0" w:space="0" w:color="auto"/>
                <w:left w:val="none" w:sz="0" w:space="0" w:color="auto"/>
                <w:bottom w:val="none" w:sz="0" w:space="0" w:color="auto"/>
                <w:right w:val="none" w:sz="0" w:space="0" w:color="auto"/>
              </w:divBdr>
            </w:div>
            <w:div w:id="714500125">
              <w:marLeft w:val="0"/>
              <w:marRight w:val="0"/>
              <w:marTop w:val="0"/>
              <w:marBottom w:val="0"/>
              <w:divBdr>
                <w:top w:val="none" w:sz="0" w:space="0" w:color="auto"/>
                <w:left w:val="none" w:sz="0" w:space="0" w:color="auto"/>
                <w:bottom w:val="none" w:sz="0" w:space="0" w:color="auto"/>
                <w:right w:val="none" w:sz="0" w:space="0" w:color="auto"/>
              </w:divBdr>
            </w:div>
            <w:div w:id="801927910">
              <w:marLeft w:val="0"/>
              <w:marRight w:val="0"/>
              <w:marTop w:val="0"/>
              <w:marBottom w:val="0"/>
              <w:divBdr>
                <w:top w:val="none" w:sz="0" w:space="0" w:color="auto"/>
                <w:left w:val="none" w:sz="0" w:space="0" w:color="auto"/>
                <w:bottom w:val="none" w:sz="0" w:space="0" w:color="auto"/>
                <w:right w:val="none" w:sz="0" w:space="0" w:color="auto"/>
              </w:divBdr>
            </w:div>
            <w:div w:id="943463390">
              <w:marLeft w:val="0"/>
              <w:marRight w:val="0"/>
              <w:marTop w:val="0"/>
              <w:marBottom w:val="0"/>
              <w:divBdr>
                <w:top w:val="none" w:sz="0" w:space="0" w:color="auto"/>
                <w:left w:val="none" w:sz="0" w:space="0" w:color="auto"/>
                <w:bottom w:val="none" w:sz="0" w:space="0" w:color="auto"/>
                <w:right w:val="none" w:sz="0" w:space="0" w:color="auto"/>
              </w:divBdr>
            </w:div>
            <w:div w:id="960646418">
              <w:marLeft w:val="0"/>
              <w:marRight w:val="0"/>
              <w:marTop w:val="0"/>
              <w:marBottom w:val="0"/>
              <w:divBdr>
                <w:top w:val="none" w:sz="0" w:space="0" w:color="auto"/>
                <w:left w:val="none" w:sz="0" w:space="0" w:color="auto"/>
                <w:bottom w:val="none" w:sz="0" w:space="0" w:color="auto"/>
                <w:right w:val="none" w:sz="0" w:space="0" w:color="auto"/>
              </w:divBdr>
            </w:div>
            <w:div w:id="1112362776">
              <w:marLeft w:val="0"/>
              <w:marRight w:val="0"/>
              <w:marTop w:val="0"/>
              <w:marBottom w:val="0"/>
              <w:divBdr>
                <w:top w:val="none" w:sz="0" w:space="0" w:color="auto"/>
                <w:left w:val="none" w:sz="0" w:space="0" w:color="auto"/>
                <w:bottom w:val="none" w:sz="0" w:space="0" w:color="auto"/>
                <w:right w:val="none" w:sz="0" w:space="0" w:color="auto"/>
              </w:divBdr>
            </w:div>
            <w:div w:id="1126702889">
              <w:marLeft w:val="0"/>
              <w:marRight w:val="0"/>
              <w:marTop w:val="0"/>
              <w:marBottom w:val="0"/>
              <w:divBdr>
                <w:top w:val="none" w:sz="0" w:space="0" w:color="auto"/>
                <w:left w:val="none" w:sz="0" w:space="0" w:color="auto"/>
                <w:bottom w:val="none" w:sz="0" w:space="0" w:color="auto"/>
                <w:right w:val="none" w:sz="0" w:space="0" w:color="auto"/>
              </w:divBdr>
            </w:div>
            <w:div w:id="1231815572">
              <w:marLeft w:val="0"/>
              <w:marRight w:val="0"/>
              <w:marTop w:val="0"/>
              <w:marBottom w:val="0"/>
              <w:divBdr>
                <w:top w:val="none" w:sz="0" w:space="0" w:color="auto"/>
                <w:left w:val="none" w:sz="0" w:space="0" w:color="auto"/>
                <w:bottom w:val="none" w:sz="0" w:space="0" w:color="auto"/>
                <w:right w:val="none" w:sz="0" w:space="0" w:color="auto"/>
              </w:divBdr>
            </w:div>
            <w:div w:id="1322390302">
              <w:marLeft w:val="0"/>
              <w:marRight w:val="0"/>
              <w:marTop w:val="0"/>
              <w:marBottom w:val="0"/>
              <w:divBdr>
                <w:top w:val="none" w:sz="0" w:space="0" w:color="auto"/>
                <w:left w:val="none" w:sz="0" w:space="0" w:color="auto"/>
                <w:bottom w:val="none" w:sz="0" w:space="0" w:color="auto"/>
                <w:right w:val="none" w:sz="0" w:space="0" w:color="auto"/>
              </w:divBdr>
            </w:div>
            <w:div w:id="1347709730">
              <w:marLeft w:val="0"/>
              <w:marRight w:val="0"/>
              <w:marTop w:val="0"/>
              <w:marBottom w:val="0"/>
              <w:divBdr>
                <w:top w:val="none" w:sz="0" w:space="0" w:color="auto"/>
                <w:left w:val="none" w:sz="0" w:space="0" w:color="auto"/>
                <w:bottom w:val="none" w:sz="0" w:space="0" w:color="auto"/>
                <w:right w:val="none" w:sz="0" w:space="0" w:color="auto"/>
              </w:divBdr>
            </w:div>
            <w:div w:id="1523087288">
              <w:marLeft w:val="0"/>
              <w:marRight w:val="0"/>
              <w:marTop w:val="0"/>
              <w:marBottom w:val="0"/>
              <w:divBdr>
                <w:top w:val="none" w:sz="0" w:space="0" w:color="auto"/>
                <w:left w:val="none" w:sz="0" w:space="0" w:color="auto"/>
                <w:bottom w:val="none" w:sz="0" w:space="0" w:color="auto"/>
                <w:right w:val="none" w:sz="0" w:space="0" w:color="auto"/>
              </w:divBdr>
            </w:div>
            <w:div w:id="1856797873">
              <w:marLeft w:val="0"/>
              <w:marRight w:val="0"/>
              <w:marTop w:val="0"/>
              <w:marBottom w:val="0"/>
              <w:divBdr>
                <w:top w:val="none" w:sz="0" w:space="0" w:color="auto"/>
                <w:left w:val="none" w:sz="0" w:space="0" w:color="auto"/>
                <w:bottom w:val="none" w:sz="0" w:space="0" w:color="auto"/>
                <w:right w:val="none" w:sz="0" w:space="0" w:color="auto"/>
              </w:divBdr>
            </w:div>
            <w:div w:id="1868135187">
              <w:marLeft w:val="0"/>
              <w:marRight w:val="0"/>
              <w:marTop w:val="0"/>
              <w:marBottom w:val="0"/>
              <w:divBdr>
                <w:top w:val="none" w:sz="0" w:space="0" w:color="auto"/>
                <w:left w:val="none" w:sz="0" w:space="0" w:color="auto"/>
                <w:bottom w:val="none" w:sz="0" w:space="0" w:color="auto"/>
                <w:right w:val="none" w:sz="0" w:space="0" w:color="auto"/>
              </w:divBdr>
            </w:div>
            <w:div w:id="1964069947">
              <w:marLeft w:val="0"/>
              <w:marRight w:val="0"/>
              <w:marTop w:val="0"/>
              <w:marBottom w:val="0"/>
              <w:divBdr>
                <w:top w:val="none" w:sz="0" w:space="0" w:color="auto"/>
                <w:left w:val="none" w:sz="0" w:space="0" w:color="auto"/>
                <w:bottom w:val="none" w:sz="0" w:space="0" w:color="auto"/>
                <w:right w:val="none" w:sz="0" w:space="0" w:color="auto"/>
              </w:divBdr>
            </w:div>
            <w:div w:id="1989164353">
              <w:marLeft w:val="0"/>
              <w:marRight w:val="0"/>
              <w:marTop w:val="0"/>
              <w:marBottom w:val="0"/>
              <w:divBdr>
                <w:top w:val="none" w:sz="0" w:space="0" w:color="auto"/>
                <w:left w:val="none" w:sz="0" w:space="0" w:color="auto"/>
                <w:bottom w:val="none" w:sz="0" w:space="0" w:color="auto"/>
                <w:right w:val="none" w:sz="0" w:space="0" w:color="auto"/>
              </w:divBdr>
            </w:div>
            <w:div w:id="2024628284">
              <w:marLeft w:val="0"/>
              <w:marRight w:val="0"/>
              <w:marTop w:val="0"/>
              <w:marBottom w:val="0"/>
              <w:divBdr>
                <w:top w:val="none" w:sz="0" w:space="0" w:color="auto"/>
                <w:left w:val="none" w:sz="0" w:space="0" w:color="auto"/>
                <w:bottom w:val="none" w:sz="0" w:space="0" w:color="auto"/>
                <w:right w:val="none" w:sz="0" w:space="0" w:color="auto"/>
              </w:divBdr>
            </w:div>
          </w:divsChild>
        </w:div>
        <w:div w:id="1112627842">
          <w:marLeft w:val="0"/>
          <w:marRight w:val="0"/>
          <w:marTop w:val="0"/>
          <w:marBottom w:val="0"/>
          <w:divBdr>
            <w:top w:val="none" w:sz="0" w:space="0" w:color="auto"/>
            <w:left w:val="none" w:sz="0" w:space="0" w:color="auto"/>
            <w:bottom w:val="none" w:sz="0" w:space="0" w:color="auto"/>
            <w:right w:val="none" w:sz="0" w:space="0" w:color="auto"/>
          </w:divBdr>
          <w:divsChild>
            <w:div w:id="1240797514">
              <w:marLeft w:val="0"/>
              <w:marRight w:val="0"/>
              <w:marTop w:val="0"/>
              <w:marBottom w:val="0"/>
              <w:divBdr>
                <w:top w:val="none" w:sz="0" w:space="0" w:color="auto"/>
                <w:left w:val="none" w:sz="0" w:space="0" w:color="auto"/>
                <w:bottom w:val="none" w:sz="0" w:space="0" w:color="auto"/>
                <w:right w:val="none" w:sz="0" w:space="0" w:color="auto"/>
              </w:divBdr>
            </w:div>
          </w:divsChild>
        </w:div>
        <w:div w:id="1139766536">
          <w:marLeft w:val="0"/>
          <w:marRight w:val="0"/>
          <w:marTop w:val="0"/>
          <w:marBottom w:val="0"/>
          <w:divBdr>
            <w:top w:val="none" w:sz="0" w:space="0" w:color="auto"/>
            <w:left w:val="none" w:sz="0" w:space="0" w:color="auto"/>
            <w:bottom w:val="none" w:sz="0" w:space="0" w:color="auto"/>
            <w:right w:val="none" w:sz="0" w:space="0" w:color="auto"/>
          </w:divBdr>
          <w:divsChild>
            <w:div w:id="1460609432">
              <w:marLeft w:val="0"/>
              <w:marRight w:val="0"/>
              <w:marTop w:val="0"/>
              <w:marBottom w:val="0"/>
              <w:divBdr>
                <w:top w:val="none" w:sz="0" w:space="0" w:color="auto"/>
                <w:left w:val="none" w:sz="0" w:space="0" w:color="auto"/>
                <w:bottom w:val="none" w:sz="0" w:space="0" w:color="auto"/>
                <w:right w:val="none" w:sz="0" w:space="0" w:color="auto"/>
              </w:divBdr>
            </w:div>
          </w:divsChild>
        </w:div>
        <w:div w:id="1278878786">
          <w:marLeft w:val="0"/>
          <w:marRight w:val="0"/>
          <w:marTop w:val="0"/>
          <w:marBottom w:val="0"/>
          <w:divBdr>
            <w:top w:val="none" w:sz="0" w:space="0" w:color="auto"/>
            <w:left w:val="none" w:sz="0" w:space="0" w:color="auto"/>
            <w:bottom w:val="none" w:sz="0" w:space="0" w:color="auto"/>
            <w:right w:val="none" w:sz="0" w:space="0" w:color="auto"/>
          </w:divBdr>
          <w:divsChild>
            <w:div w:id="86311524">
              <w:marLeft w:val="0"/>
              <w:marRight w:val="0"/>
              <w:marTop w:val="0"/>
              <w:marBottom w:val="0"/>
              <w:divBdr>
                <w:top w:val="none" w:sz="0" w:space="0" w:color="auto"/>
                <w:left w:val="none" w:sz="0" w:space="0" w:color="auto"/>
                <w:bottom w:val="none" w:sz="0" w:space="0" w:color="auto"/>
                <w:right w:val="none" w:sz="0" w:space="0" w:color="auto"/>
              </w:divBdr>
            </w:div>
            <w:div w:id="633367238">
              <w:marLeft w:val="0"/>
              <w:marRight w:val="0"/>
              <w:marTop w:val="0"/>
              <w:marBottom w:val="0"/>
              <w:divBdr>
                <w:top w:val="none" w:sz="0" w:space="0" w:color="auto"/>
                <w:left w:val="none" w:sz="0" w:space="0" w:color="auto"/>
                <w:bottom w:val="none" w:sz="0" w:space="0" w:color="auto"/>
                <w:right w:val="none" w:sz="0" w:space="0" w:color="auto"/>
              </w:divBdr>
            </w:div>
            <w:div w:id="1431194186">
              <w:marLeft w:val="0"/>
              <w:marRight w:val="0"/>
              <w:marTop w:val="0"/>
              <w:marBottom w:val="0"/>
              <w:divBdr>
                <w:top w:val="none" w:sz="0" w:space="0" w:color="auto"/>
                <w:left w:val="none" w:sz="0" w:space="0" w:color="auto"/>
                <w:bottom w:val="none" w:sz="0" w:space="0" w:color="auto"/>
                <w:right w:val="none" w:sz="0" w:space="0" w:color="auto"/>
              </w:divBdr>
            </w:div>
            <w:div w:id="1731033048">
              <w:marLeft w:val="0"/>
              <w:marRight w:val="0"/>
              <w:marTop w:val="0"/>
              <w:marBottom w:val="0"/>
              <w:divBdr>
                <w:top w:val="none" w:sz="0" w:space="0" w:color="auto"/>
                <w:left w:val="none" w:sz="0" w:space="0" w:color="auto"/>
                <w:bottom w:val="none" w:sz="0" w:space="0" w:color="auto"/>
                <w:right w:val="none" w:sz="0" w:space="0" w:color="auto"/>
              </w:divBdr>
            </w:div>
          </w:divsChild>
        </w:div>
        <w:div w:id="1410347891">
          <w:marLeft w:val="0"/>
          <w:marRight w:val="0"/>
          <w:marTop w:val="0"/>
          <w:marBottom w:val="0"/>
          <w:divBdr>
            <w:top w:val="none" w:sz="0" w:space="0" w:color="auto"/>
            <w:left w:val="none" w:sz="0" w:space="0" w:color="auto"/>
            <w:bottom w:val="none" w:sz="0" w:space="0" w:color="auto"/>
            <w:right w:val="none" w:sz="0" w:space="0" w:color="auto"/>
          </w:divBdr>
          <w:divsChild>
            <w:div w:id="1408654942">
              <w:marLeft w:val="0"/>
              <w:marRight w:val="0"/>
              <w:marTop w:val="0"/>
              <w:marBottom w:val="0"/>
              <w:divBdr>
                <w:top w:val="none" w:sz="0" w:space="0" w:color="auto"/>
                <w:left w:val="none" w:sz="0" w:space="0" w:color="auto"/>
                <w:bottom w:val="none" w:sz="0" w:space="0" w:color="auto"/>
                <w:right w:val="none" w:sz="0" w:space="0" w:color="auto"/>
              </w:divBdr>
            </w:div>
          </w:divsChild>
        </w:div>
        <w:div w:id="1567834846">
          <w:marLeft w:val="0"/>
          <w:marRight w:val="0"/>
          <w:marTop w:val="0"/>
          <w:marBottom w:val="0"/>
          <w:divBdr>
            <w:top w:val="none" w:sz="0" w:space="0" w:color="auto"/>
            <w:left w:val="none" w:sz="0" w:space="0" w:color="auto"/>
            <w:bottom w:val="none" w:sz="0" w:space="0" w:color="auto"/>
            <w:right w:val="none" w:sz="0" w:space="0" w:color="auto"/>
          </w:divBdr>
          <w:divsChild>
            <w:div w:id="682707254">
              <w:marLeft w:val="0"/>
              <w:marRight w:val="0"/>
              <w:marTop w:val="0"/>
              <w:marBottom w:val="0"/>
              <w:divBdr>
                <w:top w:val="none" w:sz="0" w:space="0" w:color="auto"/>
                <w:left w:val="none" w:sz="0" w:space="0" w:color="auto"/>
                <w:bottom w:val="none" w:sz="0" w:space="0" w:color="auto"/>
                <w:right w:val="none" w:sz="0" w:space="0" w:color="auto"/>
              </w:divBdr>
            </w:div>
            <w:div w:id="771779608">
              <w:marLeft w:val="0"/>
              <w:marRight w:val="0"/>
              <w:marTop w:val="0"/>
              <w:marBottom w:val="0"/>
              <w:divBdr>
                <w:top w:val="none" w:sz="0" w:space="0" w:color="auto"/>
                <w:left w:val="none" w:sz="0" w:space="0" w:color="auto"/>
                <w:bottom w:val="none" w:sz="0" w:space="0" w:color="auto"/>
                <w:right w:val="none" w:sz="0" w:space="0" w:color="auto"/>
              </w:divBdr>
            </w:div>
            <w:div w:id="771971594">
              <w:marLeft w:val="0"/>
              <w:marRight w:val="0"/>
              <w:marTop w:val="0"/>
              <w:marBottom w:val="0"/>
              <w:divBdr>
                <w:top w:val="none" w:sz="0" w:space="0" w:color="auto"/>
                <w:left w:val="none" w:sz="0" w:space="0" w:color="auto"/>
                <w:bottom w:val="none" w:sz="0" w:space="0" w:color="auto"/>
                <w:right w:val="none" w:sz="0" w:space="0" w:color="auto"/>
              </w:divBdr>
            </w:div>
            <w:div w:id="1592813486">
              <w:marLeft w:val="0"/>
              <w:marRight w:val="0"/>
              <w:marTop w:val="0"/>
              <w:marBottom w:val="0"/>
              <w:divBdr>
                <w:top w:val="none" w:sz="0" w:space="0" w:color="auto"/>
                <w:left w:val="none" w:sz="0" w:space="0" w:color="auto"/>
                <w:bottom w:val="none" w:sz="0" w:space="0" w:color="auto"/>
                <w:right w:val="none" w:sz="0" w:space="0" w:color="auto"/>
              </w:divBdr>
            </w:div>
            <w:div w:id="2026057650">
              <w:marLeft w:val="0"/>
              <w:marRight w:val="0"/>
              <w:marTop w:val="0"/>
              <w:marBottom w:val="0"/>
              <w:divBdr>
                <w:top w:val="none" w:sz="0" w:space="0" w:color="auto"/>
                <w:left w:val="none" w:sz="0" w:space="0" w:color="auto"/>
                <w:bottom w:val="none" w:sz="0" w:space="0" w:color="auto"/>
                <w:right w:val="none" w:sz="0" w:space="0" w:color="auto"/>
              </w:divBdr>
            </w:div>
          </w:divsChild>
        </w:div>
        <w:div w:id="1626735111">
          <w:marLeft w:val="0"/>
          <w:marRight w:val="0"/>
          <w:marTop w:val="0"/>
          <w:marBottom w:val="0"/>
          <w:divBdr>
            <w:top w:val="none" w:sz="0" w:space="0" w:color="auto"/>
            <w:left w:val="none" w:sz="0" w:space="0" w:color="auto"/>
            <w:bottom w:val="none" w:sz="0" w:space="0" w:color="auto"/>
            <w:right w:val="none" w:sz="0" w:space="0" w:color="auto"/>
          </w:divBdr>
          <w:divsChild>
            <w:div w:id="403141879">
              <w:marLeft w:val="0"/>
              <w:marRight w:val="0"/>
              <w:marTop w:val="0"/>
              <w:marBottom w:val="0"/>
              <w:divBdr>
                <w:top w:val="none" w:sz="0" w:space="0" w:color="auto"/>
                <w:left w:val="none" w:sz="0" w:space="0" w:color="auto"/>
                <w:bottom w:val="none" w:sz="0" w:space="0" w:color="auto"/>
                <w:right w:val="none" w:sz="0" w:space="0" w:color="auto"/>
              </w:divBdr>
            </w:div>
          </w:divsChild>
        </w:div>
        <w:div w:id="1644431391">
          <w:marLeft w:val="0"/>
          <w:marRight w:val="0"/>
          <w:marTop w:val="0"/>
          <w:marBottom w:val="0"/>
          <w:divBdr>
            <w:top w:val="none" w:sz="0" w:space="0" w:color="auto"/>
            <w:left w:val="none" w:sz="0" w:space="0" w:color="auto"/>
            <w:bottom w:val="none" w:sz="0" w:space="0" w:color="auto"/>
            <w:right w:val="none" w:sz="0" w:space="0" w:color="auto"/>
          </w:divBdr>
          <w:divsChild>
            <w:div w:id="1042680004">
              <w:marLeft w:val="0"/>
              <w:marRight w:val="0"/>
              <w:marTop w:val="0"/>
              <w:marBottom w:val="0"/>
              <w:divBdr>
                <w:top w:val="none" w:sz="0" w:space="0" w:color="auto"/>
                <w:left w:val="none" w:sz="0" w:space="0" w:color="auto"/>
                <w:bottom w:val="none" w:sz="0" w:space="0" w:color="auto"/>
                <w:right w:val="none" w:sz="0" w:space="0" w:color="auto"/>
              </w:divBdr>
            </w:div>
          </w:divsChild>
        </w:div>
        <w:div w:id="1688172428">
          <w:marLeft w:val="0"/>
          <w:marRight w:val="0"/>
          <w:marTop w:val="0"/>
          <w:marBottom w:val="0"/>
          <w:divBdr>
            <w:top w:val="none" w:sz="0" w:space="0" w:color="auto"/>
            <w:left w:val="none" w:sz="0" w:space="0" w:color="auto"/>
            <w:bottom w:val="none" w:sz="0" w:space="0" w:color="auto"/>
            <w:right w:val="none" w:sz="0" w:space="0" w:color="auto"/>
          </w:divBdr>
          <w:divsChild>
            <w:div w:id="1246721565">
              <w:marLeft w:val="0"/>
              <w:marRight w:val="0"/>
              <w:marTop w:val="0"/>
              <w:marBottom w:val="0"/>
              <w:divBdr>
                <w:top w:val="none" w:sz="0" w:space="0" w:color="auto"/>
                <w:left w:val="none" w:sz="0" w:space="0" w:color="auto"/>
                <w:bottom w:val="none" w:sz="0" w:space="0" w:color="auto"/>
                <w:right w:val="none" w:sz="0" w:space="0" w:color="auto"/>
              </w:divBdr>
            </w:div>
            <w:div w:id="1764762903">
              <w:marLeft w:val="0"/>
              <w:marRight w:val="0"/>
              <w:marTop w:val="0"/>
              <w:marBottom w:val="0"/>
              <w:divBdr>
                <w:top w:val="none" w:sz="0" w:space="0" w:color="auto"/>
                <w:left w:val="none" w:sz="0" w:space="0" w:color="auto"/>
                <w:bottom w:val="none" w:sz="0" w:space="0" w:color="auto"/>
                <w:right w:val="none" w:sz="0" w:space="0" w:color="auto"/>
              </w:divBdr>
            </w:div>
          </w:divsChild>
        </w:div>
        <w:div w:id="1714503869">
          <w:marLeft w:val="0"/>
          <w:marRight w:val="0"/>
          <w:marTop w:val="0"/>
          <w:marBottom w:val="0"/>
          <w:divBdr>
            <w:top w:val="none" w:sz="0" w:space="0" w:color="auto"/>
            <w:left w:val="none" w:sz="0" w:space="0" w:color="auto"/>
            <w:bottom w:val="none" w:sz="0" w:space="0" w:color="auto"/>
            <w:right w:val="none" w:sz="0" w:space="0" w:color="auto"/>
          </w:divBdr>
          <w:divsChild>
            <w:div w:id="20613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5078">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13052665">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53175599">
      <w:bodyDiv w:val="1"/>
      <w:marLeft w:val="0"/>
      <w:marRight w:val="0"/>
      <w:marTop w:val="0"/>
      <w:marBottom w:val="0"/>
      <w:divBdr>
        <w:top w:val="none" w:sz="0" w:space="0" w:color="auto"/>
        <w:left w:val="none" w:sz="0" w:space="0" w:color="auto"/>
        <w:bottom w:val="none" w:sz="0" w:space="0" w:color="auto"/>
        <w:right w:val="none" w:sz="0" w:space="0" w:color="auto"/>
      </w:divBdr>
    </w:div>
    <w:div w:id="960302275">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978652591">
      <w:bodyDiv w:val="1"/>
      <w:marLeft w:val="0"/>
      <w:marRight w:val="0"/>
      <w:marTop w:val="0"/>
      <w:marBottom w:val="0"/>
      <w:divBdr>
        <w:top w:val="none" w:sz="0" w:space="0" w:color="auto"/>
        <w:left w:val="none" w:sz="0" w:space="0" w:color="auto"/>
        <w:bottom w:val="none" w:sz="0" w:space="0" w:color="auto"/>
        <w:right w:val="none" w:sz="0" w:space="0" w:color="auto"/>
      </w:divBdr>
    </w:div>
    <w:div w:id="986015551">
      <w:bodyDiv w:val="1"/>
      <w:marLeft w:val="0"/>
      <w:marRight w:val="0"/>
      <w:marTop w:val="0"/>
      <w:marBottom w:val="0"/>
      <w:divBdr>
        <w:top w:val="none" w:sz="0" w:space="0" w:color="auto"/>
        <w:left w:val="none" w:sz="0" w:space="0" w:color="auto"/>
        <w:bottom w:val="none" w:sz="0" w:space="0" w:color="auto"/>
        <w:right w:val="none" w:sz="0" w:space="0" w:color="auto"/>
      </w:divBdr>
      <w:divsChild>
        <w:div w:id="1508862464">
          <w:marLeft w:val="0"/>
          <w:marRight w:val="0"/>
          <w:marTop w:val="0"/>
          <w:marBottom w:val="0"/>
          <w:divBdr>
            <w:top w:val="none" w:sz="0" w:space="0" w:color="auto"/>
            <w:left w:val="none" w:sz="0" w:space="0" w:color="auto"/>
            <w:bottom w:val="none" w:sz="0" w:space="0" w:color="auto"/>
            <w:right w:val="none" w:sz="0" w:space="0" w:color="auto"/>
          </w:divBdr>
          <w:divsChild>
            <w:div w:id="728115455">
              <w:marLeft w:val="0"/>
              <w:marRight w:val="0"/>
              <w:marTop w:val="0"/>
              <w:marBottom w:val="0"/>
              <w:divBdr>
                <w:top w:val="none" w:sz="0" w:space="0" w:color="auto"/>
                <w:left w:val="none" w:sz="0" w:space="0" w:color="auto"/>
                <w:bottom w:val="none" w:sz="0" w:space="0" w:color="auto"/>
                <w:right w:val="none" w:sz="0" w:space="0" w:color="auto"/>
              </w:divBdr>
              <w:divsChild>
                <w:div w:id="1667368294">
                  <w:marLeft w:val="0"/>
                  <w:marRight w:val="0"/>
                  <w:marTop w:val="0"/>
                  <w:marBottom w:val="0"/>
                  <w:divBdr>
                    <w:top w:val="none" w:sz="0" w:space="0" w:color="auto"/>
                    <w:left w:val="none" w:sz="0" w:space="0" w:color="auto"/>
                    <w:bottom w:val="none" w:sz="0" w:space="0" w:color="auto"/>
                    <w:right w:val="none" w:sz="0" w:space="0" w:color="auto"/>
                  </w:divBdr>
                  <w:divsChild>
                    <w:div w:id="1058548645">
                      <w:marLeft w:val="0"/>
                      <w:marRight w:val="0"/>
                      <w:marTop w:val="0"/>
                      <w:marBottom w:val="0"/>
                      <w:divBdr>
                        <w:top w:val="none" w:sz="0" w:space="0" w:color="auto"/>
                        <w:left w:val="none" w:sz="0" w:space="0" w:color="auto"/>
                        <w:bottom w:val="none" w:sz="0" w:space="0" w:color="auto"/>
                        <w:right w:val="none" w:sz="0" w:space="0" w:color="auto"/>
                      </w:divBdr>
                      <w:divsChild>
                        <w:div w:id="109786507">
                          <w:marLeft w:val="0"/>
                          <w:marRight w:val="0"/>
                          <w:marTop w:val="0"/>
                          <w:marBottom w:val="0"/>
                          <w:divBdr>
                            <w:top w:val="none" w:sz="0" w:space="0" w:color="auto"/>
                            <w:left w:val="none" w:sz="0" w:space="0" w:color="auto"/>
                            <w:bottom w:val="none" w:sz="0" w:space="0" w:color="auto"/>
                            <w:right w:val="none" w:sz="0" w:space="0" w:color="auto"/>
                          </w:divBdr>
                          <w:divsChild>
                            <w:div w:id="61656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455099">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75543140">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31484802">
      <w:bodyDiv w:val="1"/>
      <w:marLeft w:val="0"/>
      <w:marRight w:val="0"/>
      <w:marTop w:val="0"/>
      <w:marBottom w:val="0"/>
      <w:divBdr>
        <w:top w:val="none" w:sz="0" w:space="0" w:color="auto"/>
        <w:left w:val="none" w:sz="0" w:space="0" w:color="auto"/>
        <w:bottom w:val="none" w:sz="0" w:space="0" w:color="auto"/>
        <w:right w:val="none" w:sz="0" w:space="0" w:color="auto"/>
      </w:divBdr>
      <w:divsChild>
        <w:div w:id="1379281671">
          <w:marLeft w:val="0"/>
          <w:marRight w:val="0"/>
          <w:marTop w:val="0"/>
          <w:marBottom w:val="0"/>
          <w:divBdr>
            <w:top w:val="none" w:sz="0" w:space="0" w:color="auto"/>
            <w:left w:val="none" w:sz="0" w:space="0" w:color="auto"/>
            <w:bottom w:val="none" w:sz="0" w:space="0" w:color="auto"/>
            <w:right w:val="none" w:sz="0" w:space="0" w:color="auto"/>
          </w:divBdr>
          <w:divsChild>
            <w:div w:id="366100747">
              <w:marLeft w:val="0"/>
              <w:marRight w:val="0"/>
              <w:marTop w:val="0"/>
              <w:marBottom w:val="0"/>
              <w:divBdr>
                <w:top w:val="none" w:sz="0" w:space="0" w:color="auto"/>
                <w:left w:val="none" w:sz="0" w:space="0" w:color="auto"/>
                <w:bottom w:val="none" w:sz="0" w:space="0" w:color="auto"/>
                <w:right w:val="none" w:sz="0" w:space="0" w:color="auto"/>
              </w:divBdr>
              <w:divsChild>
                <w:div w:id="1114593807">
                  <w:marLeft w:val="0"/>
                  <w:marRight w:val="0"/>
                  <w:marTop w:val="0"/>
                  <w:marBottom w:val="0"/>
                  <w:divBdr>
                    <w:top w:val="none" w:sz="0" w:space="0" w:color="auto"/>
                    <w:left w:val="none" w:sz="0" w:space="0" w:color="auto"/>
                    <w:bottom w:val="none" w:sz="0" w:space="0" w:color="auto"/>
                    <w:right w:val="none" w:sz="0" w:space="0" w:color="auto"/>
                  </w:divBdr>
                  <w:divsChild>
                    <w:div w:id="415899695">
                      <w:marLeft w:val="0"/>
                      <w:marRight w:val="0"/>
                      <w:marTop w:val="0"/>
                      <w:marBottom w:val="0"/>
                      <w:divBdr>
                        <w:top w:val="none" w:sz="0" w:space="0" w:color="auto"/>
                        <w:left w:val="none" w:sz="0" w:space="0" w:color="auto"/>
                        <w:bottom w:val="none" w:sz="0" w:space="0" w:color="auto"/>
                        <w:right w:val="none" w:sz="0" w:space="0" w:color="auto"/>
                      </w:divBdr>
                      <w:divsChild>
                        <w:div w:id="442118285">
                          <w:marLeft w:val="0"/>
                          <w:marRight w:val="0"/>
                          <w:marTop w:val="0"/>
                          <w:marBottom w:val="0"/>
                          <w:divBdr>
                            <w:top w:val="none" w:sz="0" w:space="0" w:color="auto"/>
                            <w:left w:val="none" w:sz="0" w:space="0" w:color="auto"/>
                            <w:bottom w:val="none" w:sz="0" w:space="0" w:color="auto"/>
                            <w:right w:val="none" w:sz="0" w:space="0" w:color="auto"/>
                          </w:divBdr>
                          <w:divsChild>
                            <w:div w:id="15810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51560372">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45323316">
      <w:bodyDiv w:val="1"/>
      <w:marLeft w:val="0"/>
      <w:marRight w:val="0"/>
      <w:marTop w:val="0"/>
      <w:marBottom w:val="0"/>
      <w:divBdr>
        <w:top w:val="none" w:sz="0" w:space="0" w:color="auto"/>
        <w:left w:val="none" w:sz="0" w:space="0" w:color="auto"/>
        <w:bottom w:val="none" w:sz="0" w:space="0" w:color="auto"/>
        <w:right w:val="none" w:sz="0" w:space="0" w:color="auto"/>
      </w:divBdr>
    </w:div>
    <w:div w:id="1352951449">
      <w:bodyDiv w:val="1"/>
      <w:marLeft w:val="0"/>
      <w:marRight w:val="0"/>
      <w:marTop w:val="0"/>
      <w:marBottom w:val="0"/>
      <w:divBdr>
        <w:top w:val="none" w:sz="0" w:space="0" w:color="auto"/>
        <w:left w:val="none" w:sz="0" w:space="0" w:color="auto"/>
        <w:bottom w:val="none" w:sz="0" w:space="0" w:color="auto"/>
        <w:right w:val="none" w:sz="0" w:space="0" w:color="auto"/>
      </w:divBdr>
    </w:div>
    <w:div w:id="1386219622">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22607286">
      <w:bodyDiv w:val="1"/>
      <w:marLeft w:val="0"/>
      <w:marRight w:val="0"/>
      <w:marTop w:val="0"/>
      <w:marBottom w:val="0"/>
      <w:divBdr>
        <w:top w:val="none" w:sz="0" w:space="0" w:color="auto"/>
        <w:left w:val="none" w:sz="0" w:space="0" w:color="auto"/>
        <w:bottom w:val="none" w:sz="0" w:space="0" w:color="auto"/>
        <w:right w:val="none" w:sz="0" w:space="0" w:color="auto"/>
      </w:divBdr>
    </w:div>
    <w:div w:id="1425371676">
      <w:bodyDiv w:val="1"/>
      <w:marLeft w:val="0"/>
      <w:marRight w:val="0"/>
      <w:marTop w:val="0"/>
      <w:marBottom w:val="0"/>
      <w:divBdr>
        <w:top w:val="none" w:sz="0" w:space="0" w:color="auto"/>
        <w:left w:val="none" w:sz="0" w:space="0" w:color="auto"/>
        <w:bottom w:val="none" w:sz="0" w:space="0" w:color="auto"/>
        <w:right w:val="none" w:sz="0" w:space="0" w:color="auto"/>
      </w:divBdr>
    </w:div>
    <w:div w:id="1438984073">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02233870">
      <w:bodyDiv w:val="1"/>
      <w:marLeft w:val="0"/>
      <w:marRight w:val="0"/>
      <w:marTop w:val="0"/>
      <w:marBottom w:val="0"/>
      <w:divBdr>
        <w:top w:val="none" w:sz="0" w:space="0" w:color="auto"/>
        <w:left w:val="none" w:sz="0" w:space="0" w:color="auto"/>
        <w:bottom w:val="none" w:sz="0" w:space="0" w:color="auto"/>
        <w:right w:val="none" w:sz="0" w:space="0" w:color="auto"/>
      </w:divBdr>
    </w:div>
    <w:div w:id="1518616114">
      <w:bodyDiv w:val="1"/>
      <w:marLeft w:val="0"/>
      <w:marRight w:val="0"/>
      <w:marTop w:val="0"/>
      <w:marBottom w:val="0"/>
      <w:divBdr>
        <w:top w:val="none" w:sz="0" w:space="0" w:color="auto"/>
        <w:left w:val="none" w:sz="0" w:space="0" w:color="auto"/>
        <w:bottom w:val="none" w:sz="0" w:space="0" w:color="auto"/>
        <w:right w:val="none" w:sz="0" w:space="0" w:color="auto"/>
      </w:divBdr>
    </w:div>
    <w:div w:id="1526016540">
      <w:bodyDiv w:val="1"/>
      <w:marLeft w:val="0"/>
      <w:marRight w:val="0"/>
      <w:marTop w:val="0"/>
      <w:marBottom w:val="0"/>
      <w:divBdr>
        <w:top w:val="none" w:sz="0" w:space="0" w:color="auto"/>
        <w:left w:val="none" w:sz="0" w:space="0" w:color="auto"/>
        <w:bottom w:val="none" w:sz="0" w:space="0" w:color="auto"/>
        <w:right w:val="none" w:sz="0" w:space="0" w:color="auto"/>
      </w:divBdr>
    </w:div>
    <w:div w:id="1530069296">
      <w:bodyDiv w:val="1"/>
      <w:marLeft w:val="0"/>
      <w:marRight w:val="0"/>
      <w:marTop w:val="0"/>
      <w:marBottom w:val="0"/>
      <w:divBdr>
        <w:top w:val="none" w:sz="0" w:space="0" w:color="auto"/>
        <w:left w:val="none" w:sz="0" w:space="0" w:color="auto"/>
        <w:bottom w:val="none" w:sz="0" w:space="0" w:color="auto"/>
        <w:right w:val="none" w:sz="0" w:space="0" w:color="auto"/>
      </w:divBdr>
    </w:div>
    <w:div w:id="155315774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21885564">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08888121">
      <w:bodyDiv w:val="1"/>
      <w:marLeft w:val="0"/>
      <w:marRight w:val="0"/>
      <w:marTop w:val="0"/>
      <w:marBottom w:val="0"/>
      <w:divBdr>
        <w:top w:val="none" w:sz="0" w:space="0" w:color="auto"/>
        <w:left w:val="none" w:sz="0" w:space="0" w:color="auto"/>
        <w:bottom w:val="none" w:sz="0" w:space="0" w:color="auto"/>
        <w:right w:val="none" w:sz="0" w:space="0" w:color="auto"/>
      </w:divBdr>
      <w:divsChild>
        <w:div w:id="2024282942">
          <w:marLeft w:val="0"/>
          <w:marRight w:val="0"/>
          <w:marTop w:val="0"/>
          <w:marBottom w:val="0"/>
          <w:divBdr>
            <w:top w:val="none" w:sz="0" w:space="0" w:color="auto"/>
            <w:left w:val="none" w:sz="0" w:space="0" w:color="auto"/>
            <w:bottom w:val="none" w:sz="0" w:space="0" w:color="auto"/>
            <w:right w:val="none" w:sz="0" w:space="0" w:color="auto"/>
          </w:divBdr>
          <w:divsChild>
            <w:div w:id="71397141">
              <w:marLeft w:val="0"/>
              <w:marRight w:val="0"/>
              <w:marTop w:val="0"/>
              <w:marBottom w:val="0"/>
              <w:divBdr>
                <w:top w:val="none" w:sz="0" w:space="0" w:color="auto"/>
                <w:left w:val="none" w:sz="0" w:space="0" w:color="auto"/>
                <w:bottom w:val="none" w:sz="0" w:space="0" w:color="auto"/>
                <w:right w:val="none" w:sz="0" w:space="0" w:color="auto"/>
              </w:divBdr>
            </w:div>
            <w:div w:id="2837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810800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5117325">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898079328">
      <w:bodyDiv w:val="1"/>
      <w:marLeft w:val="0"/>
      <w:marRight w:val="0"/>
      <w:marTop w:val="0"/>
      <w:marBottom w:val="0"/>
      <w:divBdr>
        <w:top w:val="none" w:sz="0" w:space="0" w:color="auto"/>
        <w:left w:val="none" w:sz="0" w:space="0" w:color="auto"/>
        <w:bottom w:val="none" w:sz="0" w:space="0" w:color="auto"/>
        <w:right w:val="none" w:sz="0" w:space="0" w:color="auto"/>
      </w:divBdr>
    </w:div>
    <w:div w:id="1944217449">
      <w:bodyDiv w:val="1"/>
      <w:marLeft w:val="0"/>
      <w:marRight w:val="0"/>
      <w:marTop w:val="0"/>
      <w:marBottom w:val="0"/>
      <w:divBdr>
        <w:top w:val="none" w:sz="0" w:space="0" w:color="auto"/>
        <w:left w:val="none" w:sz="0" w:space="0" w:color="auto"/>
        <w:bottom w:val="none" w:sz="0" w:space="0" w:color="auto"/>
        <w:right w:val="none" w:sz="0" w:space="0" w:color="auto"/>
      </w:divBdr>
      <w:divsChild>
        <w:div w:id="31273546">
          <w:marLeft w:val="0"/>
          <w:marRight w:val="0"/>
          <w:marTop w:val="0"/>
          <w:marBottom w:val="0"/>
          <w:divBdr>
            <w:top w:val="none" w:sz="0" w:space="0" w:color="auto"/>
            <w:left w:val="none" w:sz="0" w:space="0" w:color="auto"/>
            <w:bottom w:val="none" w:sz="0" w:space="0" w:color="auto"/>
            <w:right w:val="none" w:sz="0" w:space="0" w:color="auto"/>
          </w:divBdr>
          <w:divsChild>
            <w:div w:id="338123972">
              <w:marLeft w:val="0"/>
              <w:marRight w:val="0"/>
              <w:marTop w:val="0"/>
              <w:marBottom w:val="0"/>
              <w:divBdr>
                <w:top w:val="none" w:sz="0" w:space="0" w:color="auto"/>
                <w:left w:val="none" w:sz="0" w:space="0" w:color="auto"/>
                <w:bottom w:val="none" w:sz="0" w:space="0" w:color="auto"/>
                <w:right w:val="none" w:sz="0" w:space="0" w:color="auto"/>
              </w:divBdr>
            </w:div>
          </w:divsChild>
        </w:div>
        <w:div w:id="338628988">
          <w:marLeft w:val="0"/>
          <w:marRight w:val="0"/>
          <w:marTop w:val="0"/>
          <w:marBottom w:val="0"/>
          <w:divBdr>
            <w:top w:val="none" w:sz="0" w:space="0" w:color="auto"/>
            <w:left w:val="none" w:sz="0" w:space="0" w:color="auto"/>
            <w:bottom w:val="none" w:sz="0" w:space="0" w:color="auto"/>
            <w:right w:val="none" w:sz="0" w:space="0" w:color="auto"/>
          </w:divBdr>
          <w:divsChild>
            <w:div w:id="60912171">
              <w:marLeft w:val="0"/>
              <w:marRight w:val="0"/>
              <w:marTop w:val="0"/>
              <w:marBottom w:val="0"/>
              <w:divBdr>
                <w:top w:val="none" w:sz="0" w:space="0" w:color="auto"/>
                <w:left w:val="none" w:sz="0" w:space="0" w:color="auto"/>
                <w:bottom w:val="none" w:sz="0" w:space="0" w:color="auto"/>
                <w:right w:val="none" w:sz="0" w:space="0" w:color="auto"/>
              </w:divBdr>
            </w:div>
          </w:divsChild>
        </w:div>
        <w:div w:id="396709650">
          <w:marLeft w:val="0"/>
          <w:marRight w:val="0"/>
          <w:marTop w:val="0"/>
          <w:marBottom w:val="0"/>
          <w:divBdr>
            <w:top w:val="none" w:sz="0" w:space="0" w:color="auto"/>
            <w:left w:val="none" w:sz="0" w:space="0" w:color="auto"/>
            <w:bottom w:val="none" w:sz="0" w:space="0" w:color="auto"/>
            <w:right w:val="none" w:sz="0" w:space="0" w:color="auto"/>
          </w:divBdr>
          <w:divsChild>
            <w:div w:id="197203666">
              <w:marLeft w:val="0"/>
              <w:marRight w:val="0"/>
              <w:marTop w:val="0"/>
              <w:marBottom w:val="0"/>
              <w:divBdr>
                <w:top w:val="none" w:sz="0" w:space="0" w:color="auto"/>
                <w:left w:val="none" w:sz="0" w:space="0" w:color="auto"/>
                <w:bottom w:val="none" w:sz="0" w:space="0" w:color="auto"/>
                <w:right w:val="none" w:sz="0" w:space="0" w:color="auto"/>
              </w:divBdr>
            </w:div>
            <w:div w:id="358317807">
              <w:marLeft w:val="0"/>
              <w:marRight w:val="0"/>
              <w:marTop w:val="0"/>
              <w:marBottom w:val="0"/>
              <w:divBdr>
                <w:top w:val="none" w:sz="0" w:space="0" w:color="auto"/>
                <w:left w:val="none" w:sz="0" w:space="0" w:color="auto"/>
                <w:bottom w:val="none" w:sz="0" w:space="0" w:color="auto"/>
                <w:right w:val="none" w:sz="0" w:space="0" w:color="auto"/>
              </w:divBdr>
            </w:div>
            <w:div w:id="373386143">
              <w:marLeft w:val="0"/>
              <w:marRight w:val="0"/>
              <w:marTop w:val="0"/>
              <w:marBottom w:val="0"/>
              <w:divBdr>
                <w:top w:val="none" w:sz="0" w:space="0" w:color="auto"/>
                <w:left w:val="none" w:sz="0" w:space="0" w:color="auto"/>
                <w:bottom w:val="none" w:sz="0" w:space="0" w:color="auto"/>
                <w:right w:val="none" w:sz="0" w:space="0" w:color="auto"/>
              </w:divBdr>
            </w:div>
            <w:div w:id="499002723">
              <w:marLeft w:val="0"/>
              <w:marRight w:val="0"/>
              <w:marTop w:val="0"/>
              <w:marBottom w:val="0"/>
              <w:divBdr>
                <w:top w:val="none" w:sz="0" w:space="0" w:color="auto"/>
                <w:left w:val="none" w:sz="0" w:space="0" w:color="auto"/>
                <w:bottom w:val="none" w:sz="0" w:space="0" w:color="auto"/>
                <w:right w:val="none" w:sz="0" w:space="0" w:color="auto"/>
              </w:divBdr>
            </w:div>
            <w:div w:id="559247314">
              <w:marLeft w:val="0"/>
              <w:marRight w:val="0"/>
              <w:marTop w:val="0"/>
              <w:marBottom w:val="0"/>
              <w:divBdr>
                <w:top w:val="none" w:sz="0" w:space="0" w:color="auto"/>
                <w:left w:val="none" w:sz="0" w:space="0" w:color="auto"/>
                <w:bottom w:val="none" w:sz="0" w:space="0" w:color="auto"/>
                <w:right w:val="none" w:sz="0" w:space="0" w:color="auto"/>
              </w:divBdr>
            </w:div>
            <w:div w:id="710233203">
              <w:marLeft w:val="0"/>
              <w:marRight w:val="0"/>
              <w:marTop w:val="0"/>
              <w:marBottom w:val="0"/>
              <w:divBdr>
                <w:top w:val="none" w:sz="0" w:space="0" w:color="auto"/>
                <w:left w:val="none" w:sz="0" w:space="0" w:color="auto"/>
                <w:bottom w:val="none" w:sz="0" w:space="0" w:color="auto"/>
                <w:right w:val="none" w:sz="0" w:space="0" w:color="auto"/>
              </w:divBdr>
            </w:div>
            <w:div w:id="903487161">
              <w:marLeft w:val="0"/>
              <w:marRight w:val="0"/>
              <w:marTop w:val="0"/>
              <w:marBottom w:val="0"/>
              <w:divBdr>
                <w:top w:val="none" w:sz="0" w:space="0" w:color="auto"/>
                <w:left w:val="none" w:sz="0" w:space="0" w:color="auto"/>
                <w:bottom w:val="none" w:sz="0" w:space="0" w:color="auto"/>
                <w:right w:val="none" w:sz="0" w:space="0" w:color="auto"/>
              </w:divBdr>
            </w:div>
            <w:div w:id="914776162">
              <w:marLeft w:val="0"/>
              <w:marRight w:val="0"/>
              <w:marTop w:val="0"/>
              <w:marBottom w:val="0"/>
              <w:divBdr>
                <w:top w:val="none" w:sz="0" w:space="0" w:color="auto"/>
                <w:left w:val="none" w:sz="0" w:space="0" w:color="auto"/>
                <w:bottom w:val="none" w:sz="0" w:space="0" w:color="auto"/>
                <w:right w:val="none" w:sz="0" w:space="0" w:color="auto"/>
              </w:divBdr>
            </w:div>
            <w:div w:id="1025524324">
              <w:marLeft w:val="0"/>
              <w:marRight w:val="0"/>
              <w:marTop w:val="0"/>
              <w:marBottom w:val="0"/>
              <w:divBdr>
                <w:top w:val="none" w:sz="0" w:space="0" w:color="auto"/>
                <w:left w:val="none" w:sz="0" w:space="0" w:color="auto"/>
                <w:bottom w:val="none" w:sz="0" w:space="0" w:color="auto"/>
                <w:right w:val="none" w:sz="0" w:space="0" w:color="auto"/>
              </w:divBdr>
            </w:div>
            <w:div w:id="1130711391">
              <w:marLeft w:val="0"/>
              <w:marRight w:val="0"/>
              <w:marTop w:val="0"/>
              <w:marBottom w:val="0"/>
              <w:divBdr>
                <w:top w:val="none" w:sz="0" w:space="0" w:color="auto"/>
                <w:left w:val="none" w:sz="0" w:space="0" w:color="auto"/>
                <w:bottom w:val="none" w:sz="0" w:space="0" w:color="auto"/>
                <w:right w:val="none" w:sz="0" w:space="0" w:color="auto"/>
              </w:divBdr>
            </w:div>
            <w:div w:id="1170758594">
              <w:marLeft w:val="0"/>
              <w:marRight w:val="0"/>
              <w:marTop w:val="0"/>
              <w:marBottom w:val="0"/>
              <w:divBdr>
                <w:top w:val="none" w:sz="0" w:space="0" w:color="auto"/>
                <w:left w:val="none" w:sz="0" w:space="0" w:color="auto"/>
                <w:bottom w:val="none" w:sz="0" w:space="0" w:color="auto"/>
                <w:right w:val="none" w:sz="0" w:space="0" w:color="auto"/>
              </w:divBdr>
            </w:div>
            <w:div w:id="1191646057">
              <w:marLeft w:val="0"/>
              <w:marRight w:val="0"/>
              <w:marTop w:val="0"/>
              <w:marBottom w:val="0"/>
              <w:divBdr>
                <w:top w:val="none" w:sz="0" w:space="0" w:color="auto"/>
                <w:left w:val="none" w:sz="0" w:space="0" w:color="auto"/>
                <w:bottom w:val="none" w:sz="0" w:space="0" w:color="auto"/>
                <w:right w:val="none" w:sz="0" w:space="0" w:color="auto"/>
              </w:divBdr>
            </w:div>
            <w:div w:id="1307277126">
              <w:marLeft w:val="0"/>
              <w:marRight w:val="0"/>
              <w:marTop w:val="0"/>
              <w:marBottom w:val="0"/>
              <w:divBdr>
                <w:top w:val="none" w:sz="0" w:space="0" w:color="auto"/>
                <w:left w:val="none" w:sz="0" w:space="0" w:color="auto"/>
                <w:bottom w:val="none" w:sz="0" w:space="0" w:color="auto"/>
                <w:right w:val="none" w:sz="0" w:space="0" w:color="auto"/>
              </w:divBdr>
            </w:div>
            <w:div w:id="1409771949">
              <w:marLeft w:val="0"/>
              <w:marRight w:val="0"/>
              <w:marTop w:val="0"/>
              <w:marBottom w:val="0"/>
              <w:divBdr>
                <w:top w:val="none" w:sz="0" w:space="0" w:color="auto"/>
                <w:left w:val="none" w:sz="0" w:space="0" w:color="auto"/>
                <w:bottom w:val="none" w:sz="0" w:space="0" w:color="auto"/>
                <w:right w:val="none" w:sz="0" w:space="0" w:color="auto"/>
              </w:divBdr>
            </w:div>
            <w:div w:id="1450127385">
              <w:marLeft w:val="0"/>
              <w:marRight w:val="0"/>
              <w:marTop w:val="0"/>
              <w:marBottom w:val="0"/>
              <w:divBdr>
                <w:top w:val="none" w:sz="0" w:space="0" w:color="auto"/>
                <w:left w:val="none" w:sz="0" w:space="0" w:color="auto"/>
                <w:bottom w:val="none" w:sz="0" w:space="0" w:color="auto"/>
                <w:right w:val="none" w:sz="0" w:space="0" w:color="auto"/>
              </w:divBdr>
            </w:div>
            <w:div w:id="1459494084">
              <w:marLeft w:val="0"/>
              <w:marRight w:val="0"/>
              <w:marTop w:val="0"/>
              <w:marBottom w:val="0"/>
              <w:divBdr>
                <w:top w:val="none" w:sz="0" w:space="0" w:color="auto"/>
                <w:left w:val="none" w:sz="0" w:space="0" w:color="auto"/>
                <w:bottom w:val="none" w:sz="0" w:space="0" w:color="auto"/>
                <w:right w:val="none" w:sz="0" w:space="0" w:color="auto"/>
              </w:divBdr>
            </w:div>
            <w:div w:id="1498620007">
              <w:marLeft w:val="0"/>
              <w:marRight w:val="0"/>
              <w:marTop w:val="0"/>
              <w:marBottom w:val="0"/>
              <w:divBdr>
                <w:top w:val="none" w:sz="0" w:space="0" w:color="auto"/>
                <w:left w:val="none" w:sz="0" w:space="0" w:color="auto"/>
                <w:bottom w:val="none" w:sz="0" w:space="0" w:color="auto"/>
                <w:right w:val="none" w:sz="0" w:space="0" w:color="auto"/>
              </w:divBdr>
            </w:div>
            <w:div w:id="1505824334">
              <w:marLeft w:val="0"/>
              <w:marRight w:val="0"/>
              <w:marTop w:val="0"/>
              <w:marBottom w:val="0"/>
              <w:divBdr>
                <w:top w:val="none" w:sz="0" w:space="0" w:color="auto"/>
                <w:left w:val="none" w:sz="0" w:space="0" w:color="auto"/>
                <w:bottom w:val="none" w:sz="0" w:space="0" w:color="auto"/>
                <w:right w:val="none" w:sz="0" w:space="0" w:color="auto"/>
              </w:divBdr>
            </w:div>
            <w:div w:id="1655332551">
              <w:marLeft w:val="0"/>
              <w:marRight w:val="0"/>
              <w:marTop w:val="0"/>
              <w:marBottom w:val="0"/>
              <w:divBdr>
                <w:top w:val="none" w:sz="0" w:space="0" w:color="auto"/>
                <w:left w:val="none" w:sz="0" w:space="0" w:color="auto"/>
                <w:bottom w:val="none" w:sz="0" w:space="0" w:color="auto"/>
                <w:right w:val="none" w:sz="0" w:space="0" w:color="auto"/>
              </w:divBdr>
            </w:div>
            <w:div w:id="1655793804">
              <w:marLeft w:val="0"/>
              <w:marRight w:val="0"/>
              <w:marTop w:val="0"/>
              <w:marBottom w:val="0"/>
              <w:divBdr>
                <w:top w:val="none" w:sz="0" w:space="0" w:color="auto"/>
                <w:left w:val="none" w:sz="0" w:space="0" w:color="auto"/>
                <w:bottom w:val="none" w:sz="0" w:space="0" w:color="auto"/>
                <w:right w:val="none" w:sz="0" w:space="0" w:color="auto"/>
              </w:divBdr>
            </w:div>
            <w:div w:id="1698384856">
              <w:marLeft w:val="0"/>
              <w:marRight w:val="0"/>
              <w:marTop w:val="0"/>
              <w:marBottom w:val="0"/>
              <w:divBdr>
                <w:top w:val="none" w:sz="0" w:space="0" w:color="auto"/>
                <w:left w:val="none" w:sz="0" w:space="0" w:color="auto"/>
                <w:bottom w:val="none" w:sz="0" w:space="0" w:color="auto"/>
                <w:right w:val="none" w:sz="0" w:space="0" w:color="auto"/>
              </w:divBdr>
            </w:div>
            <w:div w:id="1718360585">
              <w:marLeft w:val="0"/>
              <w:marRight w:val="0"/>
              <w:marTop w:val="0"/>
              <w:marBottom w:val="0"/>
              <w:divBdr>
                <w:top w:val="none" w:sz="0" w:space="0" w:color="auto"/>
                <w:left w:val="none" w:sz="0" w:space="0" w:color="auto"/>
                <w:bottom w:val="none" w:sz="0" w:space="0" w:color="auto"/>
                <w:right w:val="none" w:sz="0" w:space="0" w:color="auto"/>
              </w:divBdr>
            </w:div>
          </w:divsChild>
        </w:div>
        <w:div w:id="805009806">
          <w:marLeft w:val="0"/>
          <w:marRight w:val="0"/>
          <w:marTop w:val="0"/>
          <w:marBottom w:val="0"/>
          <w:divBdr>
            <w:top w:val="none" w:sz="0" w:space="0" w:color="auto"/>
            <w:left w:val="none" w:sz="0" w:space="0" w:color="auto"/>
            <w:bottom w:val="none" w:sz="0" w:space="0" w:color="auto"/>
            <w:right w:val="none" w:sz="0" w:space="0" w:color="auto"/>
          </w:divBdr>
          <w:divsChild>
            <w:div w:id="513229139">
              <w:marLeft w:val="0"/>
              <w:marRight w:val="0"/>
              <w:marTop w:val="0"/>
              <w:marBottom w:val="0"/>
              <w:divBdr>
                <w:top w:val="none" w:sz="0" w:space="0" w:color="auto"/>
                <w:left w:val="none" w:sz="0" w:space="0" w:color="auto"/>
                <w:bottom w:val="none" w:sz="0" w:space="0" w:color="auto"/>
                <w:right w:val="none" w:sz="0" w:space="0" w:color="auto"/>
              </w:divBdr>
            </w:div>
            <w:div w:id="894588815">
              <w:marLeft w:val="0"/>
              <w:marRight w:val="0"/>
              <w:marTop w:val="0"/>
              <w:marBottom w:val="0"/>
              <w:divBdr>
                <w:top w:val="none" w:sz="0" w:space="0" w:color="auto"/>
                <w:left w:val="none" w:sz="0" w:space="0" w:color="auto"/>
                <w:bottom w:val="none" w:sz="0" w:space="0" w:color="auto"/>
                <w:right w:val="none" w:sz="0" w:space="0" w:color="auto"/>
              </w:divBdr>
            </w:div>
            <w:div w:id="1175611215">
              <w:marLeft w:val="0"/>
              <w:marRight w:val="0"/>
              <w:marTop w:val="0"/>
              <w:marBottom w:val="0"/>
              <w:divBdr>
                <w:top w:val="none" w:sz="0" w:space="0" w:color="auto"/>
                <w:left w:val="none" w:sz="0" w:space="0" w:color="auto"/>
                <w:bottom w:val="none" w:sz="0" w:space="0" w:color="auto"/>
                <w:right w:val="none" w:sz="0" w:space="0" w:color="auto"/>
              </w:divBdr>
            </w:div>
            <w:div w:id="1554972753">
              <w:marLeft w:val="0"/>
              <w:marRight w:val="0"/>
              <w:marTop w:val="0"/>
              <w:marBottom w:val="0"/>
              <w:divBdr>
                <w:top w:val="none" w:sz="0" w:space="0" w:color="auto"/>
                <w:left w:val="none" w:sz="0" w:space="0" w:color="auto"/>
                <w:bottom w:val="none" w:sz="0" w:space="0" w:color="auto"/>
                <w:right w:val="none" w:sz="0" w:space="0" w:color="auto"/>
              </w:divBdr>
            </w:div>
            <w:div w:id="2045328471">
              <w:marLeft w:val="0"/>
              <w:marRight w:val="0"/>
              <w:marTop w:val="0"/>
              <w:marBottom w:val="0"/>
              <w:divBdr>
                <w:top w:val="none" w:sz="0" w:space="0" w:color="auto"/>
                <w:left w:val="none" w:sz="0" w:space="0" w:color="auto"/>
                <w:bottom w:val="none" w:sz="0" w:space="0" w:color="auto"/>
                <w:right w:val="none" w:sz="0" w:space="0" w:color="auto"/>
              </w:divBdr>
            </w:div>
          </w:divsChild>
        </w:div>
        <w:div w:id="1309751370">
          <w:marLeft w:val="0"/>
          <w:marRight w:val="0"/>
          <w:marTop w:val="0"/>
          <w:marBottom w:val="0"/>
          <w:divBdr>
            <w:top w:val="none" w:sz="0" w:space="0" w:color="auto"/>
            <w:left w:val="none" w:sz="0" w:space="0" w:color="auto"/>
            <w:bottom w:val="none" w:sz="0" w:space="0" w:color="auto"/>
            <w:right w:val="none" w:sz="0" w:space="0" w:color="auto"/>
          </w:divBdr>
          <w:divsChild>
            <w:div w:id="707145577">
              <w:marLeft w:val="0"/>
              <w:marRight w:val="0"/>
              <w:marTop w:val="0"/>
              <w:marBottom w:val="0"/>
              <w:divBdr>
                <w:top w:val="none" w:sz="0" w:space="0" w:color="auto"/>
                <w:left w:val="none" w:sz="0" w:space="0" w:color="auto"/>
                <w:bottom w:val="none" w:sz="0" w:space="0" w:color="auto"/>
                <w:right w:val="none" w:sz="0" w:space="0" w:color="auto"/>
              </w:divBdr>
            </w:div>
            <w:div w:id="1459881326">
              <w:marLeft w:val="0"/>
              <w:marRight w:val="0"/>
              <w:marTop w:val="0"/>
              <w:marBottom w:val="0"/>
              <w:divBdr>
                <w:top w:val="none" w:sz="0" w:space="0" w:color="auto"/>
                <w:left w:val="none" w:sz="0" w:space="0" w:color="auto"/>
                <w:bottom w:val="none" w:sz="0" w:space="0" w:color="auto"/>
                <w:right w:val="none" w:sz="0" w:space="0" w:color="auto"/>
              </w:divBdr>
            </w:div>
          </w:divsChild>
        </w:div>
        <w:div w:id="1342202556">
          <w:marLeft w:val="0"/>
          <w:marRight w:val="0"/>
          <w:marTop w:val="0"/>
          <w:marBottom w:val="0"/>
          <w:divBdr>
            <w:top w:val="none" w:sz="0" w:space="0" w:color="auto"/>
            <w:left w:val="none" w:sz="0" w:space="0" w:color="auto"/>
            <w:bottom w:val="none" w:sz="0" w:space="0" w:color="auto"/>
            <w:right w:val="none" w:sz="0" w:space="0" w:color="auto"/>
          </w:divBdr>
          <w:divsChild>
            <w:div w:id="997198017">
              <w:marLeft w:val="0"/>
              <w:marRight w:val="0"/>
              <w:marTop w:val="0"/>
              <w:marBottom w:val="0"/>
              <w:divBdr>
                <w:top w:val="none" w:sz="0" w:space="0" w:color="auto"/>
                <w:left w:val="none" w:sz="0" w:space="0" w:color="auto"/>
                <w:bottom w:val="none" w:sz="0" w:space="0" w:color="auto"/>
                <w:right w:val="none" w:sz="0" w:space="0" w:color="auto"/>
              </w:divBdr>
            </w:div>
            <w:div w:id="1394545633">
              <w:marLeft w:val="0"/>
              <w:marRight w:val="0"/>
              <w:marTop w:val="0"/>
              <w:marBottom w:val="0"/>
              <w:divBdr>
                <w:top w:val="none" w:sz="0" w:space="0" w:color="auto"/>
                <w:left w:val="none" w:sz="0" w:space="0" w:color="auto"/>
                <w:bottom w:val="none" w:sz="0" w:space="0" w:color="auto"/>
                <w:right w:val="none" w:sz="0" w:space="0" w:color="auto"/>
              </w:divBdr>
            </w:div>
          </w:divsChild>
        </w:div>
        <w:div w:id="1484007095">
          <w:marLeft w:val="0"/>
          <w:marRight w:val="0"/>
          <w:marTop w:val="0"/>
          <w:marBottom w:val="0"/>
          <w:divBdr>
            <w:top w:val="none" w:sz="0" w:space="0" w:color="auto"/>
            <w:left w:val="none" w:sz="0" w:space="0" w:color="auto"/>
            <w:bottom w:val="none" w:sz="0" w:space="0" w:color="auto"/>
            <w:right w:val="none" w:sz="0" w:space="0" w:color="auto"/>
          </w:divBdr>
          <w:divsChild>
            <w:div w:id="1003359412">
              <w:marLeft w:val="0"/>
              <w:marRight w:val="0"/>
              <w:marTop w:val="0"/>
              <w:marBottom w:val="0"/>
              <w:divBdr>
                <w:top w:val="none" w:sz="0" w:space="0" w:color="auto"/>
                <w:left w:val="none" w:sz="0" w:space="0" w:color="auto"/>
                <w:bottom w:val="none" w:sz="0" w:space="0" w:color="auto"/>
                <w:right w:val="none" w:sz="0" w:space="0" w:color="auto"/>
              </w:divBdr>
            </w:div>
          </w:divsChild>
        </w:div>
        <w:div w:id="1500846670">
          <w:marLeft w:val="0"/>
          <w:marRight w:val="0"/>
          <w:marTop w:val="0"/>
          <w:marBottom w:val="0"/>
          <w:divBdr>
            <w:top w:val="none" w:sz="0" w:space="0" w:color="auto"/>
            <w:left w:val="none" w:sz="0" w:space="0" w:color="auto"/>
            <w:bottom w:val="none" w:sz="0" w:space="0" w:color="auto"/>
            <w:right w:val="none" w:sz="0" w:space="0" w:color="auto"/>
          </w:divBdr>
          <w:divsChild>
            <w:div w:id="1045637358">
              <w:marLeft w:val="0"/>
              <w:marRight w:val="0"/>
              <w:marTop w:val="0"/>
              <w:marBottom w:val="0"/>
              <w:divBdr>
                <w:top w:val="none" w:sz="0" w:space="0" w:color="auto"/>
                <w:left w:val="none" w:sz="0" w:space="0" w:color="auto"/>
                <w:bottom w:val="none" w:sz="0" w:space="0" w:color="auto"/>
                <w:right w:val="none" w:sz="0" w:space="0" w:color="auto"/>
              </w:divBdr>
            </w:div>
          </w:divsChild>
        </w:div>
        <w:div w:id="1536236101">
          <w:marLeft w:val="0"/>
          <w:marRight w:val="0"/>
          <w:marTop w:val="0"/>
          <w:marBottom w:val="0"/>
          <w:divBdr>
            <w:top w:val="none" w:sz="0" w:space="0" w:color="auto"/>
            <w:left w:val="none" w:sz="0" w:space="0" w:color="auto"/>
            <w:bottom w:val="none" w:sz="0" w:space="0" w:color="auto"/>
            <w:right w:val="none" w:sz="0" w:space="0" w:color="auto"/>
          </w:divBdr>
          <w:divsChild>
            <w:div w:id="546257302">
              <w:marLeft w:val="0"/>
              <w:marRight w:val="0"/>
              <w:marTop w:val="0"/>
              <w:marBottom w:val="0"/>
              <w:divBdr>
                <w:top w:val="none" w:sz="0" w:space="0" w:color="auto"/>
                <w:left w:val="none" w:sz="0" w:space="0" w:color="auto"/>
                <w:bottom w:val="none" w:sz="0" w:space="0" w:color="auto"/>
                <w:right w:val="none" w:sz="0" w:space="0" w:color="auto"/>
              </w:divBdr>
            </w:div>
            <w:div w:id="1969579022">
              <w:marLeft w:val="0"/>
              <w:marRight w:val="0"/>
              <w:marTop w:val="0"/>
              <w:marBottom w:val="0"/>
              <w:divBdr>
                <w:top w:val="none" w:sz="0" w:space="0" w:color="auto"/>
                <w:left w:val="none" w:sz="0" w:space="0" w:color="auto"/>
                <w:bottom w:val="none" w:sz="0" w:space="0" w:color="auto"/>
                <w:right w:val="none" w:sz="0" w:space="0" w:color="auto"/>
              </w:divBdr>
            </w:div>
          </w:divsChild>
        </w:div>
        <w:div w:id="1558660629">
          <w:marLeft w:val="0"/>
          <w:marRight w:val="0"/>
          <w:marTop w:val="0"/>
          <w:marBottom w:val="0"/>
          <w:divBdr>
            <w:top w:val="none" w:sz="0" w:space="0" w:color="auto"/>
            <w:left w:val="none" w:sz="0" w:space="0" w:color="auto"/>
            <w:bottom w:val="none" w:sz="0" w:space="0" w:color="auto"/>
            <w:right w:val="none" w:sz="0" w:space="0" w:color="auto"/>
          </w:divBdr>
          <w:divsChild>
            <w:div w:id="1776827031">
              <w:marLeft w:val="0"/>
              <w:marRight w:val="0"/>
              <w:marTop w:val="0"/>
              <w:marBottom w:val="0"/>
              <w:divBdr>
                <w:top w:val="none" w:sz="0" w:space="0" w:color="auto"/>
                <w:left w:val="none" w:sz="0" w:space="0" w:color="auto"/>
                <w:bottom w:val="none" w:sz="0" w:space="0" w:color="auto"/>
                <w:right w:val="none" w:sz="0" w:space="0" w:color="auto"/>
              </w:divBdr>
            </w:div>
          </w:divsChild>
        </w:div>
        <w:div w:id="1592666574">
          <w:marLeft w:val="0"/>
          <w:marRight w:val="0"/>
          <w:marTop w:val="0"/>
          <w:marBottom w:val="0"/>
          <w:divBdr>
            <w:top w:val="none" w:sz="0" w:space="0" w:color="auto"/>
            <w:left w:val="none" w:sz="0" w:space="0" w:color="auto"/>
            <w:bottom w:val="none" w:sz="0" w:space="0" w:color="auto"/>
            <w:right w:val="none" w:sz="0" w:space="0" w:color="auto"/>
          </w:divBdr>
          <w:divsChild>
            <w:div w:id="1110781554">
              <w:marLeft w:val="0"/>
              <w:marRight w:val="0"/>
              <w:marTop w:val="0"/>
              <w:marBottom w:val="0"/>
              <w:divBdr>
                <w:top w:val="none" w:sz="0" w:space="0" w:color="auto"/>
                <w:left w:val="none" w:sz="0" w:space="0" w:color="auto"/>
                <w:bottom w:val="none" w:sz="0" w:space="0" w:color="auto"/>
                <w:right w:val="none" w:sz="0" w:space="0" w:color="auto"/>
              </w:divBdr>
            </w:div>
          </w:divsChild>
        </w:div>
        <w:div w:id="1649824975">
          <w:marLeft w:val="0"/>
          <w:marRight w:val="0"/>
          <w:marTop w:val="0"/>
          <w:marBottom w:val="0"/>
          <w:divBdr>
            <w:top w:val="none" w:sz="0" w:space="0" w:color="auto"/>
            <w:left w:val="none" w:sz="0" w:space="0" w:color="auto"/>
            <w:bottom w:val="none" w:sz="0" w:space="0" w:color="auto"/>
            <w:right w:val="none" w:sz="0" w:space="0" w:color="auto"/>
          </w:divBdr>
          <w:divsChild>
            <w:div w:id="160976032">
              <w:marLeft w:val="0"/>
              <w:marRight w:val="0"/>
              <w:marTop w:val="0"/>
              <w:marBottom w:val="0"/>
              <w:divBdr>
                <w:top w:val="none" w:sz="0" w:space="0" w:color="auto"/>
                <w:left w:val="none" w:sz="0" w:space="0" w:color="auto"/>
                <w:bottom w:val="none" w:sz="0" w:space="0" w:color="auto"/>
                <w:right w:val="none" w:sz="0" w:space="0" w:color="auto"/>
              </w:divBdr>
            </w:div>
            <w:div w:id="717164043">
              <w:marLeft w:val="0"/>
              <w:marRight w:val="0"/>
              <w:marTop w:val="0"/>
              <w:marBottom w:val="0"/>
              <w:divBdr>
                <w:top w:val="none" w:sz="0" w:space="0" w:color="auto"/>
                <w:left w:val="none" w:sz="0" w:space="0" w:color="auto"/>
                <w:bottom w:val="none" w:sz="0" w:space="0" w:color="auto"/>
                <w:right w:val="none" w:sz="0" w:space="0" w:color="auto"/>
              </w:divBdr>
            </w:div>
            <w:div w:id="1257057085">
              <w:marLeft w:val="0"/>
              <w:marRight w:val="0"/>
              <w:marTop w:val="0"/>
              <w:marBottom w:val="0"/>
              <w:divBdr>
                <w:top w:val="none" w:sz="0" w:space="0" w:color="auto"/>
                <w:left w:val="none" w:sz="0" w:space="0" w:color="auto"/>
                <w:bottom w:val="none" w:sz="0" w:space="0" w:color="auto"/>
                <w:right w:val="none" w:sz="0" w:space="0" w:color="auto"/>
              </w:divBdr>
            </w:div>
            <w:div w:id="1514802941">
              <w:marLeft w:val="0"/>
              <w:marRight w:val="0"/>
              <w:marTop w:val="0"/>
              <w:marBottom w:val="0"/>
              <w:divBdr>
                <w:top w:val="none" w:sz="0" w:space="0" w:color="auto"/>
                <w:left w:val="none" w:sz="0" w:space="0" w:color="auto"/>
                <w:bottom w:val="none" w:sz="0" w:space="0" w:color="auto"/>
                <w:right w:val="none" w:sz="0" w:space="0" w:color="auto"/>
              </w:divBdr>
            </w:div>
          </w:divsChild>
        </w:div>
        <w:div w:id="1885100673">
          <w:marLeft w:val="0"/>
          <w:marRight w:val="0"/>
          <w:marTop w:val="0"/>
          <w:marBottom w:val="0"/>
          <w:divBdr>
            <w:top w:val="none" w:sz="0" w:space="0" w:color="auto"/>
            <w:left w:val="none" w:sz="0" w:space="0" w:color="auto"/>
            <w:bottom w:val="none" w:sz="0" w:space="0" w:color="auto"/>
            <w:right w:val="none" w:sz="0" w:space="0" w:color="auto"/>
          </w:divBdr>
          <w:divsChild>
            <w:div w:id="16776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48872">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20503900">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23764288">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sac.gov.au/internet/msac/publishing.nsf/Content/Hom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9.health.gov.au/mbs/fullDisplay.cfm?type=item&amp;q=30478&amp;qt=item&amp;criteria=30478"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32400</Words>
  <Characters>184681</Characters>
  <Application>Microsoft Office Word</Application>
  <DocSecurity>0</DocSecurity>
  <Lines>1539</Lines>
  <Paragraphs>433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216648</CharactersWithSpaces>
  <SharedDoc>false</SharedDoc>
  <HyperlinkBase/>
  <HLinks>
    <vt:vector size="18" baseType="variant">
      <vt:variant>
        <vt:i4>6684716</vt:i4>
      </vt:variant>
      <vt:variant>
        <vt:i4>500</vt:i4>
      </vt:variant>
      <vt:variant>
        <vt:i4>0</vt:i4>
      </vt:variant>
      <vt:variant>
        <vt:i4>5</vt:i4>
      </vt:variant>
      <vt:variant>
        <vt:lpwstr>http://msac.gov.au/internet/msac/publishing.nsf/Content/Home-1</vt:lpwstr>
      </vt:variant>
      <vt:variant>
        <vt:lpwstr/>
      </vt:variant>
      <vt:variant>
        <vt:i4>2556013</vt:i4>
      </vt:variant>
      <vt:variant>
        <vt:i4>497</vt:i4>
      </vt:variant>
      <vt:variant>
        <vt:i4>0</vt:i4>
      </vt:variant>
      <vt:variant>
        <vt:i4>5</vt:i4>
      </vt:variant>
      <vt:variant>
        <vt:lpwstr>https://www9.health.gov.au/mbs/fullDisplay.cfm?type=item&amp;q=30478&amp;qt=item&amp;criteria=30478</vt:lpwstr>
      </vt:variant>
      <vt:variant>
        <vt:lpwstr/>
      </vt:variant>
      <vt:variant>
        <vt:i4>3997744</vt:i4>
      </vt:variant>
      <vt:variant>
        <vt:i4>0</vt:i4>
      </vt:variant>
      <vt:variant>
        <vt:i4>0</vt:i4>
      </vt:variant>
      <vt:variant>
        <vt:i4>5</vt:i4>
      </vt:variant>
      <vt:variant>
        <vt:lpwstr>http://www.msac.gov.au/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2025-07-04T00:35:00Z</dcterms:created>
  <dcterms:modified xsi:type="dcterms:W3CDTF">2025-07-04T01:18:00Z</dcterms:modified>
  <cp:category/>
</cp:coreProperties>
</file>