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FFE99" w14:textId="725F7A48" w:rsidR="006915F4" w:rsidRPr="00CC5607" w:rsidRDefault="006915F4" w:rsidP="00AE5472">
      <w:pPr>
        <w:keepNext/>
        <w:keepLines/>
        <w:spacing w:before="0" w:after="360" w:line="240" w:lineRule="auto"/>
        <w:ind w:left="788"/>
        <w:jc w:val="center"/>
        <w:outlineLvl w:val="0"/>
        <w:rPr>
          <w:rFonts w:ascii="Arial" w:hAnsi="Arial" w:cs="Arial"/>
          <w:b/>
          <w:bCs/>
          <w:color w:val="000080"/>
          <w:sz w:val="36"/>
          <w:szCs w:val="36"/>
        </w:rPr>
      </w:pPr>
      <w:r w:rsidRPr="00F268B7">
        <w:rPr>
          <w:rFonts w:ascii="Arial" w:eastAsiaTheme="majorEastAsia" w:hAnsi="Arial" w:cs="Arial"/>
          <w:b/>
          <w:bCs/>
          <w:color w:val="000080"/>
          <w:sz w:val="36"/>
          <w:szCs w:val="36"/>
        </w:rPr>
        <w:t>Medical Services Advisory Committee (MSAC)</w:t>
      </w:r>
      <w:r w:rsidRPr="00F268B7">
        <w:rPr>
          <w:rFonts w:ascii="Arial" w:eastAsiaTheme="majorEastAsia" w:hAnsi="Arial" w:cs="Arial"/>
          <w:b/>
          <w:bCs/>
          <w:color w:val="000080"/>
          <w:sz w:val="36"/>
          <w:szCs w:val="36"/>
        </w:rPr>
        <w:br/>
      </w:r>
      <w:r w:rsidR="00AE5472" w:rsidRPr="00F76D74">
        <w:rPr>
          <w:rFonts w:ascii="Arial" w:hAnsi="Arial" w:cs="Arial"/>
          <w:b/>
          <w:bCs/>
          <w:color w:val="000080"/>
          <w:sz w:val="36"/>
          <w:szCs w:val="36"/>
        </w:rPr>
        <w:t>Public Summary Document</w:t>
      </w:r>
    </w:p>
    <w:p w14:paraId="7A128FDE" w14:textId="7510CDCD" w:rsidR="00772829" w:rsidRPr="00CE28E3" w:rsidRDefault="00772829" w:rsidP="00772829">
      <w:pPr>
        <w:pStyle w:val="Subtitle"/>
      </w:pPr>
      <w:r w:rsidRPr="00CE28E3">
        <w:t xml:space="preserve">Application No. </w:t>
      </w:r>
      <w:r w:rsidR="002F1565" w:rsidRPr="002F1565">
        <w:t>1657.1 - Rhenium-188 brachytherapy for non-melanoma skin cancer</w:t>
      </w:r>
    </w:p>
    <w:p w14:paraId="35263561" w14:textId="1E270855" w:rsidR="00772829" w:rsidRPr="00CE28E3" w:rsidRDefault="00772829" w:rsidP="00AE5472">
      <w:pPr>
        <w:tabs>
          <w:tab w:val="left" w:pos="3686"/>
        </w:tabs>
        <w:spacing w:after="120"/>
        <w:rPr>
          <w:rFonts w:ascii="Arial" w:hAnsi="Arial" w:cs="Arial"/>
          <w:b/>
          <w:szCs w:val="24"/>
        </w:rPr>
      </w:pPr>
      <w:r w:rsidRPr="00CE28E3">
        <w:rPr>
          <w:rFonts w:ascii="Arial" w:hAnsi="Arial" w:cs="Arial"/>
          <w:b/>
          <w:szCs w:val="24"/>
        </w:rPr>
        <w:t>Applicant:</w:t>
      </w:r>
      <w:r>
        <w:tab/>
      </w:r>
      <w:r w:rsidR="00222BA3" w:rsidRPr="00222BA3">
        <w:rPr>
          <w:rFonts w:ascii="Arial" w:hAnsi="Arial" w:cs="Arial"/>
          <w:b/>
          <w:szCs w:val="24"/>
        </w:rPr>
        <w:t xml:space="preserve">Oncobeta Therapeutics </w:t>
      </w:r>
    </w:p>
    <w:p w14:paraId="2C07E4BF" w14:textId="13CF84AC" w:rsidR="00E23218" w:rsidRDefault="00E23218" w:rsidP="00AE5472">
      <w:pPr>
        <w:rPr>
          <w:rFonts w:ascii="Arial" w:hAnsi="Arial" w:cs="Arial"/>
          <w:b/>
          <w:bCs/>
        </w:rPr>
      </w:pPr>
      <w:r w:rsidRPr="002371E8">
        <w:rPr>
          <w:rFonts w:ascii="Arial" w:hAnsi="Arial" w:cs="Arial"/>
          <w:b/>
          <w:bCs/>
        </w:rPr>
        <w:t xml:space="preserve">Date of </w:t>
      </w:r>
      <w:r w:rsidR="00AE5472">
        <w:rPr>
          <w:rFonts w:ascii="Arial" w:hAnsi="Arial" w:cs="Arial"/>
          <w:b/>
          <w:bCs/>
        </w:rPr>
        <w:t>MSAC</w:t>
      </w:r>
      <w:r w:rsidRPr="002371E8">
        <w:rPr>
          <w:rFonts w:ascii="Arial" w:hAnsi="Arial" w:cs="Arial"/>
          <w:b/>
          <w:bCs/>
        </w:rPr>
        <w:t xml:space="preserve"> consideration:</w:t>
      </w:r>
      <w:r>
        <w:tab/>
      </w:r>
      <w:r w:rsidR="00AE5472">
        <w:rPr>
          <w:rFonts w:ascii="Arial" w:hAnsi="Arial" w:cs="Arial"/>
          <w:b/>
          <w:bCs/>
        </w:rPr>
        <w:t>3-4 April</w:t>
      </w:r>
      <w:r>
        <w:rPr>
          <w:rFonts w:ascii="Arial" w:hAnsi="Arial" w:cs="Arial"/>
          <w:b/>
          <w:bCs/>
        </w:rPr>
        <w:t xml:space="preserve"> 2025</w:t>
      </w:r>
    </w:p>
    <w:p w14:paraId="5A95415F" w14:textId="1DD84878" w:rsidR="00AE5472" w:rsidRPr="00AE5472" w:rsidRDefault="00AE5472" w:rsidP="00AE5472">
      <w:pPr>
        <w:spacing w:after="240"/>
        <w:rPr>
          <w:color w:val="0000FF"/>
          <w:u w:val="single"/>
        </w:rPr>
      </w:pPr>
      <w:r w:rsidRPr="00333EDF">
        <w:t xml:space="preserve">Context for decision: MSAC makes its advice in accordance with its Terms of Reference, </w:t>
      </w:r>
      <w:hyperlink r:id="rId8" w:tooltip="Link to Medical Services Advisory Committee website" w:history="1">
        <w:r w:rsidRPr="000D2098">
          <w:rPr>
            <w:rStyle w:val="Hyperlink"/>
            <w:color w:val="007BB8"/>
          </w:rPr>
          <w:t>visit the MSAC website</w:t>
        </w:r>
      </w:hyperlink>
    </w:p>
    <w:p w14:paraId="7EAA7262" w14:textId="09F90312" w:rsidR="00772829" w:rsidRPr="00CE28E3" w:rsidRDefault="00772829" w:rsidP="00AE5472">
      <w:pPr>
        <w:pStyle w:val="Heading2"/>
        <w:numPr>
          <w:ilvl w:val="0"/>
          <w:numId w:val="18"/>
        </w:numPr>
        <w:ind w:hanging="720"/>
      </w:pPr>
      <w:bookmarkStart w:id="0" w:name="_Toc69491415"/>
      <w:r w:rsidRPr="00CE28E3">
        <w:t xml:space="preserve">Purpose </w:t>
      </w:r>
      <w:r w:rsidRPr="00CE28E3">
        <w:rPr>
          <w:szCs w:val="32"/>
        </w:rPr>
        <w:t>of</w:t>
      </w:r>
      <w:r w:rsidRPr="00CE28E3">
        <w:t xml:space="preserve"> application</w:t>
      </w:r>
      <w:bookmarkEnd w:id="0"/>
    </w:p>
    <w:p w14:paraId="6BF31FF2" w14:textId="104C4A2B" w:rsidR="00772829" w:rsidRDefault="00772829" w:rsidP="00772829">
      <w:pPr>
        <w:spacing w:after="240"/>
        <w:rPr>
          <w:iCs/>
        </w:rPr>
      </w:pPr>
      <w:bookmarkStart w:id="1" w:name="_Hlk69734469"/>
      <w:r w:rsidRPr="009A3778">
        <w:rPr>
          <w:iCs/>
        </w:rPr>
        <w:t xml:space="preserve">An application </w:t>
      </w:r>
      <w:r w:rsidRPr="00055691">
        <w:rPr>
          <w:iCs/>
        </w:rPr>
        <w:t xml:space="preserve">requesting Medicare Benefits Schedule (MBS) </w:t>
      </w:r>
      <w:r w:rsidR="00B509B8">
        <w:rPr>
          <w:iCs/>
        </w:rPr>
        <w:t xml:space="preserve">listing </w:t>
      </w:r>
      <w:r w:rsidRPr="00055691">
        <w:rPr>
          <w:iCs/>
        </w:rPr>
        <w:t>of</w:t>
      </w:r>
      <w:r w:rsidRPr="009A3778">
        <w:rPr>
          <w:iCs/>
        </w:rPr>
        <w:t xml:space="preserve"> </w:t>
      </w:r>
      <w:r w:rsidR="005C5418">
        <w:rPr>
          <w:iCs/>
        </w:rPr>
        <w:t>e</w:t>
      </w:r>
      <w:r w:rsidR="00E85D9C" w:rsidRPr="00E85D9C">
        <w:rPr>
          <w:iCs/>
        </w:rPr>
        <w:t xml:space="preserve">pidermal radioisotope therapy, using </w:t>
      </w:r>
      <w:r w:rsidR="003D285E">
        <w:rPr>
          <w:iCs/>
        </w:rPr>
        <w:t>R</w:t>
      </w:r>
      <w:r w:rsidR="00E85D9C" w:rsidRPr="00E85D9C">
        <w:rPr>
          <w:iCs/>
        </w:rPr>
        <w:t xml:space="preserve">henium-188 </w:t>
      </w:r>
      <w:r w:rsidR="000F06BF">
        <w:rPr>
          <w:iCs/>
        </w:rPr>
        <w:t>(</w:t>
      </w:r>
      <w:r w:rsidR="00E068F2">
        <w:t>Re-188</w:t>
      </w:r>
      <w:r w:rsidR="000F06BF">
        <w:rPr>
          <w:iCs/>
        </w:rPr>
        <w:t xml:space="preserve">) </w:t>
      </w:r>
      <w:r w:rsidRPr="009A3778">
        <w:rPr>
          <w:iCs/>
        </w:rPr>
        <w:t>for</w:t>
      </w:r>
      <w:r w:rsidR="00BD2323" w:rsidRPr="00BD2323">
        <w:t xml:space="preserve"> </w:t>
      </w:r>
      <w:r w:rsidR="00BD2323" w:rsidRPr="00BD2323">
        <w:rPr>
          <w:iCs/>
        </w:rPr>
        <w:t>basal cell carcinoma (BCC) or cutaneous squamous cell carcinoma (SCC</w:t>
      </w:r>
      <w:r w:rsidR="00BD2323">
        <w:rPr>
          <w:iCs/>
        </w:rPr>
        <w:t>)</w:t>
      </w:r>
      <w:r w:rsidRPr="009A3778">
        <w:rPr>
          <w:iCs/>
        </w:rPr>
        <w:t xml:space="preserve"> was received from </w:t>
      </w:r>
      <w:r w:rsidR="00055691" w:rsidRPr="00055691">
        <w:rPr>
          <w:iCs/>
        </w:rPr>
        <w:t xml:space="preserve">Oncobeta Therapeutics </w:t>
      </w:r>
      <w:r w:rsidRPr="009A3778">
        <w:rPr>
          <w:iCs/>
        </w:rPr>
        <w:t>by the Department of Health.</w:t>
      </w:r>
    </w:p>
    <w:p w14:paraId="557E1F61" w14:textId="77777777" w:rsidR="00AE5472" w:rsidRPr="00AE5472" w:rsidRDefault="00AE5472" w:rsidP="00AE5472">
      <w:pPr>
        <w:pStyle w:val="Heading2"/>
        <w:numPr>
          <w:ilvl w:val="0"/>
          <w:numId w:val="18"/>
        </w:numPr>
        <w:ind w:hanging="720"/>
      </w:pPr>
      <w:bookmarkStart w:id="2" w:name="_Hlk193982496"/>
      <w:r w:rsidRPr="003A793E">
        <w:t>MSAC’s advice to the Minister</w:t>
      </w:r>
    </w:p>
    <w:p w14:paraId="620B8588" w14:textId="16B19D9E" w:rsidR="00AE5472" w:rsidRPr="007B2B72" w:rsidRDefault="00AE5472" w:rsidP="00880E32">
      <w:pPr>
        <w:pStyle w:val="TableFooter"/>
        <w:keepNext/>
        <w:keepLines/>
        <w:jc w:val="left"/>
        <w:rPr>
          <w:rFonts w:ascii="Franklin Gothic Book" w:eastAsia="Franklin Gothic Book" w:hAnsi="Franklin Gothic Book"/>
          <w:b/>
          <w:bCs/>
          <w:color w:val="FF0000"/>
          <w:sz w:val="22"/>
          <w:szCs w:val="22"/>
        </w:rPr>
      </w:pPr>
      <w:r w:rsidRPr="00333EDF">
        <w:rPr>
          <w:rFonts w:ascii="Franklin Gothic Book" w:hAnsi="Franklin Gothic Book"/>
          <w:sz w:val="22"/>
          <w:szCs w:val="22"/>
        </w:rPr>
        <w:t xml:space="preserve">After considering the strength of the available evidence in relation to comparative safety, clinical effectiveness, cost-effectiveness and total cost, </w:t>
      </w:r>
      <w:r w:rsidRPr="00333EDF">
        <w:rPr>
          <w:rFonts w:ascii="Franklin Gothic Book" w:eastAsia="Franklin Gothic Book" w:hAnsi="Franklin Gothic Book"/>
          <w:sz w:val="22"/>
          <w:szCs w:val="22"/>
        </w:rPr>
        <w:t>MSAC</w:t>
      </w:r>
      <w:r w:rsidR="00831C4C">
        <w:rPr>
          <w:rFonts w:ascii="Franklin Gothic Book" w:eastAsia="Franklin Gothic Book" w:hAnsi="Franklin Gothic Book"/>
          <w:sz w:val="22"/>
          <w:szCs w:val="22"/>
        </w:rPr>
        <w:t xml:space="preserve"> </w:t>
      </w:r>
      <w:r w:rsidR="00831C4C" w:rsidRPr="2D25F228">
        <w:rPr>
          <w:rFonts w:ascii="Franklin Gothic Book" w:eastAsia="Franklin Gothic Book" w:hAnsi="Franklin Gothic Book" w:cstheme="minorBidi"/>
          <w:color w:val="000000" w:themeColor="text1"/>
          <w:sz w:val="22"/>
          <w:szCs w:val="22"/>
        </w:rPr>
        <w:t xml:space="preserve">deferred its advice on the public funding of Rhenium-188 brachytherapy for the treatment of non-melanoma skin cancer in patients where surgery is not possible due to lesion location or contraindicated for surgical excision, including where there are patient safety concerns. MSAC considered that despite low </w:t>
      </w:r>
      <w:r w:rsidR="00831C4C">
        <w:rPr>
          <w:rFonts w:ascii="Franklin Gothic Book" w:eastAsia="Franklin Gothic Book" w:hAnsi="Franklin Gothic Book" w:cstheme="minorBidi"/>
          <w:color w:val="000000" w:themeColor="text1"/>
          <w:sz w:val="22"/>
          <w:szCs w:val="22"/>
        </w:rPr>
        <w:t>certainty</w:t>
      </w:r>
      <w:r w:rsidR="00831C4C" w:rsidRPr="2D25F228">
        <w:rPr>
          <w:rFonts w:ascii="Franklin Gothic Book" w:eastAsia="Franklin Gothic Book" w:hAnsi="Franklin Gothic Book" w:cstheme="minorBidi"/>
          <w:color w:val="000000" w:themeColor="text1"/>
          <w:sz w:val="22"/>
          <w:szCs w:val="22"/>
        </w:rPr>
        <w:t xml:space="preserve"> evidence there was likely to be a clinical place for Rhenium-188 brachytherapy for a specific population of patients. </w:t>
      </w:r>
      <w:r w:rsidR="00831C4C">
        <w:rPr>
          <w:rFonts w:ascii="Franklin Gothic Book" w:eastAsia="Franklin Gothic Book" w:hAnsi="Franklin Gothic Book" w:cstheme="minorBidi"/>
          <w:color w:val="000000" w:themeColor="text1"/>
          <w:sz w:val="22"/>
          <w:szCs w:val="22"/>
        </w:rPr>
        <w:t>R</w:t>
      </w:r>
      <w:r w:rsidR="00831C4C" w:rsidRPr="2D25F228">
        <w:rPr>
          <w:rFonts w:ascii="Franklin Gothic Book" w:eastAsia="Franklin Gothic Book" w:hAnsi="Franklin Gothic Book" w:cstheme="minorBidi"/>
          <w:color w:val="000000" w:themeColor="text1"/>
          <w:sz w:val="22"/>
          <w:szCs w:val="22"/>
        </w:rPr>
        <w:t xml:space="preserve">egarding the comparator therapies MSAC noted the lack of consensus on what </w:t>
      </w:r>
      <w:r w:rsidR="00831C4C">
        <w:rPr>
          <w:rFonts w:ascii="Franklin Gothic Book" w:eastAsia="Franklin Gothic Book" w:hAnsi="Franklin Gothic Book" w:cstheme="minorBidi"/>
          <w:color w:val="000000" w:themeColor="text1"/>
          <w:sz w:val="22"/>
          <w:szCs w:val="22"/>
        </w:rPr>
        <w:t xml:space="preserve">constitutes </w:t>
      </w:r>
      <w:r w:rsidR="00831C4C" w:rsidRPr="2D25F228">
        <w:rPr>
          <w:rFonts w:ascii="Franklin Gothic Book" w:eastAsia="Franklin Gothic Book" w:hAnsi="Franklin Gothic Book" w:cstheme="minorBidi"/>
          <w:color w:val="000000" w:themeColor="text1"/>
          <w:sz w:val="22"/>
          <w:szCs w:val="22"/>
        </w:rPr>
        <w:t xml:space="preserve">standard of care and the limited availability of comparative safety and effectiveness evidence </w:t>
      </w:r>
      <w:r w:rsidR="00831C4C">
        <w:rPr>
          <w:rFonts w:ascii="Franklin Gothic Book" w:eastAsia="Franklin Gothic Book" w:hAnsi="Franklin Gothic Book" w:cstheme="minorBidi"/>
          <w:color w:val="000000" w:themeColor="text1"/>
          <w:sz w:val="22"/>
          <w:szCs w:val="22"/>
        </w:rPr>
        <w:t>to</w:t>
      </w:r>
      <w:r w:rsidR="00831C4C" w:rsidRPr="2D25F228">
        <w:rPr>
          <w:rFonts w:ascii="Franklin Gothic Book" w:eastAsia="Franklin Gothic Book" w:hAnsi="Franklin Gothic Book" w:cstheme="minorBidi"/>
          <w:color w:val="000000" w:themeColor="text1"/>
          <w:sz w:val="22"/>
          <w:szCs w:val="22"/>
        </w:rPr>
        <w:t xml:space="preserve"> inform </w:t>
      </w:r>
      <w:r w:rsidR="00831C4C">
        <w:rPr>
          <w:rFonts w:ascii="Franklin Gothic Book" w:eastAsia="Franklin Gothic Book" w:hAnsi="Franklin Gothic Book" w:cstheme="minorBidi"/>
          <w:color w:val="000000" w:themeColor="text1"/>
          <w:sz w:val="22"/>
          <w:szCs w:val="22"/>
        </w:rPr>
        <w:t>a</w:t>
      </w:r>
      <w:r w:rsidR="00831C4C" w:rsidRPr="2D25F228">
        <w:rPr>
          <w:rFonts w:ascii="Franklin Gothic Book" w:eastAsia="Franklin Gothic Book" w:hAnsi="Franklin Gothic Book" w:cstheme="minorBidi"/>
          <w:color w:val="000000" w:themeColor="text1"/>
          <w:sz w:val="22"/>
          <w:szCs w:val="22"/>
        </w:rPr>
        <w:t xml:space="preserve"> complex economic model. MSAC advised that a resubmission should resolve the outstanding issues regarding tight</w:t>
      </w:r>
      <w:r w:rsidR="00831C4C">
        <w:rPr>
          <w:rFonts w:ascii="Franklin Gothic Book" w:eastAsia="Franklin Gothic Book" w:hAnsi="Franklin Gothic Book" w:cstheme="minorBidi"/>
          <w:color w:val="000000" w:themeColor="text1"/>
          <w:sz w:val="22"/>
          <w:szCs w:val="22"/>
        </w:rPr>
        <w:t>er</w:t>
      </w:r>
      <w:r w:rsidR="00831C4C" w:rsidRPr="2D25F228">
        <w:rPr>
          <w:rFonts w:ascii="Franklin Gothic Book" w:eastAsia="Franklin Gothic Book" w:hAnsi="Franklin Gothic Book" w:cstheme="minorBidi"/>
          <w:color w:val="000000" w:themeColor="text1"/>
          <w:sz w:val="22"/>
          <w:szCs w:val="22"/>
        </w:rPr>
        <w:t xml:space="preserve"> defini</w:t>
      </w:r>
      <w:r w:rsidR="00831C4C">
        <w:rPr>
          <w:rFonts w:ascii="Franklin Gothic Book" w:eastAsia="Franklin Gothic Book" w:hAnsi="Franklin Gothic Book" w:cstheme="minorBidi"/>
          <w:color w:val="000000" w:themeColor="text1"/>
          <w:sz w:val="22"/>
          <w:szCs w:val="22"/>
        </w:rPr>
        <w:t>tions of</w:t>
      </w:r>
      <w:r w:rsidR="00831C4C" w:rsidRPr="2D25F228">
        <w:rPr>
          <w:rFonts w:ascii="Franklin Gothic Book" w:eastAsia="Franklin Gothic Book" w:hAnsi="Franklin Gothic Book" w:cstheme="minorBidi"/>
          <w:color w:val="000000" w:themeColor="text1"/>
          <w:sz w:val="22"/>
          <w:szCs w:val="22"/>
        </w:rPr>
        <w:t xml:space="preserve"> the patient population</w:t>
      </w:r>
      <w:r w:rsidR="00831C4C">
        <w:rPr>
          <w:rFonts w:ascii="Franklin Gothic Book" w:eastAsia="Franklin Gothic Book" w:hAnsi="Franklin Gothic Book" w:cstheme="minorBidi"/>
          <w:color w:val="000000" w:themeColor="text1"/>
          <w:sz w:val="22"/>
          <w:szCs w:val="22"/>
        </w:rPr>
        <w:t xml:space="preserve"> </w:t>
      </w:r>
      <w:r w:rsidR="00831C4C" w:rsidRPr="2D25F228">
        <w:rPr>
          <w:rFonts w:ascii="Franklin Gothic Book" w:eastAsia="Franklin Gothic Book" w:hAnsi="Franklin Gothic Book" w:cstheme="minorBidi"/>
          <w:color w:val="000000" w:themeColor="text1"/>
          <w:sz w:val="22"/>
          <w:szCs w:val="22"/>
        </w:rPr>
        <w:t>and providing additional information and justification of the proposed MBS items, including the cost of the Rhenium-188 compound, waste disposal, consumables, and clinician time. Additionally, MSAC considered that additional cost analysis based on the cost per treatment success and/or cost per lesion would be useful for decision making, including but not limited to the risk and costs of managing adverse events related to Rhenium-188 brachytherapy.</w:t>
      </w:r>
    </w:p>
    <w:tbl>
      <w:tblPr>
        <w:tblStyle w:val="Section3-footnot1"/>
        <w:tblW w:w="0" w:type="auto"/>
        <w:tblLook w:val="04A0" w:firstRow="1" w:lastRow="0" w:firstColumn="1" w:lastColumn="0" w:noHBand="0" w:noVBand="1"/>
        <w:tblDescription w:val="Consumer summary of MSAC consideration"/>
      </w:tblPr>
      <w:tblGrid>
        <w:gridCol w:w="9016"/>
      </w:tblGrid>
      <w:tr w:rsidR="00AE5472" w:rsidRPr="00F91D6E" w14:paraId="1ED61FA7" w14:textId="77777777" w:rsidTr="19DC286C">
        <w:trPr>
          <w:tblHeader/>
        </w:trPr>
        <w:tc>
          <w:tcPr>
            <w:tcW w:w="9016" w:type="dxa"/>
          </w:tcPr>
          <w:p w14:paraId="6F0E9E27" w14:textId="77777777" w:rsidR="00AE5472" w:rsidRPr="00F91D6E" w:rsidRDefault="00AE5472">
            <w:pPr>
              <w:keepNext/>
              <w:keepLines/>
              <w:spacing w:after="120" w:line="259" w:lineRule="auto"/>
              <w:rPr>
                <w:rFonts w:eastAsia="Calibri" w:cs="Times New Roman"/>
                <w:b/>
                <w:bCs/>
              </w:rPr>
            </w:pPr>
            <w:r w:rsidRPr="00F91D6E">
              <w:rPr>
                <w:rFonts w:eastAsia="Times New Roman" w:cs="Times New Roman"/>
                <w:b/>
                <w:bCs/>
                <w:szCs w:val="24"/>
              </w:rPr>
              <w:t>Consumer summary</w:t>
            </w:r>
          </w:p>
        </w:tc>
      </w:tr>
      <w:tr w:rsidR="00AE5472" w:rsidRPr="00F91D6E" w14:paraId="4968D63F" w14:textId="77777777" w:rsidTr="19DC286C">
        <w:tc>
          <w:tcPr>
            <w:tcW w:w="9016" w:type="dxa"/>
          </w:tcPr>
          <w:p w14:paraId="688B3175" w14:textId="77777777" w:rsidR="002D3C1D" w:rsidRDefault="002D3C1D" w:rsidP="002D3C1D">
            <w:r w:rsidRPr="00AF46D8">
              <w:t xml:space="preserve">This is an application from </w:t>
            </w:r>
            <w:r>
              <w:t>Oncobeta Therapeutics Pty Ltd</w:t>
            </w:r>
            <w:r w:rsidRPr="00AF46D8">
              <w:t xml:space="preserve"> requesting Medicare Benefits Schedule (MBS) listing o</w:t>
            </w:r>
            <w:r>
              <w:t>f Rhenium-188 (Re-188) brachytherapy as an alternative treatment to radiation therapy for patients with non-melanoma skin cancer that is not suitable for surgery or when the patient is not suitable for surgery.</w:t>
            </w:r>
          </w:p>
          <w:p w14:paraId="3EF537F6" w14:textId="318C5F42" w:rsidR="002D3C1D" w:rsidRDefault="002D3C1D" w:rsidP="002D3C1D">
            <w:r>
              <w:t xml:space="preserve">Non-melanoma skin cancer is the most common form of cancer in Australia. Currently, non-melanoma skin cancers are generally treated with surgery. If a patient is not able to have surgery, then the skin cancer is usually treated with a type of radiation therapy called external beam radiotherapy (EBRT). This is a type of radiation treatment in which a machine aims radiation beams at a person’s </w:t>
            </w:r>
            <w:r w:rsidR="006E45DC">
              <w:t xml:space="preserve">skin </w:t>
            </w:r>
            <w:r>
              <w:t xml:space="preserve">cancer cells to kill them. </w:t>
            </w:r>
            <w:r w:rsidR="00E14A6E">
              <w:t>This type of treatment is ofte</w:t>
            </w:r>
            <w:r w:rsidR="00BA2539">
              <w:t>n given</w:t>
            </w:r>
            <w:r w:rsidR="00B6203B">
              <w:t xml:space="preserve"> </w:t>
            </w:r>
            <w:r w:rsidDel="00F61625">
              <w:t xml:space="preserve">in multiple </w:t>
            </w:r>
            <w:r w:rsidDel="00F843ED">
              <w:t>small doses, meaning a patient may receive several treatments over a few days to weeks.</w:t>
            </w:r>
          </w:p>
          <w:p w14:paraId="6070A5C4" w14:textId="6613ED2F" w:rsidR="002D3C1D" w:rsidRDefault="002D3C1D" w:rsidP="002D3C1D">
            <w:r>
              <w:lastRenderedPageBreak/>
              <w:t xml:space="preserve">The proposed service is a form of </w:t>
            </w:r>
            <w:r w:rsidR="0056559A">
              <w:t xml:space="preserve">radiation treatment </w:t>
            </w:r>
            <w:r>
              <w:t xml:space="preserve">for non-melanoma skin cancer that uses </w:t>
            </w:r>
            <w:r w:rsidR="00BF71B6">
              <w:t xml:space="preserve">a </w:t>
            </w:r>
            <w:r w:rsidR="00EA1CCD">
              <w:t xml:space="preserve">paste containing a </w:t>
            </w:r>
            <w:r>
              <w:t>radio</w:t>
            </w:r>
            <w:r w:rsidR="00BF71B6">
              <w:t>active</w:t>
            </w:r>
            <w:r>
              <w:t xml:space="preserve"> </w:t>
            </w:r>
            <w:r w:rsidR="00BF71B6">
              <w:t>su</w:t>
            </w:r>
            <w:r w:rsidR="00612DB1">
              <w:t>bstance called Rhenium</w:t>
            </w:r>
            <w:r>
              <w:t>-188</w:t>
            </w:r>
            <w:r w:rsidR="00612DB1">
              <w:t xml:space="preserve"> (</w:t>
            </w:r>
            <w:r>
              <w:t>Re-188</w:t>
            </w:r>
            <w:r w:rsidR="00612DB1">
              <w:t>)</w:t>
            </w:r>
            <w:r>
              <w:t xml:space="preserve">. </w:t>
            </w:r>
            <w:r w:rsidR="005A4D8D">
              <w:t xml:space="preserve">Re-188 emits </w:t>
            </w:r>
            <w:r w:rsidR="002319FD">
              <w:t>radiation that targets and destroys cancer cells.</w:t>
            </w:r>
            <w:r w:rsidR="005A4D8D">
              <w:t xml:space="preserve"> </w:t>
            </w:r>
            <w:r>
              <w:t>During treatment, the affected area of the skin is covered with a sterile protective foil. The Re-188</w:t>
            </w:r>
            <w:r w:rsidR="000B351B">
              <w:t xml:space="preserve"> paste</w:t>
            </w:r>
            <w:r>
              <w:t xml:space="preserve"> is then applied on the foil using a special applicator. This sits on the skin for a pre-specified amount of time and is then removed by pulling the foil off the skin. This treatment can be provided </w:t>
            </w:r>
            <w:r w:rsidR="00F05AC4">
              <w:t xml:space="preserve">in one visit </w:t>
            </w:r>
            <w:r>
              <w:t>in an outpatient setting.</w:t>
            </w:r>
          </w:p>
          <w:p w14:paraId="5C944264" w14:textId="60E133EF" w:rsidR="002D3C1D" w:rsidRDefault="002D3C1D" w:rsidP="002D3C1D">
            <w:r>
              <w:t xml:space="preserve">This application is for Re-188 </w:t>
            </w:r>
            <w:r w:rsidR="00046B0E">
              <w:t xml:space="preserve">radiation treatment </w:t>
            </w:r>
            <w:r>
              <w:t xml:space="preserve">to treat non-melanoma skin cancer patients with lesions on hard-to-treat areas (nose, eyebrow, lip, ear, finger, genitals, shin or collarbone) or who are unable to have surgery for other reasons. Re-188 </w:t>
            </w:r>
            <w:r w:rsidR="008F4CAF">
              <w:t xml:space="preserve">radiation therapy </w:t>
            </w:r>
            <w:r>
              <w:t xml:space="preserve">is not intended to be used instead of surgery but is intended to be used instead of radiation therapy (such as EBRT) when patients cannot have surgery. </w:t>
            </w:r>
          </w:p>
          <w:p w14:paraId="17890949" w14:textId="6D86C118" w:rsidR="00AE5472" w:rsidRDefault="002D3C1D" w:rsidP="002D3C1D">
            <w:r>
              <w:t xml:space="preserve">MSAC noted that Re-188 </w:t>
            </w:r>
            <w:r w:rsidR="007A3910">
              <w:t xml:space="preserve">radiation </w:t>
            </w:r>
            <w:r w:rsidR="00AC4AB5">
              <w:t>treatment</w:t>
            </w:r>
            <w:r>
              <w:t xml:space="preserve"> may offer the advantage of being more acceptable to some patients (including those in rural and remote areas) </w:t>
            </w:r>
            <w:r w:rsidR="00585736">
              <w:t xml:space="preserve">than EBRT, </w:t>
            </w:r>
            <w:r w:rsidR="00287BD0">
              <w:t>if</w:t>
            </w:r>
            <w:r w:rsidR="008E4CBD">
              <w:t xml:space="preserve"> they are eligible</w:t>
            </w:r>
            <w:r w:rsidR="001D21AA">
              <w:t xml:space="preserve">, </w:t>
            </w:r>
            <w:r>
              <w:t xml:space="preserve">because only one treatment of </w:t>
            </w:r>
            <w:r w:rsidR="00287BD0">
              <w:t>Re-188</w:t>
            </w:r>
            <w:r w:rsidR="004E7093">
              <w:t xml:space="preserve"> </w:t>
            </w:r>
            <w:r>
              <w:t xml:space="preserve">is required. MSAC </w:t>
            </w:r>
            <w:r w:rsidR="0F0579B8">
              <w:t>also</w:t>
            </w:r>
            <w:r>
              <w:t xml:space="preserve"> considered the evidence for comparative safety and effectiveness to be low </w:t>
            </w:r>
            <w:r w:rsidR="002022F3">
              <w:t>certainty</w:t>
            </w:r>
            <w:r w:rsidR="00EB7DC4">
              <w:t xml:space="preserve"> </w:t>
            </w:r>
            <w:r>
              <w:t xml:space="preserve">but acknowledged that </w:t>
            </w:r>
            <w:r w:rsidR="002022F3">
              <w:t>more certain</w:t>
            </w:r>
            <w:r>
              <w:t xml:space="preserve"> evidence was unlikely, and Re-188 </w:t>
            </w:r>
            <w:r w:rsidR="00F53D92">
              <w:t xml:space="preserve">radiation treatment </w:t>
            </w:r>
            <w:r>
              <w:t xml:space="preserve">did appear to be safe and effective for a certain group of patients. However, MSAC </w:t>
            </w:r>
            <w:r w:rsidR="00DD6A42">
              <w:t>needed additional information</w:t>
            </w:r>
            <w:r w:rsidR="00B7040B">
              <w:t xml:space="preserve"> to</w:t>
            </w:r>
            <w:r w:rsidR="00DD6A42">
              <w:t xml:space="preserve"> </w:t>
            </w:r>
            <w:r w:rsidR="00BD583C">
              <w:t xml:space="preserve">finalise its advice. </w:t>
            </w:r>
            <w:r w:rsidR="00E60DAA">
              <w:t>This include</w:t>
            </w:r>
            <w:r w:rsidR="00B7040B">
              <w:t>d</w:t>
            </w:r>
            <w:r w:rsidR="00772399">
              <w:t xml:space="preserve"> </w:t>
            </w:r>
            <w:r w:rsidR="004A09FC">
              <w:t>identifying the</w:t>
            </w:r>
            <w:r>
              <w:t xml:space="preserve"> </w:t>
            </w:r>
            <w:r w:rsidR="00FF7FED">
              <w:t>right</w:t>
            </w:r>
            <w:r w:rsidR="008A488E">
              <w:t xml:space="preserve"> </w:t>
            </w:r>
            <w:r w:rsidR="00FF7FED">
              <w:t>group</w:t>
            </w:r>
            <w:r w:rsidR="008A488E">
              <w:t xml:space="preserve"> of </w:t>
            </w:r>
            <w:r w:rsidR="008E642A">
              <w:t>people</w:t>
            </w:r>
            <w:r w:rsidR="00617AF8">
              <w:t xml:space="preserve"> </w:t>
            </w:r>
            <w:r w:rsidR="008A488E">
              <w:t xml:space="preserve">and </w:t>
            </w:r>
            <w:r w:rsidR="002E642E">
              <w:t xml:space="preserve">skin </w:t>
            </w:r>
            <w:r w:rsidR="008A488E">
              <w:t xml:space="preserve">lesions </w:t>
            </w:r>
            <w:r w:rsidR="00A51152">
              <w:t>for which</w:t>
            </w:r>
            <w:r w:rsidR="00617AF8">
              <w:t xml:space="preserve">Re-188 </w:t>
            </w:r>
            <w:r w:rsidR="00D82724">
              <w:t xml:space="preserve">radiation </w:t>
            </w:r>
            <w:r w:rsidR="008C1D32">
              <w:t xml:space="preserve">would be the most </w:t>
            </w:r>
            <w:r w:rsidR="00DD4038">
              <w:t xml:space="preserve">appropriate </w:t>
            </w:r>
            <w:r w:rsidR="00A51152">
              <w:t>treatment</w:t>
            </w:r>
            <w:r>
              <w:t>,</w:t>
            </w:r>
            <w:r w:rsidR="001818A1">
              <w:t xml:space="preserve"> and </w:t>
            </w:r>
            <w:r w:rsidR="000D79FE">
              <w:t>further</w:t>
            </w:r>
            <w:r w:rsidR="00F5374D">
              <w:t xml:space="preserve"> </w:t>
            </w:r>
            <w:r w:rsidR="00723CE4">
              <w:t>details</w:t>
            </w:r>
            <w:r w:rsidR="00F5374D">
              <w:t xml:space="preserve"> about the costs for both Re-188 and the different </w:t>
            </w:r>
            <w:r w:rsidR="00723CE4">
              <w:t xml:space="preserve">types of EBRT, including </w:t>
            </w:r>
            <w:r w:rsidR="00A03088">
              <w:t xml:space="preserve">who would pay the costs for any wastage of unused </w:t>
            </w:r>
            <w:r w:rsidR="00D85CDD">
              <w:t xml:space="preserve">Re-188 </w:t>
            </w:r>
            <w:r w:rsidR="003D516A">
              <w:t xml:space="preserve">paste </w:t>
            </w:r>
            <w:r w:rsidR="00D85CDD">
              <w:t xml:space="preserve">and the risks and costs of any </w:t>
            </w:r>
            <w:r w:rsidR="007C5E11">
              <w:t>side effects</w:t>
            </w:r>
            <w:r w:rsidR="003D516A">
              <w:t xml:space="preserve"> of Re-188 treatment. </w:t>
            </w:r>
            <w:r w:rsidR="007C5E11">
              <w:t xml:space="preserve"> </w:t>
            </w:r>
            <w:r>
              <w:t xml:space="preserve"> Instead, MSAC deferred its decision pending further information.</w:t>
            </w:r>
          </w:p>
          <w:p w14:paraId="7F35F129" w14:textId="77777777" w:rsidR="00AE5472" w:rsidRPr="00F91D6E" w:rsidRDefault="00AE5472">
            <w:pPr>
              <w:keepNext/>
              <w:keepLines/>
              <w:spacing w:after="120" w:line="259" w:lineRule="auto"/>
              <w:rPr>
                <w:rFonts w:eastAsia="Times New Roman" w:cs="Times New Roman"/>
                <w:b/>
                <w:bCs/>
                <w:szCs w:val="24"/>
              </w:rPr>
            </w:pPr>
            <w:r w:rsidRPr="00F91D6E">
              <w:rPr>
                <w:rFonts w:eastAsia="Times New Roman" w:cs="Times New Roman"/>
                <w:b/>
                <w:bCs/>
                <w:szCs w:val="24"/>
              </w:rPr>
              <w:t>MSAC’s advice to the Commonwealth Minister for Health and Aged Care</w:t>
            </w:r>
          </w:p>
          <w:p w14:paraId="5371A236" w14:textId="57C40D67" w:rsidR="00AE5472" w:rsidRPr="00F91D6E" w:rsidRDefault="00AC6C9E">
            <w:pPr>
              <w:spacing w:after="120" w:line="259" w:lineRule="auto"/>
            </w:pPr>
            <w:r w:rsidRPr="00AF46D8">
              <w:t xml:space="preserve">MSAC deferred its </w:t>
            </w:r>
            <w:r>
              <w:t xml:space="preserve">decision on MBS listing of Re-188 brachytherapy to treat patients with non-melanoma skin cancer who are unsuitable for surgery. MSAC could not give a recommendation </w:t>
            </w:r>
            <w:r w:rsidR="001E78D4">
              <w:t>until</w:t>
            </w:r>
            <w:r>
              <w:t xml:space="preserve"> several uncertainties</w:t>
            </w:r>
            <w:r w:rsidR="001E78D4">
              <w:t xml:space="preserve"> had been resolved</w:t>
            </w:r>
            <w:r>
              <w:t>, including the eligible population, the proposed MBS items and fees, costings for the treatments, and a revised economic model.</w:t>
            </w:r>
            <w:r w:rsidR="00906075">
              <w:t xml:space="preserve">  </w:t>
            </w:r>
          </w:p>
        </w:tc>
      </w:tr>
    </w:tbl>
    <w:p w14:paraId="55F0068D" w14:textId="77777777" w:rsidR="00AE5472" w:rsidRPr="00AE5472" w:rsidRDefault="00AE5472" w:rsidP="00AE5472">
      <w:pPr>
        <w:pStyle w:val="Heading2"/>
        <w:numPr>
          <w:ilvl w:val="0"/>
          <w:numId w:val="18"/>
        </w:numPr>
        <w:ind w:hanging="720"/>
      </w:pPr>
      <w:r w:rsidRPr="003A793E">
        <w:lastRenderedPageBreak/>
        <w:t>Summary of consideration and rationale for MSAC’s advice</w:t>
      </w:r>
    </w:p>
    <w:bookmarkEnd w:id="2"/>
    <w:p w14:paraId="2C81A373" w14:textId="76A48F89" w:rsidR="005C6356" w:rsidRDefault="005C6356" w:rsidP="005C6356">
      <w:r w:rsidRPr="00516D4E">
        <w:t>MSAC</w:t>
      </w:r>
      <w:r>
        <w:t xml:space="preserve"> noted that this was a resubmission from Oncobeta Therapeutics requesting Medicare Benefits Schedule (MBS) listing of Rhenium-188 (Re-188) brachytherapy as an alternative to radiation therapy (RT) for treatment of patients with non-melanoma skin cancer (NMSC) </w:t>
      </w:r>
      <w:r w:rsidR="00BE21F0">
        <w:t>who are</w:t>
      </w:r>
      <w:r>
        <w:t xml:space="preserve"> not suitable for surgery or when the patient is not suitable for surgery.</w:t>
      </w:r>
    </w:p>
    <w:p w14:paraId="04684B0C" w14:textId="77777777" w:rsidR="005C6356" w:rsidRDefault="005C6356" w:rsidP="005C6356">
      <w:r w:rsidRPr="00BD1301">
        <w:t xml:space="preserve">MSAC </w:t>
      </w:r>
      <w:r>
        <w:t xml:space="preserve">recalled that it had </w:t>
      </w:r>
      <w:r w:rsidRPr="00BD1301">
        <w:t xml:space="preserve">previously considered Re-188 brachytherapy for NMSC in patients contraindicated to surgery at </w:t>
      </w:r>
      <w:r>
        <w:t xml:space="preserve">its </w:t>
      </w:r>
      <w:r w:rsidRPr="00BD1301">
        <w:t>July 2023 meeting.</w:t>
      </w:r>
      <w:r>
        <w:t xml:space="preserve"> MSAC did n</w:t>
      </w:r>
      <w:r w:rsidRPr="007417F4">
        <w:t>ot support</w:t>
      </w:r>
      <w:r>
        <w:t xml:space="preserve"> public funding at the time</w:t>
      </w:r>
      <w:r w:rsidRPr="007417F4">
        <w:t xml:space="preserve"> due to uncertainty in the evidence base and concerns around the economic model and financial analysis.</w:t>
      </w:r>
      <w:r>
        <w:t xml:space="preserve"> MSAC noted that its previous concerns about patient preference and radiation safety for patients and healthcare professionals (including disposal) had been addressed to the extent that is currently likely possible. However, most concerns remained outstanding with this resubmission.</w:t>
      </w:r>
    </w:p>
    <w:p w14:paraId="3013BDCA" w14:textId="19FEE394" w:rsidR="005C6356" w:rsidRPr="00DF3BBC" w:rsidRDefault="005C6356" w:rsidP="005C6356">
      <w:r>
        <w:t>MSAC noted that the r</w:t>
      </w:r>
      <w:r w:rsidRPr="004B6F8C">
        <w:t>esubmission ha</w:t>
      </w:r>
      <w:r>
        <w:t>d</w:t>
      </w:r>
      <w:r w:rsidRPr="004B6F8C">
        <w:t xml:space="preserve"> expanded </w:t>
      </w:r>
      <w:r>
        <w:t xml:space="preserve">the </w:t>
      </w:r>
      <w:r w:rsidRPr="004B6F8C">
        <w:t>eligible pop</w:t>
      </w:r>
      <w:r>
        <w:t>ulatio</w:t>
      </w:r>
      <w:r w:rsidRPr="004B6F8C">
        <w:t>n</w:t>
      </w:r>
      <w:r w:rsidR="00334597">
        <w:t xml:space="preserve"> from the original application</w:t>
      </w:r>
      <w:r w:rsidRPr="004B6F8C">
        <w:t xml:space="preserve"> </w:t>
      </w:r>
      <w:r w:rsidR="002F6EDB">
        <w:t>(</w:t>
      </w:r>
      <w:r w:rsidR="003A366D">
        <w:t>MSAC application 1</w:t>
      </w:r>
      <w:r w:rsidR="002D1B5A">
        <w:t>657</w:t>
      </w:r>
      <w:r w:rsidR="002F6EDB">
        <w:t>)</w:t>
      </w:r>
      <w:r w:rsidR="00B35ED2">
        <w:rPr>
          <w:rStyle w:val="FootnoteReference"/>
        </w:rPr>
        <w:footnoteReference w:id="2"/>
      </w:r>
      <w:r w:rsidRPr="004B6F8C">
        <w:t xml:space="preserve"> to </w:t>
      </w:r>
      <w:r>
        <w:t xml:space="preserve">include </w:t>
      </w:r>
      <w:r w:rsidR="04FB8C3A">
        <w:t xml:space="preserve">clinician concerns for patient outcomes from </w:t>
      </w:r>
      <w:r w:rsidR="04FB8C3A">
        <w:lastRenderedPageBreak/>
        <w:t>surgery</w:t>
      </w:r>
      <w:r w:rsidR="379B96E3">
        <w:t xml:space="preserve"> as a </w:t>
      </w:r>
      <w:r w:rsidR="04FB8C3A">
        <w:t>contraindicat</w:t>
      </w:r>
      <w:r w:rsidR="788DF689">
        <w:t>ion</w:t>
      </w:r>
      <w:r w:rsidR="04FB8C3A">
        <w:t xml:space="preserve"> for surgical excision, </w:t>
      </w:r>
      <w:r w:rsidR="32A7D6C2">
        <w:t>rather than</w:t>
      </w:r>
      <w:r w:rsidR="00F24216">
        <w:t xml:space="preserve"> </w:t>
      </w:r>
      <w:r w:rsidR="103D87A1">
        <w:t>only</w:t>
      </w:r>
      <w:r w:rsidRPr="004B6F8C">
        <w:t xml:space="preserve"> </w:t>
      </w:r>
      <w:r>
        <w:t xml:space="preserve">based on lesion </w:t>
      </w:r>
      <w:r w:rsidRPr="004B6F8C">
        <w:t>location</w:t>
      </w:r>
      <w:r>
        <w:t xml:space="preserve"> MSAC considered that the expansion of the eligible population </w:t>
      </w:r>
      <w:r w:rsidR="00523196">
        <w:t xml:space="preserve">created uncertainty around the definition of </w:t>
      </w:r>
      <w:r w:rsidR="00843E7E">
        <w:t>the target population</w:t>
      </w:r>
      <w:r>
        <w:t xml:space="preserve"> and </w:t>
      </w:r>
      <w:r w:rsidR="002E6AD2">
        <w:t>increased</w:t>
      </w:r>
      <w:r w:rsidR="00843E7E">
        <w:t xml:space="preserve"> uncertainty around the </w:t>
      </w:r>
      <w:r w:rsidR="00A462E0">
        <w:t>estimated utilisation</w:t>
      </w:r>
      <w:r w:rsidR="00843E7E">
        <w:t xml:space="preserve"> </w:t>
      </w:r>
      <w:r w:rsidR="00B91DDA">
        <w:t xml:space="preserve">of </w:t>
      </w:r>
      <w:r w:rsidR="00B91DDA" w:rsidRPr="00BD1301">
        <w:t>Re-188 brachytherapy</w:t>
      </w:r>
      <w:r w:rsidR="00B91DDA">
        <w:t>.</w:t>
      </w:r>
      <w:r w:rsidR="00843E7E">
        <w:t xml:space="preserve"> </w:t>
      </w:r>
      <w:r>
        <w:t>However, MSAC acknowledged that the treatment will likely benefit a specific cohort</w:t>
      </w:r>
      <w:r w:rsidR="008745BF">
        <w:t xml:space="preserve"> of patients</w:t>
      </w:r>
      <w:r>
        <w:t>, particularly older patients (due to radiation concerns for younger people).</w:t>
      </w:r>
    </w:p>
    <w:p w14:paraId="59FB266C" w14:textId="17A705C7" w:rsidR="008214BA" w:rsidRDefault="005C6356" w:rsidP="005C6356">
      <w:r>
        <w:t xml:space="preserve">MSAC noted that the applicant-developed assessment report (ADAR) proposed 3 MBS items: one each for planning, the radioisotope and service delivery. MSAC considered the planning item to be appropriate but </w:t>
      </w:r>
      <w:r w:rsidR="00C72C48">
        <w:t>had concerns</w:t>
      </w:r>
      <w:r w:rsidR="00347400">
        <w:t xml:space="preserve"> regarding the radioisotope and service delivery items. </w:t>
      </w:r>
      <w:r>
        <w:t>MSAC noted that the fee for the second item (for the radioisotope) of $393.90 was for Re-188 resin to cover a treatable area of 0.5 cm</w:t>
      </w:r>
      <w:r w:rsidRPr="00437B24">
        <w:rPr>
          <w:vertAlign w:val="superscript"/>
        </w:rPr>
        <w:t>2</w:t>
      </w:r>
      <w:r w:rsidR="001D75A4">
        <w:t xml:space="preserve"> </w:t>
      </w:r>
      <w:r w:rsidR="00366122">
        <w:t>and</w:t>
      </w:r>
      <w:r w:rsidDel="001D75A4">
        <w:t xml:space="preserve"> </w:t>
      </w:r>
      <w:r>
        <w:t xml:space="preserve">was based on the total production cost of one carpoule of Re-188 resin (approximately </w:t>
      </w:r>
      <w:r w:rsidR="00390580" w:rsidRPr="00390580">
        <w:rPr>
          <w:b/>
          <w:bCs/>
        </w:rPr>
        <w:t>redacted</w:t>
      </w:r>
      <w:r>
        <w:t>; increased from $14,000</w:t>
      </w:r>
      <w:r w:rsidR="00EE5E96">
        <w:t xml:space="preserve"> </w:t>
      </w:r>
      <w:r>
        <w:t xml:space="preserve">in the original submission), which can treat a </w:t>
      </w:r>
      <w:r w:rsidR="0081312C">
        <w:t>total</w:t>
      </w:r>
      <w:r>
        <w:t xml:space="preserve"> area of </w:t>
      </w:r>
      <w:r w:rsidR="00390580" w:rsidRPr="00390580">
        <w:rPr>
          <w:b/>
          <w:bCs/>
        </w:rPr>
        <w:t>redacted</w:t>
      </w:r>
      <w:r w:rsidR="004D28F4">
        <w:t>;</w:t>
      </w:r>
      <w:r>
        <w:t> cm</w:t>
      </w:r>
      <w:r w:rsidRPr="00D2536F">
        <w:rPr>
          <w:vertAlign w:val="superscript"/>
        </w:rPr>
        <w:t>2</w:t>
      </w:r>
      <w:r>
        <w:t>. MSAC noted that t</w:t>
      </w:r>
      <w:r w:rsidRPr="004E32A2">
        <w:t>he MBS item can be applied as many times as needed to treat any lesion up to 8</w:t>
      </w:r>
      <w:r>
        <w:t> </w:t>
      </w:r>
      <w:r w:rsidRPr="004E32A2">
        <w:t>cm</w:t>
      </w:r>
      <w:r w:rsidRPr="004E32A2">
        <w:rPr>
          <w:vertAlign w:val="superscript"/>
        </w:rPr>
        <w:t>2</w:t>
      </w:r>
      <w:r w:rsidRPr="004E32A2">
        <w:t xml:space="preserve"> in contiguous area</w:t>
      </w:r>
      <w:r w:rsidR="0081312C">
        <w:t>s</w:t>
      </w:r>
      <w:r w:rsidRPr="004E32A2">
        <w:t>, or multiple lesions of any total area when any one lesion is ≤8</w:t>
      </w:r>
      <w:r>
        <w:t> </w:t>
      </w:r>
      <w:r w:rsidRPr="004E32A2">
        <w:t>cm</w:t>
      </w:r>
      <w:r w:rsidRPr="004E32A2">
        <w:rPr>
          <w:vertAlign w:val="superscript"/>
        </w:rPr>
        <w:t>2</w:t>
      </w:r>
      <w:r w:rsidRPr="004E32A2">
        <w:t xml:space="preserve"> in contiguous area.</w:t>
      </w:r>
      <w:r>
        <w:t xml:space="preserve"> MSAC noted that</w:t>
      </w:r>
      <w:r w:rsidRPr="004E32A2">
        <w:t xml:space="preserve"> the econ</w:t>
      </w:r>
      <w:r>
        <w:t>omic</w:t>
      </w:r>
      <w:r w:rsidRPr="004E32A2">
        <w:t xml:space="preserve"> model assumes splitting </w:t>
      </w:r>
      <w:r>
        <w:t>one carpoule among</w:t>
      </w:r>
      <w:r w:rsidRPr="004E32A2">
        <w:t xml:space="preserve"> 7</w:t>
      </w:r>
      <w:r>
        <w:t> </w:t>
      </w:r>
      <w:r w:rsidRPr="004E32A2">
        <w:t xml:space="preserve">patients (base case) and </w:t>
      </w:r>
      <w:r w:rsidR="00D7400C">
        <w:t xml:space="preserve">assumes </w:t>
      </w:r>
      <w:r w:rsidRPr="004E32A2">
        <w:t>no wastage</w:t>
      </w:r>
      <w:r>
        <w:t>. However, at the hearing, representatives of the applicant acknowledged that 100% batching efficiency will never be achieved</w:t>
      </w:r>
      <w:r w:rsidR="008153AC">
        <w:t xml:space="preserve"> in practice</w:t>
      </w:r>
      <w:r>
        <w:t>, but for the 4 clinics currently providing Re-1</w:t>
      </w:r>
      <w:r w:rsidR="0D04E9B7">
        <w:t>88</w:t>
      </w:r>
      <w:r>
        <w:t xml:space="preserve"> brachytherapy, more than 80% or 90% batching efficiency was achieved.</w:t>
      </w:r>
      <w:r w:rsidR="008214BA">
        <w:t xml:space="preserve"> MSA</w:t>
      </w:r>
      <w:r w:rsidR="0062354B">
        <w:t>C</w:t>
      </w:r>
      <w:r w:rsidR="008214BA">
        <w:t xml:space="preserve"> considered that</w:t>
      </w:r>
      <w:r w:rsidR="00E77245">
        <w:t xml:space="preserve"> </w:t>
      </w:r>
      <w:r w:rsidR="006C0668">
        <w:t xml:space="preserve">additional information regarding the </w:t>
      </w:r>
      <w:r w:rsidR="000977C1">
        <w:t xml:space="preserve">wastage costs under realistic circumstances where batching </w:t>
      </w:r>
      <w:r w:rsidR="005F7AF1">
        <w:t>efficiency w</w:t>
      </w:r>
      <w:r w:rsidR="000977C1">
        <w:t>as not 100%</w:t>
      </w:r>
      <w:r w:rsidR="006C0668">
        <w:t xml:space="preserve"> </w:t>
      </w:r>
      <w:r w:rsidR="00CA3B6C">
        <w:t xml:space="preserve">and </w:t>
      </w:r>
      <w:r w:rsidR="005F7AF1">
        <w:t xml:space="preserve">clarification </w:t>
      </w:r>
      <w:r w:rsidR="00AF4119">
        <w:t xml:space="preserve">regarding </w:t>
      </w:r>
      <w:r w:rsidR="00CA3B6C">
        <w:t xml:space="preserve">who would pay for wastage </w:t>
      </w:r>
      <w:r w:rsidR="0062354B">
        <w:t>would</w:t>
      </w:r>
      <w:r w:rsidR="00CA3B6C">
        <w:t xml:space="preserve"> </w:t>
      </w:r>
      <w:r w:rsidR="00A142F7">
        <w:t xml:space="preserve">be </w:t>
      </w:r>
      <w:r w:rsidR="00CA3B6C">
        <w:t xml:space="preserve">needed to </w:t>
      </w:r>
      <w:r w:rsidR="00A026F9">
        <w:t>reduce un</w:t>
      </w:r>
      <w:r w:rsidR="00CA3B6C">
        <w:t xml:space="preserve">certainty around potential out </w:t>
      </w:r>
      <w:r w:rsidR="00D10BAA">
        <w:t>o</w:t>
      </w:r>
      <w:r w:rsidR="00CA3B6C">
        <w:t>f pocket costs for patients.</w:t>
      </w:r>
      <w:r w:rsidR="00E82043">
        <w:t xml:space="preserve"> MSAC also noted uncertainty regarding </w:t>
      </w:r>
      <w:r w:rsidR="0004769F">
        <w:t>changes in cost of the</w:t>
      </w:r>
      <w:r w:rsidR="00E82043">
        <w:t xml:space="preserve"> </w:t>
      </w:r>
      <w:r w:rsidR="00854A44">
        <w:t>carpoule used to determine the MBS item fee.</w:t>
      </w:r>
      <w:r w:rsidR="00E82043">
        <w:t xml:space="preserve"> </w:t>
      </w:r>
      <w:r>
        <w:t xml:space="preserve"> </w:t>
      </w:r>
    </w:p>
    <w:p w14:paraId="3109966E" w14:textId="61356F49" w:rsidR="005C6356" w:rsidRDefault="005C6356" w:rsidP="005C6356">
      <w:r>
        <w:t>MSAC also considered that, to improve equity in rural and remote areas, the referrer should be amended to any general practitioner (GP) in consultation with a dermatologist or plastic surgeon.</w:t>
      </w:r>
    </w:p>
    <w:p w14:paraId="57DCC2F1" w14:textId="318D6CE9" w:rsidR="005C6356" w:rsidRPr="00260419" w:rsidRDefault="005C6356" w:rsidP="005C6356">
      <w:r>
        <w:t xml:space="preserve">MSAC noted that the third item (for service delivery) </w:t>
      </w:r>
      <w:r w:rsidR="008D49FB">
        <w:t>was</w:t>
      </w:r>
      <w:r>
        <w:t xml:space="preserve"> for staff time including the attendance of radiation therapists, medical physicists and a radiation oncologist and non-isotope-related consumables. The fee was determined through a breakdown of costs involved with delivering the treatment to a patient over the average time span of approximately 80 minutes. MSAC noted that most of this time comprises the patient waiting after the resin is applied, </w:t>
      </w:r>
      <w:r w:rsidR="00335657">
        <w:t>however</w:t>
      </w:r>
      <w:r>
        <w:t xml:space="preserve"> the MBS can only reimburse the time a clinician spends with the patient, so a clinician would need to be in attendance during the entire treatment</w:t>
      </w:r>
      <w:r w:rsidR="006D090A">
        <w:t xml:space="preserve"> for </w:t>
      </w:r>
      <w:r w:rsidR="00BA5430">
        <w:t xml:space="preserve">the calculated </w:t>
      </w:r>
      <w:r w:rsidR="00A53BB5">
        <w:t>costs related</w:t>
      </w:r>
      <w:r w:rsidR="006D090A">
        <w:t xml:space="preserve"> to apply</w:t>
      </w:r>
      <w:r>
        <w:t xml:space="preserve">. MSAC noted that the fee </w:t>
      </w:r>
      <w:r w:rsidR="00CA54C9">
        <w:t>provided in the ADAR was</w:t>
      </w:r>
      <w:r>
        <w:t xml:space="preserve"> 4-times that of a comparable MBS item for brachytherapy (</w:t>
      </w:r>
      <w:hyperlink r:id="rId9" w:history="1">
        <w:r w:rsidRPr="006D5ECA">
          <w:rPr>
            <w:rStyle w:val="Hyperlink"/>
          </w:rPr>
          <w:t>15982</w:t>
        </w:r>
      </w:hyperlink>
      <w:r>
        <w:t>) with a treatment time of approximately 20 minutes. The fee also includes nurse time ($66.77) and consumables ($50), which w</w:t>
      </w:r>
      <w:r w:rsidR="006D090A">
        <w:t>ere</w:t>
      </w:r>
      <w:r>
        <w:t xml:space="preserve"> </w:t>
      </w:r>
      <w:r w:rsidR="006D090A">
        <w:t xml:space="preserve">considered </w:t>
      </w:r>
      <w:r>
        <w:t>inappropriate</w:t>
      </w:r>
      <w:r w:rsidR="004D7CF8">
        <w:t xml:space="preserve"> inclusions for an MBS item</w:t>
      </w:r>
      <w:r>
        <w:t xml:space="preserve">. MSAC also considered that, </w:t>
      </w:r>
      <w:r w:rsidR="58CA9256">
        <w:t>if multiple</w:t>
      </w:r>
      <w:r w:rsidR="00477E87">
        <w:t xml:space="preserve"> </w:t>
      </w:r>
      <w:r>
        <w:t>patients</w:t>
      </w:r>
      <w:r w:rsidR="00477E87">
        <w:t xml:space="preserve"> were treated </w:t>
      </w:r>
      <w:r w:rsidR="001F5F01">
        <w:t xml:space="preserve">simultaneously (as might occur if the </w:t>
      </w:r>
      <w:r w:rsidR="00DD1081">
        <w:t xml:space="preserve">patients were batched </w:t>
      </w:r>
      <w:r w:rsidR="00FA4409">
        <w:t xml:space="preserve">to </w:t>
      </w:r>
      <w:r w:rsidR="00BA7E9A">
        <w:t xml:space="preserve">receive treatment from </w:t>
      </w:r>
      <w:r w:rsidR="00FA4409">
        <w:t>the one carpoule of Re-1</w:t>
      </w:r>
      <w:r w:rsidR="003A6CE2">
        <w:t>88)</w:t>
      </w:r>
      <w:r>
        <w:t xml:space="preserve">, clinicians </w:t>
      </w:r>
      <w:r w:rsidR="00F52EE6">
        <w:t>would</w:t>
      </w:r>
      <w:r>
        <w:t xml:space="preserve"> not be able to double-bill their time. Overall, MSAC considered </w:t>
      </w:r>
      <w:r w:rsidR="00381EEF">
        <w:t xml:space="preserve">the proposed MBS </w:t>
      </w:r>
      <w:r>
        <w:t>item</w:t>
      </w:r>
      <w:r w:rsidR="00381EEF">
        <w:t>s</w:t>
      </w:r>
      <w:r>
        <w:t xml:space="preserve"> to be inappropriate, and </w:t>
      </w:r>
      <w:r w:rsidR="00A87781">
        <w:t>advised consultation with the department to develop</w:t>
      </w:r>
      <w:r>
        <w:t xml:space="preserve"> a different approach</w:t>
      </w:r>
      <w:r w:rsidR="009729CC">
        <w:t xml:space="preserve"> was required</w:t>
      </w:r>
      <w:r>
        <w:t>.</w:t>
      </w:r>
    </w:p>
    <w:p w14:paraId="4B2F7CA1" w14:textId="1E6F5DB4" w:rsidR="005C6356" w:rsidRPr="00A503A1" w:rsidRDefault="005C6356" w:rsidP="005C6356">
      <w:r>
        <w:t>MSAC noted the proposed clinical management algorithm</w:t>
      </w:r>
      <w:r w:rsidR="00C416AB">
        <w:t xml:space="preserve"> </w:t>
      </w:r>
      <w:r w:rsidR="00623133">
        <w:t>in</w:t>
      </w:r>
      <w:r w:rsidR="00C416AB">
        <w:t xml:space="preserve"> </w:t>
      </w:r>
      <w:r w:rsidR="00747665">
        <w:t xml:space="preserve">which </w:t>
      </w:r>
      <w:r w:rsidR="00C416AB">
        <w:t xml:space="preserve">Re-188 brachytherapy </w:t>
      </w:r>
      <w:r w:rsidR="006B2CBC">
        <w:t>was</w:t>
      </w:r>
      <w:r w:rsidR="004652EA">
        <w:t xml:space="preserve"> </w:t>
      </w:r>
      <w:r w:rsidR="00C416AB">
        <w:t xml:space="preserve">not intended to be a substitute for surgery, and that patients suitable for surgery </w:t>
      </w:r>
      <w:r w:rsidR="006B2CBC">
        <w:t>would</w:t>
      </w:r>
      <w:r w:rsidR="00C416AB">
        <w:t xml:space="preserve"> still proceed with </w:t>
      </w:r>
      <w:r w:rsidR="00AC7B6A">
        <w:t>surgery</w:t>
      </w:r>
      <w:r w:rsidR="00C416AB">
        <w:t>.</w:t>
      </w:r>
      <w:r w:rsidR="009A5AB0">
        <w:t xml:space="preserve"> Re-188 brachytherapy </w:t>
      </w:r>
      <w:r w:rsidR="006B2CBC">
        <w:t>was</w:t>
      </w:r>
      <w:r w:rsidR="009A5AB0">
        <w:t xml:space="preserve"> proposed to </w:t>
      </w:r>
      <w:r w:rsidR="009A5AB0" w:rsidRPr="001A3554">
        <w:t xml:space="preserve">replace external beam radiotherapy </w:t>
      </w:r>
      <w:r w:rsidR="009A5AB0">
        <w:t xml:space="preserve">(EBRT) </w:t>
      </w:r>
      <w:r w:rsidR="009A5AB0" w:rsidRPr="001A3554">
        <w:t xml:space="preserve">in </w:t>
      </w:r>
      <w:r w:rsidR="009A5AB0">
        <w:t xml:space="preserve">the </w:t>
      </w:r>
      <w:r w:rsidR="009A5AB0" w:rsidRPr="001A3554">
        <w:t>eligible pop</w:t>
      </w:r>
      <w:r w:rsidR="009A5AB0">
        <w:t>ulatio</w:t>
      </w:r>
      <w:r w:rsidR="009A5AB0" w:rsidRPr="001A3554">
        <w:t>n</w:t>
      </w:r>
      <w:r w:rsidR="009A5AB0">
        <w:t xml:space="preserve"> who would otherwise receive standard care, although MSAC considered </w:t>
      </w:r>
      <w:r w:rsidR="009A58D1">
        <w:t xml:space="preserve">that what constituted </w:t>
      </w:r>
      <w:r w:rsidR="009A5AB0">
        <w:t xml:space="preserve">standard care to be uncertain for these patients. MSAC noted </w:t>
      </w:r>
      <w:r w:rsidR="004202B5">
        <w:t>at the</w:t>
      </w:r>
      <w:r w:rsidR="00C416AB">
        <w:t xml:space="preserve"> hearing representatives of the applicant stated that there is no single direct comparator, as treatment differs depending on the type of NMSC and its severity.</w:t>
      </w:r>
    </w:p>
    <w:p w14:paraId="77CD0799" w14:textId="4933CADD" w:rsidR="005C6356" w:rsidRPr="00E40382" w:rsidRDefault="005C6356" w:rsidP="005C6356">
      <w:r w:rsidRPr="006F0560">
        <w:lastRenderedPageBreak/>
        <w:t xml:space="preserve">MSAC noted that the clinical claim of non-inferior </w:t>
      </w:r>
      <w:r w:rsidR="00F92D7B">
        <w:t xml:space="preserve">comparative </w:t>
      </w:r>
      <w:r w:rsidRPr="006F0560">
        <w:t xml:space="preserve">safety was not </w:t>
      </w:r>
      <w:r w:rsidR="00BF4BE2">
        <w:t xml:space="preserve">adequately </w:t>
      </w:r>
      <w:r w:rsidRPr="006F0560">
        <w:t>supported by the evidence.</w:t>
      </w:r>
      <w:r>
        <w:t xml:space="preserve"> C</w:t>
      </w:r>
      <w:r w:rsidRPr="00E40382">
        <w:t xml:space="preserve">onsiderable limitations to the evidence </w:t>
      </w:r>
      <w:r>
        <w:t>included h</w:t>
      </w:r>
      <w:r w:rsidRPr="00E40382">
        <w:t xml:space="preserve">eterogeneity between the studies’ results, varying sample sizes </w:t>
      </w:r>
      <w:r>
        <w:t>(</w:t>
      </w:r>
      <w:r w:rsidRPr="00E40382">
        <w:t>especially small sample sizes for EBRT</w:t>
      </w:r>
      <w:r>
        <w:t>)</w:t>
      </w:r>
      <w:r w:rsidRPr="00E40382">
        <w:t xml:space="preserve">, </w:t>
      </w:r>
      <w:r>
        <w:t xml:space="preserve">and a </w:t>
      </w:r>
      <w:r w:rsidRPr="00E40382">
        <w:t>lack of uniformity in the follow-up across studies.</w:t>
      </w:r>
      <w:r w:rsidRPr="008453F7">
        <w:t xml:space="preserve"> </w:t>
      </w:r>
      <w:r>
        <w:t xml:space="preserve">MSAC noted from the limited evidence that </w:t>
      </w:r>
      <w:r w:rsidRPr="00E40382">
        <w:t xml:space="preserve">Grade 3+ adverse events occurred more frequently in Re-188 brachytherapy studies than </w:t>
      </w:r>
      <w:r>
        <w:t xml:space="preserve">in </w:t>
      </w:r>
      <w:r w:rsidRPr="00E40382">
        <w:t>EBRT studies</w:t>
      </w:r>
      <w:r>
        <w:t>. V</w:t>
      </w:r>
      <w:r w:rsidRPr="00E15B79">
        <w:t xml:space="preserve">arying rates of late toxicities </w:t>
      </w:r>
      <w:r>
        <w:t xml:space="preserve">were </w:t>
      </w:r>
      <w:r w:rsidRPr="00E15B79">
        <w:t>observed in different studies for both Re-188 brachytherapy and EBRT treatments</w:t>
      </w:r>
      <w:r>
        <w:t xml:space="preserve">. </w:t>
      </w:r>
      <w:r w:rsidRPr="00E15B79">
        <w:t>Ulceration, fibrosis and skin induration were more frequently seen in Re-188 brachytherapy studies than EBRT studies</w:t>
      </w:r>
      <w:r>
        <w:t>, while h</w:t>
      </w:r>
      <w:r w:rsidRPr="00E15B79">
        <w:t>yperpigmentation and telangiectasia were more frequently seen in EBRT studies than Re-188 brachytherapy studies.</w:t>
      </w:r>
      <w:r>
        <w:t xml:space="preserve"> MSAC considered that Re-188 brachytherapy appears to be safe but has a different safety profile to EBRT</w:t>
      </w:r>
      <w:r w:rsidR="007F0A72">
        <w:t>.</w:t>
      </w:r>
      <w:r>
        <w:t xml:space="preserve"> </w:t>
      </w:r>
    </w:p>
    <w:p w14:paraId="0FA973FE" w14:textId="31087F7F" w:rsidR="005C6356" w:rsidRDefault="005C6356" w:rsidP="005C6356">
      <w:r>
        <w:t>MSAC noted that the e</w:t>
      </w:r>
      <w:r w:rsidRPr="0068075C">
        <w:t xml:space="preserve">vidence presented was inadequate to accurately assess </w:t>
      </w:r>
      <w:r>
        <w:t xml:space="preserve">comparative effectiveness. </w:t>
      </w:r>
      <w:r w:rsidRPr="0068075C">
        <w:t>All the studies were single arm cohort studies</w:t>
      </w:r>
      <w:r>
        <w:t xml:space="preserve"> with c</w:t>
      </w:r>
      <w:r w:rsidRPr="0068075C">
        <w:t xml:space="preserve">onsiderable heterogeneity, </w:t>
      </w:r>
      <w:r>
        <w:t xml:space="preserve">were </w:t>
      </w:r>
      <w:r w:rsidR="00260AD8">
        <w:t xml:space="preserve">assessed to be </w:t>
      </w:r>
      <w:r>
        <w:t xml:space="preserve">of </w:t>
      </w:r>
      <w:r w:rsidR="007F230B">
        <w:t>low to very low uncertainty</w:t>
      </w:r>
      <w:r w:rsidRPr="0068075C">
        <w:t>, and did not allow for statistical comparison.</w:t>
      </w:r>
      <w:r>
        <w:t xml:space="preserve"> There was a l</w:t>
      </w:r>
      <w:r w:rsidRPr="0068075C">
        <w:t>ack of detailed information on lesion area or depth in the EBRT studies</w:t>
      </w:r>
      <w:r>
        <w:t xml:space="preserve">, so the similarity to the proposed population </w:t>
      </w:r>
      <w:r w:rsidR="00260AD8">
        <w:t>was</w:t>
      </w:r>
      <w:r>
        <w:t xml:space="preserve"> unknown. The </w:t>
      </w:r>
      <w:r w:rsidR="004917C3">
        <w:t xml:space="preserve">EBRT </w:t>
      </w:r>
      <w:r>
        <w:t>e</w:t>
      </w:r>
      <w:r w:rsidRPr="0068075C">
        <w:t>vidence base included studies with patients with all T</w:t>
      </w:r>
      <w:r>
        <w:t> s</w:t>
      </w:r>
      <w:r w:rsidRPr="0068075C">
        <w:t>tages</w:t>
      </w:r>
      <w:r>
        <w:t xml:space="preserve"> (range of 1–4; describes the size and extent of the tumour), which </w:t>
      </w:r>
      <w:r w:rsidRPr="0068075C">
        <w:t>may bias the comparison in favour of Re-188 brachytherapy</w:t>
      </w:r>
      <w:r>
        <w:t xml:space="preserve">. </w:t>
      </w:r>
      <w:r w:rsidRPr="0068075C">
        <w:t>Overall</w:t>
      </w:r>
      <w:r>
        <w:t xml:space="preserve">, MSAC </w:t>
      </w:r>
      <w:r w:rsidR="004B24EB">
        <w:t>considered</w:t>
      </w:r>
      <w:r>
        <w:t xml:space="preserve"> that it was</w:t>
      </w:r>
      <w:r w:rsidRPr="0068075C">
        <w:t xml:space="preserve"> </w:t>
      </w:r>
      <w:r>
        <w:t>d</w:t>
      </w:r>
      <w:r w:rsidRPr="0068075C">
        <w:t>ifficult to draw conclusions around the comparison of Re-188 brachytherapy to EBRT</w:t>
      </w:r>
      <w:r w:rsidR="00F23306">
        <w:t xml:space="preserve"> due to the heterogeneity </w:t>
      </w:r>
      <w:r w:rsidR="00387C9A">
        <w:t>in this population</w:t>
      </w:r>
      <w:r>
        <w:t xml:space="preserve">, </w:t>
      </w:r>
      <w:r w:rsidR="00B70A58">
        <w:t xml:space="preserve">however </w:t>
      </w:r>
      <w:r w:rsidR="00312CD9">
        <w:t>MSAC considered it was likely that</w:t>
      </w:r>
      <w:r w:rsidR="00DC2756">
        <w:t xml:space="preserve"> Re-188 brachytherapy was </w:t>
      </w:r>
      <w:r w:rsidR="001C45B6">
        <w:t xml:space="preserve">non-inferior in effectiveness for certain patients and lesions. </w:t>
      </w:r>
    </w:p>
    <w:p w14:paraId="7B4EC172" w14:textId="77777777" w:rsidR="001370E8" w:rsidRDefault="005C6356" w:rsidP="005C6356">
      <w:r>
        <w:t xml:space="preserve">MSAC noted that the resubmission also presented skin cancer index (SCI) data </w:t>
      </w:r>
      <w:r w:rsidR="00475BBB">
        <w:t xml:space="preserve">relating to quality of </w:t>
      </w:r>
      <w:r w:rsidR="001370E8">
        <w:t>life and treatment comfort,</w:t>
      </w:r>
      <w:r>
        <w:t xml:space="preserve"> that were collected as part of the EPIC study. However, the d</w:t>
      </w:r>
      <w:r w:rsidRPr="009B009B">
        <w:t>ata w</w:t>
      </w:r>
      <w:r>
        <w:t>ere</w:t>
      </w:r>
      <w:r w:rsidRPr="009B009B">
        <w:t xml:space="preserve"> only available for Re-188 brachytherapy</w:t>
      </w:r>
      <w:r>
        <w:t>,</w:t>
      </w:r>
      <w:r w:rsidRPr="009B009B">
        <w:t xml:space="preserve"> and no comparison with EBRT was made as there were no studies identified that measure</w:t>
      </w:r>
      <w:r>
        <w:t>d</w:t>
      </w:r>
      <w:r w:rsidRPr="009B009B">
        <w:t xml:space="preserve"> </w:t>
      </w:r>
      <w:r>
        <w:t>quality of life (</w:t>
      </w:r>
      <w:r w:rsidRPr="009B009B">
        <w:t>QoL</w:t>
      </w:r>
      <w:r>
        <w:t>)</w:t>
      </w:r>
      <w:r w:rsidRPr="009B009B">
        <w:t xml:space="preserve"> for EBRT</w:t>
      </w:r>
      <w:r>
        <w:t xml:space="preserve">. </w:t>
      </w:r>
    </w:p>
    <w:p w14:paraId="72D3910A" w14:textId="419E91DE" w:rsidR="005C6356" w:rsidRPr="0068075C" w:rsidRDefault="005C6356" w:rsidP="005C6356">
      <w:r>
        <w:t>MSAC considered that the evidence suggests that Re-188 brachytherapy is likely effective and a suitable option for a well-defined population when EBRT is difficult (for example, based on lesion site, the number of visits). However, relative efficacy was not sufficiently quantified, which introduced issues to the economic model.</w:t>
      </w:r>
    </w:p>
    <w:p w14:paraId="39702E8F" w14:textId="545C854F" w:rsidR="005C6356" w:rsidRDefault="005C6356" w:rsidP="005C6356">
      <w:r>
        <w:t xml:space="preserve">MSAC recalled that, during its previous consideration, it had requested </w:t>
      </w:r>
      <w:r w:rsidRPr="00597E48">
        <w:t>that any resubmission should present additional research into patient preferences for the treatment.</w:t>
      </w:r>
      <w:r>
        <w:t xml:space="preserve"> MSAC noted that the resubmission </w:t>
      </w:r>
      <w:r w:rsidRPr="00973F24">
        <w:t xml:space="preserve">presented a brief narrative literature review of </w:t>
      </w:r>
      <w:r>
        <w:t>7 </w:t>
      </w:r>
      <w:r w:rsidRPr="00973F24">
        <w:t>studies on patient</w:t>
      </w:r>
      <w:r>
        <w:t>-</w:t>
      </w:r>
      <w:r w:rsidRPr="00973F24">
        <w:t xml:space="preserve">reported outcomes regarding </w:t>
      </w:r>
      <w:r>
        <w:t>k</w:t>
      </w:r>
      <w:r w:rsidRPr="00973F24">
        <w:t>eratinocyte cancers (KC) and NMSC therapies</w:t>
      </w:r>
      <w:r>
        <w:t xml:space="preserve">. </w:t>
      </w:r>
      <w:r w:rsidR="004917C3">
        <w:t>MSAC noted the</w:t>
      </w:r>
      <w:r w:rsidRPr="00973F24">
        <w:t xml:space="preserve"> commentary considered </w:t>
      </w:r>
      <w:r>
        <w:t xml:space="preserve">that </w:t>
      </w:r>
      <w:r w:rsidRPr="00973F24">
        <w:t>this</w:t>
      </w:r>
      <w:r>
        <w:t xml:space="preserve"> review</w:t>
      </w:r>
      <w:r w:rsidRPr="00973F24">
        <w:t xml:space="preserve"> was not relevant to the current </w:t>
      </w:r>
      <w:r>
        <w:t xml:space="preserve">submission </w:t>
      </w:r>
      <w:r w:rsidRPr="00973F24">
        <w:t xml:space="preserve">as </w:t>
      </w:r>
      <w:r w:rsidR="002A707E">
        <w:t xml:space="preserve">most studies presented </w:t>
      </w:r>
      <w:r w:rsidR="00DA04D7">
        <w:t xml:space="preserve">patient-reported outcomes following </w:t>
      </w:r>
      <w:r w:rsidR="008628DA">
        <w:t>Mohs micrographic surger</w:t>
      </w:r>
      <w:r w:rsidR="00F54D22">
        <w:t>y, rather than EBRT.</w:t>
      </w:r>
      <w:r>
        <w:t xml:space="preserve"> However, t</w:t>
      </w:r>
      <w:r w:rsidRPr="00973F24">
        <w:t xml:space="preserve">he ADAR stated that the findings </w:t>
      </w:r>
      <w:r>
        <w:t xml:space="preserve">of the review </w:t>
      </w:r>
      <w:r w:rsidRPr="00973F24">
        <w:t xml:space="preserve">suggest broad </w:t>
      </w:r>
      <w:r w:rsidR="000B1B6D">
        <w:t xml:space="preserve">patient </w:t>
      </w:r>
      <w:r w:rsidRPr="00973F24">
        <w:t>support for Re-188 brachytherapy treatment if it were indicated.</w:t>
      </w:r>
      <w:r>
        <w:t xml:space="preserve"> MSAC noted that, in 2024, </w:t>
      </w:r>
      <w:r w:rsidRPr="0006644A">
        <w:t xml:space="preserve">a consumer advisory board was formed </w:t>
      </w:r>
      <w:r w:rsidR="00B34A98">
        <w:t>by the applicant</w:t>
      </w:r>
      <w:r w:rsidRPr="0006644A">
        <w:t xml:space="preserve"> with patient advocates from the Melanoma and Skin Cancer Advocacy Network (MSCAN) to investigate patient preferences for Re-188 brachytherapy. Six participants with skin cancer experience shared their treatment journeys and discussed the importance of broad access to Re-188 brachytherapy</w:t>
      </w:r>
      <w:r>
        <w:t>. The participants advised that, g</w:t>
      </w:r>
      <w:r w:rsidRPr="0006644A">
        <w:t xml:space="preserve">iven a choice, most </w:t>
      </w:r>
      <w:r>
        <w:t>of them</w:t>
      </w:r>
      <w:r w:rsidRPr="0006644A">
        <w:t xml:space="preserve"> would have preferred Re-188 brachytherapy over conventional radiotherapy</w:t>
      </w:r>
      <w:r>
        <w:t xml:space="preserve">. </w:t>
      </w:r>
      <w:r w:rsidRPr="0006644A">
        <w:t>They expressed concerns about cost and availability</w:t>
      </w:r>
      <w:r w:rsidR="0014309F">
        <w:t xml:space="preserve"> of </w:t>
      </w:r>
      <w:r w:rsidR="0014309F" w:rsidRPr="0006644A">
        <w:t>Re-188 brachytherapy</w:t>
      </w:r>
      <w:r w:rsidRPr="0006644A">
        <w:t>, especially for rural and remote patients.</w:t>
      </w:r>
      <w:r>
        <w:t xml:space="preserve"> MSAC considered that </w:t>
      </w:r>
      <w:r w:rsidR="00101098">
        <w:t xml:space="preserve">there may be </w:t>
      </w:r>
      <w:r w:rsidR="00917781">
        <w:t>e</w:t>
      </w:r>
      <w:r w:rsidR="00101098">
        <w:t xml:space="preserve">quity issues for rural and remote patients </w:t>
      </w:r>
      <w:r w:rsidR="00474ED7">
        <w:t>due to the</w:t>
      </w:r>
      <w:r>
        <w:t xml:space="preserve"> short half-life of Re-188</w:t>
      </w:r>
      <w:r w:rsidR="00C36CC0">
        <w:t xml:space="preserve"> and the therapy involving an unsealed radiation source</w:t>
      </w:r>
      <w:r>
        <w:t xml:space="preserve"> </w:t>
      </w:r>
      <w:r w:rsidR="00C36CC0">
        <w:t>limiting the number of providers able to offer the service however,</w:t>
      </w:r>
      <w:r>
        <w:t xml:space="preserve"> the treatment does have the benefit of only requiring a single visit, thereby reducing travel requirements for patients. The </w:t>
      </w:r>
      <w:r w:rsidR="00CA3CED">
        <w:t xml:space="preserve">applicant </w:t>
      </w:r>
      <w:r>
        <w:t xml:space="preserve">stated that regional supply </w:t>
      </w:r>
      <w:r w:rsidR="00CA3CED">
        <w:t>was</w:t>
      </w:r>
      <w:r>
        <w:t xml:space="preserve"> not </w:t>
      </w:r>
      <w:r w:rsidR="00CA3CED">
        <w:t xml:space="preserve">a </w:t>
      </w:r>
      <w:r>
        <w:t xml:space="preserve">concern as Re-188 </w:t>
      </w:r>
      <w:r>
        <w:lastRenderedPageBreak/>
        <w:t>is currently manufactured in Australia and there is sufficient logistical capacity for country-wide supply.</w:t>
      </w:r>
    </w:p>
    <w:p w14:paraId="1FB6FC97" w14:textId="603F8A78" w:rsidR="005C6356" w:rsidRPr="00A503A1" w:rsidRDefault="005C6356" w:rsidP="005C6356">
      <w:r>
        <w:t>Overall, MSAC considered the evidence presented for comparative safety and effectiveness to be low</w:t>
      </w:r>
      <w:r w:rsidR="007F230B">
        <w:t xml:space="preserve"> certainty</w:t>
      </w:r>
      <w:r w:rsidR="0014639F">
        <w:t xml:space="preserve"> </w:t>
      </w:r>
      <w:r>
        <w:t xml:space="preserve">but acknowledged that </w:t>
      </w:r>
      <w:r w:rsidR="007F230B">
        <w:t>higher certainty</w:t>
      </w:r>
      <w:r>
        <w:t xml:space="preserve"> evidence was unlikely</w:t>
      </w:r>
      <w:r w:rsidR="008600DB">
        <w:t xml:space="preserve"> to become available</w:t>
      </w:r>
      <w:r w:rsidR="00687B85">
        <w:t>.</w:t>
      </w:r>
      <w:r w:rsidR="00DB360F">
        <w:t xml:space="preserve"> </w:t>
      </w:r>
    </w:p>
    <w:p w14:paraId="121C4B52" w14:textId="65229DA3" w:rsidR="00874455" w:rsidRDefault="005C6356" w:rsidP="005C6356">
      <w:r>
        <w:t>MSAC noted that the ADAR</w:t>
      </w:r>
      <w:r w:rsidR="00687B85">
        <w:t xml:space="preserve"> presented a</w:t>
      </w:r>
      <w:r>
        <w:t xml:space="preserve"> cost-minimisation</w:t>
      </w:r>
      <w:r w:rsidR="00687B85">
        <w:t xml:space="preserve"> approach</w:t>
      </w:r>
      <w:r w:rsidR="00616BD5">
        <w:t xml:space="preserve"> rather than a cost-minimisation analysis</w:t>
      </w:r>
      <w:r w:rsidR="001578BB">
        <w:t xml:space="preserve"> </w:t>
      </w:r>
      <w:r>
        <w:t xml:space="preserve">as no modelling had been done. A cost-minimisation </w:t>
      </w:r>
      <w:r w:rsidR="001578BB">
        <w:t xml:space="preserve">approach </w:t>
      </w:r>
      <w:r>
        <w:t>was chosen based on the clinical claim of Re-188 brachytherapy being non-inferior to EBRT. However, the n</w:t>
      </w:r>
      <w:r w:rsidRPr="00D11CA3">
        <w:t>on</w:t>
      </w:r>
      <w:r>
        <w:t>-</w:t>
      </w:r>
      <w:r w:rsidRPr="00D11CA3">
        <w:t xml:space="preserve">inferiority claim </w:t>
      </w:r>
      <w:r>
        <w:t xml:space="preserve">was </w:t>
      </w:r>
      <w:r w:rsidRPr="00D11CA3">
        <w:t xml:space="preserve">not substantiated by </w:t>
      </w:r>
      <w:r>
        <w:t xml:space="preserve">the </w:t>
      </w:r>
      <w:r w:rsidRPr="00D11CA3">
        <w:t>evidence for effectiveness or safety</w:t>
      </w:r>
      <w:r>
        <w:t xml:space="preserve">. Additionally, because the safety profiles of the treatments appear to differ, </w:t>
      </w:r>
      <w:r w:rsidR="00EE3254">
        <w:t xml:space="preserve">MSAC considered that </w:t>
      </w:r>
      <w:r>
        <w:t xml:space="preserve">a cost-minimisation </w:t>
      </w:r>
      <w:r w:rsidR="00EE3254">
        <w:t xml:space="preserve">approach was not </w:t>
      </w:r>
      <w:r>
        <w:t xml:space="preserve">appropriate according to the MSAC Guidelines. MSAC considered that a more complex economic model was difficult to perform due to the limited </w:t>
      </w:r>
      <w:r w:rsidR="007F230B">
        <w:t xml:space="preserve">comparative </w:t>
      </w:r>
      <w:r>
        <w:t>data. However,</w:t>
      </w:r>
      <w:r w:rsidR="00A14F45">
        <w:t xml:space="preserve"> MSAC considered that</w:t>
      </w:r>
      <w:r>
        <w:t xml:space="preserve"> basic cost-effectiveness analys</w:t>
      </w:r>
      <w:r w:rsidR="004D28B5">
        <w:t>es</w:t>
      </w:r>
      <w:r>
        <w:t xml:space="preserve"> </w:t>
      </w:r>
      <w:r w:rsidR="004D28B5">
        <w:t>covering several outcomes separately would be the most</w:t>
      </w:r>
      <w:r w:rsidR="00EA0B75">
        <w:t xml:space="preserve"> useful for decision making</w:t>
      </w:r>
      <w:r w:rsidR="00A61792">
        <w:t>, including but not necessarily limited to</w:t>
      </w:r>
      <w:r w:rsidR="008629BC">
        <w:t xml:space="preserve"> costing studies</w:t>
      </w:r>
      <w:r>
        <w:t xml:space="preserve"> that consider the cost per successful treatment </w:t>
      </w:r>
      <w:r w:rsidR="000F0998">
        <w:t xml:space="preserve">(based on one or more appropriate patient related outcome) </w:t>
      </w:r>
      <w:r>
        <w:t>or the cost per lesion cured.</w:t>
      </w:r>
      <w:r w:rsidR="00003443">
        <w:t xml:space="preserve"> </w:t>
      </w:r>
      <w:r w:rsidR="00874455">
        <w:t xml:space="preserve">Additionally, </w:t>
      </w:r>
      <w:r w:rsidR="00341CB4">
        <w:t xml:space="preserve">MSAC considered that </w:t>
      </w:r>
      <w:r w:rsidR="00874455">
        <w:t>the costs associated with the different safety profile,</w:t>
      </w:r>
      <w:r w:rsidR="00341CB4">
        <w:t xml:space="preserve"> including</w:t>
      </w:r>
      <w:r w:rsidR="00F058D1">
        <w:t xml:space="preserve"> costs for management of</w:t>
      </w:r>
      <w:r w:rsidR="00874455">
        <w:t xml:space="preserve"> adverse events, </w:t>
      </w:r>
      <w:r w:rsidR="00F058D1">
        <w:t>should be included in a resubmission.</w:t>
      </w:r>
    </w:p>
    <w:p w14:paraId="3D2F543A" w14:textId="77777777" w:rsidR="005C6356" w:rsidRDefault="005C6356" w:rsidP="005C6356">
      <w:r>
        <w:t>As well as the model chosen, MSAC noted that there were several other issues with the economic evaluation:</w:t>
      </w:r>
    </w:p>
    <w:p w14:paraId="5BBEFD4D" w14:textId="77777777" w:rsidR="005C6356" w:rsidRDefault="005C6356" w:rsidP="005C6356">
      <w:pPr>
        <w:pStyle w:val="ListParagraph"/>
        <w:numPr>
          <w:ilvl w:val="0"/>
          <w:numId w:val="40"/>
        </w:numPr>
        <w:spacing w:before="0" w:after="0" w:line="240" w:lineRule="auto"/>
      </w:pPr>
      <w:r>
        <w:t>The model was n</w:t>
      </w:r>
      <w:r w:rsidRPr="00C6236B">
        <w:t>ot robust</w:t>
      </w:r>
      <w:r>
        <w:t xml:space="preserve"> and</w:t>
      </w:r>
      <w:r w:rsidRPr="00C6236B">
        <w:t xml:space="preserve"> strongly favour</w:t>
      </w:r>
      <w:r>
        <w:t>ed</w:t>
      </w:r>
      <w:r w:rsidRPr="00C6236B">
        <w:t xml:space="preserve"> Re</w:t>
      </w:r>
      <w:r>
        <w:t>-</w:t>
      </w:r>
      <w:r w:rsidRPr="00C6236B">
        <w:t>188</w:t>
      </w:r>
      <w:r>
        <w:t xml:space="preserve"> brachytherapy</w:t>
      </w:r>
      <w:r w:rsidRPr="00C6236B">
        <w:t xml:space="preserve">. </w:t>
      </w:r>
      <w:r>
        <w:t>It only considered</w:t>
      </w:r>
      <w:r w:rsidRPr="00C6236B">
        <w:t xml:space="preserve"> </w:t>
      </w:r>
      <w:r>
        <w:t xml:space="preserve">the time </w:t>
      </w:r>
      <w:r w:rsidRPr="00C6236B">
        <w:t xml:space="preserve">up to </w:t>
      </w:r>
      <w:r>
        <w:t xml:space="preserve">treatment </w:t>
      </w:r>
      <w:r w:rsidRPr="00C6236B">
        <w:t>delivery</w:t>
      </w:r>
      <w:r>
        <w:t xml:space="preserve"> and did not</w:t>
      </w:r>
      <w:r w:rsidRPr="00C6236B">
        <w:t xml:space="preserve"> </w:t>
      </w:r>
      <w:r>
        <w:t xml:space="preserve">include patient </w:t>
      </w:r>
      <w:r w:rsidRPr="00C6236B">
        <w:t>outcomes.</w:t>
      </w:r>
    </w:p>
    <w:p w14:paraId="6A3C9EAF" w14:textId="6C617CA9" w:rsidR="00986828" w:rsidRDefault="00EC1B10" w:rsidP="005C6356">
      <w:pPr>
        <w:pStyle w:val="ListParagraph"/>
        <w:numPr>
          <w:ilvl w:val="0"/>
          <w:numId w:val="40"/>
        </w:numPr>
        <w:spacing w:before="0" w:after="0" w:line="240" w:lineRule="auto"/>
      </w:pPr>
      <w:r>
        <w:t xml:space="preserve">No justification was provided for the </w:t>
      </w:r>
      <w:r w:rsidR="00C04D47">
        <w:t xml:space="preserve">increase in </w:t>
      </w:r>
      <w:r w:rsidR="005C6356">
        <w:t>c</w:t>
      </w:r>
      <w:r w:rsidR="005C6356" w:rsidRPr="00C6236B">
        <w:t xml:space="preserve">arpoule cost </w:t>
      </w:r>
      <w:r w:rsidR="005C6356">
        <w:t>compared with</w:t>
      </w:r>
      <w:r w:rsidR="005C6356" w:rsidRPr="00C6236B">
        <w:t xml:space="preserve"> </w:t>
      </w:r>
      <w:r w:rsidR="005C6356">
        <w:t>the original submission</w:t>
      </w:r>
      <w:r w:rsidR="00986828">
        <w:t>, creating uncertainty around the costs.</w:t>
      </w:r>
    </w:p>
    <w:p w14:paraId="490850B5" w14:textId="72F85900" w:rsidR="005C6356" w:rsidRDefault="005C6356" w:rsidP="005C6356">
      <w:pPr>
        <w:pStyle w:val="ListParagraph"/>
        <w:numPr>
          <w:ilvl w:val="0"/>
          <w:numId w:val="40"/>
        </w:numPr>
        <w:spacing w:before="0" w:after="0" w:line="240" w:lineRule="auto"/>
      </w:pPr>
      <w:r>
        <w:t>B</w:t>
      </w:r>
      <w:r w:rsidRPr="00C6236B">
        <w:t xml:space="preserve">atching </w:t>
      </w:r>
      <w:r>
        <w:t>and</w:t>
      </w:r>
      <w:r w:rsidRPr="00C6236B">
        <w:t xml:space="preserve"> wastage </w:t>
      </w:r>
      <w:r>
        <w:t>were</w:t>
      </w:r>
      <w:r w:rsidRPr="00C6236B">
        <w:t xml:space="preserve"> too simplistic and unrealistic, </w:t>
      </w:r>
      <w:r>
        <w:t xml:space="preserve">and </w:t>
      </w:r>
      <w:r w:rsidRPr="00C6236B">
        <w:t>waste management costs</w:t>
      </w:r>
      <w:r>
        <w:t xml:space="preserve"> were</w:t>
      </w:r>
      <w:r w:rsidRPr="00C6236B">
        <w:t xml:space="preserve"> </w:t>
      </w:r>
      <w:r w:rsidR="00480F9C">
        <w:t xml:space="preserve">not </w:t>
      </w:r>
      <w:r w:rsidRPr="00C6236B">
        <w:t>included.</w:t>
      </w:r>
    </w:p>
    <w:p w14:paraId="5F0D1282" w14:textId="77777777" w:rsidR="005C6356" w:rsidRPr="00C6236B" w:rsidRDefault="005C6356" w:rsidP="005C6356">
      <w:pPr>
        <w:pStyle w:val="ListParagraph"/>
        <w:numPr>
          <w:ilvl w:val="0"/>
          <w:numId w:val="40"/>
        </w:numPr>
        <w:spacing w:before="0" w:after="0" w:line="240" w:lineRule="auto"/>
      </w:pPr>
      <w:r>
        <w:t>The w</w:t>
      </w:r>
      <w:r w:rsidRPr="00C6236B">
        <w:t xml:space="preserve">eighted cost of EBRT types does not align with </w:t>
      </w:r>
      <w:r w:rsidRPr="00225E69">
        <w:t>Royal Australian and New Zealand College of Radiologists</w:t>
      </w:r>
      <w:r>
        <w:t xml:space="preserve"> (</w:t>
      </w:r>
      <w:r w:rsidRPr="00C6236B">
        <w:t>RANZCR</w:t>
      </w:r>
      <w:r>
        <w:t>)</w:t>
      </w:r>
      <w:r w:rsidRPr="00C6236B">
        <w:t xml:space="preserve"> advice on relative use</w:t>
      </w:r>
      <w:r>
        <w:t>, and the</w:t>
      </w:r>
      <w:r w:rsidRPr="00C6236B">
        <w:t xml:space="preserve"> cost of EBRT </w:t>
      </w:r>
      <w:r>
        <w:t xml:space="preserve">was </w:t>
      </w:r>
      <w:r w:rsidRPr="00C6236B">
        <w:t>too high</w:t>
      </w:r>
      <w:r>
        <w:t>.</w:t>
      </w:r>
      <w:r w:rsidRPr="00C6236B">
        <w:t xml:space="preserve"> </w:t>
      </w:r>
      <w:r>
        <w:t xml:space="preserve">The </w:t>
      </w:r>
      <w:r w:rsidRPr="00C6236B">
        <w:t>assumptions</w:t>
      </w:r>
      <w:r>
        <w:t xml:space="preserve">, which </w:t>
      </w:r>
      <w:r w:rsidRPr="00C6236B">
        <w:t>strongly favour</w:t>
      </w:r>
      <w:r>
        <w:t>ed</w:t>
      </w:r>
      <w:r w:rsidRPr="00C6236B">
        <w:t xml:space="preserve"> Re</w:t>
      </w:r>
      <w:r>
        <w:t>-</w:t>
      </w:r>
      <w:r w:rsidRPr="00C6236B">
        <w:t>188</w:t>
      </w:r>
      <w:r>
        <w:t xml:space="preserve"> brachytherapy, </w:t>
      </w:r>
      <w:r w:rsidRPr="00C6236B">
        <w:t>have limited evidence</w:t>
      </w:r>
      <w:r>
        <w:t xml:space="preserve">, </w:t>
      </w:r>
      <w:r w:rsidRPr="00C6236B">
        <w:t>could not be validated</w:t>
      </w:r>
      <w:r>
        <w:t xml:space="preserve"> and</w:t>
      </w:r>
      <w:r w:rsidRPr="00C6236B">
        <w:t xml:space="preserve"> remain highly uncertain.</w:t>
      </w:r>
    </w:p>
    <w:p w14:paraId="138BEE81" w14:textId="72D3D009" w:rsidR="005C6356" w:rsidRDefault="005C6356" w:rsidP="005C6356">
      <w:r>
        <w:t xml:space="preserve">MSAC noted that sensitivity analyses performed by the </w:t>
      </w:r>
      <w:r w:rsidR="003F57C4">
        <w:t>commentary</w:t>
      </w:r>
      <w:r>
        <w:t xml:space="preserve"> </w:t>
      </w:r>
      <w:r w:rsidRPr="0045795C">
        <w:t>highlighted that Re-188 brachytherapy is likely to be more expensive than EBRT. M</w:t>
      </w:r>
      <w:r>
        <w:t xml:space="preserve">SAC considered that </w:t>
      </w:r>
      <w:r w:rsidR="008248A4">
        <w:t xml:space="preserve">further clinical input </w:t>
      </w:r>
      <w:r w:rsidR="00840D52">
        <w:t xml:space="preserve">regarding the </w:t>
      </w:r>
      <w:r w:rsidR="009E259E">
        <w:t xml:space="preserve">fractions and type of EBRT </w:t>
      </w:r>
      <w:r w:rsidR="00043CD4">
        <w:t xml:space="preserve">most likely to be </w:t>
      </w:r>
      <w:r w:rsidR="00FC5EF9">
        <w:t>used for patients and lesions suitable for Re-188 brachytherapy</w:t>
      </w:r>
      <w:r w:rsidR="00A06014">
        <w:t xml:space="preserve">, to ensure an accurate comparison of the total costs and </w:t>
      </w:r>
      <w:r w:rsidR="009F106E">
        <w:t>relative benefits.</w:t>
      </w:r>
      <w:r w:rsidRPr="0045795C">
        <w:t xml:space="preserve"> </w:t>
      </w:r>
      <w:r>
        <w:t>There is also a need to</w:t>
      </w:r>
      <w:r w:rsidRPr="0045795C">
        <w:t xml:space="preserve"> compare the ERBT technologies with Re-188</w:t>
      </w:r>
      <w:r>
        <w:t xml:space="preserve"> brachytherapy</w:t>
      </w:r>
      <w:r w:rsidRPr="0045795C">
        <w:t>, where the mix of ERBT in practice is directly compared with the true usage of Re-188</w:t>
      </w:r>
      <w:r>
        <w:t xml:space="preserve"> brachytherapy, and that also accounts for</w:t>
      </w:r>
      <w:r w:rsidRPr="0045795C">
        <w:t xml:space="preserve"> wastage and batching.</w:t>
      </w:r>
    </w:p>
    <w:p w14:paraId="7A498634" w14:textId="301473FA" w:rsidR="005C6356" w:rsidRDefault="005C6356" w:rsidP="005C6356">
      <w:r>
        <w:t xml:space="preserve">MSAC also noted that </w:t>
      </w:r>
      <w:r w:rsidRPr="00C6236B">
        <w:t xml:space="preserve">RANZCR </w:t>
      </w:r>
      <w:r>
        <w:t xml:space="preserve">provided </w:t>
      </w:r>
      <w:r w:rsidRPr="00C6236B">
        <w:t>advi</w:t>
      </w:r>
      <w:r>
        <w:t>ce post-ESC</w:t>
      </w:r>
      <w:r w:rsidRPr="00C6236B">
        <w:t xml:space="preserve"> </w:t>
      </w:r>
      <w:r>
        <w:t xml:space="preserve">that the </w:t>
      </w:r>
      <w:r w:rsidRPr="00C6236B">
        <w:t xml:space="preserve">number of </w:t>
      </w:r>
      <w:r w:rsidR="00807272">
        <w:t>EBRT</w:t>
      </w:r>
      <w:r>
        <w:t xml:space="preserve"> </w:t>
      </w:r>
      <w:r w:rsidRPr="00C6236B">
        <w:t xml:space="preserve">fractions </w:t>
      </w:r>
      <w:r>
        <w:t xml:space="preserve">per treatment </w:t>
      </w:r>
      <w:r w:rsidRPr="00C6236B">
        <w:t>would usually be between 1 and 7</w:t>
      </w:r>
      <w:r>
        <w:t xml:space="preserve"> (and </w:t>
      </w:r>
      <w:r w:rsidRPr="00C6236B">
        <w:t xml:space="preserve">not 22 as in </w:t>
      </w:r>
      <w:r>
        <w:t xml:space="preserve">the </w:t>
      </w:r>
      <w:r w:rsidRPr="00C6236B">
        <w:t>ADAR</w:t>
      </w:r>
      <w:r>
        <w:t>) and would use kilovoltage EBRT (which is less expensive than megavoltage EBRT). MSAC noted that the pre-MSAC response disagreed with the RANZCR advice and stated that kilovoltage EBRT was outdated technology. The current sensitivity analysis did not consider a lower number of fractions</w:t>
      </w:r>
      <w:r w:rsidR="00A26C06">
        <w:t xml:space="preserve"> of EBRT</w:t>
      </w:r>
      <w:r>
        <w:t>; the lowest number of fractions considered was 10</w:t>
      </w:r>
      <w:r w:rsidR="00AA7481">
        <w:t xml:space="preserve"> per </w:t>
      </w:r>
      <w:r>
        <w:t xml:space="preserve">treatment, using the same mix of EBRT </w:t>
      </w:r>
      <w:r w:rsidR="00C31BD5">
        <w:t xml:space="preserve">modalities </w:t>
      </w:r>
      <w:r>
        <w:t>as the ADAR</w:t>
      </w:r>
      <w:r w:rsidR="00C31BD5">
        <w:t xml:space="preserve"> base-case</w:t>
      </w:r>
      <w:r>
        <w:t>. This resulted in Re-188 brachytherapy being more expensive than EBRT by $</w:t>
      </w:r>
      <w:r w:rsidR="00D52988" w:rsidRPr="00D52988">
        <w:rPr>
          <w:b/>
          <w:bCs/>
        </w:rPr>
        <w:t>redacted</w:t>
      </w:r>
      <w:r>
        <w:t>/patient, whereas using 30 fractions/treatment results in a saving of $</w:t>
      </w:r>
      <w:r w:rsidR="00D52988" w:rsidRPr="00D52988">
        <w:rPr>
          <w:b/>
          <w:bCs/>
        </w:rPr>
        <w:t>redacted</w:t>
      </w:r>
      <w:r>
        <w:t xml:space="preserve">/patient. MSAC considered that it was important that the number of fractions is a shared decision between the patient and their healthcare team, </w:t>
      </w:r>
      <w:r w:rsidR="00AC1B44">
        <w:t>particularly due to</w:t>
      </w:r>
      <w:r>
        <w:t xml:space="preserve"> the heterogeneity of skin cancers.</w:t>
      </w:r>
    </w:p>
    <w:p w14:paraId="71AE73B2" w14:textId="1618100D" w:rsidR="005C6356" w:rsidRPr="00EE1DB5" w:rsidRDefault="005C6356" w:rsidP="005C6356">
      <w:r>
        <w:lastRenderedPageBreak/>
        <w:t>MSAC noted that the financial impact used a m</w:t>
      </w:r>
      <w:r w:rsidRPr="00EE1DB5">
        <w:t>arket</w:t>
      </w:r>
      <w:r>
        <w:t>-</w:t>
      </w:r>
      <w:r w:rsidRPr="00EE1DB5">
        <w:t>share approach based on utilisation of the currently listed items related to EBRT (</w:t>
      </w:r>
      <w:r>
        <w:t>superficial X-ray radiation therapy [</w:t>
      </w:r>
      <w:r w:rsidRPr="00EE1DB5">
        <w:t>SXRT</w:t>
      </w:r>
      <w:r>
        <w:t>]</w:t>
      </w:r>
      <w:r w:rsidRPr="00EE1DB5">
        <w:t xml:space="preserve">, </w:t>
      </w:r>
      <w:r>
        <w:t>e</w:t>
      </w:r>
      <w:r w:rsidRPr="00EE1DB5">
        <w:t xml:space="preserve">lectrons and </w:t>
      </w:r>
      <w:r>
        <w:t>intensity-modulated radiation therapy [</w:t>
      </w:r>
      <w:r w:rsidRPr="00EE1DB5">
        <w:t>IMRT</w:t>
      </w:r>
      <w:r>
        <w:t>]</w:t>
      </w:r>
      <w:r w:rsidRPr="00EE1DB5">
        <w:t xml:space="preserve">) and aligned with the updated </w:t>
      </w:r>
      <w:r w:rsidR="00FA51FB">
        <w:t xml:space="preserve">MBS </w:t>
      </w:r>
      <w:r w:rsidRPr="00EE1DB5">
        <w:t>items</w:t>
      </w:r>
      <w:r>
        <w:t>, which MSAC considered appropriate. However, e</w:t>
      </w:r>
      <w:r w:rsidRPr="00EE1DB5">
        <w:t xml:space="preserve">stimates of EBRT modality replacement </w:t>
      </w:r>
      <w:r>
        <w:t xml:space="preserve">were </w:t>
      </w:r>
      <w:r w:rsidRPr="00EE1DB5">
        <w:t xml:space="preserve">based on a clinician survey and an email from </w:t>
      </w:r>
      <w:r w:rsidR="00D52988" w:rsidRPr="00D52988">
        <w:rPr>
          <w:b/>
          <w:bCs/>
        </w:rPr>
        <w:t>redacted</w:t>
      </w:r>
      <w:r w:rsidRPr="006F37CB">
        <w:rPr>
          <w:b/>
          <w:bCs/>
        </w:rPr>
        <w:t xml:space="preserve"> </w:t>
      </w:r>
      <w:r w:rsidRPr="00EE1DB5">
        <w:t>with regards to their NMSC case mix</w:t>
      </w:r>
      <w:r>
        <w:t>. MSAC did not consider this to be appropriate because:</w:t>
      </w:r>
    </w:p>
    <w:p w14:paraId="4C9968C7" w14:textId="77777777" w:rsidR="005C6356" w:rsidRDefault="005C6356" w:rsidP="005C6356">
      <w:pPr>
        <w:pStyle w:val="ListParagraph"/>
        <w:numPr>
          <w:ilvl w:val="0"/>
          <w:numId w:val="41"/>
        </w:numPr>
        <w:spacing w:before="0" w:after="0" w:line="240" w:lineRule="auto"/>
      </w:pPr>
      <w:r>
        <w:t>there is n</w:t>
      </w:r>
      <w:r w:rsidRPr="00EE1DB5">
        <w:t>o means of validating the results presented in the email</w:t>
      </w:r>
    </w:p>
    <w:p w14:paraId="4CCB143B" w14:textId="22C9BF0D" w:rsidR="005C6356" w:rsidRDefault="00885C33" w:rsidP="005C6356">
      <w:pPr>
        <w:pStyle w:val="ListParagraph"/>
        <w:numPr>
          <w:ilvl w:val="0"/>
          <w:numId w:val="41"/>
        </w:numPr>
        <w:spacing w:before="0" w:after="0" w:line="240" w:lineRule="auto"/>
      </w:pPr>
      <w:r>
        <w:t xml:space="preserve">the substitution of </w:t>
      </w:r>
      <w:r w:rsidR="005C6356">
        <w:t>d</w:t>
      </w:r>
      <w:r w:rsidR="005C6356" w:rsidRPr="00EE1DB5">
        <w:t>ifferent modalities</w:t>
      </w:r>
      <w:r w:rsidR="00C97CBE">
        <w:t xml:space="preserve"> varied </w:t>
      </w:r>
      <w:r w:rsidR="005C6356" w:rsidRPr="00EE1DB5">
        <w:t xml:space="preserve">at different rates over </w:t>
      </w:r>
      <w:r w:rsidR="005C6356">
        <w:t>time</w:t>
      </w:r>
      <w:r w:rsidR="00C97CBE">
        <w:t xml:space="preserve"> without justification</w:t>
      </w:r>
      <w:r w:rsidR="005C6356">
        <w:t>, which l</w:t>
      </w:r>
      <w:r w:rsidR="005C6356" w:rsidRPr="00EE1DB5">
        <w:t xml:space="preserve">ed to a difference in the average patient cost of EBRT </w:t>
      </w:r>
      <w:r w:rsidR="005C6356">
        <w:t>for different years</w:t>
      </w:r>
    </w:p>
    <w:p w14:paraId="25D3FAD2" w14:textId="1D7A7553" w:rsidR="005C6356" w:rsidRDefault="005C6356" w:rsidP="005C6356">
      <w:pPr>
        <w:pStyle w:val="ListParagraph"/>
        <w:numPr>
          <w:ilvl w:val="0"/>
          <w:numId w:val="41"/>
        </w:numPr>
        <w:spacing w:before="0" w:after="0" w:line="240" w:lineRule="auto"/>
      </w:pPr>
      <w:r>
        <w:t>the c</w:t>
      </w:r>
      <w:r w:rsidRPr="00EE1DB5">
        <w:t>omparator varies from</w:t>
      </w:r>
      <w:r w:rsidR="00031D93">
        <w:t xml:space="preserve"> </w:t>
      </w:r>
      <w:r w:rsidR="00031D93" w:rsidRPr="00EE1DB5">
        <w:t>$5,244.37</w:t>
      </w:r>
      <w:r w:rsidRPr="00CA345B">
        <w:rPr>
          <w:b/>
          <w:bCs/>
        </w:rPr>
        <w:t xml:space="preserve"> </w:t>
      </w:r>
      <w:r w:rsidR="00031D93" w:rsidRPr="00D52988">
        <w:rPr>
          <w:b/>
        </w:rPr>
        <w:t>/</w:t>
      </w:r>
      <w:r w:rsidRPr="00EE1DB5">
        <w:t xml:space="preserve">patient in 2025 to </w:t>
      </w:r>
      <w:r w:rsidR="00346CBF" w:rsidRPr="00EE1DB5">
        <w:t>$6,592.68</w:t>
      </w:r>
      <w:r w:rsidR="00CA345B" w:rsidRPr="00CA345B">
        <w:rPr>
          <w:b/>
          <w:bCs/>
        </w:rPr>
        <w:t>]</w:t>
      </w:r>
      <w:r>
        <w:t>/patient</w:t>
      </w:r>
      <w:r w:rsidRPr="00EE1DB5">
        <w:t xml:space="preserve"> in 2030</w:t>
      </w:r>
    </w:p>
    <w:p w14:paraId="504A0688" w14:textId="7FF9B0D8" w:rsidR="005C6356" w:rsidRDefault="005C6356" w:rsidP="005C6356">
      <w:pPr>
        <w:pStyle w:val="ListParagraph"/>
        <w:numPr>
          <w:ilvl w:val="0"/>
          <w:numId w:val="41"/>
        </w:numPr>
        <w:spacing w:before="0" w:after="0" w:line="240" w:lineRule="auto"/>
      </w:pPr>
      <w:r>
        <w:t>the estimates a</w:t>
      </w:r>
      <w:r w:rsidRPr="00EE1DB5">
        <w:t xml:space="preserve">ssumed </w:t>
      </w:r>
      <w:r>
        <w:t>an average of</w:t>
      </w:r>
      <w:r w:rsidR="00CA1534">
        <w:t xml:space="preserve"> 22</w:t>
      </w:r>
      <w:r w:rsidR="00CA345B" w:rsidRPr="00D52988">
        <w:rPr>
          <w:b/>
        </w:rPr>
        <w:t xml:space="preserve"> </w:t>
      </w:r>
      <w:r w:rsidRPr="00EE1DB5">
        <w:t>fractions per patient for EBRT</w:t>
      </w:r>
      <w:r>
        <w:t>,</w:t>
      </w:r>
      <w:r w:rsidRPr="00EE1DB5">
        <w:t xml:space="preserve"> based on 7</w:t>
      </w:r>
      <w:r>
        <w:t> </w:t>
      </w:r>
      <w:r w:rsidRPr="00EE1DB5">
        <w:t>vignettes presented to clinicians</w:t>
      </w:r>
      <w:r>
        <w:t xml:space="preserve"> – it was unclear</w:t>
      </w:r>
      <w:r w:rsidRPr="00EE1DB5">
        <w:t xml:space="preserve"> how representative the</w:t>
      </w:r>
      <w:r>
        <w:t>se</w:t>
      </w:r>
      <w:r w:rsidRPr="00EE1DB5">
        <w:t xml:space="preserve"> vignettes were </w:t>
      </w:r>
      <w:r w:rsidR="007262B4">
        <w:t>of</w:t>
      </w:r>
      <w:r w:rsidRPr="00EE1DB5">
        <w:t xml:space="preserve"> the general population, given that the range of fractions </w:t>
      </w:r>
      <w:r w:rsidR="00B32F8D">
        <w:t>put forward ranged from</w:t>
      </w:r>
      <w:r w:rsidR="00CA1534">
        <w:t xml:space="preserve"> 6-30</w:t>
      </w:r>
      <w:r w:rsidR="00B32F8D">
        <w:t>.</w:t>
      </w:r>
    </w:p>
    <w:p w14:paraId="0FB0E4FA" w14:textId="785CAAB5" w:rsidR="005C6356" w:rsidRDefault="005C6356" w:rsidP="009D59EE">
      <w:r>
        <w:t>At the hearing, representatives of the applicant stated that they had received vari</w:t>
      </w:r>
      <w:r w:rsidR="009A7DD6">
        <w:t>ed</w:t>
      </w:r>
      <w:r>
        <w:t xml:space="preserve"> advice from oncologists regarding the use of EBRT modalities, as these differ for different types of NMSC</w:t>
      </w:r>
      <w:r w:rsidR="001E31FE">
        <w:t xml:space="preserve">, which may explain the variation in </w:t>
      </w:r>
      <w:r w:rsidR="006A4C3A">
        <w:t>the parameters of the above dot points</w:t>
      </w:r>
      <w:r>
        <w:t>.</w:t>
      </w:r>
      <w:r w:rsidR="009D59EE">
        <w:t xml:space="preserve"> MSAC considered </w:t>
      </w:r>
      <w:r w:rsidR="003666A3">
        <w:t xml:space="preserve">the variance in </w:t>
      </w:r>
      <w:r w:rsidR="009F0E70">
        <w:t xml:space="preserve">modality use indicated that an </w:t>
      </w:r>
      <w:r w:rsidR="009D59EE">
        <w:t xml:space="preserve">average </w:t>
      </w:r>
      <w:r w:rsidR="009F0E70">
        <w:t>may</w:t>
      </w:r>
      <w:r w:rsidR="009D59EE">
        <w:t xml:space="preserve"> not </w:t>
      </w:r>
      <w:r w:rsidR="008A29BA">
        <w:t xml:space="preserve">be </w:t>
      </w:r>
      <w:r w:rsidR="009D59EE">
        <w:t>useful</w:t>
      </w:r>
      <w:r w:rsidR="009F0E70">
        <w:t xml:space="preserve"> for the</w:t>
      </w:r>
      <w:r w:rsidR="00DC2EF1">
        <w:t xml:space="preserve"> resubmission</w:t>
      </w:r>
      <w:r w:rsidR="009F0E70">
        <w:t xml:space="preserve"> financial analysis</w:t>
      </w:r>
      <w:r w:rsidR="00DC2EF1">
        <w:t>, rather</w:t>
      </w:r>
      <w:r w:rsidR="009D59EE">
        <w:t xml:space="preserve"> several scenari</w:t>
      </w:r>
      <w:r w:rsidR="00DC2EF1">
        <w:t>os could be presented</w:t>
      </w:r>
      <w:r w:rsidR="009D59EE">
        <w:t xml:space="preserve"> the analysis</w:t>
      </w:r>
      <w:r w:rsidR="00DC2EF1">
        <w:t>, i</w:t>
      </w:r>
      <w:r w:rsidR="009D59EE">
        <w:t xml:space="preserve">deally </w:t>
      </w:r>
      <w:r w:rsidR="00DC2EF1">
        <w:t xml:space="preserve">using </w:t>
      </w:r>
      <w:r w:rsidR="009D59EE">
        <w:t xml:space="preserve">a transparent weighted approach </w:t>
      </w:r>
      <w:r w:rsidR="00DC2EF1">
        <w:t>that c</w:t>
      </w:r>
      <w:r w:rsidR="009D59EE">
        <w:t xml:space="preserve">ould be used based on prevalence of each type of lesion - if data is not available then at least some best / worst case analyses could be presented in the </w:t>
      </w:r>
      <w:r w:rsidR="000B49D1">
        <w:t xml:space="preserve">resubmission </w:t>
      </w:r>
      <w:r w:rsidR="009D59EE">
        <w:t>financial</w:t>
      </w:r>
      <w:r w:rsidR="000B49D1">
        <w:t xml:space="preserve"> analysis.</w:t>
      </w:r>
    </w:p>
    <w:p w14:paraId="104CF828" w14:textId="2CAF7B66" w:rsidR="005C6356" w:rsidRDefault="005C6356" w:rsidP="005C6356">
      <w:r>
        <w:t xml:space="preserve">MSAC noted that the </w:t>
      </w:r>
      <w:r w:rsidRPr="00EE1DB5">
        <w:t>ADAR used the full fee in the financial analysis, so did not account for the greatest permissible gap (GPG) or an 85% benefit fee when calculating the MBS costs.</w:t>
      </w:r>
      <w:r>
        <w:t xml:space="preserve"> </w:t>
      </w:r>
      <w:r w:rsidRPr="003A5093">
        <w:t xml:space="preserve">The ADAR’s base case estimated that Re-188 brachytherapy will save the MBS an estimated </w:t>
      </w:r>
      <w:r w:rsidR="00D52988" w:rsidRPr="00D52988">
        <w:rPr>
          <w:b/>
          <w:bCs/>
        </w:rPr>
        <w:t>redacted</w:t>
      </w:r>
      <w:r w:rsidRPr="003A5093">
        <w:t xml:space="preserve"> over </w:t>
      </w:r>
      <w:r>
        <w:t>6 </w:t>
      </w:r>
      <w:r w:rsidRPr="003A5093">
        <w:t>years.</w:t>
      </w:r>
      <w:r>
        <w:t xml:space="preserve"> However, </w:t>
      </w:r>
      <w:r w:rsidR="00D70BD1">
        <w:t xml:space="preserve">MSAC noted the commentary </w:t>
      </w:r>
      <w:r w:rsidR="00DF7DBB">
        <w:t xml:space="preserve">provided a </w:t>
      </w:r>
      <w:r w:rsidR="00D70BD1">
        <w:t>univariate sensitivity analysis that used the 85% benefit</w:t>
      </w:r>
      <w:r w:rsidR="00DF7DBB">
        <w:t xml:space="preserve"> </w:t>
      </w:r>
      <w:r w:rsidR="00F50BD1">
        <w:t xml:space="preserve">and </w:t>
      </w:r>
      <w:r w:rsidRPr="00395894">
        <w:t xml:space="preserve">demonstrated </w:t>
      </w:r>
      <w:r>
        <w:t xml:space="preserve">the financial impact </w:t>
      </w:r>
      <w:r w:rsidRPr="00395894">
        <w:t xml:space="preserve">estimates ranged from </w:t>
      </w:r>
      <w:r>
        <w:t xml:space="preserve">a </w:t>
      </w:r>
      <w:r w:rsidRPr="00395894">
        <w:t>6</w:t>
      </w:r>
      <w:r>
        <w:t>-</w:t>
      </w:r>
      <w:r w:rsidRPr="00395894">
        <w:t xml:space="preserve">year cost saving of </w:t>
      </w:r>
      <w:r w:rsidR="00D52988" w:rsidRPr="00D52988">
        <w:rPr>
          <w:b/>
          <w:bCs/>
        </w:rPr>
        <w:t>redacted</w:t>
      </w:r>
      <w:r w:rsidR="00CA345B">
        <w:t xml:space="preserve"> </w:t>
      </w:r>
      <w:r w:rsidRPr="00395894">
        <w:t>(if</w:t>
      </w:r>
      <w:r w:rsidR="00CA345B">
        <w:t xml:space="preserve"> </w:t>
      </w:r>
      <w:r w:rsidR="00D52988" w:rsidRPr="00D52988">
        <w:rPr>
          <w:b/>
          <w:bCs/>
        </w:rPr>
        <w:t>redacted</w:t>
      </w:r>
      <w:r>
        <w:t> </w:t>
      </w:r>
      <w:r w:rsidRPr="00395894">
        <w:t xml:space="preserve">fractions of the comparator treatment was needed) to a cost of </w:t>
      </w:r>
      <w:r w:rsidR="00D52988" w:rsidRPr="00D52988">
        <w:rPr>
          <w:b/>
          <w:bCs/>
        </w:rPr>
        <w:t>redacted</w:t>
      </w:r>
      <w:r w:rsidR="00CA345B" w:rsidRPr="00395894">
        <w:t xml:space="preserve"> </w:t>
      </w:r>
      <w:r w:rsidRPr="00395894">
        <w:t xml:space="preserve">(if only </w:t>
      </w:r>
      <w:r>
        <w:t>1 </w:t>
      </w:r>
      <w:r w:rsidRPr="00395894">
        <w:t>carpoule per patient was used).</w:t>
      </w:r>
      <w:r>
        <w:t xml:space="preserve"> MSAC considered that the model was not robust. Aligning the number of fractions with RANZCR advice and adjusting for more reasonable wastage, the estimated financial impact </w:t>
      </w:r>
      <w:r w:rsidR="007F5B02">
        <w:t>was</w:t>
      </w:r>
      <w:r>
        <w:t>:</w:t>
      </w:r>
    </w:p>
    <w:p w14:paraId="73D8C5E2" w14:textId="2A71C3E5" w:rsidR="005C6356" w:rsidRDefault="00D52988" w:rsidP="005C6356">
      <w:pPr>
        <w:pStyle w:val="ListParagraph"/>
        <w:numPr>
          <w:ilvl w:val="0"/>
          <w:numId w:val="42"/>
        </w:numPr>
        <w:spacing w:before="0" w:after="0" w:line="240" w:lineRule="auto"/>
      </w:pPr>
      <w:r w:rsidRPr="00D52988">
        <w:rPr>
          <w:b/>
          <w:bCs/>
        </w:rPr>
        <w:t>redacted</w:t>
      </w:r>
      <w:r w:rsidR="005C6356">
        <w:t xml:space="preserve"> in year 1 to </w:t>
      </w:r>
      <w:r w:rsidRPr="00D52988">
        <w:rPr>
          <w:b/>
          <w:bCs/>
        </w:rPr>
        <w:t>redacted</w:t>
      </w:r>
      <w:r w:rsidR="00CA345B">
        <w:t xml:space="preserve"> </w:t>
      </w:r>
      <w:r w:rsidR="005C6356">
        <w:t xml:space="preserve"> in year 6 (assuming </w:t>
      </w:r>
      <w:r w:rsidRPr="00D52988">
        <w:rPr>
          <w:b/>
          <w:bCs/>
        </w:rPr>
        <w:t>redacted</w:t>
      </w:r>
      <w:r w:rsidR="005C6356">
        <w:t xml:space="preserve"> fractions per treatment)</w:t>
      </w:r>
    </w:p>
    <w:p w14:paraId="5E2C6783" w14:textId="5557D3F6" w:rsidR="005C6356" w:rsidRDefault="00D52988" w:rsidP="005C6356">
      <w:pPr>
        <w:pStyle w:val="ListParagraph"/>
        <w:numPr>
          <w:ilvl w:val="0"/>
          <w:numId w:val="42"/>
        </w:numPr>
        <w:spacing w:before="0" w:after="0" w:line="240" w:lineRule="auto"/>
      </w:pPr>
      <w:r w:rsidRPr="00D52988">
        <w:rPr>
          <w:b/>
          <w:bCs/>
        </w:rPr>
        <w:t>redacted</w:t>
      </w:r>
      <w:r w:rsidR="00CA345B">
        <w:t xml:space="preserve"> </w:t>
      </w:r>
      <w:r w:rsidR="005C6356">
        <w:t xml:space="preserve"> in year 1 to </w:t>
      </w:r>
      <w:r w:rsidRPr="00D52988">
        <w:rPr>
          <w:b/>
          <w:bCs/>
        </w:rPr>
        <w:t>redacted</w:t>
      </w:r>
      <w:r w:rsidR="00CA345B">
        <w:t xml:space="preserve"> </w:t>
      </w:r>
      <w:r w:rsidR="005C6356">
        <w:t xml:space="preserve"> in year 6 (assuming </w:t>
      </w:r>
      <w:r w:rsidRPr="00D52988">
        <w:rPr>
          <w:b/>
          <w:bCs/>
        </w:rPr>
        <w:t>redacted</w:t>
      </w:r>
      <w:r w:rsidR="005C6356">
        <w:t> patients per carpoule).</w:t>
      </w:r>
    </w:p>
    <w:p w14:paraId="688BE288" w14:textId="69628C7B" w:rsidR="005C6356" w:rsidRPr="00A503A1" w:rsidRDefault="005C6356" w:rsidP="005C6356">
      <w:r>
        <w:t xml:space="preserve">Additionally, because the costs </w:t>
      </w:r>
      <w:r w:rsidR="00A427B4">
        <w:t xml:space="preserve">were </w:t>
      </w:r>
      <w:r>
        <w:t>only considered up to treatment delivery, MSAC considered that these costs may underestimate the cost to all health budgets (in terms of post-treatment care, management of adverse effects, etc.).</w:t>
      </w:r>
    </w:p>
    <w:p w14:paraId="597E625B" w14:textId="42E0F0E4" w:rsidR="005C6356" w:rsidRDefault="00B201BA" w:rsidP="005C6356">
      <w:r>
        <w:t>MSAC considered that</w:t>
      </w:r>
      <w:r w:rsidR="005C6356">
        <w:t xml:space="preserve"> a resubmission</w:t>
      </w:r>
      <w:r w:rsidR="003C7941">
        <w:t xml:space="preserve"> should be considered first by the Evaluation Sub-committee (ESC) and </w:t>
      </w:r>
      <w:r w:rsidR="005C6356">
        <w:t xml:space="preserve">the following </w:t>
      </w:r>
      <w:r w:rsidR="00542E67">
        <w:t>information</w:t>
      </w:r>
      <w:r w:rsidR="005C6356">
        <w:t xml:space="preserve"> w</w:t>
      </w:r>
      <w:r w:rsidR="00542E67">
        <w:t>ould be</w:t>
      </w:r>
      <w:r w:rsidR="005C6356">
        <w:t xml:space="preserve"> required:</w:t>
      </w:r>
    </w:p>
    <w:p w14:paraId="5E460E06" w14:textId="103E4330" w:rsidR="004E1D7A" w:rsidRDefault="005C6356" w:rsidP="007E7681">
      <w:pPr>
        <w:pStyle w:val="ListParagraph"/>
        <w:numPr>
          <w:ilvl w:val="0"/>
          <w:numId w:val="43"/>
        </w:numPr>
        <w:spacing w:before="0" w:after="0" w:line="240" w:lineRule="auto"/>
      </w:pPr>
      <w:r>
        <w:t>c</w:t>
      </w:r>
      <w:r w:rsidRPr="001E1366">
        <w:t>lari</w:t>
      </w:r>
      <w:r>
        <w:t>t</w:t>
      </w:r>
      <w:r w:rsidRPr="001E1366">
        <w:t xml:space="preserve">y </w:t>
      </w:r>
      <w:r>
        <w:t xml:space="preserve">around </w:t>
      </w:r>
      <w:r w:rsidRPr="001E1366">
        <w:t xml:space="preserve">the eligible population </w:t>
      </w:r>
      <w:r>
        <w:t xml:space="preserve">– it should be </w:t>
      </w:r>
      <w:r w:rsidRPr="001E1366">
        <w:t>limit</w:t>
      </w:r>
      <w:r>
        <w:t>ed</w:t>
      </w:r>
      <w:r w:rsidRPr="001E1366">
        <w:t xml:space="preserve"> to those most likely to benefit</w:t>
      </w:r>
      <w:r w:rsidR="0062077C">
        <w:t xml:space="preserve"> and clearly describe the</w:t>
      </w:r>
      <w:r w:rsidR="00363A70">
        <w:t xml:space="preserve"> </w:t>
      </w:r>
      <w:r w:rsidR="0062077C">
        <w:t>patient and lesion factors</w:t>
      </w:r>
      <w:r w:rsidR="009D4A38">
        <w:t xml:space="preserve"> that indicate likelihood of benefit from </w:t>
      </w:r>
      <w:r w:rsidR="00253A37">
        <w:t>the treatment</w:t>
      </w:r>
      <w:r w:rsidR="007E7681">
        <w:t>;</w:t>
      </w:r>
    </w:p>
    <w:p w14:paraId="60902CED" w14:textId="777102F0" w:rsidR="005C6356" w:rsidRPr="001E1366" w:rsidRDefault="005C6356" w:rsidP="005C6356">
      <w:pPr>
        <w:pStyle w:val="ListParagraph"/>
        <w:numPr>
          <w:ilvl w:val="0"/>
          <w:numId w:val="43"/>
        </w:numPr>
        <w:spacing w:before="0" w:after="0" w:line="240" w:lineRule="auto"/>
      </w:pPr>
      <w:r>
        <w:t>an appropriate referral pathway should be defined</w:t>
      </w:r>
      <w:r w:rsidR="00EE6B22">
        <w:t>;</w:t>
      </w:r>
    </w:p>
    <w:p w14:paraId="16186135" w14:textId="46CC66EB" w:rsidR="005C6356" w:rsidRPr="001E1366" w:rsidRDefault="005C6356" w:rsidP="005C6356">
      <w:pPr>
        <w:pStyle w:val="ListParagraph"/>
        <w:numPr>
          <w:ilvl w:val="0"/>
          <w:numId w:val="43"/>
        </w:numPr>
        <w:spacing w:before="0" w:after="0" w:line="240" w:lineRule="auto"/>
      </w:pPr>
      <w:r>
        <w:t>a r</w:t>
      </w:r>
      <w:r w:rsidRPr="001E1366">
        <w:t xml:space="preserve">eview </w:t>
      </w:r>
      <w:r>
        <w:t xml:space="preserve">of </w:t>
      </w:r>
      <w:r w:rsidRPr="001E1366">
        <w:t>the MBS items sought –</w:t>
      </w:r>
      <w:r w:rsidR="00F938E0">
        <w:t xml:space="preserve">including suitability of </w:t>
      </w:r>
      <w:r w:rsidR="009C7361">
        <w:t xml:space="preserve">components of </w:t>
      </w:r>
      <w:r w:rsidR="00590512">
        <w:t>the</w:t>
      </w:r>
      <w:r w:rsidR="7E37057E">
        <w:t xml:space="preserve"> </w:t>
      </w:r>
      <w:r>
        <w:t xml:space="preserve">MBS items, and </w:t>
      </w:r>
      <w:r w:rsidR="00F938E0">
        <w:t>justification of fees</w:t>
      </w:r>
      <w:r w:rsidR="00181751">
        <w:t xml:space="preserve"> and variations in cost of carpoule</w:t>
      </w:r>
      <w:r w:rsidR="00EE6B22">
        <w:t xml:space="preserve">; </w:t>
      </w:r>
    </w:p>
    <w:p w14:paraId="4055F151" w14:textId="4993A22E" w:rsidR="005C6356" w:rsidRDefault="005C6356" w:rsidP="005C6356">
      <w:pPr>
        <w:pStyle w:val="ListParagraph"/>
        <w:numPr>
          <w:ilvl w:val="0"/>
          <w:numId w:val="43"/>
        </w:numPr>
        <w:spacing w:before="0" w:after="0" w:line="240" w:lineRule="auto"/>
      </w:pPr>
      <w:r w:rsidRPr="001E1366">
        <w:t>more accurate costings of both Re</w:t>
      </w:r>
      <w:r>
        <w:t>-</w:t>
      </w:r>
      <w:r w:rsidRPr="001E1366">
        <w:t>188</w:t>
      </w:r>
      <w:r>
        <w:t xml:space="preserve"> brachytherapy</w:t>
      </w:r>
      <w:r w:rsidRPr="001E1366">
        <w:t xml:space="preserve"> (incl</w:t>
      </w:r>
      <w:r>
        <w:t>uding</w:t>
      </w:r>
      <w:r w:rsidRPr="001E1366">
        <w:t xml:space="preserve"> realistic wastage) </w:t>
      </w:r>
      <w:r>
        <w:t>and</w:t>
      </w:r>
      <w:r w:rsidRPr="001E1366">
        <w:t xml:space="preserve"> EBRT – </w:t>
      </w:r>
      <w:r w:rsidR="003628B8">
        <w:t xml:space="preserve">based on additional </w:t>
      </w:r>
      <w:r w:rsidR="002061D4" w:rsidRPr="002061D4">
        <w:t>stakeholder engagement and feedback</w:t>
      </w:r>
      <w:r w:rsidR="003628B8">
        <w:t xml:space="preserve"> and preferably including </w:t>
      </w:r>
      <w:r w:rsidRPr="001E1366">
        <w:t>independent advice</w:t>
      </w:r>
      <w:r w:rsidR="009F106E">
        <w:t xml:space="preserve">, including further clinical input regarding the fractions and </w:t>
      </w:r>
      <w:r w:rsidR="009F106E">
        <w:lastRenderedPageBreak/>
        <w:t>type of EBRT most likely to be used for patients and lesions suitable for Re-188 brachytherapy, to ensure an accurate comparison of the total costs and relative benefits</w:t>
      </w:r>
      <w:r w:rsidR="00D1762A">
        <w:t>;</w:t>
      </w:r>
    </w:p>
    <w:p w14:paraId="7BF8D88E" w14:textId="6EBE89CE" w:rsidR="000748A2" w:rsidRDefault="000748A2" w:rsidP="005C6356">
      <w:pPr>
        <w:pStyle w:val="ListParagraph"/>
        <w:numPr>
          <w:ilvl w:val="0"/>
          <w:numId w:val="43"/>
        </w:numPr>
        <w:spacing w:before="0" w:after="0" w:line="240" w:lineRule="auto"/>
      </w:pPr>
      <w:r>
        <w:t xml:space="preserve">Further examination of </w:t>
      </w:r>
      <w:r w:rsidR="001601E6">
        <w:t xml:space="preserve">the potential costs and </w:t>
      </w:r>
      <w:r w:rsidR="001F6870">
        <w:t>con</w:t>
      </w:r>
      <w:r w:rsidR="00080A1F">
        <w:t>sequences of adverse events</w:t>
      </w:r>
      <w:r w:rsidR="006337E5">
        <w:t xml:space="preserve"> related to Re-188 therapy</w:t>
      </w:r>
      <w:r w:rsidR="00B85D6C">
        <w:t>;</w:t>
      </w:r>
      <w:r w:rsidR="006337E5">
        <w:t xml:space="preserve"> </w:t>
      </w:r>
      <w:r w:rsidR="001601E6">
        <w:t xml:space="preserve"> </w:t>
      </w:r>
    </w:p>
    <w:p w14:paraId="3C1779B5" w14:textId="05CB4FAE" w:rsidR="005C6356" w:rsidRDefault="005C6356" w:rsidP="005C6356">
      <w:pPr>
        <w:pStyle w:val="ListParagraph"/>
        <w:numPr>
          <w:ilvl w:val="0"/>
          <w:numId w:val="43"/>
        </w:numPr>
        <w:spacing w:before="0" w:after="0" w:line="240" w:lineRule="auto"/>
      </w:pPr>
      <w:r>
        <w:t xml:space="preserve">a fit-for-purpose economic evaluation – </w:t>
      </w:r>
      <w:r w:rsidR="009C4683">
        <w:t>preferably</w:t>
      </w:r>
      <w:r>
        <w:t xml:space="preserve"> a basic cost-effectiveness</w:t>
      </w:r>
      <w:r w:rsidR="005A6950">
        <w:t>/</w:t>
      </w:r>
      <w:r>
        <w:t>cost-consequence) analysis</w:t>
      </w:r>
      <w:r w:rsidR="006E0267">
        <w:t xml:space="preserve"> present</w:t>
      </w:r>
      <w:r w:rsidR="001621B7">
        <w:t xml:space="preserve">ed as </w:t>
      </w:r>
      <w:r w:rsidR="006E0267">
        <w:t xml:space="preserve">the cost per </w:t>
      </w:r>
      <w:r w:rsidR="00930D8B">
        <w:t>treatment</w:t>
      </w:r>
      <w:r w:rsidR="001621B7">
        <w:t xml:space="preserve"> </w:t>
      </w:r>
      <w:r w:rsidR="00CA7928">
        <w:t>and/or</w:t>
      </w:r>
      <w:r w:rsidR="001621B7">
        <w:t xml:space="preserve"> cost per lesion treated,</w:t>
      </w:r>
      <w:r w:rsidR="005A6950">
        <w:t xml:space="preserve"> including the costs</w:t>
      </w:r>
      <w:r w:rsidR="00312D72">
        <w:t xml:space="preserve"> of retreatment and complications as well as cost of delivery.</w:t>
      </w:r>
      <w:r>
        <w:t xml:space="preserve"> using a selection of patient outcomes in the PICO (for example, scarring/cosmesis, pain, functional impairment).</w:t>
      </w:r>
    </w:p>
    <w:p w14:paraId="6710B69D" w14:textId="7F5E277E" w:rsidR="00772829" w:rsidRPr="00AE5472" w:rsidRDefault="00772829" w:rsidP="00AE5472">
      <w:pPr>
        <w:pStyle w:val="Heading2"/>
        <w:numPr>
          <w:ilvl w:val="0"/>
          <w:numId w:val="18"/>
        </w:numPr>
        <w:ind w:hanging="720"/>
      </w:pPr>
      <w:bookmarkStart w:id="3" w:name="_Toc69491416"/>
      <w:bookmarkEnd w:id="1"/>
      <w:r w:rsidRPr="00AE5472">
        <w:t>Background</w:t>
      </w:r>
      <w:bookmarkEnd w:id="3"/>
    </w:p>
    <w:p w14:paraId="3AEF207A" w14:textId="0A6938B5" w:rsidR="00676CD5" w:rsidRPr="006E44BB" w:rsidRDefault="00676CD5" w:rsidP="00E76AE0">
      <w:pPr>
        <w:pStyle w:val="Instructionaltext"/>
        <w:rPr>
          <w:color w:val="auto"/>
        </w:rPr>
      </w:pPr>
      <w:bookmarkStart w:id="4" w:name="_Hlk69734494"/>
      <w:r w:rsidRPr="008057D3">
        <w:rPr>
          <w:color w:val="auto"/>
        </w:rPr>
        <w:t xml:space="preserve">MSAC has previously considered </w:t>
      </w:r>
      <w:r w:rsidR="00594F1D" w:rsidRPr="008057D3">
        <w:rPr>
          <w:color w:val="auto"/>
        </w:rPr>
        <w:t>Re</w:t>
      </w:r>
      <w:r w:rsidR="00594F1D">
        <w:rPr>
          <w:color w:val="auto"/>
        </w:rPr>
        <w:t>-188 brachytherapy</w:t>
      </w:r>
      <w:r w:rsidRPr="006E44BB">
        <w:rPr>
          <w:color w:val="auto"/>
        </w:rPr>
        <w:t xml:space="preserve"> for </w:t>
      </w:r>
      <w:r w:rsidR="002563A0" w:rsidRPr="001E7696">
        <w:rPr>
          <w:color w:val="auto"/>
        </w:rPr>
        <w:t>non-melanoma</w:t>
      </w:r>
      <w:r w:rsidR="0035520B" w:rsidRPr="001E7696">
        <w:rPr>
          <w:color w:val="auto"/>
        </w:rPr>
        <w:t xml:space="preserve"> skin cancer</w:t>
      </w:r>
      <w:r w:rsidR="0035520B" w:rsidRPr="006E44BB">
        <w:rPr>
          <w:color w:val="auto"/>
        </w:rPr>
        <w:t xml:space="preserve"> </w:t>
      </w:r>
      <w:r w:rsidR="0035520B">
        <w:rPr>
          <w:color w:val="auto"/>
        </w:rPr>
        <w:t>(</w:t>
      </w:r>
      <w:r w:rsidRPr="006E44BB">
        <w:rPr>
          <w:color w:val="auto"/>
        </w:rPr>
        <w:t>NMSC</w:t>
      </w:r>
      <w:r w:rsidR="0035520B">
        <w:rPr>
          <w:color w:val="auto"/>
        </w:rPr>
        <w:t>)</w:t>
      </w:r>
      <w:r w:rsidRPr="006E44BB">
        <w:rPr>
          <w:color w:val="auto"/>
        </w:rPr>
        <w:t xml:space="preserve"> in patients contraindicated to surgery at the July 2023 MSAC meeting. This resubmission will be the second time the technology has been assessed. </w:t>
      </w:r>
    </w:p>
    <w:p w14:paraId="6A1DE8F1" w14:textId="5D59895B" w:rsidR="0000109A" w:rsidRPr="006E44BB" w:rsidRDefault="006E44BB" w:rsidP="00E76AE0">
      <w:pPr>
        <w:pStyle w:val="Instructionaltext"/>
        <w:rPr>
          <w:color w:val="auto"/>
        </w:rPr>
      </w:pPr>
      <w:r w:rsidRPr="006E44BB">
        <w:rPr>
          <w:color w:val="auto"/>
        </w:rPr>
        <w:t>T</w:t>
      </w:r>
      <w:r w:rsidR="0000109A" w:rsidRPr="006E44BB">
        <w:rPr>
          <w:color w:val="auto"/>
        </w:rPr>
        <w:t xml:space="preserve">he key matters of concern from </w:t>
      </w:r>
      <w:r w:rsidRPr="006E44BB">
        <w:rPr>
          <w:color w:val="auto"/>
        </w:rPr>
        <w:t xml:space="preserve">the </w:t>
      </w:r>
      <w:r w:rsidR="0000109A" w:rsidRPr="006E44BB">
        <w:rPr>
          <w:color w:val="auto"/>
        </w:rPr>
        <w:t>previous consideration</w:t>
      </w:r>
      <w:r w:rsidRPr="006E44BB">
        <w:rPr>
          <w:color w:val="auto"/>
        </w:rPr>
        <w:t xml:space="preserve"> are summarised in </w:t>
      </w:r>
      <w:r w:rsidR="0000109A" w:rsidRPr="006E44BB">
        <w:rPr>
          <w:color w:val="auto"/>
        </w:rPr>
        <w:fldChar w:fldCharType="begin"/>
      </w:r>
      <w:r w:rsidR="0000109A" w:rsidRPr="006E44BB">
        <w:rPr>
          <w:color w:val="auto"/>
        </w:rPr>
        <w:instrText xml:space="preserve"> REF _Ref69480768 \h </w:instrText>
      </w:r>
      <w:r w:rsidR="00EF4E29">
        <w:rPr>
          <w:color w:val="auto"/>
        </w:rPr>
        <w:instrText xml:space="preserve"> \* MERGEFORMAT </w:instrText>
      </w:r>
      <w:r w:rsidR="0000109A" w:rsidRPr="006E44BB">
        <w:rPr>
          <w:color w:val="auto"/>
        </w:rPr>
      </w:r>
      <w:r w:rsidR="0000109A" w:rsidRPr="006E44BB">
        <w:rPr>
          <w:color w:val="auto"/>
        </w:rPr>
        <w:fldChar w:fldCharType="separate"/>
      </w:r>
      <w:r w:rsidR="00AF5AE7" w:rsidRPr="00AF5AE7">
        <w:rPr>
          <w:color w:val="auto"/>
        </w:rPr>
        <w:t>Table 1</w:t>
      </w:r>
      <w:r w:rsidR="0000109A" w:rsidRPr="006E44BB">
        <w:rPr>
          <w:color w:val="auto"/>
        </w:rPr>
        <w:fldChar w:fldCharType="end"/>
      </w:r>
      <w:r w:rsidRPr="006E44BB">
        <w:rPr>
          <w:color w:val="auto"/>
        </w:rPr>
        <w:t>.</w:t>
      </w:r>
    </w:p>
    <w:p w14:paraId="6EC12EDF" w14:textId="62BA5B97" w:rsidR="0068682C" w:rsidRDefault="0068682C" w:rsidP="0068682C">
      <w:pPr>
        <w:pStyle w:val="Caption"/>
      </w:pPr>
      <w:bookmarkStart w:id="5" w:name="_Ref69480768"/>
      <w:bookmarkStart w:id="6" w:name="_Hlk69734557"/>
      <w:bookmarkEnd w:id="4"/>
      <w:r w:rsidRPr="00CE28E3">
        <w:t>Table</w:t>
      </w:r>
      <w:r w:rsidR="004A4FDF">
        <w:t> </w:t>
      </w:r>
      <w:r w:rsidR="007F4BCC">
        <w:fldChar w:fldCharType="begin"/>
      </w:r>
      <w:r w:rsidR="007F4BCC">
        <w:instrText xml:space="preserve"> SEQ Table \* ARABIC </w:instrText>
      </w:r>
      <w:r w:rsidR="007F4BCC">
        <w:fldChar w:fldCharType="separate"/>
      </w:r>
      <w:r w:rsidR="00AF5AE7">
        <w:rPr>
          <w:noProof/>
        </w:rPr>
        <w:t>1</w:t>
      </w:r>
      <w:r w:rsidR="007F4BCC">
        <w:rPr>
          <w:noProof/>
        </w:rPr>
        <w:fldChar w:fldCharType="end"/>
      </w:r>
      <w:bookmarkEnd w:id="5"/>
      <w:r w:rsidRPr="00CE28E3">
        <w:tab/>
        <w:t>Summary of key matters of concern</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3165"/>
        <w:gridCol w:w="4229"/>
      </w:tblGrid>
      <w:tr w:rsidR="00D12E7A" w:rsidRPr="0001290C" w14:paraId="5B3C7006" w14:textId="77777777" w:rsidTr="1E8B3177">
        <w:trPr>
          <w:cantSplit/>
          <w:tblHeader/>
        </w:trPr>
        <w:tc>
          <w:tcPr>
            <w:tcW w:w="977" w:type="pct"/>
            <w:shd w:val="clear" w:color="auto" w:fill="FFFFFF" w:themeFill="background1"/>
            <w:vAlign w:val="center"/>
          </w:tcPr>
          <w:p w14:paraId="7F0C717F" w14:textId="77777777" w:rsidR="00D12E7A" w:rsidRPr="00EF4E29" w:rsidRDefault="00D12E7A" w:rsidP="00EF4E29">
            <w:pPr>
              <w:pStyle w:val="TableText"/>
              <w:spacing w:before="120" w:after="120"/>
              <w:rPr>
                <w:b/>
                <w:bCs/>
              </w:rPr>
            </w:pPr>
            <w:r w:rsidRPr="00EF4E29">
              <w:rPr>
                <w:b/>
                <w:bCs/>
              </w:rPr>
              <w:t>Component</w:t>
            </w:r>
          </w:p>
        </w:tc>
        <w:tc>
          <w:tcPr>
            <w:tcW w:w="1722" w:type="pct"/>
            <w:shd w:val="clear" w:color="auto" w:fill="FFFFFF" w:themeFill="background1"/>
            <w:vAlign w:val="center"/>
          </w:tcPr>
          <w:p w14:paraId="1B6B18CA" w14:textId="77777777" w:rsidR="00D12E7A" w:rsidRPr="00EF4E29" w:rsidRDefault="00D12E7A" w:rsidP="00EF4E29">
            <w:pPr>
              <w:pStyle w:val="TableText"/>
              <w:spacing w:before="120" w:after="120"/>
              <w:rPr>
                <w:b/>
                <w:bCs/>
              </w:rPr>
            </w:pPr>
            <w:r w:rsidRPr="00EF4E29">
              <w:rPr>
                <w:b/>
                <w:bCs/>
              </w:rPr>
              <w:t>Matter of concern</w:t>
            </w:r>
          </w:p>
        </w:tc>
        <w:tc>
          <w:tcPr>
            <w:tcW w:w="2301" w:type="pct"/>
            <w:shd w:val="clear" w:color="auto" w:fill="FFFFFF" w:themeFill="background1"/>
            <w:vAlign w:val="center"/>
          </w:tcPr>
          <w:p w14:paraId="76A2B666" w14:textId="77777777" w:rsidR="00D12E7A" w:rsidRPr="00EF4E29" w:rsidRDefault="00D12E7A" w:rsidP="00EF4E29">
            <w:pPr>
              <w:pStyle w:val="TableText"/>
              <w:spacing w:before="120" w:after="120"/>
              <w:rPr>
                <w:b/>
                <w:bCs/>
              </w:rPr>
            </w:pPr>
            <w:r w:rsidRPr="00EF4E29">
              <w:rPr>
                <w:b/>
                <w:bCs/>
              </w:rPr>
              <w:t>How the current assessment report addresses it</w:t>
            </w:r>
          </w:p>
        </w:tc>
      </w:tr>
      <w:tr w:rsidR="00D12E7A" w:rsidRPr="0001290C" w14:paraId="2AF297C1" w14:textId="77777777" w:rsidTr="1E8B3177">
        <w:trPr>
          <w:cantSplit/>
        </w:trPr>
        <w:tc>
          <w:tcPr>
            <w:tcW w:w="977" w:type="pct"/>
            <w:vAlign w:val="center"/>
          </w:tcPr>
          <w:p w14:paraId="38A27185" w14:textId="77777777" w:rsidR="00D12E7A" w:rsidRPr="00EF4E29" w:rsidRDefault="00D12E7A" w:rsidP="00EF4E29">
            <w:pPr>
              <w:pStyle w:val="TableText"/>
            </w:pPr>
            <w:r w:rsidRPr="00EF4E29">
              <w:t>Evidence base</w:t>
            </w:r>
          </w:p>
        </w:tc>
        <w:tc>
          <w:tcPr>
            <w:tcW w:w="1722" w:type="pct"/>
            <w:vAlign w:val="center"/>
          </w:tcPr>
          <w:p w14:paraId="4AE9BEE7" w14:textId="5AE00B44" w:rsidR="00D12E7A" w:rsidRPr="00EF4E29" w:rsidRDefault="00D12E7A" w:rsidP="00EF4E29">
            <w:pPr>
              <w:pStyle w:val="TableText"/>
            </w:pPr>
            <w:r w:rsidRPr="00EF4E29">
              <w:t xml:space="preserve">MSAC noted </w:t>
            </w:r>
            <w:r w:rsidR="00C6199E" w:rsidRPr="00EF4E29">
              <w:t xml:space="preserve">that </w:t>
            </w:r>
            <w:r w:rsidRPr="00EF4E29">
              <w:t>an improved evidence base for comparative safety and efficacy was needed.</w:t>
            </w:r>
          </w:p>
        </w:tc>
        <w:tc>
          <w:tcPr>
            <w:tcW w:w="2301" w:type="pct"/>
            <w:vAlign w:val="center"/>
          </w:tcPr>
          <w:p w14:paraId="67A3DE34" w14:textId="77777777" w:rsidR="00D12E7A" w:rsidRDefault="00D12E7A" w:rsidP="00EF4E29">
            <w:pPr>
              <w:pStyle w:val="TableText"/>
            </w:pPr>
            <w:r w:rsidRPr="00EF4E29">
              <w:t>6</w:t>
            </w:r>
            <w:r w:rsidR="00C6199E" w:rsidRPr="00EF4E29">
              <w:t xml:space="preserve"> month</w:t>
            </w:r>
            <w:r w:rsidRPr="00EF4E29">
              <w:t xml:space="preserve"> and 12</w:t>
            </w:r>
            <w:r w:rsidR="00C6199E" w:rsidRPr="00EF4E29">
              <w:t xml:space="preserve"> month</w:t>
            </w:r>
            <w:r w:rsidRPr="00EF4E29">
              <w:t xml:space="preserve"> prospective EPIC Skin Trial, European long-term safety, efficacy, </w:t>
            </w:r>
            <w:r w:rsidR="00C6199E" w:rsidRPr="00EF4E29">
              <w:t>quality of life (</w:t>
            </w:r>
            <w:r w:rsidRPr="00EF4E29">
              <w:t>QoL</w:t>
            </w:r>
            <w:r w:rsidR="00C6199E" w:rsidRPr="00EF4E29">
              <w:t>)</w:t>
            </w:r>
            <w:r w:rsidRPr="00EF4E29">
              <w:t xml:space="preserve">, and cosmesis of </w:t>
            </w:r>
            <w:r w:rsidR="00594F1D" w:rsidRPr="002563A0">
              <w:t>Re-188 brachytherapy</w:t>
            </w:r>
            <w:r w:rsidRPr="00EF4E29">
              <w:t xml:space="preserve">, local registry data of </w:t>
            </w:r>
            <w:r w:rsidR="00594F1D" w:rsidRPr="002563A0">
              <w:rPr>
                <w:rFonts w:eastAsia="Times New Roman"/>
                <w:snapToGrid w:val="0"/>
              </w:rPr>
              <w:t>Re-188 brachytherapy</w:t>
            </w:r>
            <w:r w:rsidRPr="00EF4E29">
              <w:t xml:space="preserve"> and conventional radiation therapy outcomes.</w:t>
            </w:r>
          </w:p>
          <w:p w14:paraId="044D779E" w14:textId="1BCAC13D" w:rsidR="00DD7212" w:rsidRPr="000C5460" w:rsidRDefault="00DD7212" w:rsidP="00EF4E29">
            <w:pPr>
              <w:pStyle w:val="TableText"/>
              <w:rPr>
                <w:i/>
                <w:iCs/>
              </w:rPr>
            </w:pPr>
            <w:r w:rsidRPr="000C5460">
              <w:rPr>
                <w:i/>
                <w:iCs/>
              </w:rPr>
              <w:t xml:space="preserve">While this adds additional data to </w:t>
            </w:r>
            <w:r w:rsidR="003D69ED" w:rsidRPr="000C5460">
              <w:rPr>
                <w:i/>
                <w:iCs/>
              </w:rPr>
              <w:t xml:space="preserve">the evidence base, it is a single arm trial and </w:t>
            </w:r>
            <w:r w:rsidR="000C5460" w:rsidRPr="000C5460">
              <w:rPr>
                <w:i/>
                <w:iCs/>
              </w:rPr>
              <w:t>was inadequate to accurately assess the comparative safety of Re-188 brachytherapy and EBRT for BCC and SCC.</w:t>
            </w:r>
          </w:p>
        </w:tc>
      </w:tr>
      <w:tr w:rsidR="00D12E7A" w:rsidRPr="0001290C" w14:paraId="4C8E6B47" w14:textId="77777777" w:rsidTr="1E8B3177">
        <w:trPr>
          <w:cantSplit/>
        </w:trPr>
        <w:tc>
          <w:tcPr>
            <w:tcW w:w="977" w:type="pct"/>
            <w:vAlign w:val="center"/>
          </w:tcPr>
          <w:p w14:paraId="37B49929" w14:textId="77777777" w:rsidR="00D12E7A" w:rsidRPr="00EF4E29" w:rsidRDefault="00D12E7A" w:rsidP="00EF4E29">
            <w:pPr>
              <w:pStyle w:val="TableText"/>
            </w:pPr>
            <w:r w:rsidRPr="00EF4E29">
              <w:t>Comparator estimates</w:t>
            </w:r>
          </w:p>
        </w:tc>
        <w:tc>
          <w:tcPr>
            <w:tcW w:w="1722" w:type="pct"/>
            <w:vAlign w:val="center"/>
          </w:tcPr>
          <w:p w14:paraId="26648FC4" w14:textId="77777777" w:rsidR="00D12E7A" w:rsidRPr="00EF4E29" w:rsidRDefault="00D12E7A" w:rsidP="00EF4E29">
            <w:pPr>
              <w:pStyle w:val="TableText"/>
            </w:pPr>
            <w:r w:rsidRPr="00EF4E29">
              <w:t>MSAC noted that a more robust estimate of comparator cost will be required that considers different EBRT modalities.</w:t>
            </w:r>
          </w:p>
        </w:tc>
        <w:tc>
          <w:tcPr>
            <w:tcW w:w="2301" w:type="pct"/>
            <w:vAlign w:val="center"/>
          </w:tcPr>
          <w:p w14:paraId="6E83A690" w14:textId="2260508F" w:rsidR="00D12E7A" w:rsidRDefault="00D12E7A" w:rsidP="00EF4E29">
            <w:pPr>
              <w:pStyle w:val="TableText"/>
            </w:pPr>
            <w:r w:rsidRPr="00EF4E29">
              <w:t xml:space="preserve">Clinician advisory board, patient vignettes, questionnaires, and private radiation clinic data </w:t>
            </w:r>
            <w:r w:rsidR="00D52988" w:rsidRPr="00D52988">
              <w:rPr>
                <w:b/>
                <w:bCs/>
              </w:rPr>
              <w:t>redacted</w:t>
            </w:r>
            <w:r w:rsidR="00CC0EEE">
              <w:t>.</w:t>
            </w:r>
          </w:p>
          <w:p w14:paraId="7AEC0BD2" w14:textId="51F7FEAC" w:rsidR="00CA04FB" w:rsidRPr="00C93136" w:rsidRDefault="00CA04FB" w:rsidP="00EF4E29">
            <w:pPr>
              <w:pStyle w:val="TableText"/>
              <w:rPr>
                <w:i/>
                <w:iCs/>
              </w:rPr>
            </w:pPr>
            <w:r w:rsidRPr="00C93136">
              <w:rPr>
                <w:i/>
                <w:iCs/>
              </w:rPr>
              <w:t xml:space="preserve">While this added more data on the </w:t>
            </w:r>
            <w:r w:rsidR="00F810BB" w:rsidRPr="00C93136">
              <w:rPr>
                <w:i/>
                <w:iCs/>
              </w:rPr>
              <w:t xml:space="preserve">current </w:t>
            </w:r>
            <w:r w:rsidRPr="00C93136">
              <w:rPr>
                <w:i/>
                <w:iCs/>
              </w:rPr>
              <w:t>modalities</w:t>
            </w:r>
            <w:r w:rsidR="00F810BB" w:rsidRPr="00C93136">
              <w:rPr>
                <w:i/>
                <w:iCs/>
              </w:rPr>
              <w:t xml:space="preserve"> used for </w:t>
            </w:r>
            <w:r w:rsidR="00D830A7" w:rsidRPr="00C93136">
              <w:rPr>
                <w:i/>
                <w:iCs/>
              </w:rPr>
              <w:t>EBRT</w:t>
            </w:r>
            <w:r w:rsidRPr="00C93136">
              <w:rPr>
                <w:i/>
                <w:iCs/>
              </w:rPr>
              <w:t xml:space="preserve">, </w:t>
            </w:r>
            <w:r w:rsidR="00C93136" w:rsidRPr="00C93136">
              <w:rPr>
                <w:i/>
                <w:iCs/>
              </w:rPr>
              <w:t xml:space="preserve">the info provided from </w:t>
            </w:r>
            <w:r w:rsidR="00D52988" w:rsidRPr="00D52988">
              <w:rPr>
                <w:b/>
                <w:bCs/>
                <w:i/>
                <w:iCs/>
              </w:rPr>
              <w:t>redacted</w:t>
            </w:r>
            <w:r w:rsidR="00C93136" w:rsidRPr="00C93136">
              <w:rPr>
                <w:i/>
                <w:iCs/>
              </w:rPr>
              <w:t xml:space="preserve"> was an email and there are no means to properly validate the quality of the evidence; </w:t>
            </w:r>
            <w:r w:rsidR="00F810BB" w:rsidRPr="00C93136">
              <w:rPr>
                <w:i/>
                <w:iCs/>
              </w:rPr>
              <w:t>there</w:t>
            </w:r>
            <w:r w:rsidRPr="00C93136">
              <w:rPr>
                <w:i/>
                <w:iCs/>
              </w:rPr>
              <w:t xml:space="preserve"> is still uncertainty as to </w:t>
            </w:r>
            <w:r w:rsidR="00F810BB" w:rsidRPr="00C93136">
              <w:rPr>
                <w:i/>
                <w:iCs/>
              </w:rPr>
              <w:t xml:space="preserve">how representative this is of </w:t>
            </w:r>
            <w:r w:rsidR="00F1303D" w:rsidRPr="00C93136">
              <w:rPr>
                <w:i/>
                <w:iCs/>
              </w:rPr>
              <w:t xml:space="preserve">general practice as it doesn’t align with the </w:t>
            </w:r>
            <w:r w:rsidR="0007695F" w:rsidRPr="00C93136">
              <w:rPr>
                <w:i/>
                <w:iCs/>
              </w:rPr>
              <w:t xml:space="preserve">RANZCR </w:t>
            </w:r>
            <w:r w:rsidR="00F1303D" w:rsidRPr="00C93136">
              <w:rPr>
                <w:i/>
                <w:iCs/>
              </w:rPr>
              <w:t>feedback.</w:t>
            </w:r>
            <w:r w:rsidRPr="00C93136">
              <w:rPr>
                <w:i/>
                <w:iCs/>
              </w:rPr>
              <w:t xml:space="preserve"> </w:t>
            </w:r>
          </w:p>
        </w:tc>
      </w:tr>
      <w:tr w:rsidR="00D12E7A" w:rsidRPr="0001290C" w14:paraId="390E6D6B" w14:textId="77777777" w:rsidTr="1E8B3177">
        <w:trPr>
          <w:cantSplit/>
        </w:trPr>
        <w:tc>
          <w:tcPr>
            <w:tcW w:w="977" w:type="pct"/>
            <w:vAlign w:val="center"/>
          </w:tcPr>
          <w:p w14:paraId="0EB66387" w14:textId="77777777" w:rsidR="00D12E7A" w:rsidRPr="00EF4E29" w:rsidRDefault="00D12E7A" w:rsidP="00EF4E29">
            <w:pPr>
              <w:pStyle w:val="TableText"/>
            </w:pPr>
            <w:r w:rsidRPr="00EF4E29">
              <w:t>Eligible population</w:t>
            </w:r>
          </w:p>
        </w:tc>
        <w:tc>
          <w:tcPr>
            <w:tcW w:w="1722" w:type="pct"/>
            <w:vAlign w:val="center"/>
          </w:tcPr>
          <w:p w14:paraId="0614F8A1" w14:textId="77777777" w:rsidR="00D12E7A" w:rsidRPr="00EF4E29" w:rsidRDefault="00D12E7A" w:rsidP="00EF4E29">
            <w:pPr>
              <w:pStyle w:val="TableText"/>
            </w:pPr>
            <w:r w:rsidRPr="00EF4E29">
              <w:t>MSAC required a more “transparent” estimation of the population that would be eligible for the proposed therapy.</w:t>
            </w:r>
          </w:p>
        </w:tc>
        <w:tc>
          <w:tcPr>
            <w:tcW w:w="2301" w:type="pct"/>
            <w:vAlign w:val="center"/>
          </w:tcPr>
          <w:p w14:paraId="630C9FC0" w14:textId="77777777" w:rsidR="00D12E7A" w:rsidRDefault="00D12E7A" w:rsidP="00EF4E29">
            <w:pPr>
              <w:pStyle w:val="TableText"/>
            </w:pPr>
            <w:r w:rsidRPr="00EF4E29">
              <w:t xml:space="preserve">Volume estimates based upon current treatments and trajectory, in addition to switching rates from conventional modalities to </w:t>
            </w:r>
            <w:r w:rsidR="00594F1D" w:rsidRPr="002563A0">
              <w:rPr>
                <w:rFonts w:eastAsia="Times New Roman"/>
                <w:snapToGrid w:val="0"/>
              </w:rPr>
              <w:t>Re-188 brachytherapy</w:t>
            </w:r>
            <w:r w:rsidRPr="00EF4E29">
              <w:t xml:space="preserve"> as estimated by panel of radiation oncologists.</w:t>
            </w:r>
          </w:p>
          <w:p w14:paraId="6D92F002" w14:textId="2865AC98" w:rsidR="00485496" w:rsidRPr="001C7A19" w:rsidRDefault="00485496" w:rsidP="00EF4E29">
            <w:pPr>
              <w:pStyle w:val="TableText"/>
              <w:rPr>
                <w:i/>
                <w:iCs/>
              </w:rPr>
            </w:pPr>
            <w:r w:rsidRPr="001C7A19">
              <w:rPr>
                <w:i/>
                <w:iCs/>
              </w:rPr>
              <w:t>While a market share approach was used,</w:t>
            </w:r>
            <w:r w:rsidR="00641942" w:rsidRPr="001C7A19">
              <w:rPr>
                <w:i/>
                <w:iCs/>
              </w:rPr>
              <w:t xml:space="preserve"> the estimates for the </w:t>
            </w:r>
            <w:r w:rsidRPr="001C7A19">
              <w:rPr>
                <w:i/>
                <w:iCs/>
              </w:rPr>
              <w:t xml:space="preserve">volume of current </w:t>
            </w:r>
            <w:r w:rsidR="00641942" w:rsidRPr="001C7A19">
              <w:rPr>
                <w:i/>
                <w:iCs/>
              </w:rPr>
              <w:t xml:space="preserve">EBRT modalities that are used for </w:t>
            </w:r>
            <w:r w:rsidR="003C2383" w:rsidRPr="001C7A19">
              <w:rPr>
                <w:i/>
                <w:iCs/>
              </w:rPr>
              <w:t xml:space="preserve">NMSC (and eligible for Re-188 brachytherapy) were based on the </w:t>
            </w:r>
            <w:r w:rsidR="00D52988" w:rsidRPr="00D52988">
              <w:rPr>
                <w:b/>
                <w:bCs/>
                <w:i/>
                <w:iCs/>
              </w:rPr>
              <w:t>redacted</w:t>
            </w:r>
            <w:r w:rsidR="001C7A19" w:rsidRPr="002872A0">
              <w:rPr>
                <w:b/>
                <w:bCs/>
                <w:i/>
                <w:iCs/>
              </w:rPr>
              <w:t xml:space="preserve"> </w:t>
            </w:r>
            <w:r w:rsidR="001C7A19" w:rsidRPr="001C7A19">
              <w:rPr>
                <w:i/>
                <w:iCs/>
              </w:rPr>
              <w:t>information</w:t>
            </w:r>
            <w:r w:rsidR="001C7A19">
              <w:rPr>
                <w:i/>
                <w:iCs/>
              </w:rPr>
              <w:t xml:space="preserve"> and remains uncertain</w:t>
            </w:r>
            <w:r w:rsidR="001C7A19" w:rsidRPr="001C7A19">
              <w:rPr>
                <w:i/>
                <w:iCs/>
              </w:rPr>
              <w:t xml:space="preserve"> – see note above. </w:t>
            </w:r>
          </w:p>
        </w:tc>
      </w:tr>
      <w:tr w:rsidR="00D12E7A" w:rsidRPr="0001290C" w14:paraId="1223A95D" w14:textId="77777777" w:rsidTr="1E8B3177">
        <w:trPr>
          <w:cantSplit/>
        </w:trPr>
        <w:tc>
          <w:tcPr>
            <w:tcW w:w="977" w:type="pct"/>
            <w:vAlign w:val="center"/>
          </w:tcPr>
          <w:p w14:paraId="798882E6" w14:textId="77777777" w:rsidR="00D12E7A" w:rsidRPr="00EF4E29" w:rsidRDefault="00D12E7A" w:rsidP="00EF4E29">
            <w:pPr>
              <w:pStyle w:val="TableText"/>
            </w:pPr>
            <w:r w:rsidRPr="00EF4E29">
              <w:lastRenderedPageBreak/>
              <w:t>Patient preference</w:t>
            </w:r>
          </w:p>
        </w:tc>
        <w:tc>
          <w:tcPr>
            <w:tcW w:w="1722" w:type="pct"/>
            <w:vAlign w:val="center"/>
          </w:tcPr>
          <w:p w14:paraId="0512BA61" w14:textId="77777777" w:rsidR="00D12E7A" w:rsidRPr="00EF4E29" w:rsidRDefault="00D12E7A" w:rsidP="00EF4E29">
            <w:pPr>
              <w:pStyle w:val="TableText"/>
            </w:pPr>
            <w:r w:rsidRPr="00EF4E29">
              <w:t xml:space="preserve">MSAC noted that a formal patient preference study may inform how the population are currently treated and how this may change with a listing of the proposed therapy. </w:t>
            </w:r>
          </w:p>
        </w:tc>
        <w:tc>
          <w:tcPr>
            <w:tcW w:w="2301" w:type="pct"/>
            <w:vAlign w:val="center"/>
          </w:tcPr>
          <w:p w14:paraId="71BC8E9D" w14:textId="77777777" w:rsidR="00D12E7A" w:rsidRDefault="00D12E7A" w:rsidP="00EF4E29">
            <w:pPr>
              <w:pStyle w:val="TableText"/>
            </w:pPr>
            <w:r w:rsidRPr="00EF4E29">
              <w:t xml:space="preserve">We assembled an advisory board through MSCAN of NMSC patients to gather their insights intro treatments and their preferences. This included a questionnaire that was extended to additional </w:t>
            </w:r>
            <w:r w:rsidR="00594F1D" w:rsidRPr="002563A0">
              <w:rPr>
                <w:rFonts w:eastAsia="Times New Roman"/>
              </w:rPr>
              <w:t>Re-188 brachytherapy</w:t>
            </w:r>
            <w:r w:rsidRPr="00EF4E29">
              <w:t xml:space="preserve"> patients. We have also included analysis from a recent publication of preferences amongst a German </w:t>
            </w:r>
            <w:r w:rsidR="00594F1D" w:rsidRPr="002563A0">
              <w:rPr>
                <w:rFonts w:eastAsia="Times New Roman"/>
              </w:rPr>
              <w:t>Re-188 brachytherapy</w:t>
            </w:r>
            <w:r w:rsidRPr="002563A0">
              <w:rPr>
                <w:rFonts w:eastAsia="Times New Roman"/>
              </w:rPr>
              <w:t xml:space="preserve"> cohort.</w:t>
            </w:r>
            <w:r w:rsidRPr="00EF4E29">
              <w:t xml:space="preserve"> Finally, a large online survey was performed to get treatment feedback from a broad cohort of geographically diverse NMSC patients.</w:t>
            </w:r>
          </w:p>
          <w:p w14:paraId="3A84C26D" w14:textId="6F7D0CCE" w:rsidR="00E0047E" w:rsidRPr="00AA0358" w:rsidRDefault="02CA7A5F" w:rsidP="1E8B3177">
            <w:pPr>
              <w:pStyle w:val="TableText"/>
              <w:rPr>
                <w:i/>
                <w:iCs/>
              </w:rPr>
            </w:pPr>
            <w:r w:rsidRPr="1E8B3177">
              <w:rPr>
                <w:i/>
                <w:iCs/>
              </w:rPr>
              <w:t xml:space="preserve">Only the online survey </w:t>
            </w:r>
            <w:r w:rsidR="23536B97" w:rsidRPr="1E8B3177">
              <w:rPr>
                <w:i/>
                <w:iCs/>
              </w:rPr>
              <w:t xml:space="preserve">was relevant for patient preferences in Australia, </w:t>
            </w:r>
          </w:p>
        </w:tc>
      </w:tr>
      <w:tr w:rsidR="00D12E7A" w:rsidRPr="0001290C" w14:paraId="27FCDBC5" w14:textId="77777777" w:rsidTr="1E8B3177">
        <w:trPr>
          <w:cantSplit/>
        </w:trPr>
        <w:tc>
          <w:tcPr>
            <w:tcW w:w="977" w:type="pct"/>
            <w:vAlign w:val="center"/>
          </w:tcPr>
          <w:p w14:paraId="7D251F7C" w14:textId="77777777" w:rsidR="00D12E7A" w:rsidRPr="00EF4E29" w:rsidRDefault="00D12E7A" w:rsidP="00EF4E29">
            <w:pPr>
              <w:pStyle w:val="TableText"/>
            </w:pPr>
            <w:r w:rsidRPr="00EF4E29">
              <w:t>Wastage</w:t>
            </w:r>
          </w:p>
        </w:tc>
        <w:tc>
          <w:tcPr>
            <w:tcW w:w="1722" w:type="pct"/>
            <w:vAlign w:val="center"/>
          </w:tcPr>
          <w:p w14:paraId="1435DBEC" w14:textId="26C8E36C" w:rsidR="00D12E7A" w:rsidRPr="00EF4E29" w:rsidRDefault="00D12E7A" w:rsidP="00EF4E29">
            <w:pPr>
              <w:pStyle w:val="TableText"/>
            </w:pPr>
            <w:r w:rsidRPr="00EF4E29">
              <w:t>MSAC required specifics on how treatment could be delivered o</w:t>
            </w:r>
            <w:r w:rsidR="00A34979">
              <w:t>r</w:t>
            </w:r>
            <w:r w:rsidRPr="00EF4E29">
              <w:t xml:space="preserve"> batched between patients to minimise wastage. </w:t>
            </w:r>
          </w:p>
        </w:tc>
        <w:tc>
          <w:tcPr>
            <w:tcW w:w="2301" w:type="pct"/>
            <w:vAlign w:val="center"/>
          </w:tcPr>
          <w:p w14:paraId="366C9E9D" w14:textId="77777777" w:rsidR="00D12E7A" w:rsidRDefault="00D12E7A" w:rsidP="00EF4E29">
            <w:pPr>
              <w:pStyle w:val="TableText"/>
            </w:pPr>
            <w:r w:rsidRPr="00EF4E29">
              <w:t>Ways to mitigate wastage and the lack of commonwealth financial implication discussed in Section 1.8.</w:t>
            </w:r>
          </w:p>
          <w:p w14:paraId="7142BA95" w14:textId="01B13A5F" w:rsidR="001C7A19" w:rsidRPr="0025076B" w:rsidRDefault="001C7A19" w:rsidP="00EF4E29">
            <w:pPr>
              <w:pStyle w:val="TableText"/>
              <w:rPr>
                <w:i/>
                <w:iCs/>
              </w:rPr>
            </w:pPr>
            <w:r w:rsidRPr="0025076B">
              <w:rPr>
                <w:i/>
                <w:iCs/>
              </w:rPr>
              <w:t>Th</w:t>
            </w:r>
            <w:r w:rsidR="0097278D" w:rsidRPr="0025076B">
              <w:rPr>
                <w:i/>
                <w:iCs/>
              </w:rPr>
              <w:t xml:space="preserve">e ADAR provides additional information; however, the issue </w:t>
            </w:r>
            <w:r w:rsidR="000B169B" w:rsidRPr="0025076B">
              <w:rPr>
                <w:i/>
                <w:iCs/>
              </w:rPr>
              <w:t>of wastage is still a concern with considerable uncertainty</w:t>
            </w:r>
            <w:r w:rsidR="00105DF2">
              <w:rPr>
                <w:i/>
                <w:iCs/>
              </w:rPr>
              <w:t xml:space="preserve"> and risk given complexities of batching</w:t>
            </w:r>
          </w:p>
        </w:tc>
      </w:tr>
      <w:tr w:rsidR="00D12E7A" w:rsidRPr="0001290C" w14:paraId="539A8E78" w14:textId="77777777" w:rsidTr="1E8B3177">
        <w:trPr>
          <w:cantSplit/>
        </w:trPr>
        <w:tc>
          <w:tcPr>
            <w:tcW w:w="977" w:type="pct"/>
            <w:vAlign w:val="center"/>
          </w:tcPr>
          <w:p w14:paraId="2A87CEF0" w14:textId="77777777" w:rsidR="00D12E7A" w:rsidRPr="00EF4E29" w:rsidRDefault="00D12E7A" w:rsidP="00EF4E29">
            <w:pPr>
              <w:pStyle w:val="TableText"/>
            </w:pPr>
            <w:r w:rsidRPr="00EF4E29">
              <w:t>MBS Items</w:t>
            </w:r>
          </w:p>
        </w:tc>
        <w:tc>
          <w:tcPr>
            <w:tcW w:w="1722" w:type="pct"/>
            <w:vAlign w:val="center"/>
          </w:tcPr>
          <w:p w14:paraId="371A93C5" w14:textId="77777777" w:rsidR="00D12E7A" w:rsidRPr="00EF4E29" w:rsidRDefault="00D12E7A" w:rsidP="00EF4E29">
            <w:pPr>
              <w:pStyle w:val="TableText"/>
            </w:pPr>
            <w:r w:rsidRPr="00EF4E29">
              <w:t>Revised items considering varying lesion sizes and batching of treatments.</w:t>
            </w:r>
          </w:p>
        </w:tc>
        <w:tc>
          <w:tcPr>
            <w:tcW w:w="2301" w:type="pct"/>
            <w:vAlign w:val="center"/>
          </w:tcPr>
          <w:p w14:paraId="1482D67C" w14:textId="77777777" w:rsidR="00D12E7A" w:rsidRDefault="00D12E7A" w:rsidP="00EF4E29">
            <w:pPr>
              <w:pStyle w:val="TableText"/>
            </w:pPr>
            <w:r w:rsidRPr="00EF4E29">
              <w:t>New MBS items proposed on a cost per cm2 basis.</w:t>
            </w:r>
          </w:p>
          <w:p w14:paraId="11A3CA74" w14:textId="0C2B9FCA" w:rsidR="000B169B" w:rsidRPr="0025076B" w:rsidRDefault="000B169B" w:rsidP="00EF4E29">
            <w:pPr>
              <w:pStyle w:val="TableText"/>
              <w:rPr>
                <w:i/>
                <w:iCs/>
              </w:rPr>
            </w:pPr>
            <w:r w:rsidRPr="0025076B">
              <w:rPr>
                <w:i/>
                <w:iCs/>
              </w:rPr>
              <w:t>These have been provided</w:t>
            </w:r>
            <w:r>
              <w:rPr>
                <w:i/>
                <w:iCs/>
              </w:rPr>
              <w:t xml:space="preserve"> with considerable changes to the</w:t>
            </w:r>
            <w:r w:rsidR="007757C0">
              <w:rPr>
                <w:i/>
                <w:iCs/>
              </w:rPr>
              <w:t xml:space="preserve"> ratified</w:t>
            </w:r>
            <w:r>
              <w:rPr>
                <w:i/>
                <w:iCs/>
              </w:rPr>
              <w:t xml:space="preserve"> PICO </w:t>
            </w:r>
            <w:r w:rsidR="007757C0">
              <w:rPr>
                <w:i/>
                <w:iCs/>
              </w:rPr>
              <w:t>and need further consideration</w:t>
            </w:r>
            <w:r w:rsidRPr="0025076B">
              <w:rPr>
                <w:i/>
                <w:iCs/>
              </w:rPr>
              <w:t>.</w:t>
            </w:r>
          </w:p>
        </w:tc>
      </w:tr>
      <w:tr w:rsidR="00D12E7A" w:rsidRPr="0001290C" w14:paraId="7FF6DFF9" w14:textId="77777777" w:rsidTr="1E8B3177">
        <w:trPr>
          <w:cantSplit/>
        </w:trPr>
        <w:tc>
          <w:tcPr>
            <w:tcW w:w="977" w:type="pct"/>
            <w:vAlign w:val="center"/>
          </w:tcPr>
          <w:p w14:paraId="6B5872A0" w14:textId="77777777" w:rsidR="00D12E7A" w:rsidRPr="00EF4E29" w:rsidRDefault="00D12E7A" w:rsidP="00EF4E29">
            <w:pPr>
              <w:pStyle w:val="TableText"/>
            </w:pPr>
            <w:r w:rsidRPr="00EF4E29">
              <w:t>Revised economic and financial analyses.</w:t>
            </w:r>
          </w:p>
        </w:tc>
        <w:tc>
          <w:tcPr>
            <w:tcW w:w="1722" w:type="pct"/>
            <w:vAlign w:val="center"/>
          </w:tcPr>
          <w:p w14:paraId="3B324695" w14:textId="350A3F32" w:rsidR="00D12E7A" w:rsidRPr="00EF4E29" w:rsidRDefault="00D12E7A" w:rsidP="00EF4E29">
            <w:pPr>
              <w:pStyle w:val="TableText"/>
            </w:pPr>
            <w:r w:rsidRPr="00EF4E29">
              <w:t xml:space="preserve">Uncertainty regarding weighting of comparator EBRT modalities and size of the proposed population, uptake of </w:t>
            </w:r>
            <w:r w:rsidR="00594F1D" w:rsidRPr="002563A0">
              <w:rPr>
                <w:rFonts w:eastAsia="Times New Roman"/>
                <w:snapToGrid w:val="0"/>
              </w:rPr>
              <w:t>Re-188 brachytherapy</w:t>
            </w:r>
            <w:r w:rsidRPr="00EF4E29">
              <w:t>, distributions of lesion sizes, number of fractions for the comparator, and percentage split of the comparator across modalities.</w:t>
            </w:r>
          </w:p>
        </w:tc>
        <w:tc>
          <w:tcPr>
            <w:tcW w:w="2301" w:type="pct"/>
            <w:vAlign w:val="center"/>
          </w:tcPr>
          <w:p w14:paraId="6C74ACD7" w14:textId="77777777" w:rsidR="00D12E7A" w:rsidRDefault="00D12E7A" w:rsidP="00EF4E29">
            <w:pPr>
              <w:pStyle w:val="TableText"/>
            </w:pPr>
            <w:r w:rsidRPr="00EF4E29">
              <w:t>Economic analysis converted to cost-minimisation with commonly used EBRT modalities. Updated analyses provided in Sections 3 and 4, with associated worksheets.</w:t>
            </w:r>
          </w:p>
          <w:p w14:paraId="12CA8FAF" w14:textId="056E9335" w:rsidR="00257BD7" w:rsidRPr="0025076B" w:rsidRDefault="00257BD7" w:rsidP="00EF4E29">
            <w:pPr>
              <w:pStyle w:val="TableText"/>
              <w:rPr>
                <w:i/>
                <w:iCs/>
              </w:rPr>
            </w:pPr>
            <w:r w:rsidRPr="0025076B">
              <w:rPr>
                <w:i/>
                <w:iCs/>
              </w:rPr>
              <w:t>The ADAR has made considerable changes to the original assessment report</w:t>
            </w:r>
            <w:r w:rsidR="00B20041" w:rsidRPr="0025076B">
              <w:rPr>
                <w:i/>
                <w:iCs/>
              </w:rPr>
              <w:t xml:space="preserve">; however, there is still uncertainty around the </w:t>
            </w:r>
            <w:r w:rsidR="001207DE" w:rsidRPr="0025076B">
              <w:rPr>
                <w:i/>
                <w:iCs/>
              </w:rPr>
              <w:t>cost of the comparator and the size of the proposed population.</w:t>
            </w:r>
          </w:p>
        </w:tc>
      </w:tr>
      <w:tr w:rsidR="00D12E7A" w14:paraId="14CC06D6" w14:textId="77777777" w:rsidTr="1E8B3177">
        <w:trPr>
          <w:cantSplit/>
          <w:trHeight w:val="300"/>
        </w:trPr>
        <w:tc>
          <w:tcPr>
            <w:tcW w:w="977" w:type="pct"/>
            <w:vAlign w:val="center"/>
          </w:tcPr>
          <w:p w14:paraId="3CFB4486" w14:textId="77777777" w:rsidR="00D12E7A" w:rsidRPr="00EF4E29" w:rsidRDefault="00D12E7A">
            <w:pPr>
              <w:pStyle w:val="TableText"/>
            </w:pPr>
            <w:r w:rsidRPr="00EF4E29">
              <w:t>Radiation Safety for patients and healthcare professionals, including disposal.</w:t>
            </w:r>
          </w:p>
        </w:tc>
        <w:tc>
          <w:tcPr>
            <w:tcW w:w="1722" w:type="pct"/>
            <w:vAlign w:val="center"/>
          </w:tcPr>
          <w:p w14:paraId="0E80A645" w14:textId="77777777" w:rsidR="00D12E7A" w:rsidRPr="00EF4E29" w:rsidRDefault="00D12E7A">
            <w:pPr>
              <w:pStyle w:val="TableText"/>
            </w:pPr>
            <w:r w:rsidRPr="00EF4E29">
              <w:t>Uncertainty around radiation safety and exposure for patients and healthcare professionals, including disposal.</w:t>
            </w:r>
          </w:p>
        </w:tc>
        <w:tc>
          <w:tcPr>
            <w:tcW w:w="2301" w:type="pct"/>
            <w:vAlign w:val="center"/>
          </w:tcPr>
          <w:p w14:paraId="01A9BE1A" w14:textId="77777777" w:rsidR="00D12E7A" w:rsidRDefault="00D12E7A">
            <w:pPr>
              <w:pStyle w:val="TableText"/>
            </w:pPr>
            <w:r w:rsidRPr="00EF4E29">
              <w:t>Detailed technical dossier with references, as well as a cross-radiation report. Inclusions of real-world Australian clinician dosimetry reports for treatment sessions.</w:t>
            </w:r>
          </w:p>
          <w:p w14:paraId="78775385" w14:textId="4BDAAD83" w:rsidR="00770DC3" w:rsidRPr="0025076B" w:rsidRDefault="14AA04E7" w:rsidP="1E8B3177">
            <w:pPr>
              <w:pStyle w:val="TableText"/>
              <w:rPr>
                <w:i/>
                <w:iCs/>
              </w:rPr>
            </w:pPr>
            <w:r w:rsidRPr="1E8B3177">
              <w:rPr>
                <w:i/>
                <w:iCs/>
              </w:rPr>
              <w:t xml:space="preserve">The ADAR provided a comprehensive </w:t>
            </w:r>
            <w:r w:rsidR="00C5564C" w:rsidRPr="1E8B3177">
              <w:rPr>
                <w:i/>
                <w:iCs/>
              </w:rPr>
              <w:t>technical dossier that included radiation safety procedures</w:t>
            </w:r>
            <w:r w:rsidR="34D6D231" w:rsidRPr="1E8B3177">
              <w:rPr>
                <w:i/>
                <w:iCs/>
              </w:rPr>
              <w:t>.</w:t>
            </w:r>
          </w:p>
        </w:tc>
      </w:tr>
    </w:tbl>
    <w:p w14:paraId="0764A0A4" w14:textId="0718EDFC" w:rsidR="00853206" w:rsidRPr="00EF4E29" w:rsidRDefault="00C5564C" w:rsidP="00EF4E29">
      <w:pPr>
        <w:pStyle w:val="Instructionaltext"/>
        <w:jc w:val="both"/>
        <w:rPr>
          <w:color w:val="000000" w:themeColor="text1"/>
          <w:sz w:val="18"/>
          <w:szCs w:val="18"/>
        </w:rPr>
      </w:pPr>
      <w:bookmarkStart w:id="7" w:name="ColumnTitle_Table1"/>
      <w:bookmarkStart w:id="8" w:name="_Toc69491417"/>
      <w:bookmarkEnd w:id="6"/>
      <w:bookmarkEnd w:id="7"/>
      <w:r>
        <w:rPr>
          <w:color w:val="000000" w:themeColor="text1"/>
          <w:sz w:val="18"/>
          <w:szCs w:val="18"/>
        </w:rPr>
        <w:t>Source:</w:t>
      </w:r>
      <w:r w:rsidR="00276520" w:rsidRPr="00276520">
        <w:t xml:space="preserve"> </w:t>
      </w:r>
      <w:r w:rsidR="00276520" w:rsidRPr="00276520">
        <w:rPr>
          <w:color w:val="000000" w:themeColor="text1"/>
          <w:sz w:val="18"/>
          <w:szCs w:val="18"/>
        </w:rPr>
        <w:t xml:space="preserve">Table </w:t>
      </w:r>
      <w:r w:rsidR="00276520" w:rsidRPr="00276520">
        <w:rPr>
          <w:color w:val="000000" w:themeColor="text1"/>
          <w:sz w:val="18"/>
          <w:szCs w:val="18"/>
          <w:cs/>
        </w:rPr>
        <w:t>‎</w:t>
      </w:r>
      <w:r w:rsidR="00276520" w:rsidRPr="00276520">
        <w:rPr>
          <w:color w:val="000000" w:themeColor="text1"/>
          <w:sz w:val="18"/>
          <w:szCs w:val="18"/>
        </w:rPr>
        <w:t>1.1.1</w:t>
      </w:r>
      <w:r w:rsidR="00276520">
        <w:rPr>
          <w:color w:val="000000" w:themeColor="text1"/>
          <w:sz w:val="18"/>
          <w:szCs w:val="18"/>
        </w:rPr>
        <w:t xml:space="preserve"> p 12</w:t>
      </w:r>
      <w:r>
        <w:rPr>
          <w:color w:val="000000" w:themeColor="text1"/>
          <w:sz w:val="18"/>
          <w:szCs w:val="18"/>
        </w:rPr>
        <w:t xml:space="preserve"> </w:t>
      </w:r>
      <w:r w:rsidR="00276520">
        <w:rPr>
          <w:color w:val="000000" w:themeColor="text1"/>
          <w:sz w:val="18"/>
          <w:szCs w:val="18"/>
        </w:rPr>
        <w:t xml:space="preserve">of the </w:t>
      </w:r>
      <w:r w:rsidR="00C16F8E">
        <w:rPr>
          <w:color w:val="000000" w:themeColor="text1"/>
          <w:sz w:val="18"/>
          <w:szCs w:val="18"/>
        </w:rPr>
        <w:t>ADAR</w:t>
      </w:r>
      <w:r w:rsidR="00C16F8E" w:rsidRPr="00EF4E29">
        <w:rPr>
          <w:color w:val="000000" w:themeColor="text1"/>
          <w:sz w:val="18"/>
          <w:szCs w:val="18"/>
        </w:rPr>
        <w:t xml:space="preserve"> </w:t>
      </w:r>
      <w:r w:rsidR="00C16F8E">
        <w:rPr>
          <w:color w:val="000000" w:themeColor="text1"/>
          <w:sz w:val="18"/>
          <w:szCs w:val="18"/>
        </w:rPr>
        <w:t>and</w:t>
      </w:r>
      <w:r w:rsidR="00276520">
        <w:rPr>
          <w:color w:val="000000" w:themeColor="text1"/>
          <w:sz w:val="18"/>
          <w:szCs w:val="18"/>
        </w:rPr>
        <w:t xml:space="preserve"> </w:t>
      </w:r>
      <w:r w:rsidR="00276520" w:rsidRPr="0025076B">
        <w:rPr>
          <w:i/>
          <w:iCs/>
          <w:color w:val="000000" w:themeColor="text1"/>
          <w:sz w:val="18"/>
          <w:szCs w:val="18"/>
        </w:rPr>
        <w:t>compiled during evaluation</w:t>
      </w:r>
      <w:r w:rsidR="00276520">
        <w:rPr>
          <w:color w:val="000000" w:themeColor="text1"/>
          <w:sz w:val="18"/>
          <w:szCs w:val="18"/>
        </w:rPr>
        <w:t xml:space="preserve">. NMSC = Non </w:t>
      </w:r>
      <w:r w:rsidR="00C16F8E">
        <w:rPr>
          <w:color w:val="000000" w:themeColor="text1"/>
          <w:sz w:val="18"/>
          <w:szCs w:val="18"/>
        </w:rPr>
        <w:t xml:space="preserve">melanoma skin cancer; </w:t>
      </w:r>
      <w:r w:rsidR="00853206" w:rsidRPr="00EF4E29">
        <w:rPr>
          <w:color w:val="000000" w:themeColor="text1"/>
          <w:sz w:val="18"/>
          <w:szCs w:val="18"/>
        </w:rPr>
        <w:t>MSAC = Medical Services Advisory Committee; PSD = Public Summary Document; EBRT = external beam radiation therapy</w:t>
      </w:r>
      <w:r w:rsidR="00295DDC" w:rsidRPr="00EF4E29">
        <w:rPr>
          <w:color w:val="000000" w:themeColor="text1"/>
          <w:sz w:val="18"/>
          <w:szCs w:val="18"/>
        </w:rPr>
        <w:t xml:space="preserve">; QoL = quality of life; </w:t>
      </w:r>
      <w:r w:rsidR="00026758">
        <w:rPr>
          <w:color w:val="000000" w:themeColor="text1"/>
          <w:sz w:val="18"/>
          <w:szCs w:val="18"/>
        </w:rPr>
        <w:t>Re-188 brachytherapy</w:t>
      </w:r>
      <w:r w:rsidR="00295DDC" w:rsidRPr="00EF4E29">
        <w:rPr>
          <w:color w:val="000000" w:themeColor="text1"/>
          <w:sz w:val="18"/>
          <w:szCs w:val="18"/>
        </w:rPr>
        <w:t xml:space="preserve"> = Rhenium Skin Cancer Therapy</w:t>
      </w:r>
      <w:r w:rsidR="00853206" w:rsidRPr="00EF4E29">
        <w:rPr>
          <w:color w:val="000000" w:themeColor="text1"/>
          <w:sz w:val="18"/>
          <w:szCs w:val="18"/>
        </w:rPr>
        <w:t xml:space="preserve">. </w:t>
      </w:r>
    </w:p>
    <w:p w14:paraId="6F52500A" w14:textId="621B7234" w:rsidR="00772829" w:rsidRPr="00CE28E3" w:rsidRDefault="00772829" w:rsidP="00AE5472">
      <w:pPr>
        <w:pStyle w:val="Heading2"/>
        <w:numPr>
          <w:ilvl w:val="0"/>
          <w:numId w:val="18"/>
        </w:numPr>
        <w:ind w:hanging="720"/>
      </w:pPr>
      <w:r w:rsidRPr="00CE28E3">
        <w:t>Prerequisites to implementation of any funding advice</w:t>
      </w:r>
      <w:bookmarkEnd w:id="8"/>
    </w:p>
    <w:p w14:paraId="7DCC9B4D" w14:textId="65B6B87C" w:rsidR="00CC7E5B" w:rsidRPr="00CC7E5B" w:rsidRDefault="00CC7E5B" w:rsidP="00CC7E5B">
      <w:pPr>
        <w:rPr>
          <w:i/>
          <w:iCs/>
        </w:rPr>
      </w:pPr>
      <w:r>
        <w:t>T</w:t>
      </w:r>
      <w:r w:rsidRPr="00CC7E5B">
        <w:t xml:space="preserve">he proposed technology includes a therapeutic good that requires TGA approval. </w:t>
      </w:r>
      <w:r w:rsidR="00FA61C0" w:rsidRPr="00FA61C0">
        <w:t xml:space="preserve">The entire </w:t>
      </w:r>
      <w:r w:rsidR="00A3299A">
        <w:t xml:space="preserve">RSCT </w:t>
      </w:r>
      <w:r w:rsidR="00FA61C0" w:rsidRPr="00FA61C0">
        <w:t>system was registered as a class IIb medical device on the Australian Register of Therapeutic Goods (ARTG) in November 2022</w:t>
      </w:r>
      <w:r w:rsidR="00FA61C0">
        <w:t xml:space="preserve"> (</w:t>
      </w:r>
      <w:r w:rsidR="00FA61C0">
        <w:fldChar w:fldCharType="begin"/>
      </w:r>
      <w:r w:rsidR="00FA61C0">
        <w:instrText xml:space="preserve"> REF _Ref183607907 \h </w:instrText>
      </w:r>
      <w:r w:rsidR="00FA61C0">
        <w:fldChar w:fldCharType="separate"/>
      </w:r>
      <w:r w:rsidR="00AF5AE7">
        <w:t xml:space="preserve">Table </w:t>
      </w:r>
      <w:r w:rsidR="00AF5AE7">
        <w:rPr>
          <w:noProof/>
        </w:rPr>
        <w:t>2</w:t>
      </w:r>
      <w:r w:rsidR="00FA61C0">
        <w:fldChar w:fldCharType="end"/>
      </w:r>
      <w:r w:rsidR="00FA61C0">
        <w:t>)</w:t>
      </w:r>
      <w:r w:rsidR="00FA61C0" w:rsidRPr="00FA61C0">
        <w:t>. The Rhenium-188 compound had already been listed on the ARTG as a class IIb device since December 2020. Both the compound and the system are intended to treat skin cancer using the radioisotope Rhenium-188.</w:t>
      </w:r>
    </w:p>
    <w:p w14:paraId="4BE2DBB6" w14:textId="686193D8" w:rsidR="00CC7E5B" w:rsidRDefault="00CC7E5B" w:rsidP="00CC7E5B">
      <w:pPr>
        <w:pStyle w:val="Caption"/>
      </w:pPr>
      <w:bookmarkStart w:id="9" w:name="_Ref183607907"/>
      <w:r>
        <w:lastRenderedPageBreak/>
        <w:t xml:space="preserve">Table </w:t>
      </w:r>
      <w:r w:rsidR="007F4BCC">
        <w:fldChar w:fldCharType="begin"/>
      </w:r>
      <w:r w:rsidR="007F4BCC">
        <w:instrText xml:space="preserve"> SEQ Table \* ARABIC </w:instrText>
      </w:r>
      <w:r w:rsidR="007F4BCC">
        <w:fldChar w:fldCharType="separate"/>
      </w:r>
      <w:r w:rsidR="00AF5AE7">
        <w:rPr>
          <w:noProof/>
        </w:rPr>
        <w:t>2</w:t>
      </w:r>
      <w:r w:rsidR="007F4BCC">
        <w:rPr>
          <w:noProof/>
        </w:rPr>
        <w:fldChar w:fldCharType="end"/>
      </w:r>
      <w:bookmarkEnd w:id="9"/>
      <w:r>
        <w:t xml:space="preserve"> </w:t>
      </w:r>
      <w:r w:rsidRPr="00BD75DD">
        <w:t xml:space="preserve">Registration summary of </w:t>
      </w:r>
      <w:r w:rsidR="00026758">
        <w:t>Re-188 brachytherapy</w:t>
      </w:r>
    </w:p>
    <w:tbl>
      <w:tblPr>
        <w:tblStyle w:val="TableGrid"/>
        <w:tblW w:w="8905" w:type="dxa"/>
        <w:tblLook w:val="04A0" w:firstRow="1" w:lastRow="0" w:firstColumn="1" w:lastColumn="0" w:noHBand="0" w:noVBand="1"/>
      </w:tblPr>
      <w:tblGrid>
        <w:gridCol w:w="1525"/>
        <w:gridCol w:w="3420"/>
        <w:gridCol w:w="2070"/>
        <w:gridCol w:w="1890"/>
      </w:tblGrid>
      <w:tr w:rsidR="00CC7E5B" w14:paraId="39B24149" w14:textId="77777777" w:rsidTr="1E8B3177">
        <w:trPr>
          <w:trHeight w:val="300"/>
          <w:tblHeader/>
        </w:trPr>
        <w:tc>
          <w:tcPr>
            <w:tcW w:w="1525" w:type="dxa"/>
            <w:shd w:val="clear" w:color="auto" w:fill="FFFFFF" w:themeFill="background1"/>
            <w:vAlign w:val="center"/>
          </w:tcPr>
          <w:p w14:paraId="2D6ED342" w14:textId="77777777" w:rsidR="00CC7E5B" w:rsidRPr="00B74A82" w:rsidRDefault="00CC7E5B" w:rsidP="00B74A82">
            <w:pPr>
              <w:pStyle w:val="TableText"/>
              <w:rPr>
                <w:b/>
                <w:bCs/>
                <w:i/>
                <w:iCs/>
              </w:rPr>
            </w:pPr>
            <w:r w:rsidRPr="00B74A82">
              <w:rPr>
                <w:b/>
                <w:bCs/>
              </w:rPr>
              <w:t>Product name and Sponsor</w:t>
            </w:r>
          </w:p>
        </w:tc>
        <w:tc>
          <w:tcPr>
            <w:tcW w:w="3420" w:type="dxa"/>
            <w:shd w:val="clear" w:color="auto" w:fill="FFFFFF" w:themeFill="background1"/>
            <w:vAlign w:val="center"/>
          </w:tcPr>
          <w:p w14:paraId="0FAB4F3D" w14:textId="77777777" w:rsidR="00CC7E5B" w:rsidRPr="00B74A82" w:rsidRDefault="00CC7E5B" w:rsidP="00B74A82">
            <w:pPr>
              <w:pStyle w:val="TableText"/>
              <w:rPr>
                <w:b/>
                <w:bCs/>
                <w:i/>
                <w:iCs/>
              </w:rPr>
            </w:pPr>
            <w:r w:rsidRPr="00B74A82">
              <w:rPr>
                <w:b/>
                <w:bCs/>
              </w:rPr>
              <w:t>ARTG summary</w:t>
            </w:r>
          </w:p>
        </w:tc>
        <w:tc>
          <w:tcPr>
            <w:tcW w:w="2070" w:type="dxa"/>
            <w:shd w:val="clear" w:color="auto" w:fill="FFFFFF" w:themeFill="background1"/>
            <w:vAlign w:val="center"/>
          </w:tcPr>
          <w:p w14:paraId="3A0B9CD8" w14:textId="77777777" w:rsidR="00CC7E5B" w:rsidRPr="00B74A82" w:rsidRDefault="00CC7E5B" w:rsidP="00B74A82">
            <w:pPr>
              <w:pStyle w:val="TableText"/>
              <w:rPr>
                <w:b/>
                <w:bCs/>
                <w:i/>
                <w:iCs/>
              </w:rPr>
            </w:pPr>
            <w:r w:rsidRPr="00B74A82">
              <w:rPr>
                <w:b/>
                <w:bCs/>
              </w:rPr>
              <w:t>Functional description</w:t>
            </w:r>
          </w:p>
        </w:tc>
        <w:tc>
          <w:tcPr>
            <w:tcW w:w="1890" w:type="dxa"/>
            <w:shd w:val="clear" w:color="auto" w:fill="FFFFFF" w:themeFill="background1"/>
            <w:vAlign w:val="center"/>
          </w:tcPr>
          <w:p w14:paraId="6A8CE175" w14:textId="77777777" w:rsidR="00CC7E5B" w:rsidRPr="00B74A82" w:rsidRDefault="00CC7E5B" w:rsidP="00B74A82">
            <w:pPr>
              <w:pStyle w:val="TableText"/>
              <w:rPr>
                <w:b/>
                <w:bCs/>
                <w:i/>
                <w:iCs/>
              </w:rPr>
            </w:pPr>
            <w:r w:rsidRPr="00B74A82">
              <w:rPr>
                <w:b/>
                <w:bCs/>
              </w:rPr>
              <w:t>Intended purpose</w:t>
            </w:r>
          </w:p>
        </w:tc>
      </w:tr>
      <w:tr w:rsidR="00CC7E5B" w14:paraId="5F321083" w14:textId="77777777" w:rsidTr="1E8B3177">
        <w:trPr>
          <w:trHeight w:val="300"/>
          <w:tblHeader/>
        </w:trPr>
        <w:tc>
          <w:tcPr>
            <w:tcW w:w="1525" w:type="dxa"/>
          </w:tcPr>
          <w:p w14:paraId="067F6A0F" w14:textId="77777777" w:rsidR="00CC7E5B" w:rsidRPr="00EF4E29" w:rsidRDefault="00CC7E5B" w:rsidP="00B74A82">
            <w:pPr>
              <w:pStyle w:val="TableText"/>
            </w:pPr>
            <w:r w:rsidRPr="00EF4E29">
              <w:t xml:space="preserve">Rhenium-SCT® </w:t>
            </w:r>
          </w:p>
          <w:p w14:paraId="61148170" w14:textId="77777777" w:rsidR="00CC7E5B" w:rsidRPr="00EF4E29" w:rsidRDefault="00CC7E5B" w:rsidP="00B74A82">
            <w:pPr>
              <w:pStyle w:val="TableText"/>
            </w:pPr>
            <w:r w:rsidRPr="00D7599E">
              <w:t xml:space="preserve">OncoBeta Therapeutics Pty Ltd </w:t>
            </w:r>
          </w:p>
        </w:tc>
        <w:tc>
          <w:tcPr>
            <w:tcW w:w="3420" w:type="dxa"/>
          </w:tcPr>
          <w:p w14:paraId="6AB6842B" w14:textId="77777777" w:rsidR="00CC7E5B" w:rsidRPr="00EF4E29" w:rsidRDefault="00CC7E5B" w:rsidP="00B74A82">
            <w:pPr>
              <w:pStyle w:val="TableText"/>
            </w:pPr>
            <w:r w:rsidRPr="00EF4E29">
              <w:t xml:space="preserve">ARTG ID: 400142 </w:t>
            </w:r>
          </w:p>
          <w:p w14:paraId="76F967B2" w14:textId="77777777" w:rsidR="00CC7E5B" w:rsidRPr="00EF4E29" w:rsidRDefault="00CC7E5B" w:rsidP="00B74A82">
            <w:pPr>
              <w:pStyle w:val="TableText"/>
            </w:pPr>
            <w:r w:rsidRPr="00EF4E29">
              <w:t xml:space="preserve">Start date: 24 November 2022 </w:t>
            </w:r>
          </w:p>
          <w:p w14:paraId="590BFE17" w14:textId="77777777" w:rsidR="00CC7E5B" w:rsidRPr="00EF4E29" w:rsidRDefault="00CC7E5B" w:rsidP="00B74A82">
            <w:pPr>
              <w:pStyle w:val="TableText"/>
            </w:pPr>
            <w:r w:rsidRPr="00EF4E29">
              <w:t xml:space="preserve">Category: Medical Devices Class IIb </w:t>
            </w:r>
          </w:p>
          <w:p w14:paraId="3C1F9DE2" w14:textId="77777777" w:rsidR="00CC7E5B" w:rsidRPr="00EF4E29" w:rsidRDefault="00CC7E5B" w:rsidP="00B74A82">
            <w:pPr>
              <w:pStyle w:val="TableText"/>
            </w:pPr>
            <w:r w:rsidRPr="00EF4E29">
              <w:t xml:space="preserve">GMDN: 38299 Radionuclide system, therapeutic, brachytherapy, manual </w:t>
            </w:r>
          </w:p>
          <w:p w14:paraId="23F8C5AA" w14:textId="77777777" w:rsidR="00CC7E5B" w:rsidRPr="00EF4E29" w:rsidRDefault="00CC7E5B" w:rsidP="00B74A82">
            <w:pPr>
              <w:pStyle w:val="TableText"/>
            </w:pPr>
          </w:p>
          <w:p w14:paraId="19C3C714" w14:textId="77777777" w:rsidR="00CC7E5B" w:rsidRPr="00EF4E29" w:rsidRDefault="00CC7E5B" w:rsidP="00B74A82">
            <w:pPr>
              <w:pStyle w:val="TableText"/>
            </w:pPr>
            <w:r w:rsidRPr="00EF4E29">
              <w:t xml:space="preserve">ARTG ID: 351390 </w:t>
            </w:r>
          </w:p>
          <w:p w14:paraId="06B90636" w14:textId="77777777" w:rsidR="00CC7E5B" w:rsidRPr="00EF4E29" w:rsidRDefault="00CC7E5B" w:rsidP="00B74A82">
            <w:pPr>
              <w:pStyle w:val="TableText"/>
            </w:pPr>
            <w:r w:rsidRPr="00EF4E29">
              <w:t xml:space="preserve">Start date: 9 December 2020 </w:t>
            </w:r>
          </w:p>
          <w:p w14:paraId="03300516" w14:textId="72D0F2ED" w:rsidR="00CC7E5B" w:rsidRPr="00EF4E29" w:rsidRDefault="00CC7E5B" w:rsidP="00B74A82">
            <w:pPr>
              <w:pStyle w:val="TableText"/>
            </w:pPr>
            <w:r w:rsidRPr="00EF4E29">
              <w:t xml:space="preserve">Category: Medical Device Class IIb GMDN: 38299 Radionuclide system, therapeutic, brachytherapy, manual  </w:t>
            </w:r>
          </w:p>
        </w:tc>
        <w:tc>
          <w:tcPr>
            <w:tcW w:w="2070" w:type="dxa"/>
          </w:tcPr>
          <w:p w14:paraId="643FCAB2" w14:textId="77777777" w:rsidR="00CC7E5B" w:rsidRPr="00EF4E29" w:rsidRDefault="00CC7E5B" w:rsidP="00B74A82">
            <w:pPr>
              <w:pStyle w:val="TableText"/>
            </w:pPr>
            <w:r w:rsidRPr="00EF4E29">
              <w:t>High-dose brachytherapy with Rhenium-188</w:t>
            </w:r>
          </w:p>
        </w:tc>
        <w:tc>
          <w:tcPr>
            <w:tcW w:w="1890" w:type="dxa"/>
          </w:tcPr>
          <w:p w14:paraId="7E500739" w14:textId="77777777" w:rsidR="00CC7E5B" w:rsidRPr="00EF4E29" w:rsidRDefault="00CC7E5B" w:rsidP="00B74A82">
            <w:pPr>
              <w:pStyle w:val="TableText"/>
            </w:pPr>
            <w:r w:rsidRPr="006E3DD0">
              <w:t>Treating certain keratinocyte skin cancers using the radioisotope Rhenium-188</w:t>
            </w:r>
          </w:p>
        </w:tc>
      </w:tr>
    </w:tbl>
    <w:p w14:paraId="1EB066B5" w14:textId="5C070CB9" w:rsidR="00CC7E5B" w:rsidRPr="006E3DD0" w:rsidRDefault="00CC7E5B" w:rsidP="00CC7E5B">
      <w:pPr>
        <w:pStyle w:val="Instructionaltext"/>
        <w:jc w:val="both"/>
        <w:rPr>
          <w:i/>
          <w:iCs/>
          <w:color w:val="000000" w:themeColor="text1"/>
          <w:sz w:val="18"/>
          <w:szCs w:val="18"/>
        </w:rPr>
      </w:pPr>
      <w:r w:rsidRPr="006E3DD0">
        <w:rPr>
          <w:color w:val="000000" w:themeColor="text1"/>
          <w:sz w:val="18"/>
          <w:szCs w:val="18"/>
        </w:rPr>
        <w:t xml:space="preserve">Source: ARTG website: www.tga.gov.au/resources/artg. Abbreviations: ARTG ID= Australian Register of Therapeutic Goods identification; GMDN= Global Medical Device Nomenclature; </w:t>
      </w:r>
      <w:r w:rsidR="00026758">
        <w:rPr>
          <w:color w:val="000000" w:themeColor="text1"/>
          <w:sz w:val="18"/>
          <w:szCs w:val="18"/>
        </w:rPr>
        <w:t>Re-188 brachytherapy</w:t>
      </w:r>
      <w:r w:rsidR="00F65AFA">
        <w:rPr>
          <w:color w:val="000000" w:themeColor="text1"/>
          <w:sz w:val="18"/>
          <w:szCs w:val="18"/>
        </w:rPr>
        <w:t xml:space="preserve">= </w:t>
      </w:r>
      <w:r w:rsidR="00F65AFA" w:rsidRPr="00F65AFA">
        <w:rPr>
          <w:color w:val="000000" w:themeColor="text1"/>
          <w:sz w:val="18"/>
          <w:szCs w:val="18"/>
        </w:rPr>
        <w:t>Rhenium skin cancer therapy</w:t>
      </w:r>
      <w:r w:rsidR="00F65AFA">
        <w:rPr>
          <w:color w:val="000000" w:themeColor="text1"/>
          <w:sz w:val="18"/>
          <w:szCs w:val="18"/>
        </w:rPr>
        <w:t xml:space="preserve">; </w:t>
      </w:r>
      <w:r w:rsidRPr="006E3DD0">
        <w:rPr>
          <w:color w:val="000000" w:themeColor="text1"/>
          <w:sz w:val="18"/>
          <w:szCs w:val="18"/>
        </w:rPr>
        <w:t xml:space="preserve">TGA= Therapeutic Goods Administration. </w:t>
      </w:r>
    </w:p>
    <w:p w14:paraId="44C3B242" w14:textId="52D5FE74" w:rsidR="00772829" w:rsidRPr="00CE28E3" w:rsidRDefault="00772829" w:rsidP="00AE5472">
      <w:pPr>
        <w:pStyle w:val="Heading2"/>
        <w:numPr>
          <w:ilvl w:val="0"/>
          <w:numId w:val="18"/>
        </w:numPr>
        <w:ind w:hanging="720"/>
      </w:pPr>
      <w:bookmarkStart w:id="10" w:name="_Toc69491418"/>
      <w:r w:rsidRPr="00CE28E3">
        <w:t>Proposal for public funding</w:t>
      </w:r>
      <w:bookmarkEnd w:id="10"/>
    </w:p>
    <w:p w14:paraId="4AB22FD7" w14:textId="057AF76B" w:rsidR="00823341" w:rsidRPr="00823341" w:rsidRDefault="00823341" w:rsidP="00823341">
      <w:pPr>
        <w:pStyle w:val="Instructionaltext"/>
        <w:rPr>
          <w:color w:val="auto"/>
        </w:rPr>
      </w:pPr>
      <w:r w:rsidRPr="00823341">
        <w:rPr>
          <w:color w:val="auto"/>
        </w:rPr>
        <w:t xml:space="preserve">Public funding is sought via the MBS, and the proposal intends to create new MBS items. </w:t>
      </w:r>
    </w:p>
    <w:p w14:paraId="11691544" w14:textId="3DD0C822" w:rsidR="00B20D46" w:rsidRDefault="0005000C" w:rsidP="00823341">
      <w:r>
        <w:t xml:space="preserve">The </w:t>
      </w:r>
      <w:r w:rsidR="001B638E">
        <w:t>ADAR</w:t>
      </w:r>
      <w:r>
        <w:t xml:space="preserve"> </w:t>
      </w:r>
      <w:r w:rsidR="00F97D11">
        <w:t xml:space="preserve">proposed three new items, that differed from the original PICO. These items have not previously </w:t>
      </w:r>
      <w:r w:rsidR="00DA51AF">
        <w:t xml:space="preserve">been </w:t>
      </w:r>
      <w:r w:rsidR="00F97D11">
        <w:t xml:space="preserve">seen </w:t>
      </w:r>
      <w:r w:rsidR="00EA51C4">
        <w:t xml:space="preserve">by PASC or MSAC. The applicant states that this is to </w:t>
      </w:r>
      <w:r w:rsidR="00B20D46">
        <w:t xml:space="preserve">address the MSAC’s </w:t>
      </w:r>
      <w:r w:rsidR="00D4461E">
        <w:t xml:space="preserve">previous </w:t>
      </w:r>
      <w:r w:rsidR="00B20D46">
        <w:t>concerns:</w:t>
      </w:r>
    </w:p>
    <w:p w14:paraId="07618A47" w14:textId="46DFB346" w:rsidR="00B20D46" w:rsidRDefault="00B20D46" w:rsidP="00702E73">
      <w:pPr>
        <w:pStyle w:val="ListParagraph"/>
        <w:numPr>
          <w:ilvl w:val="0"/>
          <w:numId w:val="10"/>
        </w:numPr>
      </w:pPr>
      <w:r>
        <w:t>Single fee structure not allowing for economies of scale</w:t>
      </w:r>
    </w:p>
    <w:p w14:paraId="44027E97" w14:textId="450C7A4E" w:rsidR="00B20D46" w:rsidRDefault="00B20D46" w:rsidP="00702E73">
      <w:pPr>
        <w:pStyle w:val="ListParagraph"/>
        <w:numPr>
          <w:ilvl w:val="1"/>
          <w:numId w:val="10"/>
        </w:numPr>
      </w:pPr>
      <w:r>
        <w:t>The original submission proposed itemising lesions into size ranges, with all attendant services from specialist, nursing, and technician staff included. The MSAC was concerned that single patients with multiple lesions would attract multiple services despite being treated in a single session. ESC proposed a cost per cm2 may address this concern.</w:t>
      </w:r>
    </w:p>
    <w:p w14:paraId="2EBF348F" w14:textId="0A6E7AFD" w:rsidR="00B20D46" w:rsidRDefault="00B20D46" w:rsidP="00702E73">
      <w:pPr>
        <w:pStyle w:val="ListParagraph"/>
        <w:numPr>
          <w:ilvl w:val="0"/>
          <w:numId w:val="10"/>
        </w:numPr>
      </w:pPr>
      <w:r>
        <w:t>Item descriptors should align with ongoing EPIC-Skin study</w:t>
      </w:r>
    </w:p>
    <w:p w14:paraId="3B0B13C5" w14:textId="475A321A" w:rsidR="00310C3F" w:rsidRDefault="00B20D46" w:rsidP="00702E73">
      <w:pPr>
        <w:pStyle w:val="ListParagraph"/>
        <w:numPr>
          <w:ilvl w:val="0"/>
          <w:numId w:val="10"/>
        </w:numPr>
      </w:pPr>
      <w:r>
        <w:t>MBS item should not permit re-treatment of the same lesion</w:t>
      </w:r>
    </w:p>
    <w:p w14:paraId="49BD8DA9" w14:textId="33573676" w:rsidR="00327692" w:rsidRDefault="004A026E" w:rsidP="00327692">
      <w:pPr>
        <w:pStyle w:val="Instructionaltext"/>
        <w:rPr>
          <w:color w:val="auto"/>
        </w:rPr>
      </w:pPr>
      <w:r w:rsidRPr="00327692">
        <w:rPr>
          <w:color w:val="auto"/>
        </w:rPr>
        <w:t xml:space="preserve">The following tables </w:t>
      </w:r>
      <w:r w:rsidR="00B26622" w:rsidRPr="00327692">
        <w:rPr>
          <w:color w:val="auto"/>
        </w:rPr>
        <w:t xml:space="preserve">provide </w:t>
      </w:r>
      <w:r w:rsidRPr="00327692">
        <w:rPr>
          <w:color w:val="auto"/>
        </w:rPr>
        <w:t>the</w:t>
      </w:r>
      <w:r w:rsidR="00B26622" w:rsidRPr="00327692">
        <w:rPr>
          <w:color w:val="auto"/>
        </w:rPr>
        <w:t xml:space="preserve"> group, descriptor, fee, benefits and explanatory notes</w:t>
      </w:r>
      <w:r w:rsidR="00BD4935" w:rsidRPr="00327692">
        <w:rPr>
          <w:color w:val="auto"/>
        </w:rPr>
        <w:t xml:space="preserve"> for the MBS items proposed by the applicant</w:t>
      </w:r>
      <w:r w:rsidR="00B26622" w:rsidRPr="00327692">
        <w:rPr>
          <w:color w:val="auto"/>
        </w:rPr>
        <w:t>.</w:t>
      </w:r>
      <w:r w:rsidR="00BD4935" w:rsidRPr="00327692">
        <w:rPr>
          <w:color w:val="auto"/>
        </w:rPr>
        <w:t xml:space="preserve"> </w:t>
      </w:r>
    </w:p>
    <w:p w14:paraId="3F9BB176" w14:textId="157FEE00" w:rsidR="00144D5D" w:rsidRPr="00327692" w:rsidRDefault="00144D5D" w:rsidP="00327692">
      <w:pPr>
        <w:pStyle w:val="Instructionaltext"/>
        <w:rPr>
          <w:color w:val="auto"/>
        </w:rPr>
      </w:pPr>
      <w:r>
        <w:rPr>
          <w:color w:val="auto"/>
        </w:rPr>
        <w:t xml:space="preserve">During </w:t>
      </w:r>
      <w:r w:rsidR="00393C6C" w:rsidRPr="00393C6C">
        <w:rPr>
          <w:color w:val="auto"/>
        </w:rPr>
        <w:t>development of the commentary</w:t>
      </w:r>
      <w:r w:rsidR="00393C6C">
        <w:rPr>
          <w:color w:val="auto"/>
        </w:rPr>
        <w:t xml:space="preserve"> </w:t>
      </w:r>
      <w:r>
        <w:rPr>
          <w:color w:val="auto"/>
        </w:rPr>
        <w:t xml:space="preserve">some changes </w:t>
      </w:r>
      <w:r w:rsidR="00197084">
        <w:rPr>
          <w:color w:val="auto"/>
        </w:rPr>
        <w:t xml:space="preserve">were proposed to </w:t>
      </w:r>
      <w:r w:rsidR="00864ACB">
        <w:rPr>
          <w:color w:val="auto"/>
        </w:rPr>
        <w:t xml:space="preserve">assist in making the item description </w:t>
      </w:r>
      <w:r w:rsidR="00213887">
        <w:rPr>
          <w:color w:val="auto"/>
        </w:rPr>
        <w:t>more aligned with the PICO and MSAC feedback</w:t>
      </w:r>
      <w:r w:rsidR="00ED4C4A">
        <w:rPr>
          <w:color w:val="auto"/>
        </w:rPr>
        <w:t>; however, further work may be required to ensure they meet the needs of the MBS.</w:t>
      </w:r>
      <w:r w:rsidR="006C6C69">
        <w:rPr>
          <w:color w:val="auto"/>
        </w:rPr>
        <w:t xml:space="preserve"> In</w:t>
      </w:r>
      <w:r w:rsidR="00973A6C">
        <w:rPr>
          <w:color w:val="auto"/>
        </w:rPr>
        <w:t xml:space="preserve"> all</w:t>
      </w:r>
      <w:r w:rsidR="006C6C69">
        <w:rPr>
          <w:color w:val="auto"/>
        </w:rPr>
        <w:t xml:space="preserve"> Item</w:t>
      </w:r>
      <w:r w:rsidR="00973A6C">
        <w:rPr>
          <w:color w:val="auto"/>
        </w:rPr>
        <w:t>s</w:t>
      </w:r>
      <w:r w:rsidR="00FE3694">
        <w:rPr>
          <w:color w:val="auto"/>
        </w:rPr>
        <w:t xml:space="preserve"> </w:t>
      </w:r>
      <w:r w:rsidR="0036442C">
        <w:rPr>
          <w:color w:val="auto"/>
        </w:rPr>
        <w:t>“</w:t>
      </w:r>
      <w:r w:rsidR="00026758">
        <w:rPr>
          <w:color w:val="auto"/>
        </w:rPr>
        <w:t>Re-188 brachytherapy</w:t>
      </w:r>
      <w:r w:rsidR="00FE3694">
        <w:rPr>
          <w:color w:val="auto"/>
        </w:rPr>
        <w:t xml:space="preserve"> radioisotope therapy</w:t>
      </w:r>
      <w:r w:rsidR="0036442C">
        <w:rPr>
          <w:color w:val="auto"/>
        </w:rPr>
        <w:t>”</w:t>
      </w:r>
      <w:r w:rsidR="00FE3694">
        <w:rPr>
          <w:color w:val="auto"/>
        </w:rPr>
        <w:t xml:space="preserve"> was changed to the previous accepted term </w:t>
      </w:r>
      <w:r w:rsidR="0036442C">
        <w:rPr>
          <w:color w:val="auto"/>
        </w:rPr>
        <w:t>“</w:t>
      </w:r>
      <w:r w:rsidR="00FE3694">
        <w:rPr>
          <w:color w:val="auto"/>
        </w:rPr>
        <w:t>Epidermal radio</w:t>
      </w:r>
      <w:r w:rsidR="0036442C">
        <w:rPr>
          <w:color w:val="auto"/>
        </w:rPr>
        <w:t>isotope therapy”.</w:t>
      </w:r>
    </w:p>
    <w:p w14:paraId="25C5ABA8" w14:textId="2B0DF894" w:rsidR="00327692" w:rsidRDefault="00327692" w:rsidP="00D929CC">
      <w:pPr>
        <w:pStyle w:val="Caption"/>
        <w:keepLines/>
      </w:pPr>
      <w:bookmarkStart w:id="11" w:name="_Ref187228063"/>
      <w:r>
        <w:lastRenderedPageBreak/>
        <w:t xml:space="preserve">Table </w:t>
      </w:r>
      <w:r w:rsidR="007F4BCC">
        <w:fldChar w:fldCharType="begin"/>
      </w:r>
      <w:r w:rsidR="007F4BCC">
        <w:instrText xml:space="preserve"> SEQ Table \* ARABIC </w:instrText>
      </w:r>
      <w:r w:rsidR="007F4BCC">
        <w:fldChar w:fldCharType="separate"/>
      </w:r>
      <w:r w:rsidR="00AF5AE7">
        <w:rPr>
          <w:noProof/>
        </w:rPr>
        <w:t>3</w:t>
      </w:r>
      <w:r w:rsidR="007F4BCC">
        <w:rPr>
          <w:noProof/>
        </w:rPr>
        <w:fldChar w:fldCharType="end"/>
      </w:r>
      <w:bookmarkEnd w:id="11"/>
      <w:r>
        <w:t xml:space="preserve"> </w:t>
      </w:r>
      <w:r w:rsidRPr="003C1896">
        <w:t xml:space="preserve">Proposed item descriptor for </w:t>
      </w:r>
      <w:r w:rsidR="00026758">
        <w:t>Re-188 brachytherapy</w:t>
      </w:r>
      <w:r w:rsidRPr="003C1896">
        <w:t xml:space="preserve"> radioisotope therapy planning</w:t>
      </w:r>
    </w:p>
    <w:tbl>
      <w:tblPr>
        <w:tblStyle w:val="TableGrid"/>
        <w:tblW w:w="0" w:type="auto"/>
        <w:tblLook w:val="04A0" w:firstRow="1" w:lastRow="0" w:firstColumn="1" w:lastColumn="0" w:noHBand="0" w:noVBand="1"/>
      </w:tblPr>
      <w:tblGrid>
        <w:gridCol w:w="9016"/>
      </w:tblGrid>
      <w:tr w:rsidR="00327692" w14:paraId="2B7B6AB9" w14:textId="77777777" w:rsidTr="00203200">
        <w:trPr>
          <w:trHeight w:val="386"/>
        </w:trPr>
        <w:tc>
          <w:tcPr>
            <w:tcW w:w="9016" w:type="dxa"/>
            <w:vAlign w:val="center"/>
          </w:tcPr>
          <w:p w14:paraId="265BD15C" w14:textId="77777777" w:rsidR="00327692" w:rsidRPr="00D95B4B" w:rsidRDefault="00327692" w:rsidP="00D929CC">
            <w:pPr>
              <w:keepNext/>
              <w:keepLines/>
              <w:spacing w:before="0"/>
              <w:rPr>
                <w:rFonts w:ascii="Arial Narrow" w:hAnsi="Arial Narrow"/>
                <w:b/>
              </w:rPr>
            </w:pPr>
            <w:r w:rsidRPr="00D95B4B">
              <w:rPr>
                <w:rFonts w:ascii="Arial Narrow" w:hAnsi="Arial Narrow"/>
                <w:b/>
                <w:sz w:val="20"/>
                <w:szCs w:val="20"/>
              </w:rPr>
              <w:t>Category 3 – Therapeutic Procedures – Group T2 - Radiation Oncology; Subgroup 4 - Brachytherapy</w:t>
            </w:r>
          </w:p>
        </w:tc>
      </w:tr>
      <w:tr w:rsidR="00327692" w14:paraId="548A0D42" w14:textId="77777777">
        <w:trPr>
          <w:trHeight w:val="440"/>
        </w:trPr>
        <w:tc>
          <w:tcPr>
            <w:tcW w:w="9016" w:type="dxa"/>
            <w:shd w:val="clear" w:color="auto" w:fill="F2F2F2" w:themeFill="background1" w:themeFillShade="F2"/>
            <w:vAlign w:val="center"/>
          </w:tcPr>
          <w:p w14:paraId="38BA0CCE" w14:textId="57B49A5C" w:rsidR="00327692" w:rsidRPr="00E1500F" w:rsidRDefault="00327692" w:rsidP="00D929CC">
            <w:pPr>
              <w:pStyle w:val="Default"/>
              <w:keepNext/>
              <w:keepLines/>
              <w:rPr>
                <w:szCs w:val="20"/>
              </w:rPr>
            </w:pPr>
            <w:r w:rsidRPr="00E1500F">
              <w:rPr>
                <w:b/>
                <w:bCs/>
                <w:sz w:val="20"/>
                <w:szCs w:val="20"/>
              </w:rPr>
              <w:t xml:space="preserve">MBS item </w:t>
            </w:r>
            <w:r w:rsidR="008A100F" w:rsidRPr="00E1500F">
              <w:rPr>
                <w:b/>
                <w:bCs/>
                <w:sz w:val="20"/>
                <w:szCs w:val="20"/>
              </w:rPr>
              <w:t>XXXX1</w:t>
            </w:r>
          </w:p>
        </w:tc>
      </w:tr>
      <w:tr w:rsidR="00327692" w14:paraId="3A48A518" w14:textId="77777777">
        <w:trPr>
          <w:trHeight w:val="1466"/>
        </w:trPr>
        <w:tc>
          <w:tcPr>
            <w:tcW w:w="9016" w:type="dxa"/>
            <w:vAlign w:val="center"/>
          </w:tcPr>
          <w:p w14:paraId="4F2B6F52" w14:textId="43574D2D" w:rsidR="00327692" w:rsidRPr="00D95B4B" w:rsidRDefault="00A51539" w:rsidP="00D929CC">
            <w:pPr>
              <w:keepNext/>
              <w:keepLines/>
              <w:spacing w:before="0" w:line="259" w:lineRule="auto"/>
              <w:rPr>
                <w:rFonts w:ascii="Arial Narrow" w:hAnsi="Arial Narrow"/>
                <w:sz w:val="20"/>
                <w:szCs w:val="20"/>
              </w:rPr>
            </w:pPr>
            <w:r w:rsidRPr="00AB27A9">
              <w:rPr>
                <w:rFonts w:ascii="Arial Narrow" w:hAnsi="Arial Narrow"/>
                <w:color w:val="2E74B5" w:themeColor="accent1" w:themeShade="BF"/>
                <w:sz w:val="20"/>
                <w:szCs w:val="20"/>
              </w:rPr>
              <w:t xml:space="preserve">Epidermal radioisotope therapy, </w:t>
            </w:r>
            <w:r w:rsidR="00327692" w:rsidRPr="00AB27A9">
              <w:rPr>
                <w:rFonts w:ascii="Arial Narrow" w:hAnsi="Arial Narrow"/>
                <w:strike/>
                <w:color w:val="2E74B5" w:themeColor="accent1" w:themeShade="BF"/>
                <w:sz w:val="20"/>
                <w:szCs w:val="20"/>
              </w:rPr>
              <w:t>RSCT radioisotope therapy</w:t>
            </w:r>
            <w:r w:rsidR="00327692" w:rsidRPr="00AB27A9">
              <w:rPr>
                <w:rFonts w:ascii="Arial Narrow" w:hAnsi="Arial Narrow"/>
                <w:color w:val="2E74B5" w:themeColor="accent1" w:themeShade="BF"/>
                <w:sz w:val="20"/>
                <w:szCs w:val="20"/>
              </w:rPr>
              <w:t xml:space="preserve"> </w:t>
            </w:r>
            <w:r w:rsidR="00327692" w:rsidRPr="00D95B4B">
              <w:rPr>
                <w:rFonts w:ascii="Arial Narrow" w:hAnsi="Arial Narrow"/>
                <w:sz w:val="20"/>
                <w:szCs w:val="20"/>
              </w:rPr>
              <w:t>planning</w:t>
            </w:r>
          </w:p>
          <w:p w14:paraId="505A8E88" w14:textId="77777777" w:rsidR="00327692" w:rsidRPr="00E1500F" w:rsidRDefault="00327692" w:rsidP="00D929CC">
            <w:pPr>
              <w:keepNext/>
              <w:keepLines/>
              <w:spacing w:before="0"/>
              <w:rPr>
                <w:rFonts w:ascii="Arial Narrow" w:hAnsi="Arial Narrow" w:cstheme="minorHAnsi"/>
                <w:sz w:val="20"/>
                <w:szCs w:val="20"/>
              </w:rPr>
            </w:pPr>
          </w:p>
          <w:p w14:paraId="3D1AC6E8" w14:textId="3E72560D" w:rsidR="00327692" w:rsidRDefault="00CF7E49" w:rsidP="00D929CC">
            <w:pPr>
              <w:keepNext/>
              <w:keepLines/>
              <w:spacing w:before="0"/>
              <w:rPr>
                <w:rFonts w:ascii="Arial Narrow" w:hAnsi="Arial Narrow"/>
                <w:sz w:val="20"/>
                <w:szCs w:val="20"/>
              </w:rPr>
            </w:pPr>
            <w:r w:rsidRPr="00AB27A9">
              <w:rPr>
                <w:rFonts w:ascii="Arial Narrow" w:hAnsi="Arial Narrow"/>
                <w:color w:val="2E74B5" w:themeColor="accent1" w:themeShade="BF"/>
                <w:sz w:val="20"/>
                <w:szCs w:val="20"/>
              </w:rPr>
              <w:t xml:space="preserve">Epidermal radioisotope therapy, using rhenium-188 </w:t>
            </w:r>
            <w:r w:rsidR="00327692" w:rsidRPr="00AB27A9">
              <w:rPr>
                <w:rFonts w:ascii="Arial Narrow" w:hAnsi="Arial Narrow"/>
                <w:strike/>
                <w:color w:val="2E74B5" w:themeColor="accent1" w:themeShade="BF"/>
                <w:sz w:val="20"/>
                <w:szCs w:val="20"/>
              </w:rPr>
              <w:t>Rhenium-SCT®</w:t>
            </w:r>
            <w:r w:rsidR="00327692" w:rsidRPr="00AB27A9">
              <w:rPr>
                <w:rFonts w:ascii="Arial Narrow" w:hAnsi="Arial Narrow"/>
                <w:color w:val="2E74B5" w:themeColor="accent1" w:themeShade="BF"/>
                <w:sz w:val="20"/>
                <w:szCs w:val="20"/>
              </w:rPr>
              <w:t xml:space="preserve"> </w:t>
            </w:r>
            <w:r w:rsidR="00327692" w:rsidRPr="00D95B4B">
              <w:rPr>
                <w:rFonts w:ascii="Arial Narrow" w:hAnsi="Arial Narrow"/>
                <w:sz w:val="20"/>
                <w:szCs w:val="20"/>
              </w:rPr>
              <w:t>dosimetry for treatment planning if all the following apply:</w:t>
            </w:r>
          </w:p>
          <w:p w14:paraId="474D8168" w14:textId="77777777" w:rsidR="00327692" w:rsidRDefault="00327692" w:rsidP="00D929CC">
            <w:pPr>
              <w:keepNext/>
              <w:keepLines/>
              <w:spacing w:before="0"/>
              <w:ind w:left="720"/>
            </w:pPr>
            <w:r w:rsidRPr="00D95B4B">
              <w:rPr>
                <w:rFonts w:ascii="Arial Narrow" w:hAnsi="Arial Narrow"/>
                <w:sz w:val="20"/>
                <w:szCs w:val="20"/>
              </w:rPr>
              <w:t>(i) localisation is based on clinical mark-up, and image-based simulation is not required;</w:t>
            </w:r>
          </w:p>
          <w:p w14:paraId="036A456E" w14:textId="14B09886" w:rsidR="00327692" w:rsidRDefault="00327692" w:rsidP="00D929CC">
            <w:pPr>
              <w:keepNext/>
              <w:keepLines/>
              <w:spacing w:before="0"/>
              <w:ind w:left="720"/>
            </w:pPr>
            <w:r w:rsidRPr="00D95B4B">
              <w:rPr>
                <w:rFonts w:ascii="Arial Narrow" w:hAnsi="Arial Narrow"/>
                <w:sz w:val="20"/>
                <w:szCs w:val="20"/>
              </w:rPr>
              <w:t xml:space="preserve">(ii) delineation of structures is not possible or </w:t>
            </w:r>
            <w:r w:rsidR="294410D4" w:rsidRPr="00AB27A9">
              <w:rPr>
                <w:rFonts w:ascii="Arial Narrow" w:hAnsi="Arial Narrow"/>
                <w:color w:val="2E74B5" w:themeColor="accent1" w:themeShade="BF"/>
                <w:sz w:val="20"/>
                <w:szCs w:val="20"/>
              </w:rPr>
              <w:t>required</w:t>
            </w:r>
            <w:r w:rsidR="00BD3A37" w:rsidRPr="00AB27A9">
              <w:rPr>
                <w:rFonts w:ascii="Arial Narrow" w:hAnsi="Arial Narrow"/>
                <w:color w:val="2E74B5" w:themeColor="accent1" w:themeShade="BF"/>
                <w:sz w:val="20"/>
                <w:szCs w:val="20"/>
              </w:rPr>
              <w:t xml:space="preserve"> </w:t>
            </w:r>
            <w:r w:rsidRPr="00AB27A9">
              <w:rPr>
                <w:rFonts w:ascii="Arial Narrow" w:hAnsi="Arial Narrow"/>
                <w:strike/>
                <w:color w:val="2E74B5" w:themeColor="accent1" w:themeShade="BF"/>
                <w:sz w:val="20"/>
                <w:szCs w:val="20"/>
              </w:rPr>
              <w:t>necessary</w:t>
            </w:r>
            <w:r w:rsidRPr="00D95B4B">
              <w:rPr>
                <w:rFonts w:ascii="Arial Narrow" w:hAnsi="Arial Narrow"/>
                <w:sz w:val="20"/>
                <w:szCs w:val="20"/>
              </w:rPr>
              <w:t>, with tumour borders defined using a clinician-specified margin to establish the treatment volume;</w:t>
            </w:r>
          </w:p>
          <w:p w14:paraId="1EF64DDA" w14:textId="77777777" w:rsidR="00327692" w:rsidRDefault="00327692" w:rsidP="00D929CC">
            <w:pPr>
              <w:keepNext/>
              <w:keepLines/>
              <w:spacing w:before="0"/>
              <w:ind w:left="720"/>
            </w:pPr>
            <w:r w:rsidRPr="00D95B4B">
              <w:rPr>
                <w:rFonts w:ascii="Arial Narrow" w:hAnsi="Arial Narrow"/>
                <w:sz w:val="20"/>
                <w:szCs w:val="20"/>
              </w:rPr>
              <w:t>(iii) surface area measurements are obtained and utilised for planning purposes to determine lesion-specific treatment times;</w:t>
            </w:r>
          </w:p>
          <w:p w14:paraId="6A156335" w14:textId="4B91CA5D" w:rsidR="00327692" w:rsidRDefault="00327692" w:rsidP="00D929CC">
            <w:pPr>
              <w:keepNext/>
              <w:keepLines/>
              <w:spacing w:before="0"/>
              <w:ind w:left="720"/>
            </w:pPr>
            <w:r w:rsidRPr="00D95B4B">
              <w:rPr>
                <w:rFonts w:ascii="Arial Narrow" w:hAnsi="Arial Narrow"/>
                <w:sz w:val="20"/>
                <w:szCs w:val="20"/>
              </w:rPr>
              <w:t xml:space="preserve">(iv) the planning process is required to deliver a prescribed dose to a </w:t>
            </w:r>
            <w:r w:rsidR="381BA19A" w:rsidRPr="00AB27A9">
              <w:rPr>
                <w:rFonts w:ascii="Arial Narrow" w:hAnsi="Arial Narrow"/>
                <w:color w:val="2E74B5" w:themeColor="accent1" w:themeShade="BF"/>
                <w:sz w:val="20"/>
                <w:szCs w:val="20"/>
              </w:rPr>
              <w:t>point and</w:t>
            </w:r>
            <w:r w:rsidRPr="00AB27A9">
              <w:rPr>
                <w:rFonts w:ascii="Arial Narrow" w:hAnsi="Arial Narrow"/>
                <w:color w:val="2E74B5" w:themeColor="accent1" w:themeShade="BF"/>
                <w:sz w:val="20"/>
                <w:szCs w:val="20"/>
              </w:rPr>
              <w:t xml:space="preserve"> </w:t>
            </w:r>
            <w:r w:rsidRPr="00D95B4B">
              <w:rPr>
                <w:rFonts w:ascii="Arial Narrow" w:hAnsi="Arial Narrow"/>
                <w:sz w:val="20"/>
                <w:szCs w:val="20"/>
              </w:rPr>
              <w:t>specified depth</w:t>
            </w:r>
            <w:r w:rsidR="66DABE8B" w:rsidRPr="04419C94">
              <w:rPr>
                <w:rFonts w:ascii="Arial Narrow" w:hAnsi="Arial Narrow"/>
                <w:sz w:val="20"/>
                <w:szCs w:val="20"/>
              </w:rPr>
              <w:t xml:space="preserve"> </w:t>
            </w:r>
            <w:r w:rsidR="66DABE8B" w:rsidRPr="00AB27A9">
              <w:rPr>
                <w:rFonts w:ascii="Arial Narrow" w:hAnsi="Arial Narrow"/>
                <w:color w:val="2E74B5" w:themeColor="accent1" w:themeShade="BF"/>
                <w:sz w:val="20"/>
                <w:szCs w:val="20"/>
              </w:rPr>
              <w:t>on the surface of the patient</w:t>
            </w:r>
            <w:r w:rsidRPr="00D95B4B">
              <w:rPr>
                <w:rFonts w:ascii="Arial Narrow" w:hAnsi="Arial Narrow"/>
                <w:sz w:val="20"/>
                <w:szCs w:val="20"/>
              </w:rPr>
              <w:t>;</w:t>
            </w:r>
          </w:p>
          <w:p w14:paraId="518BDF3D" w14:textId="6177BB28" w:rsidR="00327692" w:rsidRDefault="00327692" w:rsidP="00D929CC">
            <w:pPr>
              <w:keepNext/>
              <w:keepLines/>
              <w:spacing w:before="0"/>
              <w:ind w:left="720"/>
            </w:pPr>
            <w:r w:rsidRPr="00D95B4B">
              <w:rPr>
                <w:rFonts w:ascii="Arial Narrow" w:hAnsi="Arial Narrow"/>
                <w:sz w:val="20"/>
                <w:szCs w:val="20"/>
              </w:rPr>
              <w:t xml:space="preserve">(v) doses are calculated in reference to a </w:t>
            </w:r>
            <w:r w:rsidR="133E5915" w:rsidRPr="00AB27A9">
              <w:rPr>
                <w:rFonts w:ascii="Arial Narrow" w:hAnsi="Arial Narrow"/>
                <w:color w:val="2E74B5" w:themeColor="accent1" w:themeShade="BF"/>
                <w:sz w:val="20"/>
                <w:szCs w:val="20"/>
              </w:rPr>
              <w:t xml:space="preserve">point, either at a </w:t>
            </w:r>
            <w:r w:rsidRPr="00D95B4B">
              <w:rPr>
                <w:rFonts w:ascii="Arial Narrow" w:hAnsi="Arial Narrow"/>
                <w:sz w:val="20"/>
                <w:szCs w:val="20"/>
              </w:rPr>
              <w:t>depth</w:t>
            </w:r>
            <w:r w:rsidRPr="00AB27A9">
              <w:rPr>
                <w:rFonts w:ascii="Arial Narrow" w:hAnsi="Arial Narrow"/>
                <w:color w:val="2E74B5" w:themeColor="accent1" w:themeShade="BF"/>
                <w:sz w:val="20"/>
                <w:szCs w:val="20"/>
              </w:rPr>
              <w:t xml:space="preserve">, </w:t>
            </w:r>
            <w:r w:rsidR="0D00AD5C" w:rsidRPr="00AB27A9">
              <w:rPr>
                <w:rFonts w:ascii="Arial Narrow" w:hAnsi="Arial Narrow"/>
                <w:color w:val="2E74B5" w:themeColor="accent1" w:themeShade="BF"/>
                <w:sz w:val="20"/>
                <w:szCs w:val="20"/>
              </w:rPr>
              <w:t>or on the surface of the patient</w:t>
            </w:r>
            <w:r w:rsidR="0D00AD5C" w:rsidRPr="04419C94">
              <w:rPr>
                <w:rFonts w:ascii="Arial Narrow" w:hAnsi="Arial Narrow"/>
                <w:sz w:val="20"/>
                <w:szCs w:val="20"/>
              </w:rPr>
              <w:t>,</w:t>
            </w:r>
            <w:r w:rsidRPr="04419C94">
              <w:rPr>
                <w:rFonts w:ascii="Arial Narrow" w:hAnsi="Arial Narrow"/>
                <w:sz w:val="20"/>
                <w:szCs w:val="20"/>
              </w:rPr>
              <w:t xml:space="preserve"> </w:t>
            </w:r>
            <w:r w:rsidRPr="00AB27A9">
              <w:rPr>
                <w:rFonts w:ascii="Arial Narrow" w:hAnsi="Arial Narrow"/>
                <w:strike/>
                <w:color w:val="2E74B5" w:themeColor="accent1" w:themeShade="BF"/>
                <w:sz w:val="20"/>
                <w:szCs w:val="20"/>
              </w:rPr>
              <w:t>using</w:t>
            </w:r>
            <w:r w:rsidRPr="00AB27A9">
              <w:rPr>
                <w:rFonts w:ascii="Arial Narrow" w:hAnsi="Arial Narrow"/>
                <w:color w:val="2E74B5" w:themeColor="accent1" w:themeShade="BF"/>
                <w:sz w:val="20"/>
                <w:szCs w:val="20"/>
              </w:rPr>
              <w:t xml:space="preserve"> </w:t>
            </w:r>
            <w:r w:rsidR="46AC10F0" w:rsidRPr="00AB27A9">
              <w:rPr>
                <w:rFonts w:ascii="Arial Narrow" w:hAnsi="Arial Narrow"/>
                <w:color w:val="2E74B5" w:themeColor="accent1" w:themeShade="BF"/>
                <w:sz w:val="20"/>
                <w:szCs w:val="20"/>
              </w:rPr>
              <w:t xml:space="preserve">from </w:t>
            </w:r>
            <w:r w:rsidRPr="00D95B4B">
              <w:rPr>
                <w:rFonts w:ascii="Arial Narrow" w:hAnsi="Arial Narrow"/>
                <w:sz w:val="20"/>
                <w:szCs w:val="20"/>
              </w:rPr>
              <w:t>tables, charts, or data from a treatment planning system.</w:t>
            </w:r>
          </w:p>
          <w:p w14:paraId="7E001214" w14:textId="77777777" w:rsidR="00327692" w:rsidRPr="00E1500F" w:rsidRDefault="00327692" w:rsidP="00D929CC">
            <w:pPr>
              <w:keepNext/>
              <w:keepLines/>
              <w:spacing w:before="0"/>
              <w:rPr>
                <w:rFonts w:ascii="Arial Narrow" w:hAnsi="Arial Narrow" w:cstheme="minorHAnsi"/>
                <w:sz w:val="20"/>
                <w:szCs w:val="20"/>
              </w:rPr>
            </w:pPr>
          </w:p>
          <w:p w14:paraId="63C2912F" w14:textId="77777777" w:rsidR="00327692" w:rsidRPr="00E1500F" w:rsidRDefault="00327692" w:rsidP="00D929CC">
            <w:pPr>
              <w:keepNext/>
              <w:keepLines/>
              <w:spacing w:before="0"/>
              <w:rPr>
                <w:rFonts w:ascii="Arial Narrow" w:hAnsi="Arial Narrow" w:cstheme="minorHAnsi"/>
                <w:sz w:val="20"/>
                <w:szCs w:val="20"/>
              </w:rPr>
            </w:pPr>
            <w:r w:rsidRPr="00E1500F">
              <w:rPr>
                <w:rFonts w:ascii="Arial Narrow" w:hAnsi="Arial Narrow" w:cstheme="minorHAnsi"/>
                <w:sz w:val="20"/>
                <w:szCs w:val="20"/>
              </w:rPr>
              <w:t>Applicable once per course of treatment.</w:t>
            </w:r>
          </w:p>
        </w:tc>
      </w:tr>
      <w:tr w:rsidR="00327692" w14:paraId="6288C39C" w14:textId="77777777">
        <w:trPr>
          <w:trHeight w:val="467"/>
        </w:trPr>
        <w:tc>
          <w:tcPr>
            <w:tcW w:w="9016" w:type="dxa"/>
            <w:vAlign w:val="center"/>
          </w:tcPr>
          <w:p w14:paraId="0FF26E93" w14:textId="77777777" w:rsidR="00327692" w:rsidRPr="00E1500F" w:rsidRDefault="00327692" w:rsidP="00D929CC">
            <w:pPr>
              <w:keepNext/>
              <w:keepLines/>
              <w:spacing w:before="0"/>
              <w:rPr>
                <w:rFonts w:ascii="Arial Narrow" w:hAnsi="Arial Narrow"/>
                <w:sz w:val="20"/>
                <w:szCs w:val="20"/>
              </w:rPr>
            </w:pPr>
            <w:r w:rsidRPr="3B7E30C4">
              <w:rPr>
                <w:rFonts w:ascii="Arial Narrow" w:hAnsi="Arial Narrow"/>
                <w:sz w:val="20"/>
                <w:szCs w:val="20"/>
              </w:rPr>
              <w:t>Fee: $203.70 Benefit: 75% = $152.80 85% = $173.15</w:t>
            </w:r>
          </w:p>
        </w:tc>
      </w:tr>
    </w:tbl>
    <w:p w14:paraId="01373734" w14:textId="67367545" w:rsidR="001578B8" w:rsidRPr="00AB27A9" w:rsidRDefault="00AB4912" w:rsidP="00D929CC">
      <w:pPr>
        <w:pStyle w:val="TableFigureFooter"/>
        <w:keepNext/>
        <w:keepLines/>
        <w:rPr>
          <w:color w:val="2E74B5" w:themeColor="accent1" w:themeShade="BF"/>
        </w:rPr>
      </w:pPr>
      <w:r>
        <w:rPr>
          <w:color w:val="2E74B5" w:themeColor="accent1" w:themeShade="BF"/>
        </w:rPr>
        <w:t>MSAC</w:t>
      </w:r>
      <w:r w:rsidR="001578B8" w:rsidRPr="00AB27A9">
        <w:rPr>
          <w:color w:val="2E74B5" w:themeColor="accent1" w:themeShade="BF"/>
        </w:rPr>
        <w:t xml:space="preserve"> proposed modification</w:t>
      </w:r>
    </w:p>
    <w:p w14:paraId="648AFDA3" w14:textId="54EF83F5" w:rsidR="00327692" w:rsidRPr="00EF4E29" w:rsidRDefault="00FC3370" w:rsidP="00EF4E29">
      <w:r w:rsidRPr="009D6990">
        <w:t>Item XXXX1 (</w:t>
      </w:r>
      <w:r w:rsidRPr="009D6990">
        <w:fldChar w:fldCharType="begin"/>
      </w:r>
      <w:r w:rsidRPr="009D6990">
        <w:instrText xml:space="preserve"> REF _Ref187228063 \h </w:instrText>
      </w:r>
      <w:r w:rsidR="00CF01CA" w:rsidRPr="009D6990">
        <w:instrText xml:space="preserve"> \* MERGEFORMAT </w:instrText>
      </w:r>
      <w:r w:rsidRPr="009D6990">
        <w:fldChar w:fldCharType="separate"/>
      </w:r>
      <w:r w:rsidR="00AF5AE7">
        <w:t xml:space="preserve">Table </w:t>
      </w:r>
      <w:r w:rsidR="00AF5AE7">
        <w:rPr>
          <w:noProof/>
        </w:rPr>
        <w:t>3</w:t>
      </w:r>
      <w:r w:rsidRPr="009D6990">
        <w:fldChar w:fldCharType="end"/>
      </w:r>
      <w:r w:rsidRPr="009D6990">
        <w:t xml:space="preserve">) </w:t>
      </w:r>
      <w:r w:rsidR="002E6B9B" w:rsidRPr="009D6990">
        <w:t xml:space="preserve">is a new item </w:t>
      </w:r>
      <w:r w:rsidR="00971EB4" w:rsidRPr="00EF4E29">
        <w:t xml:space="preserve">that does not align with any of the previously requested items. </w:t>
      </w:r>
      <w:r w:rsidR="00327692" w:rsidRPr="00EF4E29">
        <w:t xml:space="preserve">The </w:t>
      </w:r>
      <w:r w:rsidR="00BA29C9" w:rsidRPr="00EF4E29">
        <w:t xml:space="preserve">ADAR </w:t>
      </w:r>
      <w:r w:rsidR="00327692" w:rsidRPr="00EF4E29">
        <w:t xml:space="preserve">based </w:t>
      </w:r>
      <w:r w:rsidR="00BA29C9" w:rsidRPr="00EF4E29">
        <w:t>this fee on the</w:t>
      </w:r>
      <w:r w:rsidR="00327692" w:rsidRPr="00EF4E29">
        <w:t xml:space="preserve"> </w:t>
      </w:r>
      <w:hyperlink r:id="rId10">
        <w:r w:rsidR="00327692" w:rsidRPr="00EF4E29">
          <w:rPr>
            <w:u w:val="single"/>
          </w:rPr>
          <w:t>MBS Item 15950</w:t>
        </w:r>
      </w:hyperlink>
      <w:r w:rsidR="00327692" w:rsidRPr="00EF4E29">
        <w:t xml:space="preserve">, </w:t>
      </w:r>
      <w:r w:rsidR="00A97DFC" w:rsidRPr="00EF4E29">
        <w:t>stating</w:t>
      </w:r>
      <w:r w:rsidR="00327692" w:rsidRPr="00EF4E29">
        <w:t xml:space="preserve"> </w:t>
      </w:r>
      <w:r w:rsidR="003E2F40" w:rsidRPr="00EF4E29">
        <w:t xml:space="preserve">that the planning process for a single, simple-complexity SXRT treatment plan </w:t>
      </w:r>
      <w:r w:rsidR="00327692" w:rsidRPr="00EF4E29">
        <w:t xml:space="preserve">aligns closely with the proposed </w:t>
      </w:r>
      <w:r w:rsidR="00594F1D" w:rsidRPr="0025076B">
        <w:t>Re-188 brachytherapy</w:t>
      </w:r>
      <w:r w:rsidR="00327692" w:rsidRPr="00EF4E29">
        <w:t xml:space="preserve"> planning service. </w:t>
      </w:r>
      <w:r w:rsidR="00660FD6" w:rsidRPr="00EF4E29">
        <w:t>During evaluation it was considered that the</w:t>
      </w:r>
      <w:r w:rsidR="007B3DC6" w:rsidRPr="00EF4E29">
        <w:t xml:space="preserve"> process is likely to be similar.</w:t>
      </w:r>
      <w:r w:rsidR="00327692" w:rsidRPr="00EF4E29">
        <w:t xml:space="preserve"> The planning code can only be applied once per </w:t>
      </w:r>
      <w:r w:rsidR="0084284C" w:rsidRPr="00EF4E29">
        <w:t>course of treatment</w:t>
      </w:r>
      <w:r w:rsidR="00327692" w:rsidRPr="00EF4E29">
        <w:t>.</w:t>
      </w:r>
    </w:p>
    <w:p w14:paraId="2105C440" w14:textId="68B1F6A7" w:rsidR="00327692" w:rsidRDefault="00327692" w:rsidP="00327692">
      <w:pPr>
        <w:pStyle w:val="Caption"/>
      </w:pPr>
      <w:bookmarkStart w:id="12" w:name="_Ref187228157"/>
      <w:r>
        <w:t xml:space="preserve">Table </w:t>
      </w:r>
      <w:r w:rsidR="007F4BCC">
        <w:fldChar w:fldCharType="begin"/>
      </w:r>
      <w:r w:rsidR="007F4BCC">
        <w:instrText xml:space="preserve"> SEQ Table \* ARABIC </w:instrText>
      </w:r>
      <w:r w:rsidR="007F4BCC">
        <w:fldChar w:fldCharType="separate"/>
      </w:r>
      <w:r w:rsidR="00AF5AE7">
        <w:rPr>
          <w:noProof/>
        </w:rPr>
        <w:t>4</w:t>
      </w:r>
      <w:r w:rsidR="007F4BCC">
        <w:rPr>
          <w:noProof/>
        </w:rPr>
        <w:fldChar w:fldCharType="end"/>
      </w:r>
      <w:bookmarkEnd w:id="12"/>
      <w:r>
        <w:t xml:space="preserve"> </w:t>
      </w:r>
      <w:r w:rsidRPr="00AA488B">
        <w:t xml:space="preserve">Proposed item descriptor for </w:t>
      </w:r>
      <w:r w:rsidR="00026758">
        <w:t>Re-188 brachytherapy</w:t>
      </w:r>
      <w:r w:rsidRPr="00AA488B">
        <w:t xml:space="preserve"> radioisotope therapy</w:t>
      </w:r>
    </w:p>
    <w:tbl>
      <w:tblPr>
        <w:tblStyle w:val="TableGrid"/>
        <w:tblW w:w="0" w:type="auto"/>
        <w:tblLook w:val="04A0" w:firstRow="1" w:lastRow="0" w:firstColumn="1" w:lastColumn="0" w:noHBand="0" w:noVBand="1"/>
      </w:tblPr>
      <w:tblGrid>
        <w:gridCol w:w="9016"/>
      </w:tblGrid>
      <w:tr w:rsidR="00327692" w14:paraId="53F2F964" w14:textId="77777777" w:rsidTr="48818F6F">
        <w:trPr>
          <w:trHeight w:val="422"/>
        </w:trPr>
        <w:tc>
          <w:tcPr>
            <w:tcW w:w="9016" w:type="dxa"/>
            <w:vAlign w:val="center"/>
          </w:tcPr>
          <w:p w14:paraId="43314363" w14:textId="77777777" w:rsidR="00327692" w:rsidRPr="006322F3" w:rsidRDefault="00327692">
            <w:pPr>
              <w:pStyle w:val="Default"/>
              <w:rPr>
                <w:b/>
                <w:sz w:val="20"/>
                <w:szCs w:val="20"/>
              </w:rPr>
            </w:pPr>
            <w:r w:rsidRPr="006322F3">
              <w:rPr>
                <w:b/>
                <w:sz w:val="20"/>
                <w:szCs w:val="20"/>
              </w:rPr>
              <w:t>Category 3 – Therapeutic Procedures – Group T2 - Radiation Oncology; Subgroup 4 - Brachytherapy</w:t>
            </w:r>
          </w:p>
        </w:tc>
      </w:tr>
      <w:tr w:rsidR="00327692" w14:paraId="2A20F030" w14:textId="77777777" w:rsidTr="48818F6F">
        <w:trPr>
          <w:trHeight w:val="422"/>
        </w:trPr>
        <w:tc>
          <w:tcPr>
            <w:tcW w:w="9016" w:type="dxa"/>
            <w:shd w:val="clear" w:color="auto" w:fill="F2F2F2" w:themeFill="background1" w:themeFillShade="F2"/>
            <w:vAlign w:val="center"/>
          </w:tcPr>
          <w:p w14:paraId="2B5655A9" w14:textId="431090BC" w:rsidR="00327692" w:rsidRPr="006322F3" w:rsidRDefault="00327692">
            <w:pPr>
              <w:pStyle w:val="Default"/>
              <w:rPr>
                <w:b/>
                <w:sz w:val="20"/>
                <w:szCs w:val="20"/>
              </w:rPr>
            </w:pPr>
            <w:r w:rsidRPr="006322F3">
              <w:rPr>
                <w:b/>
                <w:bCs/>
                <w:sz w:val="20"/>
                <w:szCs w:val="20"/>
              </w:rPr>
              <w:t>MBS item</w:t>
            </w:r>
            <w:r>
              <w:rPr>
                <w:b/>
                <w:bCs/>
                <w:sz w:val="20"/>
                <w:szCs w:val="20"/>
              </w:rPr>
              <w:t xml:space="preserve"> </w:t>
            </w:r>
            <w:r w:rsidR="008A100F" w:rsidRPr="00E1500F">
              <w:rPr>
                <w:b/>
                <w:bCs/>
                <w:sz w:val="20"/>
                <w:szCs w:val="20"/>
              </w:rPr>
              <w:t>XXXX</w:t>
            </w:r>
            <w:r w:rsidR="008A100F">
              <w:rPr>
                <w:b/>
                <w:bCs/>
                <w:sz w:val="20"/>
                <w:szCs w:val="20"/>
              </w:rPr>
              <w:t>2</w:t>
            </w:r>
          </w:p>
        </w:tc>
      </w:tr>
      <w:tr w:rsidR="00327692" w14:paraId="23DE3785" w14:textId="77777777" w:rsidTr="48818F6F">
        <w:trPr>
          <w:trHeight w:val="3428"/>
        </w:trPr>
        <w:tc>
          <w:tcPr>
            <w:tcW w:w="9016" w:type="dxa"/>
            <w:vAlign w:val="center"/>
          </w:tcPr>
          <w:p w14:paraId="4CAB3954" w14:textId="3A3D607B" w:rsidR="00327692" w:rsidRPr="006322F3" w:rsidRDefault="564B5C47">
            <w:pPr>
              <w:spacing w:before="0" w:line="259" w:lineRule="auto"/>
            </w:pPr>
            <w:r w:rsidRPr="00AB27A9">
              <w:rPr>
                <w:rFonts w:ascii="Arial Narrow" w:hAnsi="Arial Narrow"/>
                <w:color w:val="2E74B5" w:themeColor="accent1" w:themeShade="BF"/>
                <w:sz w:val="20"/>
                <w:szCs w:val="20"/>
              </w:rPr>
              <w:t xml:space="preserve">Delivery of </w:t>
            </w:r>
            <w:r w:rsidR="00CF7E49" w:rsidRPr="00AB27A9">
              <w:rPr>
                <w:rFonts w:ascii="Arial Narrow" w:hAnsi="Arial Narrow"/>
                <w:color w:val="2E74B5" w:themeColor="accent1" w:themeShade="BF"/>
                <w:sz w:val="20"/>
                <w:szCs w:val="20"/>
              </w:rPr>
              <w:t xml:space="preserve">Epidermal radioisotope </w:t>
            </w:r>
            <w:r w:rsidR="00327692" w:rsidRPr="00AB27A9">
              <w:rPr>
                <w:rFonts w:ascii="Arial Narrow" w:hAnsi="Arial Narrow"/>
                <w:strike/>
                <w:color w:val="2E74B5" w:themeColor="accent1" w:themeShade="BF"/>
                <w:sz w:val="20"/>
                <w:szCs w:val="20"/>
              </w:rPr>
              <w:t>Rhenium-SCT</w:t>
            </w:r>
            <w:r w:rsidR="00327692" w:rsidRPr="00AB27A9">
              <w:rPr>
                <w:rFonts w:ascii="Arial Narrow" w:hAnsi="Arial Narrow"/>
                <w:strike/>
                <w:color w:val="2E74B5" w:themeColor="accent1" w:themeShade="BF"/>
                <w:sz w:val="20"/>
                <w:szCs w:val="20"/>
                <w:vertAlign w:val="superscript"/>
              </w:rPr>
              <w:t>®</w:t>
            </w:r>
            <w:r w:rsidR="00327692" w:rsidRPr="00AB27A9">
              <w:rPr>
                <w:rFonts w:ascii="Arial Narrow" w:hAnsi="Arial Narrow"/>
                <w:strike/>
                <w:color w:val="2E74B5" w:themeColor="accent1" w:themeShade="BF"/>
                <w:sz w:val="20"/>
                <w:szCs w:val="20"/>
              </w:rPr>
              <w:t xml:space="preserve"> radioisotope</w:t>
            </w:r>
            <w:r w:rsidR="00327692" w:rsidRPr="006322F3">
              <w:rPr>
                <w:rFonts w:ascii="Arial Narrow" w:hAnsi="Arial Narrow"/>
                <w:sz w:val="20"/>
                <w:szCs w:val="20"/>
              </w:rPr>
              <w:t xml:space="preserve"> therapy</w:t>
            </w:r>
          </w:p>
          <w:p w14:paraId="5FC327D3" w14:textId="77777777" w:rsidR="00327692" w:rsidRPr="006322F3" w:rsidRDefault="00327692">
            <w:pPr>
              <w:spacing w:before="0"/>
              <w:rPr>
                <w:rFonts w:ascii="Arial Narrow" w:hAnsi="Arial Narrow" w:cstheme="minorHAnsi"/>
                <w:sz w:val="20"/>
                <w:szCs w:val="20"/>
              </w:rPr>
            </w:pPr>
          </w:p>
          <w:p w14:paraId="5CDBC176" w14:textId="59C166B1" w:rsidR="00327692" w:rsidRPr="006322F3" w:rsidRDefault="00327692">
            <w:pPr>
              <w:spacing w:before="0"/>
              <w:rPr>
                <w:rFonts w:ascii="Arial Narrow" w:hAnsi="Arial Narrow"/>
                <w:sz w:val="20"/>
                <w:szCs w:val="20"/>
              </w:rPr>
            </w:pPr>
            <w:r w:rsidRPr="04419C94">
              <w:rPr>
                <w:rFonts w:ascii="Arial Narrow" w:hAnsi="Arial Narrow"/>
                <w:sz w:val="20"/>
                <w:szCs w:val="20"/>
              </w:rPr>
              <w:t>Epidermal radioisotope therapy, using rhenium-188 paste per 0.5 cm</w:t>
            </w:r>
            <w:r w:rsidRPr="04419C94">
              <w:rPr>
                <w:rFonts w:ascii="Arial Narrow" w:hAnsi="Arial Narrow"/>
                <w:sz w:val="20"/>
                <w:szCs w:val="20"/>
                <w:vertAlign w:val="superscript"/>
              </w:rPr>
              <w:t>2</w:t>
            </w:r>
            <w:r w:rsidRPr="04419C94">
              <w:rPr>
                <w:rFonts w:ascii="Arial Narrow" w:hAnsi="Arial Narrow"/>
                <w:sz w:val="20"/>
                <w:szCs w:val="20"/>
              </w:rPr>
              <w:t xml:space="preserve"> </w:t>
            </w:r>
            <w:r w:rsidR="7663F05B" w:rsidRPr="00AB27A9">
              <w:rPr>
                <w:rFonts w:ascii="Arial Narrow" w:hAnsi="Arial Narrow"/>
                <w:color w:val="2E74B5" w:themeColor="accent1" w:themeShade="BF"/>
                <w:sz w:val="20"/>
                <w:szCs w:val="20"/>
              </w:rPr>
              <w:t xml:space="preserve">to </w:t>
            </w:r>
            <w:r w:rsidRPr="00AB27A9">
              <w:rPr>
                <w:rFonts w:ascii="Arial Narrow" w:hAnsi="Arial Narrow"/>
                <w:strike/>
                <w:color w:val="2E74B5" w:themeColor="accent1" w:themeShade="BF"/>
                <w:sz w:val="20"/>
                <w:szCs w:val="20"/>
              </w:rPr>
              <w:t>on</w:t>
            </w:r>
            <w:r w:rsidRPr="00AB27A9">
              <w:rPr>
                <w:rFonts w:ascii="Arial Narrow" w:hAnsi="Arial Narrow"/>
                <w:color w:val="2E74B5" w:themeColor="accent1" w:themeShade="BF"/>
                <w:sz w:val="20"/>
                <w:szCs w:val="20"/>
              </w:rPr>
              <w:t xml:space="preserve"> </w:t>
            </w:r>
            <w:r w:rsidRPr="04419C94">
              <w:rPr>
                <w:rFonts w:ascii="Arial Narrow" w:hAnsi="Arial Narrow"/>
                <w:sz w:val="20"/>
                <w:szCs w:val="20"/>
              </w:rPr>
              <w:t>one or more cutaneous basal cell carcinoma (BCC) or cutaneous squamous cell carcinoma (SCC) if:</w:t>
            </w:r>
          </w:p>
          <w:p w14:paraId="7599B6B6" w14:textId="77777777" w:rsidR="00327692" w:rsidRPr="006322F3" w:rsidRDefault="00327692">
            <w:pPr>
              <w:spacing w:before="0"/>
              <w:rPr>
                <w:rFonts w:ascii="Arial Narrow" w:hAnsi="Arial Narrow" w:cstheme="minorHAnsi"/>
                <w:sz w:val="20"/>
                <w:szCs w:val="20"/>
              </w:rPr>
            </w:pPr>
          </w:p>
          <w:p w14:paraId="25036512" w14:textId="77777777" w:rsidR="00327692" w:rsidRPr="006322F3" w:rsidRDefault="00327692">
            <w:pPr>
              <w:spacing w:before="0"/>
              <w:rPr>
                <w:rFonts w:ascii="Arial Narrow" w:hAnsi="Arial Narrow" w:cstheme="minorHAnsi"/>
                <w:sz w:val="20"/>
                <w:szCs w:val="20"/>
              </w:rPr>
            </w:pPr>
            <w:r w:rsidRPr="006322F3">
              <w:rPr>
                <w:rFonts w:ascii="Arial Narrow" w:hAnsi="Arial Narrow" w:cstheme="minorHAnsi"/>
                <w:sz w:val="20"/>
                <w:szCs w:val="20"/>
              </w:rPr>
              <w:t>a) malignancy has been confirmed and other diagnoses excluded by histological examination; and</w:t>
            </w:r>
          </w:p>
          <w:p w14:paraId="0E492E3F" w14:textId="77777777" w:rsidR="00327692" w:rsidRPr="006322F3" w:rsidRDefault="00327692">
            <w:pPr>
              <w:spacing w:before="0"/>
              <w:rPr>
                <w:rFonts w:ascii="Arial Narrow" w:hAnsi="Arial Narrow"/>
                <w:sz w:val="20"/>
                <w:szCs w:val="20"/>
              </w:rPr>
            </w:pPr>
            <w:r w:rsidRPr="006322F3">
              <w:rPr>
                <w:rFonts w:ascii="Arial Narrow" w:hAnsi="Arial Narrow"/>
                <w:sz w:val="20"/>
                <w:szCs w:val="20"/>
              </w:rPr>
              <w:t>b) the maximum depth of the lesion/s is less than or equal to 3 mm; and</w:t>
            </w:r>
          </w:p>
          <w:p w14:paraId="287FDE09" w14:textId="77777777" w:rsidR="00327692" w:rsidRPr="006322F3" w:rsidRDefault="00327692">
            <w:pPr>
              <w:spacing w:before="0"/>
              <w:rPr>
                <w:rFonts w:ascii="Arial Narrow" w:hAnsi="Arial Narrow"/>
                <w:sz w:val="20"/>
                <w:szCs w:val="20"/>
              </w:rPr>
            </w:pPr>
            <w:r w:rsidRPr="006322F3">
              <w:rPr>
                <w:rFonts w:ascii="Arial Narrow" w:hAnsi="Arial Narrow"/>
                <w:sz w:val="20"/>
                <w:szCs w:val="20"/>
              </w:rPr>
              <w:t>c) the lesion contraindicated for surgical excision, or where there are clinician concerns for the patient outcomes from surgery; and</w:t>
            </w:r>
          </w:p>
          <w:p w14:paraId="4C75CD1F" w14:textId="77777777" w:rsidR="00327692" w:rsidRPr="006322F3" w:rsidRDefault="00327692">
            <w:pPr>
              <w:spacing w:before="0"/>
              <w:rPr>
                <w:rFonts w:ascii="Arial Narrow" w:hAnsi="Arial Narrow"/>
                <w:sz w:val="20"/>
                <w:szCs w:val="20"/>
              </w:rPr>
            </w:pPr>
            <w:r w:rsidRPr="006322F3">
              <w:rPr>
                <w:rFonts w:ascii="Arial Narrow" w:hAnsi="Arial Narrow"/>
                <w:sz w:val="20"/>
                <w:szCs w:val="20"/>
              </w:rPr>
              <w:t>d) the service is provided by a suitably trained nuclear medicine physician or radiation oncologist in an approved facility; and</w:t>
            </w:r>
          </w:p>
          <w:p w14:paraId="5E4AED89" w14:textId="777D395C" w:rsidR="00327692" w:rsidRPr="006322F3" w:rsidRDefault="00327692">
            <w:pPr>
              <w:spacing w:before="0"/>
              <w:rPr>
                <w:rFonts w:ascii="Arial Narrow" w:hAnsi="Arial Narrow"/>
                <w:sz w:val="20"/>
                <w:szCs w:val="20"/>
              </w:rPr>
            </w:pPr>
            <w:r w:rsidRPr="48818F6F">
              <w:rPr>
                <w:rFonts w:ascii="Arial Narrow" w:hAnsi="Arial Narrow"/>
                <w:sz w:val="20"/>
                <w:szCs w:val="20"/>
              </w:rPr>
              <w:t xml:space="preserve">e) the service is referred by a dermatologist, plastic surgeon, or a </w:t>
            </w:r>
            <w:r w:rsidRPr="00B7749D">
              <w:rPr>
                <w:rFonts w:ascii="Arial Narrow" w:hAnsi="Arial Narrow"/>
                <w:sz w:val="20"/>
                <w:szCs w:val="20"/>
              </w:rPr>
              <w:t>skin-specialist GP</w:t>
            </w:r>
            <w:r w:rsidRPr="48818F6F">
              <w:rPr>
                <w:rFonts w:ascii="Arial Narrow" w:hAnsi="Arial Narrow"/>
                <w:sz w:val="20"/>
                <w:szCs w:val="20"/>
              </w:rPr>
              <w:t xml:space="preserve"> if a dermatologist or plastic surgeon is not readily available</w:t>
            </w:r>
            <w:r w:rsidR="79855B31" w:rsidRPr="48818F6F">
              <w:rPr>
                <w:rFonts w:ascii="Arial Narrow" w:hAnsi="Arial Narrow"/>
                <w:sz w:val="20"/>
                <w:szCs w:val="20"/>
              </w:rPr>
              <w:t>; and</w:t>
            </w:r>
            <w:r w:rsidRPr="48818F6F">
              <w:rPr>
                <w:rFonts w:ascii="Arial Narrow" w:hAnsi="Arial Narrow"/>
                <w:sz w:val="20"/>
                <w:szCs w:val="20"/>
              </w:rPr>
              <w:t xml:space="preserve"> </w:t>
            </w:r>
          </w:p>
          <w:p w14:paraId="2D999CC1" w14:textId="228DCC69" w:rsidR="00DF270E" w:rsidRPr="00AB27A9" w:rsidRDefault="00EB6860" w:rsidP="04419C94">
            <w:pPr>
              <w:spacing w:before="0"/>
              <w:rPr>
                <w:rFonts w:ascii="Arial Narrow" w:hAnsi="Arial Narrow"/>
                <w:color w:val="2E74B5" w:themeColor="accent1" w:themeShade="BF"/>
                <w:sz w:val="20"/>
                <w:szCs w:val="20"/>
              </w:rPr>
            </w:pPr>
            <w:r w:rsidRPr="00AB27A9">
              <w:rPr>
                <w:rFonts w:ascii="Arial Narrow" w:hAnsi="Arial Narrow"/>
                <w:color w:val="2E74B5" w:themeColor="accent1" w:themeShade="BF"/>
                <w:sz w:val="20"/>
                <w:szCs w:val="20"/>
              </w:rPr>
              <w:t>f) the lesion has not previously been treated</w:t>
            </w:r>
          </w:p>
          <w:p w14:paraId="38EBB425" w14:textId="25F86F9B" w:rsidR="00DF270E" w:rsidRPr="00AB27A9" w:rsidRDefault="68DC0AD9">
            <w:pPr>
              <w:spacing w:before="0"/>
              <w:rPr>
                <w:rFonts w:ascii="Arial Narrow" w:hAnsi="Arial Narrow"/>
                <w:color w:val="2E74B5" w:themeColor="accent1" w:themeShade="BF"/>
                <w:sz w:val="20"/>
                <w:szCs w:val="20"/>
              </w:rPr>
            </w:pPr>
            <w:r w:rsidRPr="00AB27A9">
              <w:rPr>
                <w:rFonts w:ascii="Arial Narrow" w:hAnsi="Arial Narrow"/>
                <w:color w:val="2E74B5" w:themeColor="accent1" w:themeShade="BF"/>
                <w:sz w:val="20"/>
                <w:szCs w:val="20"/>
              </w:rPr>
              <w:t xml:space="preserve">g) used to implement a plan as described in item </w:t>
            </w:r>
            <w:r w:rsidR="009C577F" w:rsidRPr="00AB27A9">
              <w:rPr>
                <w:rFonts w:ascii="Arial Narrow" w:hAnsi="Arial Narrow"/>
                <w:color w:val="2E74B5" w:themeColor="accent1" w:themeShade="BF"/>
                <w:sz w:val="20"/>
                <w:szCs w:val="20"/>
              </w:rPr>
              <w:t>XXX1</w:t>
            </w:r>
            <w:r w:rsidR="00EB6860" w:rsidRPr="00AB27A9">
              <w:rPr>
                <w:rFonts w:ascii="Arial Narrow" w:hAnsi="Arial Narrow"/>
                <w:color w:val="2E74B5" w:themeColor="accent1" w:themeShade="BF"/>
                <w:sz w:val="20"/>
                <w:szCs w:val="20"/>
              </w:rPr>
              <w:t xml:space="preserve">. </w:t>
            </w:r>
          </w:p>
          <w:p w14:paraId="7B878159" w14:textId="6546B87B" w:rsidR="00327692" w:rsidRPr="006322F3" w:rsidRDefault="00327692">
            <w:pPr>
              <w:spacing w:before="0"/>
              <w:rPr>
                <w:rFonts w:ascii="Arial Narrow" w:hAnsi="Arial Narrow" w:cstheme="minorHAnsi"/>
                <w:sz w:val="20"/>
                <w:szCs w:val="20"/>
              </w:rPr>
            </w:pPr>
          </w:p>
          <w:p w14:paraId="187A38B5" w14:textId="77777777" w:rsidR="00327692" w:rsidRPr="006322F3" w:rsidRDefault="00327692">
            <w:pPr>
              <w:spacing w:before="0"/>
              <w:rPr>
                <w:rFonts w:ascii="Arial Narrow" w:hAnsi="Arial Narrow" w:cstheme="minorHAnsi"/>
                <w:sz w:val="20"/>
                <w:szCs w:val="20"/>
              </w:rPr>
            </w:pPr>
            <w:r w:rsidRPr="006322F3">
              <w:rPr>
                <w:rFonts w:ascii="Arial Narrow" w:hAnsi="Arial Narrow" w:cstheme="minorHAnsi"/>
                <w:sz w:val="20"/>
                <w:szCs w:val="20"/>
              </w:rPr>
              <w:t>Applicable for total surface area of lesion/s treated.</w:t>
            </w:r>
          </w:p>
        </w:tc>
      </w:tr>
      <w:tr w:rsidR="00327692" w14:paraId="124FE345" w14:textId="77777777" w:rsidTr="48818F6F">
        <w:trPr>
          <w:trHeight w:val="449"/>
        </w:trPr>
        <w:tc>
          <w:tcPr>
            <w:tcW w:w="9016" w:type="dxa"/>
            <w:vAlign w:val="center"/>
          </w:tcPr>
          <w:p w14:paraId="1F04B2E6" w14:textId="77777777" w:rsidR="00327692" w:rsidRPr="00E1500F" w:rsidRDefault="00327692">
            <w:pPr>
              <w:spacing w:before="0"/>
              <w:rPr>
                <w:rFonts w:ascii="Arial Narrow" w:hAnsi="Arial Narrow" w:cstheme="minorHAnsi"/>
                <w:sz w:val="20"/>
                <w:szCs w:val="20"/>
              </w:rPr>
            </w:pPr>
            <w:r w:rsidRPr="3B7E30C4">
              <w:rPr>
                <w:rFonts w:ascii="Arial Narrow" w:hAnsi="Arial Narrow"/>
                <w:sz w:val="20"/>
                <w:szCs w:val="20"/>
              </w:rPr>
              <w:t>Fee: $393.90 Benefit 75% = $295.43 85% = $334.82</w:t>
            </w:r>
          </w:p>
        </w:tc>
      </w:tr>
    </w:tbl>
    <w:p w14:paraId="32F56384" w14:textId="2F3DCE74" w:rsidR="0020748D" w:rsidRPr="00AB27A9" w:rsidRDefault="00EC5C58" w:rsidP="0020748D">
      <w:pPr>
        <w:pStyle w:val="TableFigureFooter"/>
        <w:rPr>
          <w:color w:val="2E74B5" w:themeColor="accent1" w:themeShade="BF"/>
        </w:rPr>
      </w:pPr>
      <w:r>
        <w:rPr>
          <w:color w:val="2E74B5" w:themeColor="accent1" w:themeShade="BF"/>
        </w:rPr>
        <w:t>MSAC</w:t>
      </w:r>
      <w:r w:rsidR="001578B8" w:rsidRPr="00AB27A9">
        <w:rPr>
          <w:color w:val="2E74B5" w:themeColor="accent1" w:themeShade="BF"/>
        </w:rPr>
        <w:t xml:space="preserve"> p</w:t>
      </w:r>
      <w:r w:rsidR="0094543E" w:rsidRPr="00AB27A9">
        <w:rPr>
          <w:color w:val="2E74B5" w:themeColor="accent1" w:themeShade="BF"/>
        </w:rPr>
        <w:t>roposed modification</w:t>
      </w:r>
    </w:p>
    <w:p w14:paraId="40F9D985" w14:textId="6B1693F3" w:rsidR="004C4F18" w:rsidRPr="008176D5" w:rsidRDefault="009D6990" w:rsidP="008176D5">
      <w:pPr>
        <w:pStyle w:val="Instructionaltext"/>
        <w:rPr>
          <w:color w:val="auto"/>
        </w:rPr>
      </w:pPr>
      <w:r w:rsidRPr="009D6990">
        <w:rPr>
          <w:color w:val="auto"/>
        </w:rPr>
        <w:lastRenderedPageBreak/>
        <w:t>Item XXXX2 (</w:t>
      </w:r>
      <w:r w:rsidRPr="009D6990">
        <w:rPr>
          <w:color w:val="auto"/>
        </w:rPr>
        <w:fldChar w:fldCharType="begin"/>
      </w:r>
      <w:r w:rsidRPr="009D6990">
        <w:rPr>
          <w:color w:val="auto"/>
        </w:rPr>
        <w:instrText xml:space="preserve"> REF _Ref187228157 \h </w:instrText>
      </w:r>
      <w:r w:rsidRPr="0025076B">
        <w:rPr>
          <w:color w:val="auto"/>
        </w:rPr>
        <w:instrText xml:space="preserve"> \* MERGEFORMAT </w:instrText>
      </w:r>
      <w:r w:rsidRPr="009D6990">
        <w:rPr>
          <w:color w:val="auto"/>
        </w:rPr>
      </w:r>
      <w:r w:rsidRPr="009D6990">
        <w:rPr>
          <w:color w:val="auto"/>
        </w:rPr>
        <w:fldChar w:fldCharType="separate"/>
      </w:r>
      <w:r w:rsidR="00AF5AE7" w:rsidRPr="00AF5AE7">
        <w:rPr>
          <w:color w:val="auto"/>
        </w:rPr>
        <w:t>Table 4</w:t>
      </w:r>
      <w:r w:rsidRPr="009D6990">
        <w:rPr>
          <w:color w:val="auto"/>
        </w:rPr>
        <w:fldChar w:fldCharType="end"/>
      </w:r>
      <w:r w:rsidRPr="009D6990">
        <w:rPr>
          <w:color w:val="auto"/>
        </w:rPr>
        <w:t xml:space="preserve">) </w:t>
      </w:r>
      <w:r w:rsidR="00660FD6" w:rsidRPr="009D6990">
        <w:rPr>
          <w:color w:val="auto"/>
        </w:rPr>
        <w:t xml:space="preserve">descriptor </w:t>
      </w:r>
      <w:r w:rsidR="00660FD6" w:rsidRPr="008176D5">
        <w:rPr>
          <w:color w:val="auto"/>
        </w:rPr>
        <w:t xml:space="preserve">aligns with the </w:t>
      </w:r>
      <w:r w:rsidR="00453462" w:rsidRPr="008176D5">
        <w:rPr>
          <w:color w:val="auto"/>
        </w:rPr>
        <w:t>previous submissions</w:t>
      </w:r>
      <w:r w:rsidR="00301B10" w:rsidRPr="008176D5">
        <w:rPr>
          <w:color w:val="auto"/>
        </w:rPr>
        <w:t>’</w:t>
      </w:r>
      <w:r w:rsidR="009E4DBF" w:rsidRPr="008176D5">
        <w:rPr>
          <w:color w:val="auto"/>
        </w:rPr>
        <w:t xml:space="preserve"> three </w:t>
      </w:r>
      <w:r w:rsidR="008176D5">
        <w:rPr>
          <w:color w:val="auto"/>
        </w:rPr>
        <w:t>i</w:t>
      </w:r>
      <w:r w:rsidR="00453462" w:rsidRPr="008176D5">
        <w:rPr>
          <w:color w:val="auto"/>
        </w:rPr>
        <w:t>tem</w:t>
      </w:r>
      <w:r w:rsidR="009E4DBF" w:rsidRPr="008176D5">
        <w:rPr>
          <w:color w:val="auto"/>
        </w:rPr>
        <w:t>s</w:t>
      </w:r>
      <w:r w:rsidR="00453462" w:rsidRPr="008176D5">
        <w:rPr>
          <w:color w:val="auto"/>
        </w:rPr>
        <w:t>.</w:t>
      </w:r>
      <w:r w:rsidR="009E4DBF" w:rsidRPr="008176D5">
        <w:rPr>
          <w:color w:val="auto"/>
        </w:rPr>
        <w:t xml:space="preserve"> However, </w:t>
      </w:r>
      <w:r w:rsidR="00CF6EC8" w:rsidRPr="008176D5">
        <w:rPr>
          <w:color w:val="auto"/>
        </w:rPr>
        <w:t xml:space="preserve">the </w:t>
      </w:r>
      <w:r w:rsidR="00B92553" w:rsidRPr="008176D5">
        <w:rPr>
          <w:color w:val="auto"/>
        </w:rPr>
        <w:t xml:space="preserve">fee structure is such that </w:t>
      </w:r>
      <w:r w:rsidR="0020748D" w:rsidRPr="008176D5">
        <w:rPr>
          <w:color w:val="auto"/>
        </w:rPr>
        <w:t>it</w:t>
      </w:r>
      <w:r w:rsidR="008466DB" w:rsidRPr="008176D5">
        <w:rPr>
          <w:color w:val="auto"/>
        </w:rPr>
        <w:t xml:space="preserve"> is to be applied </w:t>
      </w:r>
      <w:r w:rsidR="00003C2B" w:rsidRPr="008176D5">
        <w:rPr>
          <w:color w:val="auto"/>
        </w:rPr>
        <w:t xml:space="preserve">based on multiplications of </w:t>
      </w:r>
      <w:r w:rsidR="00327692" w:rsidRPr="008176D5">
        <w:rPr>
          <w:color w:val="auto"/>
        </w:rPr>
        <w:t>0.5cm</w:t>
      </w:r>
      <w:r w:rsidR="00327692" w:rsidRPr="008176D5">
        <w:rPr>
          <w:color w:val="auto"/>
          <w:vertAlign w:val="superscript"/>
        </w:rPr>
        <w:t>2</w:t>
      </w:r>
      <w:r w:rsidR="00327692" w:rsidRPr="008176D5">
        <w:rPr>
          <w:color w:val="auto"/>
        </w:rPr>
        <w:t xml:space="preserve"> of treatable area. </w:t>
      </w:r>
      <w:r w:rsidR="00206F7A" w:rsidRPr="008176D5">
        <w:rPr>
          <w:color w:val="auto"/>
        </w:rPr>
        <w:t xml:space="preserve">The ADAR based this </w:t>
      </w:r>
      <w:r w:rsidR="00327692" w:rsidRPr="008176D5">
        <w:rPr>
          <w:color w:val="auto"/>
        </w:rPr>
        <w:t>fee on the total production cost of one carpoule (approximately</w:t>
      </w:r>
      <w:r w:rsidR="00EE5E96" w:rsidRPr="00D52988">
        <w:t xml:space="preserve"> </w:t>
      </w:r>
      <w:r w:rsidR="00D52988" w:rsidRPr="00D52988">
        <w:rPr>
          <w:b/>
          <w:bCs/>
          <w:color w:val="000000" w:themeColor="text1"/>
        </w:rPr>
        <w:t>redacted</w:t>
      </w:r>
      <w:r w:rsidR="00327692" w:rsidRPr="00D52988">
        <w:rPr>
          <w:color w:val="000000" w:themeColor="text1"/>
        </w:rPr>
        <w:t xml:space="preserve">) of </w:t>
      </w:r>
      <w:r w:rsidR="0094543E" w:rsidRPr="00D52988">
        <w:rPr>
          <w:color w:val="000000" w:themeColor="text1"/>
        </w:rPr>
        <w:t>Rhenium</w:t>
      </w:r>
      <w:r w:rsidR="00327692" w:rsidRPr="00D52988">
        <w:rPr>
          <w:color w:val="000000" w:themeColor="text1"/>
        </w:rPr>
        <w:t xml:space="preserve">-188 resin/paste which can treat </w:t>
      </w:r>
      <w:r w:rsidR="00D52988" w:rsidRPr="00D52988">
        <w:rPr>
          <w:b/>
          <w:bCs/>
          <w:color w:val="000000" w:themeColor="text1"/>
        </w:rPr>
        <w:t>redacted</w:t>
      </w:r>
      <w:r w:rsidR="00327692" w:rsidRPr="00D52988">
        <w:rPr>
          <w:color w:val="000000" w:themeColor="text1"/>
        </w:rPr>
        <w:t xml:space="preserve"> cm</w:t>
      </w:r>
      <w:r w:rsidR="00327692" w:rsidRPr="00D52988">
        <w:rPr>
          <w:color w:val="000000" w:themeColor="text1"/>
          <w:vertAlign w:val="superscript"/>
        </w:rPr>
        <w:t>2</w:t>
      </w:r>
      <w:r w:rsidR="00327692" w:rsidRPr="00D52988">
        <w:rPr>
          <w:color w:val="000000" w:themeColor="text1"/>
        </w:rPr>
        <w:t xml:space="preserve">. </w:t>
      </w:r>
      <w:r w:rsidR="00301B10" w:rsidRPr="00D52988">
        <w:rPr>
          <w:color w:val="000000" w:themeColor="text1"/>
        </w:rPr>
        <w:t>Of note the cost of a Rhenium-188 carpoule has increase</w:t>
      </w:r>
      <w:r w:rsidR="00823C0B" w:rsidRPr="00D52988">
        <w:rPr>
          <w:color w:val="000000" w:themeColor="text1"/>
        </w:rPr>
        <w:t>d</w:t>
      </w:r>
      <w:r w:rsidR="00301B10" w:rsidRPr="00D52988">
        <w:rPr>
          <w:color w:val="000000" w:themeColor="text1"/>
        </w:rPr>
        <w:t xml:space="preserve"> from</w:t>
      </w:r>
      <w:r w:rsidR="00EE5E96" w:rsidRPr="00D52988">
        <w:rPr>
          <w:color w:val="000000" w:themeColor="text1"/>
        </w:rPr>
        <w:t xml:space="preserve"> </w:t>
      </w:r>
      <w:r w:rsidR="00301B10" w:rsidRPr="008176D5">
        <w:rPr>
          <w:color w:val="auto"/>
        </w:rPr>
        <w:t>$14,000</w:t>
      </w:r>
      <w:r w:rsidR="00301B10" w:rsidRPr="00D52988">
        <w:rPr>
          <w:color w:val="000000" w:themeColor="text1"/>
        </w:rPr>
        <w:t xml:space="preserve"> in the previous </w:t>
      </w:r>
      <w:r w:rsidR="00232BAB" w:rsidRPr="00D52988">
        <w:rPr>
          <w:color w:val="000000" w:themeColor="text1"/>
        </w:rPr>
        <w:t>submission</w:t>
      </w:r>
      <w:r w:rsidR="00301B10" w:rsidRPr="00D52988">
        <w:rPr>
          <w:color w:val="000000" w:themeColor="text1"/>
        </w:rPr>
        <w:t xml:space="preserve"> to</w:t>
      </w:r>
      <w:r w:rsidR="00232BAB" w:rsidRPr="00D52988">
        <w:rPr>
          <w:color w:val="000000" w:themeColor="text1"/>
        </w:rPr>
        <w:t xml:space="preserve"> approximately</w:t>
      </w:r>
      <w:r w:rsidR="00301B10" w:rsidRPr="00D52988">
        <w:rPr>
          <w:color w:val="000000" w:themeColor="text1"/>
        </w:rPr>
        <w:t xml:space="preserve"> </w:t>
      </w:r>
      <w:r w:rsidR="00D52988" w:rsidRPr="00D52988">
        <w:rPr>
          <w:b/>
          <w:bCs/>
          <w:color w:val="000000" w:themeColor="text1"/>
        </w:rPr>
        <w:t>redacted</w:t>
      </w:r>
      <w:r w:rsidR="009F277A" w:rsidRPr="00D52988">
        <w:rPr>
          <w:color w:val="000000" w:themeColor="text1"/>
        </w:rPr>
        <w:t xml:space="preserve">. The ADAR </w:t>
      </w:r>
      <w:r w:rsidR="0002382D" w:rsidRPr="00D52988">
        <w:rPr>
          <w:color w:val="000000" w:themeColor="text1"/>
        </w:rPr>
        <w:t>stat</w:t>
      </w:r>
      <w:r w:rsidR="00BC2800" w:rsidRPr="00D52988">
        <w:rPr>
          <w:color w:val="000000" w:themeColor="text1"/>
        </w:rPr>
        <w:t>ed</w:t>
      </w:r>
      <w:r w:rsidR="0002382D" w:rsidRPr="00D52988">
        <w:rPr>
          <w:color w:val="000000" w:themeColor="text1"/>
        </w:rPr>
        <w:t xml:space="preserve"> that </w:t>
      </w:r>
      <w:r w:rsidR="00E03FEA" w:rsidRPr="00D52988">
        <w:rPr>
          <w:color w:val="000000" w:themeColor="text1"/>
        </w:rPr>
        <w:t>the fee is based on the total production cost of one carpoule (approximately</w:t>
      </w:r>
      <w:r w:rsidR="00EE5E96" w:rsidRPr="00D52988">
        <w:rPr>
          <w:color w:val="000000" w:themeColor="text1"/>
        </w:rPr>
        <w:t xml:space="preserve"> </w:t>
      </w:r>
      <w:r w:rsidR="00D52988" w:rsidRPr="00D52988">
        <w:rPr>
          <w:b/>
          <w:bCs/>
          <w:color w:val="000000" w:themeColor="text1"/>
        </w:rPr>
        <w:t>redacted</w:t>
      </w:r>
      <w:r w:rsidR="00E03FEA" w:rsidRPr="00D52988">
        <w:rPr>
          <w:color w:val="000000" w:themeColor="text1"/>
        </w:rPr>
        <w:t>)</w:t>
      </w:r>
      <w:r w:rsidR="00CA497E" w:rsidRPr="00D52988">
        <w:rPr>
          <w:color w:val="000000" w:themeColor="text1"/>
        </w:rPr>
        <w:t xml:space="preserve">. </w:t>
      </w:r>
      <w:r w:rsidR="00E65DE4" w:rsidRPr="00D52988">
        <w:rPr>
          <w:color w:val="000000" w:themeColor="text1"/>
        </w:rPr>
        <w:t xml:space="preserve">The ADAR stated the price of Re-188 carpoule production has increased due to increased material and production costs. </w:t>
      </w:r>
      <w:r w:rsidR="00FC79D4" w:rsidRPr="00D52988">
        <w:rPr>
          <w:color w:val="000000" w:themeColor="text1"/>
        </w:rPr>
        <w:t>The ADAR state</w:t>
      </w:r>
      <w:r w:rsidR="00E65DE4" w:rsidRPr="00D52988">
        <w:rPr>
          <w:color w:val="000000" w:themeColor="text1"/>
        </w:rPr>
        <w:t>d</w:t>
      </w:r>
      <w:r w:rsidR="00FC79D4" w:rsidRPr="00D52988">
        <w:rPr>
          <w:color w:val="000000" w:themeColor="text1"/>
        </w:rPr>
        <w:t xml:space="preserve"> that one carp</w:t>
      </w:r>
      <w:r w:rsidR="0093482F" w:rsidRPr="00D52988">
        <w:rPr>
          <w:color w:val="000000" w:themeColor="text1"/>
        </w:rPr>
        <w:t>oule can treat 25cm</w:t>
      </w:r>
      <w:r w:rsidR="0093482F" w:rsidRPr="00D52988">
        <w:rPr>
          <w:color w:val="000000" w:themeColor="text1"/>
          <w:vertAlign w:val="superscript"/>
        </w:rPr>
        <w:t>2</w:t>
      </w:r>
      <w:r w:rsidR="0093482F" w:rsidRPr="00D52988">
        <w:rPr>
          <w:color w:val="000000" w:themeColor="text1"/>
        </w:rPr>
        <w:t xml:space="preserve">; however, this is likely to be variable as the </w:t>
      </w:r>
      <w:r w:rsidR="00546F7D" w:rsidRPr="00D52988">
        <w:rPr>
          <w:color w:val="000000" w:themeColor="text1"/>
        </w:rPr>
        <w:t xml:space="preserve">quantity needed is based on both surface area and depth of the </w:t>
      </w:r>
      <w:r w:rsidR="00723ECB" w:rsidRPr="00D52988">
        <w:rPr>
          <w:color w:val="000000" w:themeColor="text1"/>
        </w:rPr>
        <w:t>cancer</w:t>
      </w:r>
      <w:r w:rsidR="00531A76" w:rsidRPr="00D52988">
        <w:rPr>
          <w:color w:val="000000" w:themeColor="text1"/>
        </w:rPr>
        <w:t xml:space="preserve"> </w:t>
      </w:r>
      <w:r w:rsidR="00A96537" w:rsidRPr="00D52988">
        <w:rPr>
          <w:color w:val="000000" w:themeColor="text1"/>
        </w:rPr>
        <w:t>and</w:t>
      </w:r>
      <w:r w:rsidR="00531A76" w:rsidRPr="00D52988">
        <w:rPr>
          <w:color w:val="000000" w:themeColor="text1"/>
        </w:rPr>
        <w:t xml:space="preserve"> relates to previous comments around wastage and </w:t>
      </w:r>
      <w:r w:rsidR="00B83E1E" w:rsidRPr="00D52988">
        <w:rPr>
          <w:color w:val="000000" w:themeColor="text1"/>
        </w:rPr>
        <w:t>batching</w:t>
      </w:r>
      <w:r w:rsidR="00531A76" w:rsidRPr="00D52988">
        <w:rPr>
          <w:color w:val="000000" w:themeColor="text1"/>
        </w:rPr>
        <w:t>.</w:t>
      </w:r>
      <w:r w:rsidR="009D2519" w:rsidRPr="00D52988">
        <w:rPr>
          <w:color w:val="000000" w:themeColor="text1"/>
        </w:rPr>
        <w:t xml:space="preserve"> If one carpoule was used to cover exactly </w:t>
      </w:r>
      <w:r w:rsidR="00D52988" w:rsidRPr="00D52988">
        <w:rPr>
          <w:b/>
          <w:bCs/>
          <w:color w:val="000000" w:themeColor="text1"/>
        </w:rPr>
        <w:t>redacted</w:t>
      </w:r>
      <w:r w:rsidR="009D2519" w:rsidRPr="00D52988">
        <w:rPr>
          <w:color w:val="000000" w:themeColor="text1"/>
        </w:rPr>
        <w:t>cm</w:t>
      </w:r>
      <w:r w:rsidR="009D2519" w:rsidRPr="00D52988">
        <w:rPr>
          <w:color w:val="000000" w:themeColor="text1"/>
          <w:vertAlign w:val="superscript"/>
        </w:rPr>
        <w:t>2</w:t>
      </w:r>
      <w:r w:rsidR="00FE7BCD" w:rsidRPr="00D52988">
        <w:rPr>
          <w:color w:val="000000" w:themeColor="text1"/>
        </w:rPr>
        <w:t xml:space="preserve"> </w:t>
      </w:r>
      <w:r w:rsidR="00C236D3" w:rsidRPr="00D52988">
        <w:rPr>
          <w:color w:val="000000" w:themeColor="text1"/>
        </w:rPr>
        <w:t>then the cost of the carpoule would be</w:t>
      </w:r>
      <w:r w:rsidR="00EE5E96" w:rsidRPr="00D52988">
        <w:rPr>
          <w:color w:val="000000" w:themeColor="text1"/>
        </w:rPr>
        <w:t xml:space="preserve"> </w:t>
      </w:r>
      <w:r w:rsidR="00D52988" w:rsidRPr="00D52988">
        <w:rPr>
          <w:b/>
          <w:bCs/>
          <w:color w:val="000000" w:themeColor="text1"/>
        </w:rPr>
        <w:t>redacted</w:t>
      </w:r>
      <w:r w:rsidR="00C236D3" w:rsidRPr="00D52988">
        <w:rPr>
          <w:color w:val="000000" w:themeColor="text1"/>
        </w:rPr>
        <w:t>.</w:t>
      </w:r>
      <w:r w:rsidR="00E65DE4" w:rsidRPr="00D52988">
        <w:rPr>
          <w:color w:val="000000" w:themeColor="text1"/>
        </w:rPr>
        <w:t xml:space="preserve"> </w:t>
      </w:r>
      <w:r w:rsidR="0020748D" w:rsidRPr="00D52988">
        <w:rPr>
          <w:color w:val="000000" w:themeColor="text1"/>
        </w:rPr>
        <w:t>The</w:t>
      </w:r>
      <w:r w:rsidR="0064305B" w:rsidRPr="00D52988">
        <w:rPr>
          <w:color w:val="000000" w:themeColor="text1"/>
        </w:rPr>
        <w:t xml:space="preserve"> ADA</w:t>
      </w:r>
      <w:r w:rsidR="0064305B" w:rsidRPr="008176D5">
        <w:rPr>
          <w:color w:val="auto"/>
        </w:rPr>
        <w:t>R stated that the</w:t>
      </w:r>
      <w:r w:rsidR="00327692" w:rsidRPr="008176D5">
        <w:rPr>
          <w:color w:val="auto"/>
        </w:rPr>
        <w:t xml:space="preserve"> MBS item can be applied as many times as needed to treat any lesion up to 8cm</w:t>
      </w:r>
      <w:r w:rsidR="00327692" w:rsidRPr="001E7696">
        <w:rPr>
          <w:color w:val="auto"/>
          <w:vertAlign w:val="superscript"/>
        </w:rPr>
        <w:t>2</w:t>
      </w:r>
      <w:r w:rsidR="00327692" w:rsidRPr="008176D5">
        <w:rPr>
          <w:color w:val="auto"/>
        </w:rPr>
        <w:t xml:space="preserve"> in contiguous area, or multiple lesions of any total area when any one lesion is ≤8cm</w:t>
      </w:r>
      <w:r w:rsidR="00327692" w:rsidRPr="001D09F6">
        <w:rPr>
          <w:color w:val="auto"/>
          <w:vertAlign w:val="superscript"/>
        </w:rPr>
        <w:t>2</w:t>
      </w:r>
      <w:r w:rsidR="00327692" w:rsidRPr="008176D5">
        <w:rPr>
          <w:color w:val="auto"/>
        </w:rPr>
        <w:t xml:space="preserve"> in contiguous area.</w:t>
      </w:r>
      <w:r w:rsidR="00C60B62" w:rsidRPr="008176D5">
        <w:rPr>
          <w:color w:val="auto"/>
        </w:rPr>
        <w:t xml:space="preserve"> These restrictions were not included in the </w:t>
      </w:r>
      <w:r w:rsidR="00ED5009" w:rsidRPr="008176D5">
        <w:rPr>
          <w:color w:val="auto"/>
        </w:rPr>
        <w:t xml:space="preserve">item </w:t>
      </w:r>
      <w:r w:rsidR="0020748D" w:rsidRPr="008176D5">
        <w:rPr>
          <w:color w:val="auto"/>
        </w:rPr>
        <w:t>descript</w:t>
      </w:r>
      <w:r w:rsidR="005C2559">
        <w:rPr>
          <w:color w:val="auto"/>
        </w:rPr>
        <w:t>or</w:t>
      </w:r>
      <w:r w:rsidR="00537BEB">
        <w:rPr>
          <w:color w:val="auto"/>
        </w:rPr>
        <w:t xml:space="preserve"> </w:t>
      </w:r>
      <w:r w:rsidR="00685B8F">
        <w:rPr>
          <w:color w:val="auto"/>
        </w:rPr>
        <w:t xml:space="preserve">which was in line with the previous item descriptors; however, the </w:t>
      </w:r>
      <w:r w:rsidR="00F816D2">
        <w:rPr>
          <w:color w:val="auto"/>
        </w:rPr>
        <w:t xml:space="preserve">previous item descriptors were limited in price as </w:t>
      </w:r>
      <w:r w:rsidR="00B971A8">
        <w:rPr>
          <w:color w:val="auto"/>
        </w:rPr>
        <w:t>they</w:t>
      </w:r>
      <w:r w:rsidR="00F816D2">
        <w:rPr>
          <w:color w:val="auto"/>
        </w:rPr>
        <w:t xml:space="preserve"> were priced categorical and could only be charged once. </w:t>
      </w:r>
      <w:r w:rsidR="00B971A8">
        <w:rPr>
          <w:color w:val="auto"/>
        </w:rPr>
        <w:t>The c</w:t>
      </w:r>
      <w:r w:rsidR="00B971A8" w:rsidRPr="00B971A8">
        <w:rPr>
          <w:color w:val="auto"/>
        </w:rPr>
        <w:t xml:space="preserve">urrent wording poses a compliance issue that </w:t>
      </w:r>
      <w:r w:rsidR="00B971A8">
        <w:rPr>
          <w:color w:val="auto"/>
        </w:rPr>
        <w:t>may</w:t>
      </w:r>
      <w:r w:rsidR="00B971A8" w:rsidRPr="00B971A8">
        <w:rPr>
          <w:color w:val="auto"/>
        </w:rPr>
        <w:t xml:space="preserve"> lead to significant over expenditure</w:t>
      </w:r>
      <w:r w:rsidR="00B52615">
        <w:rPr>
          <w:color w:val="auto"/>
        </w:rPr>
        <w:t xml:space="preserve">, the descriptor and notes will need consideration </w:t>
      </w:r>
      <w:r w:rsidR="000C3479">
        <w:rPr>
          <w:color w:val="auto"/>
        </w:rPr>
        <w:t xml:space="preserve">as </w:t>
      </w:r>
      <w:r w:rsidR="00B971A8" w:rsidRPr="00B971A8">
        <w:rPr>
          <w:color w:val="auto"/>
        </w:rPr>
        <w:t xml:space="preserve">Services Australia </w:t>
      </w:r>
      <w:r w:rsidR="000C3479">
        <w:rPr>
          <w:color w:val="auto"/>
        </w:rPr>
        <w:t>may</w:t>
      </w:r>
      <w:r w:rsidR="00B971A8" w:rsidRPr="00B971A8">
        <w:rPr>
          <w:color w:val="auto"/>
        </w:rPr>
        <w:t xml:space="preserve"> </w:t>
      </w:r>
      <w:r w:rsidR="000C3479">
        <w:rPr>
          <w:color w:val="auto"/>
        </w:rPr>
        <w:t>put</w:t>
      </w:r>
      <w:r w:rsidR="00B971A8" w:rsidRPr="00B971A8">
        <w:rPr>
          <w:color w:val="auto"/>
        </w:rPr>
        <w:t xml:space="preserve"> system claiming limitations in place which will restrict the number of times an item can be claimed.  </w:t>
      </w:r>
      <w:r w:rsidR="00E14E6C" w:rsidRPr="008176D5">
        <w:rPr>
          <w:color w:val="auto"/>
        </w:rPr>
        <w:t xml:space="preserve"> </w:t>
      </w:r>
    </w:p>
    <w:p w14:paraId="1FF00F7B" w14:textId="6DB7DB0A" w:rsidR="00327692" w:rsidRDefault="00327692" w:rsidP="00327692">
      <w:pPr>
        <w:pStyle w:val="Caption"/>
      </w:pPr>
      <w:bookmarkStart w:id="13" w:name="_Ref187230330"/>
      <w:r>
        <w:t xml:space="preserve">Table </w:t>
      </w:r>
      <w:r w:rsidR="007F4BCC">
        <w:fldChar w:fldCharType="begin"/>
      </w:r>
      <w:r w:rsidR="007F4BCC">
        <w:instrText xml:space="preserve"> SEQ Table \* ARABIC </w:instrText>
      </w:r>
      <w:r w:rsidR="007F4BCC">
        <w:fldChar w:fldCharType="separate"/>
      </w:r>
      <w:r w:rsidR="00AF5AE7">
        <w:rPr>
          <w:noProof/>
        </w:rPr>
        <w:t>5</w:t>
      </w:r>
      <w:r w:rsidR="007F4BCC">
        <w:rPr>
          <w:noProof/>
        </w:rPr>
        <w:fldChar w:fldCharType="end"/>
      </w:r>
      <w:bookmarkEnd w:id="13"/>
      <w:r>
        <w:t xml:space="preserve"> </w:t>
      </w:r>
      <w:r w:rsidRPr="00407C63">
        <w:t xml:space="preserve">Proposed item descriptor for </w:t>
      </w:r>
      <w:r w:rsidR="00026758">
        <w:t>Re-188 brachytherapy</w:t>
      </w:r>
      <w:r w:rsidRPr="00407C63">
        <w:t xml:space="preserve"> radioisotope therapy service</w:t>
      </w:r>
    </w:p>
    <w:tbl>
      <w:tblPr>
        <w:tblStyle w:val="TableGrid"/>
        <w:tblW w:w="0" w:type="auto"/>
        <w:tblLook w:val="04A0" w:firstRow="1" w:lastRow="0" w:firstColumn="1" w:lastColumn="0" w:noHBand="0" w:noVBand="1"/>
      </w:tblPr>
      <w:tblGrid>
        <w:gridCol w:w="9016"/>
      </w:tblGrid>
      <w:tr w:rsidR="00327692" w14:paraId="3946D33F" w14:textId="77777777" w:rsidTr="00203200">
        <w:trPr>
          <w:trHeight w:val="368"/>
        </w:trPr>
        <w:tc>
          <w:tcPr>
            <w:tcW w:w="9016" w:type="dxa"/>
            <w:vAlign w:val="center"/>
          </w:tcPr>
          <w:p w14:paraId="010BB5B7" w14:textId="77777777" w:rsidR="00327692" w:rsidRPr="006322F3" w:rsidRDefault="00327692">
            <w:pPr>
              <w:pStyle w:val="Default"/>
              <w:rPr>
                <w:b/>
                <w:sz w:val="20"/>
                <w:szCs w:val="20"/>
              </w:rPr>
            </w:pPr>
            <w:r w:rsidRPr="006322F3">
              <w:rPr>
                <w:b/>
                <w:sz w:val="20"/>
                <w:szCs w:val="20"/>
              </w:rPr>
              <w:t>Category 3 – Therapeutic Procedures – Group T2 - Radiation Oncology; Subgroup 4 - Brachytherapy</w:t>
            </w:r>
          </w:p>
        </w:tc>
      </w:tr>
      <w:tr w:rsidR="00327692" w14:paraId="71779B12" w14:textId="77777777">
        <w:trPr>
          <w:trHeight w:val="368"/>
        </w:trPr>
        <w:tc>
          <w:tcPr>
            <w:tcW w:w="9016" w:type="dxa"/>
            <w:shd w:val="clear" w:color="auto" w:fill="F2F2F2" w:themeFill="background1" w:themeFillShade="F2"/>
            <w:vAlign w:val="center"/>
          </w:tcPr>
          <w:p w14:paraId="6D22F756" w14:textId="6560F0B0" w:rsidR="00327692" w:rsidRPr="006322F3" w:rsidRDefault="00327692">
            <w:pPr>
              <w:pStyle w:val="Default"/>
              <w:rPr>
                <w:sz w:val="13"/>
                <w:szCs w:val="13"/>
              </w:rPr>
            </w:pPr>
            <w:r w:rsidRPr="006322F3">
              <w:rPr>
                <w:b/>
                <w:bCs/>
                <w:sz w:val="20"/>
                <w:szCs w:val="20"/>
              </w:rPr>
              <w:t xml:space="preserve">MBS item </w:t>
            </w:r>
            <w:r w:rsidR="008A100F" w:rsidRPr="00E1500F">
              <w:rPr>
                <w:b/>
                <w:bCs/>
                <w:sz w:val="20"/>
                <w:szCs w:val="20"/>
              </w:rPr>
              <w:t>XXXX</w:t>
            </w:r>
            <w:r w:rsidR="008A100F">
              <w:rPr>
                <w:b/>
                <w:bCs/>
                <w:sz w:val="20"/>
                <w:szCs w:val="20"/>
              </w:rPr>
              <w:t>3</w:t>
            </w:r>
          </w:p>
        </w:tc>
      </w:tr>
      <w:tr w:rsidR="00327692" w14:paraId="64774F37" w14:textId="77777777">
        <w:trPr>
          <w:trHeight w:val="2168"/>
        </w:trPr>
        <w:tc>
          <w:tcPr>
            <w:tcW w:w="9016" w:type="dxa"/>
            <w:vAlign w:val="center"/>
          </w:tcPr>
          <w:p w14:paraId="1484F30F" w14:textId="1169E768" w:rsidR="00327692" w:rsidRPr="006322F3" w:rsidRDefault="14E509EE">
            <w:pPr>
              <w:spacing w:before="0" w:line="259" w:lineRule="auto"/>
              <w:rPr>
                <w:rFonts w:ascii="Arial Narrow" w:hAnsi="Arial Narrow"/>
                <w:sz w:val="20"/>
                <w:szCs w:val="20"/>
              </w:rPr>
            </w:pPr>
            <w:r w:rsidRPr="00AB27A9">
              <w:rPr>
                <w:rFonts w:ascii="Arial Narrow" w:hAnsi="Arial Narrow"/>
                <w:color w:val="2E74B5" w:themeColor="accent1" w:themeShade="BF"/>
                <w:sz w:val="20"/>
                <w:szCs w:val="20"/>
              </w:rPr>
              <w:t xml:space="preserve">Delivery of </w:t>
            </w:r>
            <w:r w:rsidR="0046349E" w:rsidRPr="00AB27A9">
              <w:rPr>
                <w:rFonts w:ascii="Arial Narrow" w:hAnsi="Arial Narrow"/>
                <w:color w:val="2E74B5" w:themeColor="accent1" w:themeShade="BF"/>
                <w:sz w:val="20"/>
                <w:szCs w:val="20"/>
              </w:rPr>
              <w:t xml:space="preserve">Epidermal </w:t>
            </w:r>
            <w:r w:rsidR="0094543E" w:rsidRPr="00AB27A9">
              <w:rPr>
                <w:rFonts w:ascii="Arial Narrow" w:hAnsi="Arial Narrow"/>
                <w:color w:val="2E74B5" w:themeColor="accent1" w:themeShade="BF"/>
                <w:sz w:val="20"/>
                <w:szCs w:val="20"/>
              </w:rPr>
              <w:t xml:space="preserve">radioisotope </w:t>
            </w:r>
            <w:r w:rsidR="00327692" w:rsidRPr="00AB27A9">
              <w:rPr>
                <w:rFonts w:ascii="Arial Narrow" w:hAnsi="Arial Narrow"/>
                <w:strike/>
                <w:color w:val="2E74B5" w:themeColor="accent1" w:themeShade="BF"/>
                <w:sz w:val="20"/>
                <w:szCs w:val="20"/>
              </w:rPr>
              <w:t>Rhenium-SCT</w:t>
            </w:r>
            <w:r w:rsidR="00327692" w:rsidRPr="00AB27A9">
              <w:rPr>
                <w:rFonts w:ascii="Arial Narrow" w:hAnsi="Arial Narrow"/>
                <w:strike/>
                <w:color w:val="2E74B5" w:themeColor="accent1" w:themeShade="BF"/>
                <w:sz w:val="20"/>
                <w:szCs w:val="20"/>
                <w:vertAlign w:val="superscript"/>
              </w:rPr>
              <w:t>®</w:t>
            </w:r>
            <w:r w:rsidR="00327692" w:rsidRPr="00AB27A9">
              <w:rPr>
                <w:rFonts w:ascii="Arial Narrow" w:hAnsi="Arial Narrow"/>
                <w:strike/>
                <w:color w:val="2E74B5" w:themeColor="accent1" w:themeShade="BF"/>
                <w:sz w:val="20"/>
                <w:szCs w:val="20"/>
              </w:rPr>
              <w:t xml:space="preserve"> radioisotope</w:t>
            </w:r>
            <w:r w:rsidR="00327692" w:rsidRPr="00AB27A9">
              <w:rPr>
                <w:rFonts w:ascii="Arial Narrow" w:hAnsi="Arial Narrow"/>
                <w:color w:val="2E74B5" w:themeColor="accent1" w:themeShade="BF"/>
                <w:sz w:val="20"/>
                <w:szCs w:val="20"/>
              </w:rPr>
              <w:t xml:space="preserve"> </w:t>
            </w:r>
            <w:r w:rsidR="00327692" w:rsidRPr="006322F3">
              <w:rPr>
                <w:rFonts w:ascii="Arial Narrow" w:hAnsi="Arial Narrow"/>
                <w:sz w:val="20"/>
                <w:szCs w:val="20"/>
              </w:rPr>
              <w:t>therapy service</w:t>
            </w:r>
          </w:p>
          <w:p w14:paraId="4B6D411E" w14:textId="77777777" w:rsidR="00327692" w:rsidRPr="006322F3" w:rsidRDefault="00327692">
            <w:pPr>
              <w:spacing w:before="0"/>
              <w:rPr>
                <w:rFonts w:ascii="Arial Narrow" w:hAnsi="Arial Narrow" w:cstheme="minorHAnsi"/>
                <w:sz w:val="20"/>
                <w:szCs w:val="20"/>
              </w:rPr>
            </w:pPr>
          </w:p>
          <w:p w14:paraId="3967FE5B" w14:textId="77777777" w:rsidR="00327692" w:rsidRPr="006322F3" w:rsidRDefault="00327692">
            <w:pPr>
              <w:spacing w:before="0"/>
              <w:rPr>
                <w:rFonts w:ascii="Arial Narrow" w:hAnsi="Arial Narrow" w:cstheme="minorHAnsi"/>
                <w:sz w:val="20"/>
                <w:szCs w:val="20"/>
              </w:rPr>
            </w:pPr>
            <w:r w:rsidRPr="006322F3">
              <w:rPr>
                <w:rFonts w:ascii="Arial Narrow" w:hAnsi="Arial Narrow" w:cstheme="minorHAnsi"/>
                <w:sz w:val="20"/>
                <w:szCs w:val="20"/>
              </w:rPr>
              <w:t>Service in provision of epidermal radioisotope therapy, using rhenium-188, of a cutaneous basal cell carcinoma (BCC) or cutaneous squamous cell carcinoma (SCC)</w:t>
            </w:r>
          </w:p>
          <w:p w14:paraId="6595B675" w14:textId="77777777" w:rsidR="00327692" w:rsidRPr="006322F3" w:rsidRDefault="00327692">
            <w:pPr>
              <w:spacing w:before="0"/>
              <w:rPr>
                <w:rFonts w:ascii="Arial Narrow" w:hAnsi="Arial Narrow" w:cstheme="minorHAnsi"/>
                <w:sz w:val="20"/>
                <w:szCs w:val="20"/>
              </w:rPr>
            </w:pPr>
          </w:p>
          <w:p w14:paraId="3B8598B2" w14:textId="23A03951" w:rsidR="00327692" w:rsidRPr="006322F3" w:rsidRDefault="00327692">
            <w:pPr>
              <w:spacing w:before="0"/>
              <w:rPr>
                <w:rFonts w:ascii="Arial Narrow" w:hAnsi="Arial Narrow" w:cstheme="minorHAnsi"/>
                <w:sz w:val="20"/>
                <w:szCs w:val="20"/>
              </w:rPr>
            </w:pPr>
            <w:r w:rsidRPr="006322F3">
              <w:rPr>
                <w:rFonts w:ascii="Arial Narrow" w:hAnsi="Arial Narrow" w:cstheme="minorHAnsi"/>
                <w:sz w:val="20"/>
                <w:szCs w:val="20"/>
              </w:rPr>
              <w:t xml:space="preserve">Must be applied with Item </w:t>
            </w:r>
            <w:r w:rsidR="00994BB7">
              <w:rPr>
                <w:rFonts w:ascii="Arial Narrow" w:hAnsi="Arial Narrow" w:cstheme="minorHAnsi"/>
                <w:sz w:val="20"/>
                <w:szCs w:val="20"/>
              </w:rPr>
              <w:t>XXXX2</w:t>
            </w:r>
            <w:r w:rsidRPr="006322F3">
              <w:rPr>
                <w:rFonts w:ascii="Arial Narrow" w:hAnsi="Arial Narrow" w:cstheme="minorHAnsi"/>
                <w:sz w:val="20"/>
                <w:szCs w:val="20"/>
              </w:rPr>
              <w:t>.</w:t>
            </w:r>
          </w:p>
          <w:p w14:paraId="0F3FB79D" w14:textId="77777777" w:rsidR="00327692" w:rsidRPr="006322F3" w:rsidRDefault="00327692">
            <w:pPr>
              <w:spacing w:before="0"/>
              <w:rPr>
                <w:rFonts w:ascii="Arial Narrow" w:hAnsi="Arial Narrow" w:cstheme="minorHAnsi"/>
                <w:sz w:val="20"/>
                <w:szCs w:val="20"/>
              </w:rPr>
            </w:pPr>
          </w:p>
          <w:p w14:paraId="1A73B870" w14:textId="77777777" w:rsidR="00327692" w:rsidRPr="006322F3" w:rsidRDefault="00327692">
            <w:pPr>
              <w:spacing w:before="0"/>
              <w:rPr>
                <w:rFonts w:ascii="Arial Narrow" w:hAnsi="Arial Narrow" w:cstheme="minorHAnsi"/>
                <w:sz w:val="20"/>
                <w:szCs w:val="20"/>
              </w:rPr>
            </w:pPr>
            <w:r w:rsidRPr="006322F3">
              <w:rPr>
                <w:rFonts w:ascii="Arial Narrow" w:hAnsi="Arial Narrow" w:cstheme="minorHAnsi"/>
                <w:sz w:val="20"/>
                <w:szCs w:val="20"/>
              </w:rPr>
              <w:t xml:space="preserve">Applicable once per course of treatment. </w:t>
            </w:r>
          </w:p>
        </w:tc>
      </w:tr>
      <w:tr w:rsidR="00327692" w14:paraId="7FD75710" w14:textId="77777777">
        <w:trPr>
          <w:trHeight w:val="494"/>
        </w:trPr>
        <w:tc>
          <w:tcPr>
            <w:tcW w:w="9016" w:type="dxa"/>
            <w:vAlign w:val="center"/>
          </w:tcPr>
          <w:p w14:paraId="5026E977" w14:textId="4A80317D" w:rsidR="00327692" w:rsidRPr="00E1500F" w:rsidRDefault="00327692">
            <w:pPr>
              <w:spacing w:before="0"/>
              <w:rPr>
                <w:rFonts w:ascii="Arial Narrow" w:hAnsi="Arial Narrow"/>
                <w:sz w:val="20"/>
                <w:szCs w:val="20"/>
              </w:rPr>
            </w:pPr>
            <w:r w:rsidRPr="3B7E30C4">
              <w:rPr>
                <w:rFonts w:ascii="Arial Narrow" w:hAnsi="Arial Narrow"/>
                <w:sz w:val="20"/>
                <w:szCs w:val="20"/>
              </w:rPr>
              <w:t>Fee: $1733.77 Benefit 75% = $1300.33 85% =$</w:t>
            </w:r>
            <w:r w:rsidRPr="3B7E30C4">
              <w:rPr>
                <w:rFonts w:ascii="Arial Narrow" w:hAnsi="Arial Narrow"/>
                <w:strike/>
                <w:color w:val="2E74B5" w:themeColor="accent1" w:themeShade="BF"/>
                <w:sz w:val="20"/>
                <w:szCs w:val="20"/>
              </w:rPr>
              <w:t>1473.70</w:t>
            </w:r>
            <w:r w:rsidRPr="3B7E30C4">
              <w:rPr>
                <w:rFonts w:ascii="Arial Narrow" w:hAnsi="Arial Narrow"/>
                <w:color w:val="2E74B5" w:themeColor="accent1" w:themeShade="BF"/>
                <w:sz w:val="20"/>
                <w:szCs w:val="20"/>
              </w:rPr>
              <w:t xml:space="preserve"> </w:t>
            </w:r>
            <w:r w:rsidR="00B16E9E" w:rsidRPr="3B7E30C4">
              <w:rPr>
                <w:rFonts w:ascii="Arial Narrow" w:hAnsi="Arial Narrow"/>
                <w:color w:val="2E74B5" w:themeColor="accent1" w:themeShade="BF"/>
                <w:sz w:val="20"/>
                <w:szCs w:val="20"/>
              </w:rPr>
              <w:t>1,631.37</w:t>
            </w:r>
          </w:p>
        </w:tc>
      </w:tr>
    </w:tbl>
    <w:p w14:paraId="604E6146" w14:textId="712611AD" w:rsidR="001578B8" w:rsidRPr="00AB27A9" w:rsidRDefault="00EC5C58" w:rsidP="001578B8">
      <w:pPr>
        <w:pStyle w:val="TableFigureFooter"/>
        <w:rPr>
          <w:color w:val="2E74B5" w:themeColor="accent1" w:themeShade="BF"/>
        </w:rPr>
      </w:pPr>
      <w:r>
        <w:rPr>
          <w:color w:val="2E74B5" w:themeColor="accent1" w:themeShade="BF"/>
        </w:rPr>
        <w:t>MSAC</w:t>
      </w:r>
      <w:r w:rsidR="001578B8" w:rsidRPr="00AB27A9">
        <w:rPr>
          <w:color w:val="2E74B5" w:themeColor="accent1" w:themeShade="BF"/>
        </w:rPr>
        <w:t xml:space="preserve"> proposed modification</w:t>
      </w:r>
    </w:p>
    <w:p w14:paraId="27817ACB" w14:textId="77777777" w:rsidR="00B063C0" w:rsidRPr="0021261D" w:rsidRDefault="00B063C0" w:rsidP="0021261D">
      <w:r w:rsidRPr="0021261D">
        <w:rPr>
          <w:rStyle w:val="IntenseEmphasis"/>
          <w:color w:val="auto"/>
        </w:rPr>
        <w:t>The ADAR did not account for the greatest permissible gap (GPG) when calculating the MBS costs.</w:t>
      </w:r>
      <w:r w:rsidRPr="0021261D">
        <w:t xml:space="preserve"> </w:t>
      </w:r>
      <w:r w:rsidRPr="0021261D">
        <w:rPr>
          <w:rStyle w:val="IntenseEmphasis"/>
          <w:color w:val="auto"/>
        </w:rPr>
        <w:t>From 1 November 2024, the GPG is set at $102.40.</w:t>
      </w:r>
    </w:p>
    <w:p w14:paraId="521F28EE" w14:textId="0D3B2662" w:rsidR="0082390C" w:rsidRDefault="00BB153B" w:rsidP="00F9259B">
      <w:r>
        <w:t>As Item XXXX2 (</w:t>
      </w:r>
      <w:r>
        <w:fldChar w:fldCharType="begin"/>
      </w:r>
      <w:r>
        <w:instrText xml:space="preserve"> REF _Ref187228157 \h </w:instrText>
      </w:r>
      <w:r>
        <w:fldChar w:fldCharType="separate"/>
      </w:r>
      <w:r w:rsidR="00AF5AE7">
        <w:t xml:space="preserve">Table </w:t>
      </w:r>
      <w:r w:rsidR="00AF5AE7">
        <w:rPr>
          <w:noProof/>
        </w:rPr>
        <w:t>4</w:t>
      </w:r>
      <w:r>
        <w:fldChar w:fldCharType="end"/>
      </w:r>
      <w:r>
        <w:t xml:space="preserve">) only covers the cost of the </w:t>
      </w:r>
      <w:r w:rsidR="00F67629">
        <w:t xml:space="preserve">Re-188, the ADAR proposed an additional item was needed to cover the cost of </w:t>
      </w:r>
      <w:r w:rsidR="007B54CC">
        <w:t xml:space="preserve">healthcare provider time and consumables as is seen </w:t>
      </w:r>
      <w:r w:rsidR="00094DFD">
        <w:t xml:space="preserve">for MBS </w:t>
      </w:r>
      <w:hyperlink r:id="rId11">
        <w:r w:rsidR="00094DFD" w:rsidRPr="1E8B3177">
          <w:rPr>
            <w:rStyle w:val="Hyperlink"/>
          </w:rPr>
          <w:t>Item 15982</w:t>
        </w:r>
      </w:hyperlink>
      <w:r w:rsidR="00094DFD">
        <w:t xml:space="preserve"> for brachytherapy treatment</w:t>
      </w:r>
      <w:r w:rsidR="00BE7FD4">
        <w:t xml:space="preserve">. </w:t>
      </w:r>
      <w:r w:rsidR="00ED2330">
        <w:t xml:space="preserve">The ADAR based the </w:t>
      </w:r>
      <w:r w:rsidR="00327692">
        <w:t>fee</w:t>
      </w:r>
      <w:r w:rsidR="004936A2">
        <w:t xml:space="preserve"> for </w:t>
      </w:r>
      <w:r w:rsidR="00881DCC">
        <w:t>Item XXXX3 (</w:t>
      </w:r>
      <w:r>
        <w:fldChar w:fldCharType="begin"/>
      </w:r>
      <w:r>
        <w:instrText xml:space="preserve"> REF _Ref187230330 \h </w:instrText>
      </w:r>
      <w:r>
        <w:fldChar w:fldCharType="separate"/>
      </w:r>
      <w:r w:rsidR="00AF5AE7">
        <w:t xml:space="preserve">Table </w:t>
      </w:r>
      <w:r w:rsidR="00AF5AE7">
        <w:rPr>
          <w:noProof/>
        </w:rPr>
        <w:t>5</w:t>
      </w:r>
      <w:r>
        <w:fldChar w:fldCharType="end"/>
      </w:r>
      <w:r w:rsidR="00881DCC">
        <w:t>)</w:t>
      </w:r>
      <w:r w:rsidR="00BE7FD4">
        <w:t xml:space="preserve"> on </w:t>
      </w:r>
      <w:r w:rsidR="00143259">
        <w:t xml:space="preserve">four times </w:t>
      </w:r>
      <w:r w:rsidR="00E56CE3">
        <w:t>the cost of</w:t>
      </w:r>
      <w:r w:rsidR="00143259">
        <w:t xml:space="preserve"> item </w:t>
      </w:r>
      <w:r w:rsidR="00927C13">
        <w:t xml:space="preserve">15982 </w:t>
      </w:r>
      <w:r w:rsidR="00E316E2">
        <w:t>($404.25)</w:t>
      </w:r>
      <w:r w:rsidR="00B6217F">
        <w:t xml:space="preserve">. </w:t>
      </w:r>
      <w:r w:rsidR="003C576B">
        <w:t xml:space="preserve">This was based on the estimation that </w:t>
      </w:r>
      <w:r w:rsidR="00534F55">
        <w:t xml:space="preserve">administration of </w:t>
      </w:r>
      <w:r w:rsidR="00026758">
        <w:t>Re-188 brachytherapy</w:t>
      </w:r>
      <w:r w:rsidR="00534F55">
        <w:t xml:space="preserve"> would take four times as long (approximately 80</w:t>
      </w:r>
      <w:r w:rsidR="00E06EDB">
        <w:t> </w:t>
      </w:r>
      <w:r w:rsidR="00534F55">
        <w:t>minutes) compared to</w:t>
      </w:r>
      <w:r w:rsidR="00927C13">
        <w:t xml:space="preserve"> </w:t>
      </w:r>
      <w:r w:rsidR="00E56CE3">
        <w:t>i</w:t>
      </w:r>
      <w:r w:rsidR="00C228F4">
        <w:t xml:space="preserve">tem </w:t>
      </w:r>
      <w:r w:rsidR="00320C20">
        <w:t xml:space="preserve">15982 </w:t>
      </w:r>
      <w:r w:rsidR="00534F55">
        <w:t>(</w:t>
      </w:r>
      <w:r w:rsidR="00320C20">
        <w:t xml:space="preserve">approximately </w:t>
      </w:r>
      <w:r w:rsidR="00AC5D55">
        <w:t>20 minutes</w:t>
      </w:r>
      <w:r w:rsidR="00534F55">
        <w:t>)</w:t>
      </w:r>
      <w:r w:rsidR="0082390C">
        <w:t xml:space="preserve">. </w:t>
      </w:r>
      <w:r w:rsidR="001970E1">
        <w:t>The commentary</w:t>
      </w:r>
      <w:r w:rsidR="005E35DA">
        <w:t xml:space="preserve"> considered that this was likely to be overestimated</w:t>
      </w:r>
      <w:r w:rsidR="00534F55">
        <w:t>;</w:t>
      </w:r>
      <w:r w:rsidR="005E35DA">
        <w:t xml:space="preserve"> while the treatment could take </w:t>
      </w:r>
      <w:r w:rsidR="00534F55">
        <w:t xml:space="preserve">up to </w:t>
      </w:r>
      <w:r w:rsidR="005E35DA">
        <w:t>80</w:t>
      </w:r>
      <w:r w:rsidR="00534F55">
        <w:t xml:space="preserve"> </w:t>
      </w:r>
      <w:r w:rsidR="005E35DA">
        <w:t>min</w:t>
      </w:r>
      <w:r w:rsidR="00534F55">
        <w:t>ute</w:t>
      </w:r>
      <w:r w:rsidR="005E35DA">
        <w:t>s, most of this time is patient waiting time while the Re-188 paste is in contact with the skin. The application process is likely to be much shorter</w:t>
      </w:r>
      <w:r w:rsidR="00DF0A69">
        <w:t xml:space="preserve">, and therefore </w:t>
      </w:r>
      <w:r w:rsidR="00CC2820">
        <w:t>th</w:t>
      </w:r>
      <w:r w:rsidR="00300F31">
        <w:t>e</w:t>
      </w:r>
      <w:r w:rsidR="00CC2820">
        <w:t xml:space="preserve"> commentary noted that </w:t>
      </w:r>
      <w:r w:rsidR="00DF0A69">
        <w:t>i</w:t>
      </w:r>
      <w:r w:rsidR="005E35DA">
        <w:t>t may be more appropriate to use the same fee as MBS Item 15982.</w:t>
      </w:r>
      <w:r w:rsidR="00A80C75">
        <w:t xml:space="preserve"> In addition, the MBS can only pay for the actual time a clinician spends with the patient,</w:t>
      </w:r>
      <w:r w:rsidR="00A639FE">
        <w:t xml:space="preserve"> it seems that</w:t>
      </w:r>
      <w:r w:rsidR="00A80C75">
        <w:t xml:space="preserve"> the item request is for 80</w:t>
      </w:r>
      <w:r w:rsidR="00E06EDB">
        <w:t> </w:t>
      </w:r>
      <w:r w:rsidR="00A80C75">
        <w:t>minutes of medical practitioner time</w:t>
      </w:r>
      <w:r w:rsidR="009A7E58">
        <w:t xml:space="preserve"> ($1,</w:t>
      </w:r>
      <w:r w:rsidR="001141D4">
        <w:t>617)</w:t>
      </w:r>
      <w:r w:rsidR="00A80C75">
        <w:t>,</w:t>
      </w:r>
      <w:r w:rsidR="00A639FE">
        <w:t xml:space="preserve"> nurse time</w:t>
      </w:r>
      <w:r w:rsidR="001141D4">
        <w:t xml:space="preserve"> ($66.77),</w:t>
      </w:r>
      <w:r w:rsidR="00A639FE">
        <w:t xml:space="preserve"> and </w:t>
      </w:r>
      <w:r w:rsidR="009A7E58">
        <w:t>consumables</w:t>
      </w:r>
      <w:r w:rsidR="001141D4">
        <w:t xml:space="preserve"> ($50)</w:t>
      </w:r>
      <w:r w:rsidR="009A7E58">
        <w:t xml:space="preserve">, </w:t>
      </w:r>
      <w:r w:rsidR="00A80C75">
        <w:lastRenderedPageBreak/>
        <w:t xml:space="preserve">which is not </w:t>
      </w:r>
      <w:r w:rsidR="009A7E58">
        <w:t>appropriate</w:t>
      </w:r>
      <w:r w:rsidR="00A80C75">
        <w:t>.</w:t>
      </w:r>
      <w:r w:rsidR="009A7E58">
        <w:t xml:space="preserve"> </w:t>
      </w:r>
      <w:r w:rsidR="00A80C75">
        <w:t xml:space="preserve">The </w:t>
      </w:r>
      <w:r w:rsidR="00AC24B9">
        <w:t xml:space="preserve">medical provider would need to be </w:t>
      </w:r>
      <w:r w:rsidR="00A80C75">
        <w:t>delivering the entire service</w:t>
      </w:r>
      <w:r w:rsidR="00AC24B9">
        <w:t xml:space="preserve"> as n</w:t>
      </w:r>
      <w:r w:rsidR="00A80C75">
        <w:t>urses can't bill for MBS services,</w:t>
      </w:r>
      <w:r w:rsidR="0057418B">
        <w:t xml:space="preserve"> unless an </w:t>
      </w:r>
      <w:r w:rsidR="001E7DB7">
        <w:t>additional</w:t>
      </w:r>
      <w:r w:rsidR="0057418B">
        <w:t xml:space="preserve"> </w:t>
      </w:r>
      <w:r w:rsidR="00A80C75">
        <w:t>'on behalf of item'</w:t>
      </w:r>
      <w:r w:rsidR="001E7DB7">
        <w:t xml:space="preserve"> is requested similar to</w:t>
      </w:r>
      <w:r w:rsidR="00620CE0">
        <w:t xml:space="preserve"> MBS</w:t>
      </w:r>
      <w:r w:rsidR="001E7DB7">
        <w:t xml:space="preserve"> </w:t>
      </w:r>
      <w:hyperlink r:id="rId12">
        <w:r w:rsidR="00A80C75" w:rsidRPr="1E8B3177">
          <w:rPr>
            <w:rStyle w:val="Hyperlink"/>
          </w:rPr>
          <w:t>Item 13950</w:t>
        </w:r>
      </w:hyperlink>
      <w:r w:rsidR="0080514D">
        <w:t xml:space="preserve">. </w:t>
      </w:r>
      <w:r w:rsidR="00C87421">
        <w:t>Currently</w:t>
      </w:r>
      <w:r w:rsidR="00FC0A49">
        <w:t xml:space="preserve"> </w:t>
      </w:r>
      <w:r w:rsidR="00ED3D59">
        <w:t>clinicians</w:t>
      </w:r>
      <w:r w:rsidR="00FC0A49">
        <w:t xml:space="preserve"> cannot double bill their time, so there</w:t>
      </w:r>
      <w:r w:rsidR="00F9259B">
        <w:t xml:space="preserve"> may be issues if patients </w:t>
      </w:r>
      <w:r w:rsidR="00E666AE">
        <w:t>are being</w:t>
      </w:r>
      <w:r w:rsidR="00F9259B">
        <w:t xml:space="preserve"> treated at the same time</w:t>
      </w:r>
      <w:r w:rsidR="00AB5DB1">
        <w:t>.</w:t>
      </w:r>
      <w:r w:rsidR="00E666AE">
        <w:t xml:space="preserve"> </w:t>
      </w:r>
    </w:p>
    <w:p w14:paraId="49608059" w14:textId="7F9D80A3" w:rsidR="004610C1" w:rsidRPr="008947C0" w:rsidRDefault="00A509E2" w:rsidP="00BB5DB3">
      <w:r>
        <w:t xml:space="preserve">The commentary </w:t>
      </w:r>
      <w:r w:rsidR="004610C1">
        <w:t xml:space="preserve">considered that batching and wastage could still be an issue with the updated MBS items. </w:t>
      </w:r>
      <w:r w:rsidR="004610C1" w:rsidRPr="004C4F18">
        <w:t xml:space="preserve">The </w:t>
      </w:r>
      <w:r w:rsidR="004610C1" w:rsidRPr="008176D5">
        <w:t>ADAR</w:t>
      </w:r>
      <w:r w:rsidR="00E02AA0">
        <w:t>’</w:t>
      </w:r>
      <w:r w:rsidR="004610C1" w:rsidRPr="008176D5">
        <w:t>s</w:t>
      </w:r>
      <w:r w:rsidR="004610C1" w:rsidRPr="004C4F18">
        <w:t xml:space="preserve"> approach to costing the </w:t>
      </w:r>
      <w:r w:rsidR="004610C1" w:rsidRPr="0094543E">
        <w:t>Rhenium</w:t>
      </w:r>
      <w:r w:rsidR="004610C1" w:rsidRPr="004C4F18">
        <w:t>-188 component of the MBS fee implies that batching is required (i.e. one carpoule is used to treat multiple patients with a single lesion and/or a patient with multiple lesions)</w:t>
      </w:r>
      <w:r w:rsidR="004610C1">
        <w:t xml:space="preserve">, as the </w:t>
      </w:r>
      <w:r w:rsidR="004610C1" w:rsidRPr="004C4F18">
        <w:t xml:space="preserve">carpoule contains enough compound to treat </w:t>
      </w:r>
      <w:r w:rsidR="00D52988" w:rsidRPr="00D52988">
        <w:rPr>
          <w:b/>
          <w:bCs/>
        </w:rPr>
        <w:t>redacted</w:t>
      </w:r>
      <w:r w:rsidR="00791FAB">
        <w:rPr>
          <w:b/>
          <w:bCs/>
        </w:rPr>
        <w:t xml:space="preserve"> </w:t>
      </w:r>
      <w:r w:rsidR="002D3B39">
        <w:t>cm</w:t>
      </w:r>
      <w:r w:rsidR="002D3B39" w:rsidRPr="3B7E30C4">
        <w:rPr>
          <w:vertAlign w:val="superscript"/>
        </w:rPr>
        <w:t>2</w:t>
      </w:r>
      <w:r w:rsidR="004610C1">
        <w:t>.</w:t>
      </w:r>
      <w:r w:rsidR="004610C1" w:rsidRPr="004C4F18">
        <w:t xml:space="preserve"> </w:t>
      </w:r>
      <w:r w:rsidR="004610C1">
        <w:t xml:space="preserve">Because of this, </w:t>
      </w:r>
      <w:r w:rsidR="004610C1" w:rsidRPr="004C4F18">
        <w:t>wastage may occur depending on how efficiently lesion</w:t>
      </w:r>
      <w:r w:rsidR="004610C1">
        <w:t xml:space="preserve"> treatments </w:t>
      </w:r>
      <w:r w:rsidR="004610C1" w:rsidRPr="004C4F18">
        <w:t xml:space="preserve">are batched. </w:t>
      </w:r>
      <w:r w:rsidR="004610C1">
        <w:t xml:space="preserve">The ADAR maintains that </w:t>
      </w:r>
      <w:r w:rsidR="004610C1" w:rsidRPr="00B65DC2">
        <w:t>the clinics administering the service</w:t>
      </w:r>
      <w:r w:rsidR="004610C1">
        <w:t xml:space="preserve"> will bear </w:t>
      </w:r>
      <w:r w:rsidR="004610C1" w:rsidRPr="00B65DC2">
        <w:t>the costs of wastage</w:t>
      </w:r>
      <w:r w:rsidR="004610C1">
        <w:t xml:space="preserve">. However, it is not clear how much this will be, and how much of this will be passed onto patients in </w:t>
      </w:r>
      <w:r w:rsidR="004610C1" w:rsidRPr="004C4F18">
        <w:t xml:space="preserve">out-of-pocket </w:t>
      </w:r>
      <w:r w:rsidR="004610C1">
        <w:t>expenses</w:t>
      </w:r>
      <w:r w:rsidR="004610C1" w:rsidRPr="004C4F18">
        <w:t xml:space="preserve">. </w:t>
      </w:r>
      <w:r w:rsidR="004610C1">
        <w:t xml:space="preserve">The potential for this to affect State Hospital budgets in a public setting and individual patients in a private setting </w:t>
      </w:r>
      <w:r w:rsidR="004610C1" w:rsidRPr="004C4F18">
        <w:t>could be significant (e.g.</w:t>
      </w:r>
      <w:r w:rsidR="004610C1">
        <w:t xml:space="preserve"> it could be up to </w:t>
      </w:r>
      <w:r w:rsidR="004610C1" w:rsidRPr="004C4F18">
        <w:t>$</w:t>
      </w:r>
      <w:r w:rsidR="004610C1">
        <w:t>787.8</w:t>
      </w:r>
      <w:r w:rsidR="004610C1" w:rsidRPr="004C4F18">
        <w:t xml:space="preserve"> per cm</w:t>
      </w:r>
      <w:r w:rsidR="004610C1" w:rsidRPr="004F015D">
        <w:rPr>
          <w:vertAlign w:val="superscript"/>
        </w:rPr>
        <w:t>2</w:t>
      </w:r>
      <w:r w:rsidR="004610C1" w:rsidRPr="004C4F18">
        <w:t xml:space="preserve"> wastage </w:t>
      </w:r>
      <w:r w:rsidR="004610C1">
        <w:t>in difference between the patients</w:t>
      </w:r>
      <w:r w:rsidR="00B218CC">
        <w:t>’</w:t>
      </w:r>
      <w:r w:rsidR="004610C1">
        <w:t xml:space="preserve"> lesion size</w:t>
      </w:r>
      <w:r w:rsidR="001D2E6B">
        <w:t>(s)</w:t>
      </w:r>
      <w:r w:rsidR="004610C1">
        <w:t xml:space="preserve"> and </w:t>
      </w:r>
      <w:r w:rsidR="00D52988" w:rsidRPr="00D52988">
        <w:rPr>
          <w:b/>
          <w:bCs/>
        </w:rPr>
        <w:t>redacted</w:t>
      </w:r>
      <w:r w:rsidR="00791FAB">
        <w:rPr>
          <w:b/>
          <w:bCs/>
        </w:rPr>
        <w:t xml:space="preserve"> </w:t>
      </w:r>
      <w:r w:rsidR="004610C1">
        <w:t>cm</w:t>
      </w:r>
      <w:r w:rsidR="004610C1" w:rsidRPr="3B7E30C4">
        <w:rPr>
          <w:vertAlign w:val="superscript"/>
        </w:rPr>
        <w:t>2</w:t>
      </w:r>
      <w:r w:rsidR="004610C1">
        <w:t>).</w:t>
      </w:r>
      <w:r w:rsidR="004610C1" w:rsidRPr="004C4F18">
        <w:t xml:space="preserve"> The ADAR has not addressed the issue of batching or wastage and has not accounted for this in the economic or financial analysis.</w:t>
      </w:r>
    </w:p>
    <w:p w14:paraId="34E0B08F" w14:textId="13BAD552" w:rsidR="00772829" w:rsidRPr="00CE28E3" w:rsidRDefault="00772829" w:rsidP="00AE5472">
      <w:pPr>
        <w:pStyle w:val="Heading2"/>
        <w:numPr>
          <w:ilvl w:val="0"/>
          <w:numId w:val="18"/>
        </w:numPr>
        <w:ind w:hanging="720"/>
      </w:pPr>
      <w:bookmarkStart w:id="14" w:name="_Toc69491419"/>
      <w:r w:rsidRPr="00CE28E3">
        <w:t>Population</w:t>
      </w:r>
      <w:bookmarkEnd w:id="14"/>
      <w:r w:rsidRPr="00CE28E3">
        <w:t xml:space="preserve"> </w:t>
      </w:r>
    </w:p>
    <w:p w14:paraId="138A3164" w14:textId="334A0A63" w:rsidR="008C07E9" w:rsidRPr="00BA436F" w:rsidRDefault="00C82FB1" w:rsidP="00414993">
      <w:pPr>
        <w:pStyle w:val="Instructionaltext"/>
        <w:rPr>
          <w:color w:val="auto"/>
        </w:rPr>
      </w:pPr>
      <w:r w:rsidRPr="00BA436F">
        <w:rPr>
          <w:color w:val="auto"/>
        </w:rPr>
        <w:t xml:space="preserve">There was only one </w:t>
      </w:r>
      <w:r w:rsidR="005E2702" w:rsidRPr="00BA436F">
        <w:rPr>
          <w:color w:val="auto"/>
        </w:rPr>
        <w:t>PICO set</w:t>
      </w:r>
      <w:r w:rsidRPr="00BA436F">
        <w:rPr>
          <w:color w:val="auto"/>
        </w:rPr>
        <w:t xml:space="preserve"> </w:t>
      </w:r>
      <w:r w:rsidR="004A5E70" w:rsidRPr="00BA436F">
        <w:rPr>
          <w:color w:val="auto"/>
        </w:rPr>
        <w:t xml:space="preserve">proposed. </w:t>
      </w:r>
      <w:r w:rsidR="008C07E9" w:rsidRPr="00BA436F">
        <w:rPr>
          <w:color w:val="auto"/>
        </w:rPr>
        <w:t xml:space="preserve">The ADAR defined the population as patients with histologically confirmed </w:t>
      </w:r>
      <w:r w:rsidR="00A04A21" w:rsidRPr="00A04A21">
        <w:rPr>
          <w:color w:val="auto"/>
        </w:rPr>
        <w:t>basal cell carcinoma</w:t>
      </w:r>
      <w:r w:rsidR="00A04A21" w:rsidRPr="00BA436F">
        <w:rPr>
          <w:color w:val="auto"/>
        </w:rPr>
        <w:t xml:space="preserve"> </w:t>
      </w:r>
      <w:r w:rsidR="00A04A21">
        <w:rPr>
          <w:color w:val="auto"/>
        </w:rPr>
        <w:t>(</w:t>
      </w:r>
      <w:r w:rsidR="008C07E9" w:rsidRPr="00BA436F">
        <w:rPr>
          <w:color w:val="auto"/>
        </w:rPr>
        <w:t>BCC</w:t>
      </w:r>
      <w:r w:rsidR="00A04A21">
        <w:rPr>
          <w:color w:val="auto"/>
        </w:rPr>
        <w:t>)</w:t>
      </w:r>
      <w:r w:rsidR="008C07E9" w:rsidRPr="00BA436F">
        <w:rPr>
          <w:color w:val="auto"/>
        </w:rPr>
        <w:t xml:space="preserve"> or SCC, of relatively shallow depth and moderate size (depth ≤3mm and area 1.5-8.0cm</w:t>
      </w:r>
      <w:r w:rsidR="008C07E9" w:rsidRPr="00A04A21">
        <w:rPr>
          <w:color w:val="auto"/>
          <w:vertAlign w:val="superscript"/>
        </w:rPr>
        <w:t>2</w:t>
      </w:r>
      <w:r w:rsidR="008C07E9" w:rsidRPr="00BA436F">
        <w:rPr>
          <w:color w:val="auto"/>
        </w:rPr>
        <w:t>),</w:t>
      </w:r>
      <w:r w:rsidR="00AF365A">
        <w:rPr>
          <w:color w:val="auto"/>
        </w:rPr>
        <w:t xml:space="preserve"> </w:t>
      </w:r>
      <w:r w:rsidR="00AF365A" w:rsidRPr="00AF365A">
        <w:rPr>
          <w:color w:val="auto"/>
        </w:rPr>
        <w:t xml:space="preserve">in </w:t>
      </w:r>
      <w:r w:rsidR="008D5873">
        <w:rPr>
          <w:color w:val="auto"/>
        </w:rPr>
        <w:t xml:space="preserve">anatomical </w:t>
      </w:r>
      <w:r w:rsidR="00AF365A" w:rsidRPr="00AF365A">
        <w:rPr>
          <w:color w:val="auto"/>
        </w:rPr>
        <w:t>areas for which they are contraindicated for surgical excision, including where there are clinician concerns for patient outcomes from surgery.</w:t>
      </w:r>
      <w:r w:rsidR="004A5E70" w:rsidRPr="00BA436F">
        <w:rPr>
          <w:color w:val="auto"/>
        </w:rPr>
        <w:t xml:space="preserve"> </w:t>
      </w:r>
      <w:r w:rsidR="008C07E9" w:rsidRPr="00BA436F">
        <w:rPr>
          <w:color w:val="auto"/>
        </w:rPr>
        <w:t xml:space="preserve">The commentary noted </w:t>
      </w:r>
      <w:r w:rsidR="00CC2820">
        <w:rPr>
          <w:color w:val="auto"/>
        </w:rPr>
        <w:t xml:space="preserve">that </w:t>
      </w:r>
      <w:r w:rsidR="008C07E9" w:rsidRPr="00BA436F">
        <w:rPr>
          <w:color w:val="auto"/>
        </w:rPr>
        <w:t xml:space="preserve">the </w:t>
      </w:r>
      <w:r w:rsidR="002F37B2">
        <w:rPr>
          <w:color w:val="auto"/>
        </w:rPr>
        <w:t xml:space="preserve">resubmission no longer included </w:t>
      </w:r>
      <w:r w:rsidR="008C07E9" w:rsidRPr="00BA436F">
        <w:rPr>
          <w:color w:val="auto"/>
        </w:rPr>
        <w:t xml:space="preserve">patients </w:t>
      </w:r>
      <w:r w:rsidR="00CC2820">
        <w:rPr>
          <w:color w:val="auto"/>
        </w:rPr>
        <w:t>“</w:t>
      </w:r>
      <w:r w:rsidR="008C07E9" w:rsidRPr="00BA436F">
        <w:rPr>
          <w:color w:val="auto"/>
        </w:rPr>
        <w:t>who otherwise refuse surgery</w:t>
      </w:r>
      <w:r w:rsidR="00CC2820">
        <w:rPr>
          <w:color w:val="auto"/>
        </w:rPr>
        <w:t>”</w:t>
      </w:r>
      <w:r w:rsidR="008C07E9" w:rsidRPr="00BA436F">
        <w:rPr>
          <w:color w:val="auto"/>
        </w:rPr>
        <w:t xml:space="preserve">. </w:t>
      </w:r>
      <w:r w:rsidR="00414993">
        <w:rPr>
          <w:color w:val="auto"/>
        </w:rPr>
        <w:t xml:space="preserve">However, the </w:t>
      </w:r>
      <w:r w:rsidR="008C07E9" w:rsidRPr="00BA436F">
        <w:rPr>
          <w:color w:val="auto"/>
        </w:rPr>
        <w:t xml:space="preserve">clinical assessment of comorbidities that would prevent surgical excision on a case-by-case basis </w:t>
      </w:r>
      <w:r w:rsidR="00414993">
        <w:rPr>
          <w:color w:val="auto"/>
        </w:rPr>
        <w:t xml:space="preserve">still </w:t>
      </w:r>
      <w:r w:rsidR="008C07E9" w:rsidRPr="00BA436F">
        <w:rPr>
          <w:color w:val="auto"/>
        </w:rPr>
        <w:t>creates difficulties for defining a PICO and for tightening the proposed MBS descriptor to avoid unintended use outside of the proposed population.</w:t>
      </w:r>
    </w:p>
    <w:p w14:paraId="37958D97" w14:textId="54A77857" w:rsidR="008C07E9" w:rsidRPr="00BA436F" w:rsidRDefault="0043433A" w:rsidP="008C07E9">
      <w:pPr>
        <w:pStyle w:val="Instructionaltext"/>
        <w:spacing w:after="0"/>
        <w:rPr>
          <w:color w:val="auto"/>
        </w:rPr>
      </w:pPr>
      <w:r>
        <w:rPr>
          <w:color w:val="auto"/>
        </w:rPr>
        <w:t xml:space="preserve">The commentary </w:t>
      </w:r>
      <w:r w:rsidR="00AB29C8">
        <w:rPr>
          <w:color w:val="auto"/>
        </w:rPr>
        <w:t xml:space="preserve">noted that the resubmission removed </w:t>
      </w:r>
      <w:r w:rsidR="008C07E9" w:rsidRPr="00BA436F">
        <w:rPr>
          <w:color w:val="auto"/>
        </w:rPr>
        <w:t>rarer lesions</w:t>
      </w:r>
      <w:r w:rsidR="00AB29C8">
        <w:rPr>
          <w:color w:val="auto"/>
        </w:rPr>
        <w:t>, that were mentioned in the previous ADAR</w:t>
      </w:r>
      <w:r w:rsidR="008C07E9" w:rsidRPr="00BA436F">
        <w:rPr>
          <w:color w:val="auto"/>
        </w:rPr>
        <w:t xml:space="preserve">. </w:t>
      </w:r>
      <w:r w:rsidR="008F3DA3">
        <w:rPr>
          <w:color w:val="auto"/>
        </w:rPr>
        <w:t xml:space="preserve">Though these would still be covered under the blanket term </w:t>
      </w:r>
      <w:r w:rsidR="00CC2820">
        <w:rPr>
          <w:color w:val="auto"/>
        </w:rPr>
        <w:t>“</w:t>
      </w:r>
      <w:r w:rsidR="008F3DA3">
        <w:rPr>
          <w:color w:val="auto"/>
        </w:rPr>
        <w:t>k</w:t>
      </w:r>
      <w:r w:rsidR="008F3DA3" w:rsidRPr="008F3DA3">
        <w:rPr>
          <w:color w:val="auto"/>
        </w:rPr>
        <w:t xml:space="preserve">eratinocyte </w:t>
      </w:r>
      <w:r w:rsidR="008F3DA3">
        <w:rPr>
          <w:color w:val="auto"/>
        </w:rPr>
        <w:t>c</w:t>
      </w:r>
      <w:r w:rsidR="008F3DA3" w:rsidRPr="008F3DA3">
        <w:rPr>
          <w:color w:val="auto"/>
        </w:rPr>
        <w:t>ancer</w:t>
      </w:r>
      <w:r w:rsidR="00CC2820">
        <w:rPr>
          <w:color w:val="auto"/>
        </w:rPr>
        <w:t>”</w:t>
      </w:r>
      <w:r w:rsidR="001D2190">
        <w:rPr>
          <w:color w:val="auto"/>
        </w:rPr>
        <w:t xml:space="preserve">, </w:t>
      </w:r>
      <w:r w:rsidR="00D63599">
        <w:rPr>
          <w:color w:val="auto"/>
        </w:rPr>
        <w:t>they would not be</w:t>
      </w:r>
      <w:r w:rsidR="001D2190">
        <w:rPr>
          <w:color w:val="auto"/>
        </w:rPr>
        <w:t xml:space="preserve"> included in the proposal for public funding (i.e. </w:t>
      </w:r>
      <w:r w:rsidR="008C07E9" w:rsidRPr="00BA436F">
        <w:rPr>
          <w:color w:val="auto"/>
        </w:rPr>
        <w:t>keratinocyte dysplasia).</w:t>
      </w:r>
    </w:p>
    <w:p w14:paraId="7F659F89" w14:textId="79B00097" w:rsidR="008C07E9" w:rsidRPr="00BA436F" w:rsidRDefault="008C07E9" w:rsidP="008C07E9">
      <w:pPr>
        <w:pStyle w:val="Instructionaltext"/>
        <w:spacing w:after="0"/>
        <w:rPr>
          <w:color w:val="auto"/>
        </w:rPr>
      </w:pPr>
      <w:r w:rsidRPr="00BA436F">
        <w:rPr>
          <w:color w:val="auto"/>
        </w:rPr>
        <w:t xml:space="preserve">In current practice, patients with suspected keratinocyte cancer typically present initially to a general practitioner, who, in </w:t>
      </w:r>
      <w:r w:rsidR="00CC2820" w:rsidRPr="00BA436F">
        <w:rPr>
          <w:color w:val="auto"/>
        </w:rPr>
        <w:t>most</w:t>
      </w:r>
      <w:r w:rsidRPr="00BA436F">
        <w:rPr>
          <w:color w:val="auto"/>
        </w:rPr>
        <w:t xml:space="preserve"> cases, surgically excises the lesion or prescribes one of several available topical therapies, with or without concurrent histology. Higher risk lesions, those in a challenging anatomical location, or patients with relevant limiting comorbidities or other objections to surgery, would usually be referred to a dermatologist, radiation oncologist or plastic surgeon, who in many cases would collaborate with a representative of the other speciality within a multidisciplinary care model.</w:t>
      </w:r>
    </w:p>
    <w:p w14:paraId="78A6481F" w14:textId="1F705639" w:rsidR="008C07E9" w:rsidRPr="00BA436F" w:rsidRDefault="008C07E9" w:rsidP="008C07E9">
      <w:pPr>
        <w:pStyle w:val="Instructionaltext"/>
        <w:spacing w:after="0"/>
        <w:rPr>
          <w:color w:val="auto"/>
        </w:rPr>
      </w:pPr>
      <w:r w:rsidRPr="00BA436F">
        <w:rPr>
          <w:color w:val="auto"/>
        </w:rPr>
        <w:t xml:space="preserve">The proposed clinical management algorithm showing the addition of Re-188 brachytherapy as an alternative to other radiotherapy modalities is presented </w:t>
      </w:r>
      <w:r w:rsidRPr="00097FC9">
        <w:rPr>
          <w:color w:val="auto"/>
        </w:rPr>
        <w:t xml:space="preserve">in </w:t>
      </w:r>
      <w:r w:rsidR="00097FC9" w:rsidRPr="00B91B70">
        <w:rPr>
          <w:color w:val="auto"/>
        </w:rPr>
        <w:fldChar w:fldCharType="begin"/>
      </w:r>
      <w:r w:rsidR="00097FC9" w:rsidRPr="00B91B70">
        <w:rPr>
          <w:color w:val="auto"/>
        </w:rPr>
        <w:instrText xml:space="preserve"> REF _Ref184287145 \h </w:instrText>
      </w:r>
      <w:r w:rsidR="00097FC9" w:rsidRPr="00B91B70">
        <w:rPr>
          <w:color w:val="auto"/>
        </w:rPr>
      </w:r>
      <w:r w:rsidR="00097FC9" w:rsidRPr="00B91B70">
        <w:rPr>
          <w:color w:val="auto"/>
        </w:rPr>
        <w:fldChar w:fldCharType="separate"/>
      </w:r>
      <w:r w:rsidR="00AF5AE7">
        <w:t xml:space="preserve">Figure </w:t>
      </w:r>
      <w:r w:rsidR="00AF5AE7">
        <w:rPr>
          <w:noProof/>
        </w:rPr>
        <w:t>1</w:t>
      </w:r>
      <w:r w:rsidR="00097FC9" w:rsidRPr="00B91B70">
        <w:rPr>
          <w:color w:val="auto"/>
        </w:rPr>
        <w:fldChar w:fldCharType="end"/>
      </w:r>
      <w:r w:rsidRPr="00097FC9">
        <w:rPr>
          <w:color w:val="auto"/>
        </w:rPr>
        <w:t xml:space="preserve">. </w:t>
      </w:r>
      <w:r w:rsidRPr="00365C08">
        <w:rPr>
          <w:color w:val="auto"/>
        </w:rPr>
        <w:t>Note</w:t>
      </w:r>
      <w:r w:rsidR="000963FF" w:rsidRPr="00365C08">
        <w:rPr>
          <w:color w:val="auto"/>
        </w:rPr>
        <w:t>,</w:t>
      </w:r>
      <w:r w:rsidRPr="00365C08">
        <w:rPr>
          <w:color w:val="auto"/>
        </w:rPr>
        <w:t xml:space="preserve"> this </w:t>
      </w:r>
      <w:r w:rsidRPr="00BA436F">
        <w:rPr>
          <w:color w:val="auto"/>
        </w:rPr>
        <w:t xml:space="preserve">algorithm does not depict the clinical pathway for patients </w:t>
      </w:r>
      <w:r w:rsidR="000963FF">
        <w:rPr>
          <w:color w:val="auto"/>
        </w:rPr>
        <w:t>“</w:t>
      </w:r>
      <w:r w:rsidRPr="00BA436F">
        <w:rPr>
          <w:color w:val="auto"/>
        </w:rPr>
        <w:t>who otherwise refuse surgery</w:t>
      </w:r>
      <w:r w:rsidR="000963FF">
        <w:rPr>
          <w:color w:val="auto"/>
        </w:rPr>
        <w:t>”</w:t>
      </w:r>
      <w:r w:rsidRPr="00BA436F">
        <w:rPr>
          <w:color w:val="auto"/>
        </w:rPr>
        <w:t xml:space="preserve"> but the commentary considered that this pathway may be similar to the pathway for patients contraindicated to surgery.</w:t>
      </w:r>
    </w:p>
    <w:p w14:paraId="30DED9DE" w14:textId="6D478438" w:rsidR="008C07E9" w:rsidRPr="00BA436F" w:rsidRDefault="008C07E9" w:rsidP="008C07E9">
      <w:pPr>
        <w:pStyle w:val="Instructionaltext"/>
        <w:spacing w:after="0"/>
        <w:rPr>
          <w:color w:val="auto"/>
        </w:rPr>
      </w:pPr>
      <w:r w:rsidRPr="00BA436F">
        <w:rPr>
          <w:color w:val="auto"/>
        </w:rPr>
        <w:t xml:space="preserve">At an individual patient level, Re-188 brachytherapy would directly substitute other modalities of radiotherapy, with the two approaches almost never being used consecutively for the same lesion. However, at a population level, it is envisaged that Re-188 brachytherapy would sit </w:t>
      </w:r>
      <w:r w:rsidRPr="00BA436F">
        <w:rPr>
          <w:color w:val="auto"/>
        </w:rPr>
        <w:lastRenderedPageBreak/>
        <w:t>permanently alongside other radiation therapy techniques in the management algorithm, as an alternative treatment technique appropriate only in limited specified clinical circumstances.</w:t>
      </w:r>
    </w:p>
    <w:p w14:paraId="1137D36E" w14:textId="77777777" w:rsidR="000963FF" w:rsidRDefault="000963FF" w:rsidP="000963FF">
      <w:pPr>
        <w:keepNext/>
        <w:spacing w:line="276" w:lineRule="auto"/>
        <w:jc w:val="center"/>
      </w:pPr>
      <w:r>
        <w:rPr>
          <w:rFonts w:ascii="Calibri" w:hAnsi="Calibri" w:cs="Calibri"/>
          <w:noProof/>
        </w:rPr>
        <w:drawing>
          <wp:inline distT="0" distB="0" distL="0" distR="0" wp14:anchorId="7341AD5D" wp14:editId="595AE0A2">
            <wp:extent cx="4678018" cy="7534656"/>
            <wp:effectExtent l="0" t="0" r="8890" b="0"/>
            <wp:docPr id="2117115029" name="Picture 1" descr="A diagram of a medical procedure, proposed clinical management algorithm, following listing of RS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115029" name="Picture 1" descr="A diagram of a medical procedure, proposed clinical management algorithm, following listing of RS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27501" cy="7614357"/>
                    </a:xfrm>
                    <a:prstGeom prst="rect">
                      <a:avLst/>
                    </a:prstGeom>
                    <a:noFill/>
                  </pic:spPr>
                </pic:pic>
              </a:graphicData>
            </a:graphic>
          </wp:inline>
        </w:drawing>
      </w:r>
    </w:p>
    <w:p w14:paraId="25B6DCCF" w14:textId="44CABA5B" w:rsidR="000963FF" w:rsidRDefault="000963FF" w:rsidP="001D09F6">
      <w:pPr>
        <w:pStyle w:val="Caption"/>
        <w:rPr>
          <w:rFonts w:ascii="Calibri" w:hAnsi="Calibri" w:cs="Calibri"/>
        </w:rPr>
      </w:pPr>
      <w:bookmarkStart w:id="15" w:name="_Ref184287145"/>
      <w:r>
        <w:t xml:space="preserve">Figure </w:t>
      </w:r>
      <w:r w:rsidR="007F4BCC">
        <w:fldChar w:fldCharType="begin"/>
      </w:r>
      <w:r w:rsidR="007F4BCC">
        <w:instrText xml:space="preserve"> SEQ Figure \* ARABIC </w:instrText>
      </w:r>
      <w:r w:rsidR="007F4BCC">
        <w:fldChar w:fldCharType="separate"/>
      </w:r>
      <w:r w:rsidR="00AF5AE7">
        <w:rPr>
          <w:noProof/>
        </w:rPr>
        <w:t>1</w:t>
      </w:r>
      <w:r w:rsidR="007F4BCC">
        <w:rPr>
          <w:noProof/>
        </w:rPr>
        <w:fldChar w:fldCharType="end"/>
      </w:r>
      <w:bookmarkEnd w:id="15"/>
      <w:r w:rsidRPr="006322F3">
        <w:t xml:space="preserve"> </w:t>
      </w:r>
      <w:r w:rsidRPr="687198D5">
        <w:t xml:space="preserve">Proposed clinical management algorithm, following listing of </w:t>
      </w:r>
      <w:r w:rsidR="00026758">
        <w:t>Re-188 brachytherapy</w:t>
      </w:r>
    </w:p>
    <w:p w14:paraId="1CF27192" w14:textId="2C6E50BB" w:rsidR="008C07E9" w:rsidRDefault="00D71150" w:rsidP="008C07E9">
      <w:pPr>
        <w:pStyle w:val="Instructionaltext"/>
        <w:spacing w:after="0"/>
      </w:pPr>
      <w:r>
        <w:rPr>
          <w:rFonts w:ascii="Arial Narrow" w:hAnsi="Arial Narrow" w:cs="Arial"/>
          <w:color w:val="auto"/>
          <w:sz w:val="18"/>
        </w:rPr>
        <w:t xml:space="preserve">Source: Figure 2 page 22 of the ADAR, </w:t>
      </w:r>
      <w:r w:rsidR="003B7AFA" w:rsidRPr="001D09F6">
        <w:rPr>
          <w:rFonts w:ascii="Arial Narrow" w:hAnsi="Arial Narrow" w:cs="Arial"/>
          <w:color w:val="auto"/>
          <w:sz w:val="18"/>
        </w:rPr>
        <w:t xml:space="preserve">BCC= basal cell carcinoma; </w:t>
      </w:r>
      <w:r w:rsidR="003B7AFA">
        <w:rPr>
          <w:rFonts w:ascii="Arial Narrow" w:hAnsi="Arial Narrow" w:cs="Arial"/>
          <w:color w:val="auto"/>
          <w:sz w:val="18"/>
        </w:rPr>
        <w:t xml:space="preserve">GP = general practitioner; </w:t>
      </w:r>
      <w:r w:rsidR="003B7AFA" w:rsidRPr="001D09F6">
        <w:rPr>
          <w:rFonts w:ascii="Arial Narrow" w:hAnsi="Arial Narrow" w:cs="Arial"/>
          <w:color w:val="auto"/>
          <w:sz w:val="18"/>
        </w:rPr>
        <w:t xml:space="preserve">SCC= squamous cell carcinoma; Re-188 = </w:t>
      </w:r>
      <w:r w:rsidR="003B7AFA" w:rsidRPr="00BA438C">
        <w:rPr>
          <w:rFonts w:ascii="Arial Narrow" w:hAnsi="Arial Narrow" w:cs="Arial"/>
          <w:color w:val="auto"/>
          <w:sz w:val="18"/>
        </w:rPr>
        <w:t>Rhenium-188</w:t>
      </w:r>
    </w:p>
    <w:p w14:paraId="66BDFCC1" w14:textId="7983C8E7" w:rsidR="00772829" w:rsidRPr="00CE28E3" w:rsidRDefault="00772829" w:rsidP="00AE5472">
      <w:pPr>
        <w:pStyle w:val="Heading2"/>
        <w:numPr>
          <w:ilvl w:val="0"/>
          <w:numId w:val="18"/>
        </w:numPr>
        <w:ind w:hanging="720"/>
      </w:pPr>
      <w:bookmarkStart w:id="16" w:name="_Toc69491420"/>
      <w:r w:rsidRPr="00CE28E3">
        <w:lastRenderedPageBreak/>
        <w:t>Comparator</w:t>
      </w:r>
      <w:bookmarkEnd w:id="16"/>
    </w:p>
    <w:p w14:paraId="39298073" w14:textId="61CEEDA4" w:rsidR="002F68B6" w:rsidRDefault="00B02882" w:rsidP="001D7EEA">
      <w:r w:rsidRPr="001D09F6">
        <w:t>External beam radiation therapy</w:t>
      </w:r>
      <w:r w:rsidRPr="00044210">
        <w:t xml:space="preserve"> </w:t>
      </w:r>
      <w:r>
        <w:t>(</w:t>
      </w:r>
      <w:r w:rsidR="00044210" w:rsidRPr="00044210">
        <w:t>EBRT</w:t>
      </w:r>
      <w:r>
        <w:t>)</w:t>
      </w:r>
      <w:r w:rsidR="00044210" w:rsidRPr="00044210">
        <w:t xml:space="preserve"> remain</w:t>
      </w:r>
      <w:r w:rsidR="00044210">
        <w:t>ed</w:t>
      </w:r>
      <w:r w:rsidR="00044210" w:rsidRPr="00044210">
        <w:t xml:space="preserve"> the comparator in </w:t>
      </w:r>
      <w:r w:rsidR="00044210">
        <w:t>the</w:t>
      </w:r>
      <w:r w:rsidR="001200D2">
        <w:t xml:space="preserve"> ADAR</w:t>
      </w:r>
      <w:r w:rsidR="00044210" w:rsidRPr="00044210">
        <w:t xml:space="preserve"> resubmission</w:t>
      </w:r>
      <w:r w:rsidR="003E73A1">
        <w:t xml:space="preserve">. </w:t>
      </w:r>
      <w:r w:rsidR="00D50E9D" w:rsidRPr="00D50E9D">
        <w:t xml:space="preserve">The original ADAR assumed that the EBRT modality would be evenly split between 3D megavoltage (50%) and Modulated Radiation Therapy/Volumetric Modulated Arc Therapy (IMRT/VMAT) (50%). </w:t>
      </w:r>
      <w:r w:rsidR="003E73A1">
        <w:t xml:space="preserve">The ADAR </w:t>
      </w:r>
      <w:r w:rsidR="007C6BF4">
        <w:t xml:space="preserve">resubmission </w:t>
      </w:r>
      <w:r w:rsidR="002F68B6">
        <w:t xml:space="preserve">attempted to </w:t>
      </w:r>
      <w:r w:rsidR="002F68B6" w:rsidRPr="002F68B6">
        <w:t>address the MSAC concerns about comparator estimates via a</w:t>
      </w:r>
      <w:r w:rsidR="00610120">
        <w:t xml:space="preserve">n </w:t>
      </w:r>
      <w:r w:rsidR="002F68B6" w:rsidRPr="002F68B6">
        <w:t xml:space="preserve">advisory board </w:t>
      </w:r>
      <w:r w:rsidR="007761E4">
        <w:t xml:space="preserve">consultation </w:t>
      </w:r>
      <w:r w:rsidR="002F68B6" w:rsidRPr="002F68B6">
        <w:t xml:space="preserve">to create a comprehensive assessment of current treatment practices of radiation oncologists across Australia. </w:t>
      </w:r>
      <w:r w:rsidR="00E13810">
        <w:t xml:space="preserve">The advisory board consisted of </w:t>
      </w:r>
      <w:r w:rsidR="003E144F">
        <w:t xml:space="preserve">nine </w:t>
      </w:r>
      <w:r w:rsidR="00E13810" w:rsidRPr="00E13810">
        <w:t>Radiation Oncologist</w:t>
      </w:r>
      <w:r w:rsidR="00004F1A">
        <w:t>s</w:t>
      </w:r>
      <w:r w:rsidR="008B6EA3">
        <w:t xml:space="preserve">, </w:t>
      </w:r>
      <w:r w:rsidR="00FA0AFA">
        <w:t>two</w:t>
      </w:r>
      <w:r w:rsidR="008B6EA3">
        <w:t xml:space="preserve"> </w:t>
      </w:r>
      <w:r w:rsidR="004508B6">
        <w:t xml:space="preserve">dermatologists and three </w:t>
      </w:r>
      <w:r w:rsidR="00FA0AFA">
        <w:t>representatives from OncoBeta.</w:t>
      </w:r>
      <w:r w:rsidR="008321BD">
        <w:t xml:space="preserve"> It was unclear what role the OncoBeta representatives played in the advisory board.</w:t>
      </w:r>
    </w:p>
    <w:p w14:paraId="2F7DDB53" w14:textId="7D128273" w:rsidR="00EB1DE3" w:rsidRDefault="0049235F" w:rsidP="001D7EEA">
      <w:r>
        <w:t xml:space="preserve">The clinical advisory board did not </w:t>
      </w:r>
      <w:r w:rsidR="00BE670C">
        <w:t xml:space="preserve">align with the MSAC feedback that </w:t>
      </w:r>
      <w:r w:rsidR="00C544C8" w:rsidRPr="00C544C8">
        <w:t>orthovoltage use</w:t>
      </w:r>
      <w:r w:rsidR="00C544C8">
        <w:t xml:space="preserve"> would b</w:t>
      </w:r>
      <w:r w:rsidR="008B5784">
        <w:t>e</w:t>
      </w:r>
      <w:r w:rsidR="00C544C8">
        <w:t xml:space="preserve"> an appropriate comparator. </w:t>
      </w:r>
      <w:r w:rsidR="001132A6">
        <w:t xml:space="preserve">In </w:t>
      </w:r>
      <w:r w:rsidR="00CD0ED9">
        <w:t>addition,</w:t>
      </w:r>
      <w:r w:rsidR="001132A6">
        <w:t xml:space="preserve"> the ADAR argued that the </w:t>
      </w:r>
      <w:r w:rsidR="0091159D" w:rsidRPr="0091159D">
        <w:t xml:space="preserve">ESC proposed fractionation estimate </w:t>
      </w:r>
      <w:r w:rsidR="00043EF7">
        <w:t>of</w:t>
      </w:r>
      <w:r w:rsidR="0091159D" w:rsidRPr="0091159D">
        <w:t xml:space="preserve"> 5-10 fractions </w:t>
      </w:r>
      <w:r w:rsidR="00DF3AD9">
        <w:t xml:space="preserve">was </w:t>
      </w:r>
      <w:r w:rsidR="00DF3AD9" w:rsidRPr="00DF3AD9">
        <w:t xml:space="preserve">well below what </w:t>
      </w:r>
      <w:r w:rsidR="008D278A">
        <w:t xml:space="preserve">was seen in </w:t>
      </w:r>
      <w:r w:rsidR="00DF3AD9" w:rsidRPr="00DF3AD9">
        <w:t>real-world data</w:t>
      </w:r>
      <w:r w:rsidR="00CD0ED9">
        <w:t xml:space="preserve"> and </w:t>
      </w:r>
      <w:r w:rsidR="00EB1DE3">
        <w:t xml:space="preserve">reported by the advisory group. </w:t>
      </w:r>
      <w:r w:rsidR="001970E1">
        <w:t>The commentary considered that</w:t>
      </w:r>
      <w:r w:rsidR="00306419">
        <w:t xml:space="preserve"> it was unclear where the real</w:t>
      </w:r>
      <w:r w:rsidR="007F2CD3">
        <w:t xml:space="preserve">-world data was </w:t>
      </w:r>
      <w:r w:rsidR="00164177">
        <w:t xml:space="preserve">derived </w:t>
      </w:r>
      <w:r w:rsidR="007F2CD3">
        <w:t>from as the ADAR only reported</w:t>
      </w:r>
      <w:r w:rsidR="00E550EB">
        <w:t xml:space="preserve"> </w:t>
      </w:r>
      <w:r w:rsidR="00EB6860">
        <w:t>Australian</w:t>
      </w:r>
      <w:r w:rsidR="00E550EB">
        <w:t xml:space="preserve"> registry data </w:t>
      </w:r>
      <w:r w:rsidR="00164177">
        <w:t xml:space="preserve">for </w:t>
      </w:r>
      <w:r w:rsidR="00E550EB">
        <w:t xml:space="preserve">11 patients that received </w:t>
      </w:r>
      <w:r w:rsidR="00A60DAE">
        <w:t xml:space="preserve">EBRT </w:t>
      </w:r>
      <w:r w:rsidR="00EB6860">
        <w:t>modalities,</w:t>
      </w:r>
      <w:r w:rsidR="00A60DAE">
        <w:t xml:space="preserve"> and no fra</w:t>
      </w:r>
      <w:r w:rsidR="000117B5">
        <w:t xml:space="preserve">ction data was presented. </w:t>
      </w:r>
      <w:r w:rsidR="00D86B3E">
        <w:t xml:space="preserve">In addition, the advisory board did not </w:t>
      </w:r>
      <w:r w:rsidR="00FA457B">
        <w:t>discuss fractions at length</w:t>
      </w:r>
      <w:r w:rsidR="0055580A">
        <w:t xml:space="preserve">; however, the </w:t>
      </w:r>
      <w:r w:rsidR="00107722">
        <w:t xml:space="preserve">report provided case reports on </w:t>
      </w:r>
      <w:r w:rsidR="00B22A75">
        <w:t xml:space="preserve">eight cases where the fractions ranged from </w:t>
      </w:r>
      <w:r w:rsidR="00164177">
        <w:t>9-</w:t>
      </w:r>
      <w:r w:rsidR="00B43DDB">
        <w:t xml:space="preserve">30 fractions. </w:t>
      </w:r>
      <w:r w:rsidR="001D7EEA" w:rsidRPr="001D7EEA">
        <w:t xml:space="preserve">Overall, the advisory board and case reports suggest that orthovoltage would not be used; however, </w:t>
      </w:r>
      <w:r w:rsidR="00852C31">
        <w:t>i</w:t>
      </w:r>
      <w:r w:rsidR="001D7EEA" w:rsidRPr="001D7EEA">
        <w:t>t is still unclear what the mean fractions for EBRT would be from the evidence provided.</w:t>
      </w:r>
    </w:p>
    <w:p w14:paraId="3602F7C4" w14:textId="741BB9B3" w:rsidR="001D7EEA" w:rsidRDefault="001D7EEA" w:rsidP="001D7EEA">
      <w:r>
        <w:t xml:space="preserve">The ADAR proposed the following breakdown </w:t>
      </w:r>
      <w:r w:rsidR="00D630DC">
        <w:t xml:space="preserve">of EBRT modalities </w:t>
      </w:r>
      <w:r w:rsidR="00A108D6">
        <w:t>as</w:t>
      </w:r>
      <w:r w:rsidR="00B37282">
        <w:t xml:space="preserve"> the </w:t>
      </w:r>
      <w:r w:rsidR="00A108D6">
        <w:t>comparator f</w:t>
      </w:r>
      <w:r w:rsidR="005F2CF9">
        <w:t>or the ADAR</w:t>
      </w:r>
      <w:r w:rsidR="006B6331">
        <w:t xml:space="preserve"> (</w:t>
      </w:r>
      <w:r w:rsidR="006B6331">
        <w:fldChar w:fldCharType="begin"/>
      </w:r>
      <w:r w:rsidR="006B6331">
        <w:instrText xml:space="preserve"> REF _Ref184134093 \h </w:instrText>
      </w:r>
      <w:r w:rsidR="006B6331">
        <w:fldChar w:fldCharType="separate"/>
      </w:r>
      <w:r w:rsidR="00AF5AE7">
        <w:t xml:space="preserve">Table </w:t>
      </w:r>
      <w:r w:rsidR="00AF5AE7">
        <w:rPr>
          <w:noProof/>
        </w:rPr>
        <w:t>6</w:t>
      </w:r>
      <w:r w:rsidR="006B6331">
        <w:fldChar w:fldCharType="end"/>
      </w:r>
      <w:r w:rsidR="006B6331">
        <w:t>)</w:t>
      </w:r>
      <w:r w:rsidR="005F2CF9">
        <w:t>.</w:t>
      </w:r>
      <w:r w:rsidR="00A108D6">
        <w:t xml:space="preserve"> </w:t>
      </w:r>
      <w:r w:rsidR="00175E2F">
        <w:t xml:space="preserve">This breakdown is </w:t>
      </w:r>
      <w:r w:rsidR="00BD1BFE">
        <w:t>entirely</w:t>
      </w:r>
      <w:r w:rsidR="005E2275">
        <w:t xml:space="preserve"> based on the </w:t>
      </w:r>
      <w:r w:rsidR="00E53344">
        <w:t>clinical advisory board</w:t>
      </w:r>
      <w:r w:rsidR="00A52B0C">
        <w:t xml:space="preserve"> advi</w:t>
      </w:r>
      <w:r w:rsidR="003B7AFA">
        <w:t>c</w:t>
      </w:r>
      <w:r w:rsidR="00A52B0C">
        <w:t>e</w:t>
      </w:r>
      <w:r w:rsidR="00E53344">
        <w:t xml:space="preserve">. </w:t>
      </w:r>
    </w:p>
    <w:p w14:paraId="77D19178" w14:textId="1246FBCF" w:rsidR="002B7C44" w:rsidRDefault="002B7C44" w:rsidP="003108ED">
      <w:pPr>
        <w:pStyle w:val="Caption"/>
        <w:keepLines/>
      </w:pPr>
      <w:bookmarkStart w:id="17" w:name="_Ref184134093"/>
      <w:r>
        <w:lastRenderedPageBreak/>
        <w:t xml:space="preserve">Table </w:t>
      </w:r>
      <w:r w:rsidR="007F4BCC">
        <w:fldChar w:fldCharType="begin"/>
      </w:r>
      <w:r w:rsidR="007F4BCC">
        <w:instrText xml:space="preserve"> SEQ Table \* ARABIC </w:instrText>
      </w:r>
      <w:r w:rsidR="007F4BCC">
        <w:fldChar w:fldCharType="separate"/>
      </w:r>
      <w:r w:rsidR="00AF5AE7">
        <w:rPr>
          <w:noProof/>
        </w:rPr>
        <w:t>6</w:t>
      </w:r>
      <w:r w:rsidR="007F4BCC">
        <w:rPr>
          <w:noProof/>
        </w:rPr>
        <w:fldChar w:fldCharType="end"/>
      </w:r>
      <w:bookmarkEnd w:id="17"/>
      <w:r>
        <w:t xml:space="preserve"> Results of a survey of the clinical advisory board on the modalities used in the treatment of </w:t>
      </w:r>
      <w:r w:rsidR="006B6331" w:rsidRPr="006B6331">
        <w:t>cutaneous basal cell carcinoma or cutaneous squamous cell carcinoma</w:t>
      </w:r>
      <w:r w:rsidR="006B6331">
        <w:t>.</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980"/>
        <w:gridCol w:w="3969"/>
        <w:gridCol w:w="2126"/>
        <w:gridCol w:w="1593"/>
      </w:tblGrid>
      <w:tr w:rsidR="00B74A82" w:rsidRPr="00EB6860" w14:paraId="176B9F54" w14:textId="77777777" w:rsidTr="001D09F6">
        <w:trPr>
          <w:trHeight w:val="300"/>
        </w:trPr>
        <w:tc>
          <w:tcPr>
            <w:tcW w:w="1980" w:type="dxa"/>
            <w:shd w:val="clear" w:color="auto" w:fill="FFFFFF" w:themeFill="background1"/>
            <w:noWrap/>
            <w:vAlign w:val="center"/>
            <w:hideMark/>
          </w:tcPr>
          <w:p w14:paraId="309D9227" w14:textId="3D4098C6" w:rsidR="00772471" w:rsidRPr="00EB6860" w:rsidRDefault="00EB6860" w:rsidP="003108ED">
            <w:pPr>
              <w:pStyle w:val="TableText"/>
              <w:keepNext/>
              <w:keepLines/>
              <w:rPr>
                <w:b/>
                <w:bCs/>
              </w:rPr>
            </w:pPr>
            <w:r w:rsidRPr="001D09F6">
              <w:rPr>
                <w:b/>
                <w:bCs/>
              </w:rPr>
              <w:t>Modality</w:t>
            </w:r>
          </w:p>
        </w:tc>
        <w:tc>
          <w:tcPr>
            <w:tcW w:w="3969" w:type="dxa"/>
            <w:shd w:val="clear" w:color="auto" w:fill="FFFFFF" w:themeFill="background1"/>
            <w:noWrap/>
            <w:vAlign w:val="center"/>
            <w:hideMark/>
          </w:tcPr>
          <w:p w14:paraId="27FCB8F0" w14:textId="6207F05F" w:rsidR="00772471" w:rsidRPr="001D09F6" w:rsidRDefault="00772471" w:rsidP="003108ED">
            <w:pPr>
              <w:pStyle w:val="TableText"/>
              <w:keepNext/>
              <w:keepLines/>
              <w:rPr>
                <w:b/>
                <w:bCs/>
              </w:rPr>
            </w:pPr>
            <w:r w:rsidRPr="001D09F6">
              <w:rPr>
                <w:b/>
                <w:bCs/>
              </w:rPr>
              <w:t>Modality</w:t>
            </w:r>
            <w:r w:rsidR="00EB6860" w:rsidRPr="001D09F6">
              <w:rPr>
                <w:b/>
                <w:bCs/>
              </w:rPr>
              <w:t xml:space="preserve"> breakdown</w:t>
            </w:r>
          </w:p>
        </w:tc>
        <w:tc>
          <w:tcPr>
            <w:tcW w:w="2126" w:type="dxa"/>
            <w:shd w:val="clear" w:color="auto" w:fill="FFFFFF" w:themeFill="background1"/>
            <w:noWrap/>
            <w:vAlign w:val="center"/>
            <w:hideMark/>
          </w:tcPr>
          <w:p w14:paraId="254F8FB4" w14:textId="2AF2DE3F" w:rsidR="00772471" w:rsidRPr="001D09F6" w:rsidRDefault="00772471" w:rsidP="003108ED">
            <w:pPr>
              <w:pStyle w:val="TableText"/>
              <w:keepNext/>
              <w:keepLines/>
              <w:rPr>
                <w:b/>
                <w:bCs/>
              </w:rPr>
            </w:pPr>
            <w:r w:rsidRPr="001D09F6">
              <w:rPr>
                <w:b/>
                <w:bCs/>
              </w:rPr>
              <w:t xml:space="preserve">Proportion used without </w:t>
            </w:r>
            <w:r w:rsidR="00594F1D" w:rsidRPr="001D09F6">
              <w:rPr>
                <w:b/>
                <w:bCs/>
              </w:rPr>
              <w:t>Re-188 brachytherapy</w:t>
            </w:r>
            <w:r w:rsidRPr="001D09F6">
              <w:rPr>
                <w:b/>
                <w:bCs/>
              </w:rPr>
              <w:t xml:space="preserve"> being available</w:t>
            </w:r>
          </w:p>
        </w:tc>
        <w:tc>
          <w:tcPr>
            <w:tcW w:w="1593" w:type="dxa"/>
            <w:shd w:val="clear" w:color="auto" w:fill="FFFFFF" w:themeFill="background1"/>
            <w:noWrap/>
            <w:vAlign w:val="center"/>
            <w:hideMark/>
          </w:tcPr>
          <w:p w14:paraId="7848AEED" w14:textId="69A8C32E" w:rsidR="00772471" w:rsidRPr="001D09F6" w:rsidRDefault="00772471" w:rsidP="003108ED">
            <w:pPr>
              <w:pStyle w:val="TableText"/>
              <w:keepNext/>
              <w:keepLines/>
              <w:rPr>
                <w:b/>
                <w:bCs/>
              </w:rPr>
            </w:pPr>
            <w:r w:rsidRPr="001D09F6">
              <w:rPr>
                <w:b/>
                <w:bCs/>
              </w:rPr>
              <w:t xml:space="preserve">Proportion used with </w:t>
            </w:r>
            <w:r w:rsidR="00594F1D" w:rsidRPr="001D09F6">
              <w:rPr>
                <w:b/>
                <w:bCs/>
              </w:rPr>
              <w:t>Re-188 brachytherapy</w:t>
            </w:r>
            <w:r w:rsidRPr="001D09F6">
              <w:rPr>
                <w:b/>
                <w:bCs/>
              </w:rPr>
              <w:t xml:space="preserve"> being available</w:t>
            </w:r>
          </w:p>
        </w:tc>
      </w:tr>
      <w:tr w:rsidR="00EE5E96" w:rsidRPr="00772471" w14:paraId="0D10BB58" w14:textId="77777777" w:rsidTr="008D0E91">
        <w:trPr>
          <w:trHeight w:val="300"/>
        </w:trPr>
        <w:tc>
          <w:tcPr>
            <w:tcW w:w="1980" w:type="dxa"/>
            <w:noWrap/>
            <w:vAlign w:val="bottom"/>
            <w:hideMark/>
          </w:tcPr>
          <w:p w14:paraId="16CC1C48" w14:textId="77777777" w:rsidR="00EE5E96" w:rsidRPr="001D09F6" w:rsidRDefault="00EE5E96" w:rsidP="00EE5E96">
            <w:pPr>
              <w:pStyle w:val="TableText"/>
              <w:keepNext/>
              <w:keepLines/>
            </w:pPr>
            <w:r w:rsidRPr="001D09F6">
              <w:t>Electrons</w:t>
            </w:r>
          </w:p>
        </w:tc>
        <w:tc>
          <w:tcPr>
            <w:tcW w:w="3969" w:type="dxa"/>
            <w:noWrap/>
            <w:vAlign w:val="bottom"/>
            <w:hideMark/>
          </w:tcPr>
          <w:p w14:paraId="2F65A390" w14:textId="63032A4C" w:rsidR="00EE5E96" w:rsidRPr="001D09F6" w:rsidRDefault="00772471" w:rsidP="00EE5E96">
            <w:pPr>
              <w:pStyle w:val="TableText"/>
              <w:keepNext/>
              <w:keepLines/>
            </w:pPr>
            <w:r w:rsidRPr="001D09F6">
              <w:t>CT Scan - Clinical Markup</w:t>
            </w:r>
          </w:p>
        </w:tc>
        <w:tc>
          <w:tcPr>
            <w:tcW w:w="2126" w:type="dxa"/>
            <w:noWrap/>
            <w:vAlign w:val="bottom"/>
            <w:hideMark/>
          </w:tcPr>
          <w:p w14:paraId="6940A7FF" w14:textId="0B7A9D6C" w:rsidR="00EE5E96" w:rsidRPr="001D09F6" w:rsidRDefault="007B276C" w:rsidP="00EE5E96">
            <w:pPr>
              <w:pStyle w:val="TableText"/>
              <w:keepNext/>
              <w:keepLines/>
            </w:pPr>
            <w:r w:rsidRPr="00D52988">
              <w:rPr>
                <w:b/>
                <w:bCs/>
              </w:rPr>
              <w:t>REDACTED</w:t>
            </w:r>
            <w:r w:rsidR="00772471" w:rsidRPr="001D09F6">
              <w:t>%</w:t>
            </w:r>
          </w:p>
        </w:tc>
        <w:tc>
          <w:tcPr>
            <w:tcW w:w="1593" w:type="dxa"/>
            <w:noWrap/>
            <w:vAlign w:val="bottom"/>
            <w:hideMark/>
          </w:tcPr>
          <w:p w14:paraId="7079D5EC" w14:textId="79F5FCB7" w:rsidR="00EE5E96" w:rsidRPr="001D09F6" w:rsidRDefault="007B276C" w:rsidP="00EE5E96">
            <w:pPr>
              <w:pStyle w:val="TableText"/>
              <w:keepNext/>
              <w:keepLines/>
            </w:pPr>
            <w:r w:rsidRPr="00532890">
              <w:rPr>
                <w:b/>
                <w:bCs/>
              </w:rPr>
              <w:t>REDACTED</w:t>
            </w:r>
            <w:r w:rsidRPr="001D09F6" w:rsidDel="007B276C">
              <w:t xml:space="preserve"> </w:t>
            </w:r>
            <w:r w:rsidR="00772471" w:rsidRPr="001D09F6">
              <w:t>%</w:t>
            </w:r>
          </w:p>
        </w:tc>
      </w:tr>
      <w:tr w:rsidR="00EE5E96" w:rsidRPr="00772471" w14:paraId="6CAC24EC" w14:textId="77777777" w:rsidTr="008D0E91">
        <w:trPr>
          <w:trHeight w:val="300"/>
        </w:trPr>
        <w:tc>
          <w:tcPr>
            <w:tcW w:w="1980" w:type="dxa"/>
            <w:noWrap/>
            <w:vAlign w:val="bottom"/>
            <w:hideMark/>
          </w:tcPr>
          <w:p w14:paraId="55EFD524" w14:textId="77777777" w:rsidR="00EE5E96" w:rsidRPr="001D09F6" w:rsidRDefault="00EE5E96" w:rsidP="00EE5E96">
            <w:pPr>
              <w:pStyle w:val="TableText"/>
              <w:keepNext/>
              <w:keepLines/>
            </w:pPr>
          </w:p>
        </w:tc>
        <w:tc>
          <w:tcPr>
            <w:tcW w:w="3969" w:type="dxa"/>
            <w:noWrap/>
            <w:vAlign w:val="bottom"/>
            <w:hideMark/>
          </w:tcPr>
          <w:p w14:paraId="6CD0AC6E" w14:textId="6CECF96E" w:rsidR="00EE5E96" w:rsidRPr="001D09F6" w:rsidRDefault="00772471" w:rsidP="00EE5E96">
            <w:pPr>
              <w:pStyle w:val="TableText"/>
              <w:keepNext/>
              <w:keepLines/>
            </w:pPr>
            <w:r w:rsidRPr="001D09F6">
              <w:t>CT Scan - CTV/PTV &amp; OARs Marked w/ DVH produced</w:t>
            </w:r>
          </w:p>
        </w:tc>
        <w:tc>
          <w:tcPr>
            <w:tcW w:w="2126" w:type="dxa"/>
            <w:noWrap/>
            <w:vAlign w:val="bottom"/>
            <w:hideMark/>
          </w:tcPr>
          <w:p w14:paraId="1C73D673" w14:textId="5A29E207" w:rsidR="00EE5E96" w:rsidRPr="001D09F6" w:rsidRDefault="00193019" w:rsidP="00EE5E96">
            <w:pPr>
              <w:pStyle w:val="TableText"/>
              <w:keepNext/>
              <w:keepLines/>
            </w:pPr>
            <w:r w:rsidRPr="00532890">
              <w:rPr>
                <w:b/>
                <w:bCs/>
              </w:rPr>
              <w:t>REDACTED</w:t>
            </w:r>
            <w:r w:rsidRPr="001D09F6" w:rsidDel="00193019">
              <w:t xml:space="preserve"> </w:t>
            </w:r>
            <w:r w:rsidR="00772471" w:rsidRPr="001D09F6">
              <w:t>%</w:t>
            </w:r>
          </w:p>
        </w:tc>
        <w:tc>
          <w:tcPr>
            <w:tcW w:w="1593" w:type="dxa"/>
            <w:noWrap/>
            <w:vAlign w:val="bottom"/>
            <w:hideMark/>
          </w:tcPr>
          <w:p w14:paraId="22F6AF34" w14:textId="13D10422" w:rsidR="00EE5E96" w:rsidRPr="001D09F6" w:rsidRDefault="007B276C" w:rsidP="00EE5E96">
            <w:pPr>
              <w:pStyle w:val="TableText"/>
              <w:keepNext/>
              <w:keepLines/>
            </w:pPr>
            <w:r w:rsidRPr="00532890">
              <w:rPr>
                <w:b/>
                <w:bCs/>
              </w:rPr>
              <w:t>REDACTED</w:t>
            </w:r>
            <w:r w:rsidRPr="001D09F6" w:rsidDel="007B276C">
              <w:t xml:space="preserve"> </w:t>
            </w:r>
            <w:r w:rsidR="00772471" w:rsidRPr="001D09F6">
              <w:t>%</w:t>
            </w:r>
          </w:p>
        </w:tc>
      </w:tr>
      <w:tr w:rsidR="00EE5E96" w:rsidRPr="00772471" w14:paraId="54DB97E3" w14:textId="77777777" w:rsidTr="008D0E91">
        <w:trPr>
          <w:trHeight w:val="300"/>
        </w:trPr>
        <w:tc>
          <w:tcPr>
            <w:tcW w:w="1980" w:type="dxa"/>
            <w:noWrap/>
            <w:vAlign w:val="bottom"/>
            <w:hideMark/>
          </w:tcPr>
          <w:p w14:paraId="23115311" w14:textId="77777777" w:rsidR="00EE5E96" w:rsidRPr="001D09F6" w:rsidRDefault="00EE5E96" w:rsidP="00EE5E96">
            <w:pPr>
              <w:pStyle w:val="TableText"/>
              <w:keepNext/>
              <w:keepLines/>
            </w:pPr>
            <w:r w:rsidRPr="001D09F6">
              <w:t>3D Conformal Photons</w:t>
            </w:r>
          </w:p>
        </w:tc>
        <w:tc>
          <w:tcPr>
            <w:tcW w:w="3969" w:type="dxa"/>
            <w:noWrap/>
            <w:vAlign w:val="bottom"/>
            <w:hideMark/>
          </w:tcPr>
          <w:p w14:paraId="6AAC8B37" w14:textId="54983ACE" w:rsidR="00EE5E96" w:rsidRPr="001D09F6" w:rsidRDefault="00772471" w:rsidP="00EE5E96">
            <w:pPr>
              <w:pStyle w:val="TableText"/>
              <w:keepNext/>
              <w:keepLines/>
            </w:pPr>
            <w:r w:rsidRPr="001D09F6">
              <w:t>CT Scan - Clinical Markup</w:t>
            </w:r>
          </w:p>
        </w:tc>
        <w:tc>
          <w:tcPr>
            <w:tcW w:w="2126" w:type="dxa"/>
            <w:noWrap/>
            <w:vAlign w:val="bottom"/>
            <w:hideMark/>
          </w:tcPr>
          <w:p w14:paraId="7865A73A" w14:textId="6F14E25A" w:rsidR="00EE5E96" w:rsidRPr="001D09F6" w:rsidRDefault="00193019" w:rsidP="00EE5E96">
            <w:pPr>
              <w:pStyle w:val="TableText"/>
              <w:keepNext/>
              <w:keepLines/>
            </w:pPr>
            <w:r w:rsidRPr="00532890">
              <w:rPr>
                <w:b/>
                <w:bCs/>
              </w:rPr>
              <w:t>REDACTED</w:t>
            </w:r>
            <w:r w:rsidRPr="001D09F6" w:rsidDel="00193019">
              <w:t xml:space="preserve"> </w:t>
            </w:r>
            <w:r w:rsidR="00772471" w:rsidRPr="001D09F6">
              <w:t>%</w:t>
            </w:r>
          </w:p>
        </w:tc>
        <w:tc>
          <w:tcPr>
            <w:tcW w:w="1593" w:type="dxa"/>
            <w:noWrap/>
            <w:vAlign w:val="bottom"/>
            <w:hideMark/>
          </w:tcPr>
          <w:p w14:paraId="6ECD4BA3" w14:textId="0F3C77A8" w:rsidR="00EE5E96" w:rsidRPr="001D09F6" w:rsidRDefault="007B276C" w:rsidP="00EE5E96">
            <w:pPr>
              <w:pStyle w:val="TableText"/>
              <w:keepNext/>
              <w:keepLines/>
            </w:pPr>
            <w:r w:rsidRPr="00532890">
              <w:rPr>
                <w:b/>
                <w:bCs/>
              </w:rPr>
              <w:t>REDACTED</w:t>
            </w:r>
            <w:r w:rsidRPr="001D09F6" w:rsidDel="007B276C">
              <w:t xml:space="preserve"> </w:t>
            </w:r>
            <w:r w:rsidR="00772471" w:rsidRPr="001D09F6">
              <w:t>%</w:t>
            </w:r>
          </w:p>
        </w:tc>
      </w:tr>
      <w:tr w:rsidR="00EE5E96" w:rsidRPr="00772471" w14:paraId="24406312" w14:textId="77777777" w:rsidTr="008D0E91">
        <w:trPr>
          <w:trHeight w:val="300"/>
        </w:trPr>
        <w:tc>
          <w:tcPr>
            <w:tcW w:w="1980" w:type="dxa"/>
            <w:noWrap/>
            <w:vAlign w:val="bottom"/>
            <w:hideMark/>
          </w:tcPr>
          <w:p w14:paraId="075EBA0F" w14:textId="77777777" w:rsidR="00EE5E96" w:rsidRPr="001D09F6" w:rsidRDefault="00EE5E96" w:rsidP="00EE5E96">
            <w:pPr>
              <w:pStyle w:val="TableText"/>
              <w:keepNext/>
              <w:keepLines/>
            </w:pPr>
          </w:p>
        </w:tc>
        <w:tc>
          <w:tcPr>
            <w:tcW w:w="3969" w:type="dxa"/>
            <w:noWrap/>
            <w:vAlign w:val="bottom"/>
            <w:hideMark/>
          </w:tcPr>
          <w:p w14:paraId="581475B7" w14:textId="1DC71D4F" w:rsidR="00EE5E96" w:rsidRPr="001D09F6" w:rsidRDefault="00772471" w:rsidP="00EE5E96">
            <w:pPr>
              <w:pStyle w:val="TableText"/>
              <w:keepNext/>
              <w:keepLines/>
            </w:pPr>
            <w:r w:rsidRPr="001D09F6">
              <w:t>CT Scan - CTV/PTV &amp; OARs Marked w/ DVH produced</w:t>
            </w:r>
          </w:p>
        </w:tc>
        <w:tc>
          <w:tcPr>
            <w:tcW w:w="2126" w:type="dxa"/>
            <w:noWrap/>
            <w:vAlign w:val="bottom"/>
            <w:hideMark/>
          </w:tcPr>
          <w:p w14:paraId="23F4C406" w14:textId="7ABC18CB" w:rsidR="00EE5E96" w:rsidRPr="001D09F6" w:rsidRDefault="00193019" w:rsidP="00EE5E96">
            <w:pPr>
              <w:pStyle w:val="TableText"/>
              <w:keepNext/>
              <w:keepLines/>
            </w:pPr>
            <w:r w:rsidRPr="00532890">
              <w:rPr>
                <w:b/>
                <w:bCs/>
              </w:rPr>
              <w:t>REDACTED</w:t>
            </w:r>
            <w:r w:rsidRPr="001D09F6" w:rsidDel="00193019">
              <w:t xml:space="preserve"> </w:t>
            </w:r>
            <w:r w:rsidR="00772471" w:rsidRPr="001D09F6">
              <w:t>%</w:t>
            </w:r>
          </w:p>
        </w:tc>
        <w:tc>
          <w:tcPr>
            <w:tcW w:w="1593" w:type="dxa"/>
            <w:noWrap/>
            <w:vAlign w:val="bottom"/>
            <w:hideMark/>
          </w:tcPr>
          <w:p w14:paraId="0010EC28" w14:textId="1D100D53" w:rsidR="00EE5E96" w:rsidRPr="001D09F6" w:rsidRDefault="007B276C" w:rsidP="00EE5E96">
            <w:pPr>
              <w:pStyle w:val="TableText"/>
              <w:keepNext/>
              <w:keepLines/>
            </w:pPr>
            <w:r w:rsidRPr="00532890">
              <w:rPr>
                <w:b/>
                <w:bCs/>
              </w:rPr>
              <w:t>REDACTED</w:t>
            </w:r>
            <w:r w:rsidRPr="001D09F6" w:rsidDel="007B276C">
              <w:t xml:space="preserve"> </w:t>
            </w:r>
            <w:r w:rsidR="00772471" w:rsidRPr="001D09F6">
              <w:t>%</w:t>
            </w:r>
          </w:p>
        </w:tc>
      </w:tr>
      <w:tr w:rsidR="00EE5E96" w:rsidRPr="00772471" w14:paraId="1316216C" w14:textId="77777777" w:rsidTr="008D0E91">
        <w:trPr>
          <w:trHeight w:val="300"/>
        </w:trPr>
        <w:tc>
          <w:tcPr>
            <w:tcW w:w="1980" w:type="dxa"/>
            <w:noWrap/>
            <w:vAlign w:val="bottom"/>
            <w:hideMark/>
          </w:tcPr>
          <w:p w14:paraId="55256748" w14:textId="77777777" w:rsidR="00EE5E96" w:rsidRPr="001D09F6" w:rsidRDefault="00EE5E96" w:rsidP="00EE5E96">
            <w:pPr>
              <w:pStyle w:val="TableText"/>
              <w:keepNext/>
              <w:keepLines/>
            </w:pPr>
            <w:r w:rsidRPr="001D09F6">
              <w:t>IMRT / VMAT</w:t>
            </w:r>
          </w:p>
        </w:tc>
        <w:tc>
          <w:tcPr>
            <w:tcW w:w="3969" w:type="dxa"/>
            <w:noWrap/>
            <w:vAlign w:val="bottom"/>
            <w:hideMark/>
          </w:tcPr>
          <w:p w14:paraId="16F8100C" w14:textId="0BDBDA16" w:rsidR="00EE5E96" w:rsidRPr="001D09F6" w:rsidRDefault="00772471" w:rsidP="00EE5E96">
            <w:pPr>
              <w:pStyle w:val="TableText"/>
              <w:keepNext/>
              <w:keepLines/>
            </w:pPr>
            <w:r w:rsidRPr="001D09F6">
              <w:t>CT Scan - CTV/PTV &amp; Multiple OARs Marked w/ DVH produced</w:t>
            </w:r>
          </w:p>
        </w:tc>
        <w:tc>
          <w:tcPr>
            <w:tcW w:w="2126" w:type="dxa"/>
            <w:noWrap/>
            <w:vAlign w:val="bottom"/>
            <w:hideMark/>
          </w:tcPr>
          <w:p w14:paraId="458C5C7F" w14:textId="0C4A2290" w:rsidR="00EE5E96" w:rsidRPr="001D09F6" w:rsidRDefault="00193019" w:rsidP="00EE5E96">
            <w:pPr>
              <w:pStyle w:val="TableText"/>
              <w:keepNext/>
              <w:keepLines/>
            </w:pPr>
            <w:r w:rsidRPr="00532890">
              <w:rPr>
                <w:b/>
                <w:bCs/>
              </w:rPr>
              <w:t>REDACTED</w:t>
            </w:r>
            <w:r w:rsidRPr="001D09F6" w:rsidDel="00193019">
              <w:t xml:space="preserve"> </w:t>
            </w:r>
            <w:r w:rsidR="00772471" w:rsidRPr="001D09F6">
              <w:t>%</w:t>
            </w:r>
          </w:p>
        </w:tc>
        <w:tc>
          <w:tcPr>
            <w:tcW w:w="1593" w:type="dxa"/>
            <w:noWrap/>
            <w:vAlign w:val="bottom"/>
            <w:hideMark/>
          </w:tcPr>
          <w:p w14:paraId="34C5608F" w14:textId="131C9401" w:rsidR="00EE5E96" w:rsidRPr="001D09F6" w:rsidRDefault="007B276C" w:rsidP="00EE5E96">
            <w:pPr>
              <w:pStyle w:val="TableText"/>
              <w:keepNext/>
              <w:keepLines/>
            </w:pPr>
            <w:r w:rsidRPr="00532890">
              <w:rPr>
                <w:b/>
                <w:bCs/>
              </w:rPr>
              <w:t>REDACTED</w:t>
            </w:r>
            <w:r w:rsidRPr="001D09F6" w:rsidDel="007B276C">
              <w:t xml:space="preserve"> </w:t>
            </w:r>
            <w:r w:rsidR="00772471" w:rsidRPr="001D09F6">
              <w:t>0%</w:t>
            </w:r>
          </w:p>
        </w:tc>
      </w:tr>
      <w:tr w:rsidR="00EE5E96" w:rsidRPr="00772471" w14:paraId="196EEBF8" w14:textId="77777777" w:rsidTr="008D0E91">
        <w:trPr>
          <w:trHeight w:val="300"/>
        </w:trPr>
        <w:tc>
          <w:tcPr>
            <w:tcW w:w="1980" w:type="dxa"/>
            <w:noWrap/>
            <w:vAlign w:val="bottom"/>
            <w:hideMark/>
          </w:tcPr>
          <w:p w14:paraId="530CED0C" w14:textId="77777777" w:rsidR="00EE5E96" w:rsidRPr="001D09F6" w:rsidRDefault="00EE5E96" w:rsidP="00EE5E96">
            <w:pPr>
              <w:pStyle w:val="TableText"/>
              <w:keepNext/>
              <w:keepLines/>
            </w:pPr>
            <w:r w:rsidRPr="001D09F6">
              <w:t>SXRT</w:t>
            </w:r>
          </w:p>
        </w:tc>
        <w:tc>
          <w:tcPr>
            <w:tcW w:w="3969" w:type="dxa"/>
            <w:noWrap/>
            <w:vAlign w:val="bottom"/>
            <w:hideMark/>
          </w:tcPr>
          <w:p w14:paraId="31EEC3C5" w14:textId="4A66ABDA" w:rsidR="00EE5E96" w:rsidRPr="001D09F6" w:rsidRDefault="00772471" w:rsidP="00EE5E96">
            <w:pPr>
              <w:pStyle w:val="TableText"/>
              <w:keepNext/>
              <w:keepLines/>
            </w:pPr>
            <w:r w:rsidRPr="001D09F6">
              <w:t>Single Fraction</w:t>
            </w:r>
          </w:p>
        </w:tc>
        <w:tc>
          <w:tcPr>
            <w:tcW w:w="2126" w:type="dxa"/>
            <w:noWrap/>
            <w:vAlign w:val="bottom"/>
            <w:hideMark/>
          </w:tcPr>
          <w:p w14:paraId="2FD93150" w14:textId="5FDB9A97" w:rsidR="00EE5E96" w:rsidRPr="001D09F6" w:rsidRDefault="00193019" w:rsidP="00EE5E96">
            <w:pPr>
              <w:pStyle w:val="TableText"/>
              <w:keepNext/>
              <w:keepLines/>
            </w:pPr>
            <w:r w:rsidRPr="00532890">
              <w:rPr>
                <w:b/>
                <w:bCs/>
              </w:rPr>
              <w:t>REDACTED</w:t>
            </w:r>
            <w:r w:rsidRPr="001D09F6" w:rsidDel="00193019">
              <w:t xml:space="preserve"> </w:t>
            </w:r>
            <w:r w:rsidR="00772471" w:rsidRPr="001D09F6">
              <w:t>%</w:t>
            </w:r>
          </w:p>
        </w:tc>
        <w:tc>
          <w:tcPr>
            <w:tcW w:w="1593" w:type="dxa"/>
            <w:noWrap/>
            <w:vAlign w:val="bottom"/>
            <w:hideMark/>
          </w:tcPr>
          <w:p w14:paraId="3A458E3F" w14:textId="06C68F3E" w:rsidR="00EE5E96" w:rsidRPr="001D09F6" w:rsidRDefault="00193019" w:rsidP="00EE5E96">
            <w:pPr>
              <w:pStyle w:val="TableText"/>
              <w:keepNext/>
              <w:keepLines/>
            </w:pPr>
            <w:r w:rsidRPr="00532890">
              <w:rPr>
                <w:b/>
                <w:bCs/>
              </w:rPr>
              <w:t>REDACTED</w:t>
            </w:r>
            <w:r w:rsidRPr="001D09F6" w:rsidDel="00193019">
              <w:t xml:space="preserve"> </w:t>
            </w:r>
            <w:r w:rsidR="00772471" w:rsidRPr="001D09F6">
              <w:t>%</w:t>
            </w:r>
          </w:p>
        </w:tc>
      </w:tr>
      <w:tr w:rsidR="00EE5E96" w:rsidRPr="00772471" w14:paraId="3A61CD2B" w14:textId="77777777" w:rsidTr="008D0E91">
        <w:trPr>
          <w:trHeight w:val="300"/>
        </w:trPr>
        <w:tc>
          <w:tcPr>
            <w:tcW w:w="1980" w:type="dxa"/>
            <w:noWrap/>
            <w:vAlign w:val="bottom"/>
            <w:hideMark/>
          </w:tcPr>
          <w:p w14:paraId="4F5F3DD8" w14:textId="77777777" w:rsidR="00EE5E96" w:rsidRPr="001D09F6" w:rsidRDefault="00EE5E96" w:rsidP="00EE5E96">
            <w:pPr>
              <w:pStyle w:val="TableText"/>
              <w:keepNext/>
              <w:keepLines/>
            </w:pPr>
          </w:p>
        </w:tc>
        <w:tc>
          <w:tcPr>
            <w:tcW w:w="3969" w:type="dxa"/>
            <w:noWrap/>
            <w:vAlign w:val="bottom"/>
            <w:hideMark/>
          </w:tcPr>
          <w:p w14:paraId="13D45C84" w14:textId="0A71DEB8" w:rsidR="00EE5E96" w:rsidRPr="001D09F6" w:rsidRDefault="00772471" w:rsidP="00EE5E96">
            <w:pPr>
              <w:pStyle w:val="TableText"/>
              <w:keepNext/>
              <w:keepLines/>
            </w:pPr>
            <w:r w:rsidRPr="001D09F6">
              <w:t>Single Fraction w/ Internal Eye Shield</w:t>
            </w:r>
          </w:p>
        </w:tc>
        <w:tc>
          <w:tcPr>
            <w:tcW w:w="2126" w:type="dxa"/>
            <w:noWrap/>
            <w:vAlign w:val="bottom"/>
            <w:hideMark/>
          </w:tcPr>
          <w:p w14:paraId="54EDEDA6" w14:textId="538A318F" w:rsidR="00EE5E96" w:rsidRPr="001D09F6" w:rsidRDefault="00EE5E96" w:rsidP="00EE5E96">
            <w:pPr>
              <w:pStyle w:val="TableText"/>
              <w:keepNext/>
              <w:keepLines/>
            </w:pPr>
          </w:p>
        </w:tc>
        <w:tc>
          <w:tcPr>
            <w:tcW w:w="1593" w:type="dxa"/>
            <w:noWrap/>
            <w:vAlign w:val="bottom"/>
            <w:hideMark/>
          </w:tcPr>
          <w:p w14:paraId="46C2CDE6" w14:textId="4D79FE3A" w:rsidR="00EE5E96" w:rsidRPr="00A52B0C" w:rsidRDefault="00EE5E96" w:rsidP="00EE5E96">
            <w:pPr>
              <w:pStyle w:val="TableText"/>
              <w:keepNext/>
              <w:keepLines/>
            </w:pPr>
          </w:p>
        </w:tc>
      </w:tr>
      <w:tr w:rsidR="00EE5E96" w:rsidRPr="00772471" w14:paraId="66F42C0B" w14:textId="77777777" w:rsidTr="008D0E91">
        <w:trPr>
          <w:trHeight w:val="300"/>
        </w:trPr>
        <w:tc>
          <w:tcPr>
            <w:tcW w:w="1980" w:type="dxa"/>
            <w:noWrap/>
            <w:vAlign w:val="bottom"/>
            <w:hideMark/>
          </w:tcPr>
          <w:p w14:paraId="5508B194" w14:textId="77777777" w:rsidR="00EE5E96" w:rsidRPr="00A52B0C" w:rsidRDefault="00EE5E96" w:rsidP="00EE5E96">
            <w:pPr>
              <w:pStyle w:val="TableText"/>
              <w:keepNext/>
              <w:keepLines/>
            </w:pPr>
          </w:p>
        </w:tc>
        <w:tc>
          <w:tcPr>
            <w:tcW w:w="3969" w:type="dxa"/>
            <w:noWrap/>
            <w:vAlign w:val="bottom"/>
            <w:hideMark/>
          </w:tcPr>
          <w:p w14:paraId="49915521" w14:textId="5C1AD88D" w:rsidR="00EE5E96" w:rsidRPr="001D09F6" w:rsidRDefault="00772471" w:rsidP="00EE5E96">
            <w:pPr>
              <w:pStyle w:val="TableText"/>
              <w:keepNext/>
              <w:keepLines/>
            </w:pPr>
            <w:r w:rsidRPr="001D09F6">
              <w:t>Multiple Fractions</w:t>
            </w:r>
          </w:p>
        </w:tc>
        <w:tc>
          <w:tcPr>
            <w:tcW w:w="2126" w:type="dxa"/>
            <w:noWrap/>
            <w:vAlign w:val="bottom"/>
            <w:hideMark/>
          </w:tcPr>
          <w:p w14:paraId="677BAF13" w14:textId="0CF27F21" w:rsidR="00EE5E96" w:rsidRPr="001D09F6" w:rsidRDefault="00193019" w:rsidP="00EE5E96">
            <w:pPr>
              <w:pStyle w:val="TableText"/>
              <w:keepNext/>
              <w:keepLines/>
            </w:pPr>
            <w:r w:rsidRPr="00532890">
              <w:rPr>
                <w:b/>
                <w:bCs/>
              </w:rPr>
              <w:t>REDACTED</w:t>
            </w:r>
            <w:r w:rsidRPr="001D09F6" w:rsidDel="00193019">
              <w:t xml:space="preserve"> </w:t>
            </w:r>
            <w:r w:rsidR="00772471" w:rsidRPr="001D09F6">
              <w:t>%</w:t>
            </w:r>
          </w:p>
        </w:tc>
        <w:tc>
          <w:tcPr>
            <w:tcW w:w="1593" w:type="dxa"/>
            <w:noWrap/>
            <w:vAlign w:val="bottom"/>
            <w:hideMark/>
          </w:tcPr>
          <w:p w14:paraId="0EF84ED0" w14:textId="4E03C9AA" w:rsidR="00EE5E96" w:rsidRPr="001D09F6" w:rsidRDefault="00193019" w:rsidP="00EE5E96">
            <w:pPr>
              <w:pStyle w:val="TableText"/>
              <w:keepNext/>
              <w:keepLines/>
            </w:pPr>
            <w:r w:rsidRPr="00532890">
              <w:rPr>
                <w:b/>
                <w:bCs/>
              </w:rPr>
              <w:t>REDACTED</w:t>
            </w:r>
            <w:r w:rsidRPr="001D09F6" w:rsidDel="00193019">
              <w:t xml:space="preserve"> </w:t>
            </w:r>
            <w:r w:rsidR="00772471" w:rsidRPr="001D09F6">
              <w:t>%</w:t>
            </w:r>
          </w:p>
        </w:tc>
      </w:tr>
      <w:tr w:rsidR="00EE5E96" w:rsidRPr="00772471" w14:paraId="2B410A7E" w14:textId="77777777" w:rsidTr="008D0E91">
        <w:trPr>
          <w:trHeight w:val="300"/>
        </w:trPr>
        <w:tc>
          <w:tcPr>
            <w:tcW w:w="1980" w:type="dxa"/>
            <w:noWrap/>
            <w:vAlign w:val="bottom"/>
            <w:hideMark/>
          </w:tcPr>
          <w:p w14:paraId="404AA1D3" w14:textId="77777777" w:rsidR="00EE5E96" w:rsidRPr="001D09F6" w:rsidRDefault="00EE5E96" w:rsidP="00EE5E96">
            <w:pPr>
              <w:pStyle w:val="TableText"/>
              <w:keepNext/>
              <w:keepLines/>
            </w:pPr>
          </w:p>
        </w:tc>
        <w:tc>
          <w:tcPr>
            <w:tcW w:w="3969" w:type="dxa"/>
            <w:noWrap/>
            <w:vAlign w:val="bottom"/>
            <w:hideMark/>
          </w:tcPr>
          <w:p w14:paraId="0A2EF0D9" w14:textId="025C4CD6" w:rsidR="00EE5E96" w:rsidRPr="001D09F6" w:rsidRDefault="00772471" w:rsidP="00EE5E96">
            <w:pPr>
              <w:pStyle w:val="TableText"/>
              <w:keepNext/>
              <w:keepLines/>
            </w:pPr>
            <w:r w:rsidRPr="001D09F6">
              <w:t>Multiple Fractions w/ Internal Eye Shield</w:t>
            </w:r>
          </w:p>
        </w:tc>
        <w:tc>
          <w:tcPr>
            <w:tcW w:w="2126" w:type="dxa"/>
            <w:noWrap/>
            <w:vAlign w:val="bottom"/>
            <w:hideMark/>
          </w:tcPr>
          <w:p w14:paraId="45DA7C77" w14:textId="29FC6B8F" w:rsidR="00EE5E96" w:rsidRPr="001D09F6" w:rsidRDefault="00193019" w:rsidP="00EE5E96">
            <w:pPr>
              <w:pStyle w:val="TableText"/>
              <w:keepNext/>
              <w:keepLines/>
            </w:pPr>
            <w:r w:rsidRPr="00532890">
              <w:rPr>
                <w:b/>
                <w:bCs/>
              </w:rPr>
              <w:t>REDACTED</w:t>
            </w:r>
            <w:r w:rsidRPr="001D09F6" w:rsidDel="00193019">
              <w:t xml:space="preserve"> </w:t>
            </w:r>
            <w:r w:rsidR="00772471" w:rsidRPr="001D09F6">
              <w:t>%</w:t>
            </w:r>
          </w:p>
        </w:tc>
        <w:tc>
          <w:tcPr>
            <w:tcW w:w="1593" w:type="dxa"/>
            <w:noWrap/>
            <w:vAlign w:val="bottom"/>
            <w:hideMark/>
          </w:tcPr>
          <w:p w14:paraId="69E5AD95" w14:textId="53B7212C" w:rsidR="00EE5E96" w:rsidRPr="001D09F6" w:rsidRDefault="00193019" w:rsidP="00EE5E96">
            <w:pPr>
              <w:pStyle w:val="TableText"/>
              <w:keepNext/>
              <w:keepLines/>
            </w:pPr>
            <w:r w:rsidRPr="00532890">
              <w:rPr>
                <w:b/>
                <w:bCs/>
              </w:rPr>
              <w:t>REDACTED</w:t>
            </w:r>
            <w:r w:rsidRPr="001D09F6" w:rsidDel="00193019">
              <w:t xml:space="preserve"> </w:t>
            </w:r>
            <w:r w:rsidR="00772471" w:rsidRPr="001D09F6">
              <w:t>%</w:t>
            </w:r>
          </w:p>
        </w:tc>
      </w:tr>
      <w:tr w:rsidR="00EE5E96" w:rsidRPr="00772471" w14:paraId="6CC05182" w14:textId="77777777" w:rsidTr="008D0E91">
        <w:trPr>
          <w:trHeight w:val="300"/>
        </w:trPr>
        <w:tc>
          <w:tcPr>
            <w:tcW w:w="1980" w:type="dxa"/>
            <w:noWrap/>
            <w:vAlign w:val="bottom"/>
            <w:hideMark/>
          </w:tcPr>
          <w:p w14:paraId="06CD5D91" w14:textId="6F580877" w:rsidR="00EE5E96" w:rsidRPr="001D09F6" w:rsidRDefault="00EE5E96" w:rsidP="00EE5E96">
            <w:pPr>
              <w:pStyle w:val="TableText"/>
              <w:keepNext/>
              <w:keepLines/>
            </w:pPr>
            <w:r>
              <w:t>Re-188 brachytherapy</w:t>
            </w:r>
          </w:p>
        </w:tc>
        <w:tc>
          <w:tcPr>
            <w:tcW w:w="3969" w:type="dxa"/>
            <w:vAlign w:val="bottom"/>
          </w:tcPr>
          <w:p w14:paraId="793C43AF" w14:textId="56409628" w:rsidR="00EE5E96" w:rsidRPr="001D09F6" w:rsidRDefault="00EE5E96" w:rsidP="00EE5E96">
            <w:pPr>
              <w:pStyle w:val="TableText"/>
              <w:keepNext/>
              <w:keepLines/>
            </w:pPr>
          </w:p>
        </w:tc>
        <w:tc>
          <w:tcPr>
            <w:tcW w:w="2126" w:type="dxa"/>
            <w:noWrap/>
            <w:vAlign w:val="bottom"/>
            <w:hideMark/>
          </w:tcPr>
          <w:p w14:paraId="17FD8E75" w14:textId="338065C2" w:rsidR="00EE5E96" w:rsidRPr="001D09F6" w:rsidRDefault="00EE5E96" w:rsidP="00EE5E96">
            <w:pPr>
              <w:pStyle w:val="TableText"/>
              <w:keepNext/>
              <w:keepLines/>
            </w:pPr>
          </w:p>
        </w:tc>
        <w:tc>
          <w:tcPr>
            <w:tcW w:w="1593" w:type="dxa"/>
            <w:noWrap/>
            <w:vAlign w:val="bottom"/>
            <w:hideMark/>
          </w:tcPr>
          <w:p w14:paraId="754ED7F9" w14:textId="5FCC95F9" w:rsidR="00EE5E96" w:rsidRPr="001D09F6" w:rsidRDefault="00193019" w:rsidP="00EE5E96">
            <w:pPr>
              <w:pStyle w:val="TableText"/>
              <w:keepNext/>
              <w:keepLines/>
            </w:pPr>
            <w:r w:rsidRPr="00532890">
              <w:rPr>
                <w:b/>
                <w:bCs/>
              </w:rPr>
              <w:t>REDACTED</w:t>
            </w:r>
            <w:r w:rsidRPr="001D09F6" w:rsidDel="00193019">
              <w:t xml:space="preserve"> </w:t>
            </w:r>
            <w:r w:rsidR="00EB6860" w:rsidRPr="001D09F6">
              <w:t>%</w:t>
            </w:r>
          </w:p>
        </w:tc>
      </w:tr>
    </w:tbl>
    <w:p w14:paraId="15317CBF" w14:textId="1F49A9CE" w:rsidR="00493AFB" w:rsidRDefault="00DA369D" w:rsidP="003108ED">
      <w:pPr>
        <w:pStyle w:val="TableFigureFooter"/>
        <w:keepNext/>
        <w:keepLines/>
      </w:pPr>
      <w:r w:rsidRPr="001D09F6">
        <w:t xml:space="preserve">CT = computed tomography; </w:t>
      </w:r>
      <w:r w:rsidR="00BF16D6" w:rsidRPr="001D09F6">
        <w:t xml:space="preserve">CTV = clinical target volume; </w:t>
      </w:r>
      <w:r w:rsidR="00C16B44" w:rsidRPr="001D09F6">
        <w:t xml:space="preserve">DVH = dose volume histogram; </w:t>
      </w:r>
      <w:r w:rsidR="00081217" w:rsidRPr="00BA438C">
        <w:t xml:space="preserve">EBRT = external beam radiation therapy; </w:t>
      </w:r>
      <w:r w:rsidR="001A3543" w:rsidRPr="001D09F6">
        <w:t xml:space="preserve">IMRT/VMAT=Modulated Radiation Therapy/Volumetric Modulated Arc Therapy; </w:t>
      </w:r>
      <w:r w:rsidR="001F67B9" w:rsidRPr="001D09F6">
        <w:t>OAR = organs at risk</w:t>
      </w:r>
      <w:r w:rsidRPr="001D09F6">
        <w:t xml:space="preserve">; </w:t>
      </w:r>
      <w:r w:rsidR="002C65C1" w:rsidRPr="001D09F6">
        <w:t xml:space="preserve">PTV = planned target volume; </w:t>
      </w:r>
      <w:r w:rsidR="003145C7" w:rsidRPr="001D09F6">
        <w:t>Re-188 = Rhenium-188</w:t>
      </w:r>
      <w:r w:rsidRPr="001D09F6">
        <w:t xml:space="preserve">; QoL = quality of life; </w:t>
      </w:r>
      <w:r w:rsidR="00026758">
        <w:t>Re-188 brachytherapy</w:t>
      </w:r>
      <w:r w:rsidRPr="001D09F6">
        <w:t xml:space="preserve"> = Rhenium Skin Cancer Therapy</w:t>
      </w:r>
      <w:r w:rsidR="002C65C1" w:rsidRPr="001D09F6">
        <w:t>; SX</w:t>
      </w:r>
      <w:r w:rsidR="00FD5CEA">
        <w:t>R</w:t>
      </w:r>
      <w:r w:rsidR="002C65C1" w:rsidRPr="001D09F6">
        <w:t>T = Superficial X-Ray Radiation Therapy</w:t>
      </w:r>
    </w:p>
    <w:p w14:paraId="59F179D0" w14:textId="77777777" w:rsidR="00AE5472" w:rsidRPr="00AE5472" w:rsidRDefault="00AE5472" w:rsidP="000D3834">
      <w:pPr>
        <w:pStyle w:val="Heading2"/>
        <w:numPr>
          <w:ilvl w:val="0"/>
          <w:numId w:val="18"/>
        </w:numPr>
        <w:ind w:hanging="720"/>
      </w:pPr>
      <w:bookmarkStart w:id="18" w:name="_Toc69491421"/>
      <w:r>
        <w:t>Summary of public consultation input</w:t>
      </w:r>
      <w:bookmarkEnd w:id="18"/>
    </w:p>
    <w:p w14:paraId="3886C59F" w14:textId="788D9722" w:rsidR="00AE5472" w:rsidRPr="00B809FE" w:rsidRDefault="00AE5472" w:rsidP="00AE5472">
      <w:r>
        <w:t xml:space="preserve">Consultation input was received from five </w:t>
      </w:r>
      <w:r w:rsidR="25C4609B">
        <w:t xml:space="preserve">medical, health, or other (non-consumer) </w:t>
      </w:r>
      <w:r>
        <w:t>organisations and one individual health professional. The organisations that submitted input were:</w:t>
      </w:r>
    </w:p>
    <w:p w14:paraId="25583563" w14:textId="77777777" w:rsidR="00AE5472" w:rsidRPr="00B809FE" w:rsidRDefault="00AE5472" w:rsidP="00AE5472">
      <w:pPr>
        <w:pStyle w:val="ListParagraph"/>
        <w:numPr>
          <w:ilvl w:val="0"/>
          <w:numId w:val="29"/>
        </w:numPr>
        <w:spacing w:before="0"/>
      </w:pPr>
      <w:r w:rsidRPr="00B809FE">
        <w:t>Private Healthcare Australia (PHA)</w:t>
      </w:r>
    </w:p>
    <w:p w14:paraId="4404DB86" w14:textId="77777777" w:rsidR="00AE5472" w:rsidRPr="00B809FE" w:rsidRDefault="00AE5472" w:rsidP="00AE5472">
      <w:pPr>
        <w:pStyle w:val="ListParagraph"/>
        <w:numPr>
          <w:ilvl w:val="0"/>
          <w:numId w:val="29"/>
        </w:numPr>
        <w:spacing w:before="0"/>
      </w:pPr>
      <w:r w:rsidRPr="00B809FE">
        <w:t>The Royal Australian and New Zealand College of Radiologists (RANZCR)</w:t>
      </w:r>
    </w:p>
    <w:p w14:paraId="0966853D" w14:textId="77777777" w:rsidR="00AE5472" w:rsidRPr="00B809FE" w:rsidRDefault="00AE5472" w:rsidP="00AE5472">
      <w:pPr>
        <w:pStyle w:val="ListParagraph"/>
        <w:numPr>
          <w:ilvl w:val="0"/>
          <w:numId w:val="29"/>
        </w:numPr>
        <w:spacing w:before="0"/>
      </w:pPr>
      <w:r w:rsidRPr="00B809FE">
        <w:t>Australian Society of Plastic Surgeons (ASPS)</w:t>
      </w:r>
    </w:p>
    <w:p w14:paraId="3D123BAB" w14:textId="77777777" w:rsidR="00AE5472" w:rsidRPr="00B809FE" w:rsidRDefault="00AE5472" w:rsidP="00AE5472">
      <w:pPr>
        <w:pStyle w:val="ListParagraph"/>
        <w:numPr>
          <w:ilvl w:val="0"/>
          <w:numId w:val="29"/>
        </w:numPr>
        <w:spacing w:before="0"/>
      </w:pPr>
      <w:r w:rsidRPr="00B809FE">
        <w:t>Australasian College of Dermatologists (ACD)</w:t>
      </w:r>
    </w:p>
    <w:p w14:paraId="7F87E609" w14:textId="77777777" w:rsidR="00AE5472" w:rsidRPr="00B809FE" w:rsidRDefault="00AE5472" w:rsidP="00AE5472">
      <w:pPr>
        <w:pStyle w:val="ListParagraph"/>
        <w:numPr>
          <w:ilvl w:val="0"/>
          <w:numId w:val="29"/>
        </w:numPr>
        <w:spacing w:before="0"/>
      </w:pPr>
      <w:r w:rsidRPr="00B809FE">
        <w:t>Australasian Association of Nuclear medicine Specialists (AANMS)</w:t>
      </w:r>
    </w:p>
    <w:p w14:paraId="1B90DC16" w14:textId="77777777" w:rsidR="00AE5472" w:rsidRDefault="00AE5472" w:rsidP="00AE5472">
      <w:pPr>
        <w:rPr>
          <w:color w:val="FF0000"/>
          <w:sz w:val="24"/>
          <w:szCs w:val="24"/>
        </w:rPr>
      </w:pPr>
      <w:r w:rsidRPr="00E34499">
        <w:rPr>
          <w:b/>
          <w:bCs/>
          <w:sz w:val="24"/>
          <w:szCs w:val="24"/>
        </w:rPr>
        <w:t>Level of support for public funding</w:t>
      </w:r>
      <w:r>
        <w:rPr>
          <w:b/>
          <w:bCs/>
          <w:sz w:val="24"/>
          <w:szCs w:val="24"/>
        </w:rPr>
        <w:t xml:space="preserve"> </w:t>
      </w:r>
    </w:p>
    <w:p w14:paraId="1F57F25D" w14:textId="0EAA60F9" w:rsidR="00AE5472" w:rsidRPr="00B809FE" w:rsidRDefault="00AE5472" w:rsidP="00AE5472">
      <w:r>
        <w:t xml:space="preserve">Support for public funding of this service was mixed. </w:t>
      </w:r>
      <w:r w:rsidR="51502703">
        <w:t xml:space="preserve">Two </w:t>
      </w:r>
      <w:r>
        <w:t>organisations (ACD, AANMS) were supportive of public funding, however the individual health professional, PHA, RANZCR and ASPS were not supportive.</w:t>
      </w:r>
    </w:p>
    <w:p w14:paraId="0BF9A05F" w14:textId="77777777" w:rsidR="00AE5472" w:rsidRDefault="00AE5472" w:rsidP="00AE5472">
      <w:pPr>
        <w:rPr>
          <w:color w:val="FF0000"/>
          <w:sz w:val="24"/>
          <w:szCs w:val="24"/>
        </w:rPr>
      </w:pPr>
      <w:r>
        <w:rPr>
          <w:b/>
          <w:bCs/>
          <w:sz w:val="24"/>
          <w:szCs w:val="24"/>
        </w:rPr>
        <w:t xml:space="preserve">Perceived Advantages </w:t>
      </w:r>
    </w:p>
    <w:p w14:paraId="028A140A" w14:textId="77777777" w:rsidR="00AE5472" w:rsidRPr="00B809FE" w:rsidRDefault="00AE5472" w:rsidP="00AE5472">
      <w:r w:rsidRPr="00B809FE">
        <w:t>Advantages of the service noted in the input included:</w:t>
      </w:r>
    </w:p>
    <w:p w14:paraId="062F679A" w14:textId="77777777" w:rsidR="00AE5472" w:rsidRPr="00B809FE" w:rsidRDefault="00AE5472" w:rsidP="00AE5472">
      <w:pPr>
        <w:pStyle w:val="ListParagraph"/>
        <w:numPr>
          <w:ilvl w:val="0"/>
          <w:numId w:val="30"/>
        </w:numPr>
        <w:spacing w:before="0"/>
      </w:pPr>
      <w:r w:rsidRPr="00B809FE">
        <w:t>Rhenium-188 brachytherapy is a non-invasive, non-scarring treatment that can be delivered for patients in an outpatient setting and offers reduced healing time.</w:t>
      </w:r>
    </w:p>
    <w:p w14:paraId="63A6399D" w14:textId="77777777" w:rsidR="00AE5472" w:rsidRPr="00B809FE" w:rsidRDefault="00AE5472" w:rsidP="00AE5472">
      <w:pPr>
        <w:pStyle w:val="ListParagraph"/>
        <w:numPr>
          <w:ilvl w:val="0"/>
          <w:numId w:val="30"/>
        </w:numPr>
        <w:spacing w:before="0"/>
      </w:pPr>
      <w:r w:rsidRPr="00B809FE">
        <w:lastRenderedPageBreak/>
        <w:t>This service has a limited but definite role in the management of non-melanoma skin cancers, as an alternative to surgery or conventional radiotherapy, particularly for thin lesions; or where surgery is not appropriate because of various patient and tumour factors.</w:t>
      </w:r>
    </w:p>
    <w:p w14:paraId="7AFD357B" w14:textId="77777777" w:rsidR="00AE5472" w:rsidRPr="00B01D6C" w:rsidRDefault="00AE5472" w:rsidP="00AE5472">
      <w:pPr>
        <w:rPr>
          <w:sz w:val="24"/>
          <w:szCs w:val="24"/>
        </w:rPr>
      </w:pPr>
      <w:r>
        <w:rPr>
          <w:b/>
          <w:bCs/>
          <w:sz w:val="24"/>
          <w:szCs w:val="24"/>
        </w:rPr>
        <w:t xml:space="preserve">Perceived Disadvantages </w:t>
      </w:r>
    </w:p>
    <w:p w14:paraId="5EF9B175" w14:textId="77777777" w:rsidR="00AE5472" w:rsidRPr="00B809FE" w:rsidRDefault="00AE5472" w:rsidP="00AE5472">
      <w:r w:rsidRPr="00B809FE">
        <w:t>Disadvantages of the service noted in the input included:</w:t>
      </w:r>
    </w:p>
    <w:p w14:paraId="2C19C66C" w14:textId="77777777" w:rsidR="00AE5472" w:rsidRPr="00B809FE" w:rsidRDefault="00AE5472" w:rsidP="00AE5472">
      <w:pPr>
        <w:pStyle w:val="ListParagraph"/>
        <w:numPr>
          <w:ilvl w:val="0"/>
          <w:numId w:val="30"/>
        </w:numPr>
        <w:spacing w:before="0"/>
      </w:pPr>
      <w:r w:rsidRPr="00B809FE">
        <w:t xml:space="preserve">Insufficient evidence of safety and efficacy, cost effectiveness and total funding costs of this treatment. The feedback stated that there is a lack of randomised trials and published studies to support this treatment. </w:t>
      </w:r>
    </w:p>
    <w:p w14:paraId="73DDECCE" w14:textId="77777777" w:rsidR="00AE5472" w:rsidRPr="00B809FE" w:rsidRDefault="00AE5472" w:rsidP="00AE5472">
      <w:pPr>
        <w:pStyle w:val="ListParagraph"/>
        <w:numPr>
          <w:ilvl w:val="0"/>
          <w:numId w:val="30"/>
        </w:numPr>
        <w:spacing w:before="0"/>
      </w:pPr>
      <w:r w:rsidRPr="00B809FE">
        <w:t xml:space="preserve">Unknown long-term effects of treatment and </w:t>
      </w:r>
      <w:r w:rsidRPr="00B809FE">
        <w:rPr>
          <w:rFonts w:eastAsia="Calibri" w:cs="Calibri"/>
        </w:rPr>
        <w:t>risk of secondary cancers or other adverse events</w:t>
      </w:r>
      <w:r w:rsidRPr="00B809FE">
        <w:t>, the follow up in the studies was poor and the duration was insufficient to establish recurrence rates and late toxicity.</w:t>
      </w:r>
    </w:p>
    <w:p w14:paraId="23D2974B" w14:textId="0C739B5F" w:rsidR="00AE5472" w:rsidRPr="00B809FE" w:rsidRDefault="00AE5472" w:rsidP="00AE5472">
      <w:pPr>
        <w:pStyle w:val="ListParagraph"/>
        <w:numPr>
          <w:ilvl w:val="0"/>
          <w:numId w:val="30"/>
        </w:numPr>
        <w:spacing w:before="0"/>
      </w:pPr>
      <w:r>
        <w:t>Risk of increased incidence of acute toxicity reactions, including skin inflammation and ulceration, which is painful and usually requires dressings. This would be an additional cost to patients.</w:t>
      </w:r>
    </w:p>
    <w:p w14:paraId="6102E6D8" w14:textId="77777777" w:rsidR="00AE5472" w:rsidRPr="00B809FE" w:rsidRDefault="00AE5472" w:rsidP="00AE5472">
      <w:pPr>
        <w:pStyle w:val="ListParagraph"/>
        <w:numPr>
          <w:ilvl w:val="0"/>
          <w:numId w:val="30"/>
        </w:numPr>
        <w:spacing w:before="0"/>
      </w:pPr>
      <w:r w:rsidRPr="00B809FE">
        <w:t>The application does not address need for radiation protection or the need to deal with radiation waste, potentially underestimating the costs of the intervention.</w:t>
      </w:r>
    </w:p>
    <w:p w14:paraId="475EDB10" w14:textId="77777777" w:rsidR="00AE5472" w:rsidRPr="00B809FE" w:rsidRDefault="00AE5472" w:rsidP="00AE5472">
      <w:pPr>
        <w:pStyle w:val="ListParagraph"/>
        <w:numPr>
          <w:ilvl w:val="0"/>
          <w:numId w:val="30"/>
        </w:numPr>
        <w:spacing w:before="0"/>
      </w:pPr>
      <w:r w:rsidRPr="00B809FE">
        <w:t>Potential that this service will be more expensive than the current widely available and well-established treatments.</w:t>
      </w:r>
    </w:p>
    <w:p w14:paraId="1D06D28D" w14:textId="77777777" w:rsidR="00AE5472" w:rsidRPr="00B809FE" w:rsidRDefault="00AE5472" w:rsidP="00AE5472">
      <w:pPr>
        <w:pStyle w:val="ListParagraph"/>
        <w:numPr>
          <w:ilvl w:val="0"/>
          <w:numId w:val="30"/>
        </w:numPr>
        <w:spacing w:before="0"/>
      </w:pPr>
      <w:r w:rsidRPr="00B809FE">
        <w:t>Many of the lesions described in the application could be removed surgically under local anaesthetic and there is a requirement for biopsy in the protocol, therefore the theoretical benefit of avoiding a surgical procedure may not be realised.</w:t>
      </w:r>
    </w:p>
    <w:p w14:paraId="29C8279E" w14:textId="77777777" w:rsidR="00AE5472" w:rsidRPr="00B809FE" w:rsidRDefault="00AE5472" w:rsidP="00AE5472">
      <w:pPr>
        <w:pStyle w:val="ListParagraph"/>
        <w:numPr>
          <w:ilvl w:val="0"/>
          <w:numId w:val="30"/>
        </w:numPr>
        <w:spacing w:before="0"/>
      </w:pPr>
      <w:r w:rsidRPr="00B809FE">
        <w:t>Lack of information on what costs would still have to be paid out-of-pocket by patients.</w:t>
      </w:r>
    </w:p>
    <w:p w14:paraId="7EA49B4E" w14:textId="5B08D471" w:rsidR="00AE5472" w:rsidRPr="00B809FE" w:rsidRDefault="00AE5472" w:rsidP="00AE5472">
      <w:pPr>
        <w:pStyle w:val="ListParagraph"/>
        <w:numPr>
          <w:ilvl w:val="0"/>
          <w:numId w:val="30"/>
        </w:numPr>
        <w:spacing w:before="0"/>
      </w:pPr>
      <w:r>
        <w:t xml:space="preserve">Limited availability to patients, particularly in regional, rural, and remote locations, as the service will only be provided through accredited nuclear medicine facilities in specialist public and private hospitals (non-admitted patients). Additionally, the </w:t>
      </w:r>
      <w:r w:rsidR="50FDEEBA">
        <w:t>17-hour</w:t>
      </w:r>
      <w:r>
        <w:t xml:space="preserve"> half-life and the consequent need to quickly and safely transport the radioactive paste may limit availability to patients. </w:t>
      </w:r>
    </w:p>
    <w:p w14:paraId="3913F53A" w14:textId="42F1DFC7" w:rsidR="00AE5472" w:rsidRPr="00B809FE" w:rsidRDefault="00AE5472" w:rsidP="00B809FE">
      <w:pPr>
        <w:pStyle w:val="ListParagraph"/>
        <w:numPr>
          <w:ilvl w:val="0"/>
          <w:numId w:val="30"/>
        </w:numPr>
        <w:spacing w:before="0"/>
      </w:pPr>
      <w:r w:rsidRPr="00B809FE">
        <w:t>It is unlikely to reduce linac-related capital costs as only a small proportion of any linac treatment time is devoted to skin cancer.</w:t>
      </w:r>
    </w:p>
    <w:p w14:paraId="4DB380BF" w14:textId="77777777" w:rsidR="00AE5472" w:rsidRPr="00103C7F" w:rsidRDefault="00AE5472" w:rsidP="00AE5472">
      <w:pPr>
        <w:rPr>
          <w:b/>
          <w:bCs/>
          <w:sz w:val="24"/>
          <w:szCs w:val="24"/>
        </w:rPr>
      </w:pPr>
      <w:r>
        <w:rPr>
          <w:b/>
          <w:bCs/>
          <w:sz w:val="24"/>
          <w:szCs w:val="24"/>
        </w:rPr>
        <w:t xml:space="preserve">Support for Implementation /issues </w:t>
      </w:r>
    </w:p>
    <w:p w14:paraId="7A5EEE95" w14:textId="77777777" w:rsidR="00AE5472" w:rsidRPr="00B809FE" w:rsidRDefault="00AE5472" w:rsidP="00AE5472">
      <w:pPr>
        <w:rPr>
          <w:i/>
          <w:iCs/>
        </w:rPr>
      </w:pPr>
      <w:r w:rsidRPr="00B809FE">
        <w:rPr>
          <w:i/>
          <w:iCs/>
        </w:rPr>
        <w:t>Implementation requirements</w:t>
      </w:r>
    </w:p>
    <w:p w14:paraId="26F3CA1C" w14:textId="77777777" w:rsidR="00AE5472" w:rsidRPr="00B809FE" w:rsidRDefault="00AE5472" w:rsidP="00AE5472">
      <w:r w:rsidRPr="00B809FE">
        <w:t xml:space="preserve">AANMS considered that there would need to be some training of specialists and that practical experience with unsealed sources is imperative. There is the potential for contamination of patients, therapy surfaces, equipment and staff. AANMS believe the radiation specialist involved should be actively and directly involved in the application of the material. </w:t>
      </w:r>
    </w:p>
    <w:p w14:paraId="719D50F0" w14:textId="77777777" w:rsidR="00AE5472" w:rsidRPr="00B809FE" w:rsidRDefault="00AE5472" w:rsidP="00AE5472">
      <w:pPr>
        <w:rPr>
          <w:i/>
          <w:iCs/>
        </w:rPr>
      </w:pPr>
      <w:r w:rsidRPr="00B809FE">
        <w:rPr>
          <w:i/>
          <w:iCs/>
        </w:rPr>
        <w:t>MBS Item descriptor and fee</w:t>
      </w:r>
    </w:p>
    <w:p w14:paraId="3B36ECF1" w14:textId="77777777" w:rsidR="00AE5472" w:rsidRPr="00B809FE" w:rsidRDefault="00AE5472" w:rsidP="00AE5472">
      <w:r w:rsidRPr="00B809FE">
        <w:t>Suggested changes were to remove the ‘per 0.5cm2’ regarding the paste application and the name of the prescribing speciality should be a ‘nuclear medicine specialist’.</w:t>
      </w:r>
      <w:r w:rsidRPr="00B809FE">
        <w:rPr>
          <w:i/>
          <w:iCs/>
        </w:rPr>
        <w:t xml:space="preserve"> </w:t>
      </w:r>
    </w:p>
    <w:p w14:paraId="6A9E6765" w14:textId="2D919EF4" w:rsidR="00AE5472" w:rsidRPr="003B7AFA" w:rsidRDefault="00AE5472" w:rsidP="00B809FE">
      <w:r>
        <w:t xml:space="preserve">One respondent considered the criteria </w:t>
      </w:r>
      <w:r w:rsidR="30F2FE4D">
        <w:t xml:space="preserve">as </w:t>
      </w:r>
      <w:r>
        <w:t xml:space="preserve">too broad, and </w:t>
      </w:r>
      <w:r w:rsidR="62D3F637">
        <w:t xml:space="preserve">noted </w:t>
      </w:r>
      <w:r>
        <w:t>‘the patient's circumstances and co-morbidities, and the cancer characteristics, must be suitable for a single fraction radiation therapy treatment’.</w:t>
      </w:r>
    </w:p>
    <w:p w14:paraId="03C7A1F1" w14:textId="6994DB53" w:rsidR="00772829" w:rsidRPr="00CE28E3" w:rsidRDefault="00772829" w:rsidP="00B809FE">
      <w:pPr>
        <w:pStyle w:val="Heading2"/>
        <w:numPr>
          <w:ilvl w:val="0"/>
          <w:numId w:val="18"/>
        </w:numPr>
        <w:ind w:hanging="720"/>
      </w:pPr>
      <w:bookmarkStart w:id="19" w:name="_Toc69491422"/>
      <w:r w:rsidRPr="00CE28E3">
        <w:lastRenderedPageBreak/>
        <w:t>Characteristics of the evidence base</w:t>
      </w:r>
      <w:bookmarkEnd w:id="19"/>
    </w:p>
    <w:p w14:paraId="64D64388" w14:textId="66BDC351" w:rsidR="009F190B" w:rsidRDefault="009F190B" w:rsidP="008E3512">
      <w:r w:rsidRPr="009F190B">
        <w:t xml:space="preserve">There were no randomised controlled trials nor </w:t>
      </w:r>
      <w:r w:rsidR="00D71150" w:rsidRPr="009F190B">
        <w:t>w</w:t>
      </w:r>
      <w:r w:rsidR="00D71150">
        <w:t>ere</w:t>
      </w:r>
      <w:r w:rsidRPr="009F190B">
        <w:t xml:space="preserve"> there any non-randomised studies directly comparing safety and effectiveness of Re-188 brachytherapy with EBRT in patients with BCC and SCC. </w:t>
      </w:r>
    </w:p>
    <w:p w14:paraId="3C3F82BB" w14:textId="6B871C52" w:rsidR="00815AF9" w:rsidRDefault="00815AF9" w:rsidP="00815AF9">
      <w:pPr>
        <w:pStyle w:val="Heading3"/>
      </w:pPr>
      <w:r>
        <w:t>Characteristics</w:t>
      </w:r>
      <w:r>
        <w:rPr>
          <w:spacing w:val="-4"/>
        </w:rPr>
        <w:t xml:space="preserve"> </w:t>
      </w:r>
      <w:r>
        <w:t>of</w:t>
      </w:r>
      <w:r>
        <w:rPr>
          <w:spacing w:val="-2"/>
        </w:rPr>
        <w:t xml:space="preserve"> </w:t>
      </w:r>
      <w:r>
        <w:t>the</w:t>
      </w:r>
      <w:r>
        <w:rPr>
          <w:spacing w:val="-3"/>
        </w:rPr>
        <w:t xml:space="preserve"> </w:t>
      </w:r>
      <w:r>
        <w:t>evidence</w:t>
      </w:r>
      <w:r>
        <w:rPr>
          <w:spacing w:val="-5"/>
        </w:rPr>
        <w:t xml:space="preserve"> </w:t>
      </w:r>
      <w:r>
        <w:t>for</w:t>
      </w:r>
      <w:r>
        <w:rPr>
          <w:spacing w:val="-3"/>
        </w:rPr>
        <w:t xml:space="preserve"> </w:t>
      </w:r>
      <w:r>
        <w:t>Re-188</w:t>
      </w:r>
      <w:r>
        <w:rPr>
          <w:spacing w:val="-3"/>
        </w:rPr>
        <w:t xml:space="preserve"> </w:t>
      </w:r>
      <w:r>
        <w:rPr>
          <w:spacing w:val="-2"/>
        </w:rPr>
        <w:t>brachytherapy</w:t>
      </w:r>
    </w:p>
    <w:p w14:paraId="7930FDE8" w14:textId="3F9F91D6" w:rsidR="00080241" w:rsidRPr="003251C2" w:rsidRDefault="00183DD4" w:rsidP="00824BF0">
      <w:r>
        <w:t xml:space="preserve">The ADAR did not present the data from the previous ADAR. </w:t>
      </w:r>
      <w:r w:rsidR="00CD4EDA">
        <w:t xml:space="preserve">The ADAR </w:t>
      </w:r>
      <w:r w:rsidR="009F6DBD">
        <w:t>presented</w:t>
      </w:r>
      <w:r w:rsidR="00CD4EDA">
        <w:t xml:space="preserve"> three </w:t>
      </w:r>
      <w:r w:rsidR="009F6DBD">
        <w:t xml:space="preserve">additional </w:t>
      </w:r>
      <w:r w:rsidR="00CD4EDA">
        <w:t>studies</w:t>
      </w:r>
      <w:r w:rsidR="009F6DBD">
        <w:t xml:space="preserve"> and Au</w:t>
      </w:r>
      <w:r w:rsidR="005D3292">
        <w:t>stralian registry data (</w:t>
      </w:r>
      <w:r w:rsidR="005D3292">
        <w:fldChar w:fldCharType="begin"/>
      </w:r>
      <w:r w:rsidR="005D3292">
        <w:instrText xml:space="preserve"> REF _Ref69725651 \h </w:instrText>
      </w:r>
      <w:r w:rsidR="00824BF0">
        <w:instrText xml:space="preserve"> \* MERGEFORMAT </w:instrText>
      </w:r>
      <w:r w:rsidR="005D3292">
        <w:fldChar w:fldCharType="separate"/>
      </w:r>
      <w:r w:rsidR="00AF5AE7" w:rsidRPr="00CE28E3">
        <w:t>Table</w:t>
      </w:r>
      <w:r w:rsidR="00AF5AE7">
        <w:t> 7</w:t>
      </w:r>
      <w:r w:rsidR="005D3292">
        <w:fldChar w:fldCharType="end"/>
      </w:r>
      <w:r w:rsidR="005D3292">
        <w:t>)</w:t>
      </w:r>
      <w:r w:rsidR="00CD4EDA">
        <w:t xml:space="preserve">. </w:t>
      </w:r>
      <w:r w:rsidR="00D309F4">
        <w:t>To gather a complete picture of the available evidence, t</w:t>
      </w:r>
      <w:r w:rsidR="007D203B">
        <w:t>he previous</w:t>
      </w:r>
      <w:r w:rsidR="00EF4E43">
        <w:t xml:space="preserve"> ADAR </w:t>
      </w:r>
      <w:r w:rsidR="007D203B">
        <w:t xml:space="preserve">studies are presented </w:t>
      </w:r>
      <w:r w:rsidR="00EF4E43">
        <w:t>here if they included only one treatment and met the patient criteria</w:t>
      </w:r>
      <w:r w:rsidR="0098794B">
        <w:t xml:space="preserve">. </w:t>
      </w:r>
      <w:r w:rsidR="00FD3F89" w:rsidRPr="00FD3F89">
        <w:t>Risk of bias for the included studies was re-assessed using Newcastle Ottawa Scale</w:t>
      </w:r>
      <w:r w:rsidR="001E0ED3">
        <w:rPr>
          <w:rStyle w:val="FootnoteReference"/>
        </w:rPr>
        <w:footnoteReference w:id="3"/>
      </w:r>
      <w:r w:rsidR="00FD3F89">
        <w:t xml:space="preserve"> to be </w:t>
      </w:r>
      <w:r w:rsidR="0041332A">
        <w:t>in line</w:t>
      </w:r>
      <w:r w:rsidR="00FD3F89">
        <w:t xml:space="preserve"> with the </w:t>
      </w:r>
      <w:r w:rsidR="0041332A">
        <w:t>previous PSD</w:t>
      </w:r>
      <w:r w:rsidR="00FD3F89" w:rsidRPr="00FD3F89">
        <w:t xml:space="preserve"> </w:t>
      </w:r>
      <w:r w:rsidR="0041332A">
        <w:t xml:space="preserve">and </w:t>
      </w:r>
      <w:r w:rsidR="00FD3F89" w:rsidRPr="00FD3F89">
        <w:t>because the ADAR did not use an assessment tool</w:t>
      </w:r>
      <w:r w:rsidR="00FD3F89">
        <w:t xml:space="preserve"> outlined in the MSAC guidelines</w:t>
      </w:r>
      <w:r w:rsidR="00FD3F89" w:rsidRPr="00FD3F89">
        <w:t>.</w:t>
      </w:r>
    </w:p>
    <w:p w14:paraId="692BCA4B" w14:textId="32D062BE" w:rsidR="00956ACE" w:rsidRPr="00330A0A" w:rsidRDefault="00956ACE" w:rsidP="009A06F4">
      <w:pPr>
        <w:pStyle w:val="Caption"/>
        <w:rPr>
          <w:color w:val="538135" w:themeColor="accent6" w:themeShade="BF"/>
          <w:sz w:val="16"/>
          <w:szCs w:val="16"/>
        </w:rPr>
      </w:pPr>
      <w:bookmarkStart w:id="20" w:name="_Ref69725651"/>
      <w:r w:rsidRPr="00CE28E3">
        <w:t>Table</w:t>
      </w:r>
      <w:r w:rsidR="004A4FDF">
        <w:t> </w:t>
      </w:r>
      <w:r w:rsidR="007F4BCC">
        <w:fldChar w:fldCharType="begin"/>
      </w:r>
      <w:r w:rsidR="007F4BCC">
        <w:instrText xml:space="preserve"> SEQ Table \* ARABIC </w:instrText>
      </w:r>
      <w:r w:rsidR="007F4BCC">
        <w:fldChar w:fldCharType="separate"/>
      </w:r>
      <w:r w:rsidR="00AF5AE7">
        <w:rPr>
          <w:noProof/>
        </w:rPr>
        <w:t>7</w:t>
      </w:r>
      <w:r w:rsidR="007F4BCC">
        <w:rPr>
          <w:noProof/>
        </w:rPr>
        <w:fldChar w:fldCharType="end"/>
      </w:r>
      <w:bookmarkEnd w:id="20"/>
      <w:r w:rsidRPr="00CE28E3">
        <w:tab/>
        <w:t>Key features of the included evidence</w:t>
      </w:r>
      <w:r w:rsidRPr="00330A0A">
        <w:rPr>
          <w:color w:val="538135" w:themeColor="accent6" w:themeShade="BF"/>
        </w:rPr>
        <w:t xml:space="preserve">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4A0" w:firstRow="1" w:lastRow="0" w:firstColumn="1" w:lastColumn="0" w:noHBand="0" w:noVBand="1"/>
      </w:tblPr>
      <w:tblGrid>
        <w:gridCol w:w="1179"/>
        <w:gridCol w:w="518"/>
        <w:gridCol w:w="1635"/>
        <w:gridCol w:w="632"/>
        <w:gridCol w:w="1985"/>
        <w:gridCol w:w="1417"/>
        <w:gridCol w:w="1560"/>
      </w:tblGrid>
      <w:tr w:rsidR="00290B2C" w:rsidRPr="00CE28E3" w14:paraId="475D8C60" w14:textId="0AF978F6" w:rsidTr="00B22F65">
        <w:trPr>
          <w:cantSplit/>
          <w:tblHeader/>
        </w:trPr>
        <w:tc>
          <w:tcPr>
            <w:tcW w:w="660" w:type="pct"/>
            <w:vAlign w:val="center"/>
          </w:tcPr>
          <w:p w14:paraId="4FFC981B" w14:textId="77777777" w:rsidR="00956ACE" w:rsidRPr="00CE28E3" w:rsidRDefault="00956ACE" w:rsidP="00B809FE">
            <w:pPr>
              <w:pStyle w:val="In-tableHeading"/>
            </w:pPr>
            <w:bookmarkStart w:id="21" w:name="ColumnTitle_Table3"/>
            <w:bookmarkStart w:id="22" w:name="_Hlk68276112"/>
            <w:bookmarkEnd w:id="21"/>
            <w:r w:rsidRPr="00CE28E3">
              <w:t>References</w:t>
            </w:r>
          </w:p>
        </w:tc>
        <w:tc>
          <w:tcPr>
            <w:tcW w:w="290" w:type="pct"/>
            <w:vAlign w:val="center"/>
          </w:tcPr>
          <w:p w14:paraId="28641D20" w14:textId="77777777" w:rsidR="00956ACE" w:rsidRPr="00CE28E3" w:rsidRDefault="00956ACE" w:rsidP="00B809FE">
            <w:pPr>
              <w:pStyle w:val="In-tableHeading"/>
            </w:pPr>
            <w:r w:rsidRPr="00CE28E3">
              <w:t>N</w:t>
            </w:r>
          </w:p>
        </w:tc>
        <w:tc>
          <w:tcPr>
            <w:tcW w:w="916" w:type="pct"/>
            <w:vAlign w:val="center"/>
          </w:tcPr>
          <w:p w14:paraId="0506FFFC" w14:textId="78970FC1" w:rsidR="00302E97" w:rsidRDefault="00956ACE" w:rsidP="00B809FE">
            <w:pPr>
              <w:pStyle w:val="In-tableHeading"/>
            </w:pPr>
            <w:r w:rsidRPr="00CE28E3">
              <w:t>Design</w:t>
            </w:r>
          </w:p>
          <w:p w14:paraId="23BE1BE2" w14:textId="31FD1AE8" w:rsidR="00956ACE" w:rsidRPr="00CE28E3" w:rsidRDefault="002C65C1" w:rsidP="00B809FE">
            <w:pPr>
              <w:pStyle w:val="In-tableHeading"/>
            </w:pPr>
            <w:r>
              <w:t>D</w:t>
            </w:r>
            <w:r w:rsidR="00956ACE" w:rsidRPr="00CE28E3">
              <w:t>uration</w:t>
            </w:r>
          </w:p>
        </w:tc>
        <w:tc>
          <w:tcPr>
            <w:tcW w:w="354" w:type="pct"/>
            <w:vAlign w:val="center"/>
          </w:tcPr>
          <w:p w14:paraId="4F407CF9" w14:textId="67991B5F" w:rsidR="00956ACE" w:rsidRPr="00CE28E3" w:rsidRDefault="00302E97" w:rsidP="00B809FE">
            <w:pPr>
              <w:pStyle w:val="In-tableHeading"/>
            </w:pPr>
            <w:r>
              <w:t>Quality</w:t>
            </w:r>
          </w:p>
        </w:tc>
        <w:tc>
          <w:tcPr>
            <w:tcW w:w="1112" w:type="pct"/>
            <w:vAlign w:val="center"/>
          </w:tcPr>
          <w:p w14:paraId="78074E6B" w14:textId="77777777" w:rsidR="00956ACE" w:rsidRPr="00CE28E3" w:rsidRDefault="00956ACE" w:rsidP="00B809FE">
            <w:pPr>
              <w:pStyle w:val="In-tableHeading"/>
            </w:pPr>
            <w:r w:rsidRPr="00CE28E3">
              <w:t>Patient population</w:t>
            </w:r>
          </w:p>
        </w:tc>
        <w:tc>
          <w:tcPr>
            <w:tcW w:w="794" w:type="pct"/>
            <w:vAlign w:val="center"/>
          </w:tcPr>
          <w:p w14:paraId="4B5869A3" w14:textId="62F78DB1" w:rsidR="00956ACE" w:rsidRPr="00CE28E3" w:rsidRDefault="0065209B" w:rsidP="00B809FE">
            <w:pPr>
              <w:pStyle w:val="In-tableHeading"/>
            </w:pPr>
            <w:r w:rsidRPr="00FB6AE2">
              <w:rPr>
                <w:lang w:val="en-AU"/>
              </w:rPr>
              <w:t>Surface area and</w:t>
            </w:r>
            <w:r w:rsidRPr="00FB6AE2">
              <w:rPr>
                <w:spacing w:val="-1"/>
                <w:lang w:val="en-AU"/>
              </w:rPr>
              <w:t xml:space="preserve"> </w:t>
            </w:r>
            <w:r w:rsidRPr="00FB6AE2">
              <w:rPr>
                <w:spacing w:val="-2"/>
                <w:lang w:val="en-AU"/>
              </w:rPr>
              <w:t>thickness</w:t>
            </w:r>
          </w:p>
        </w:tc>
        <w:tc>
          <w:tcPr>
            <w:tcW w:w="874" w:type="pct"/>
            <w:vAlign w:val="center"/>
          </w:tcPr>
          <w:p w14:paraId="4E8CBB11" w14:textId="2433CD20" w:rsidR="0065209B" w:rsidRPr="00CE28E3" w:rsidRDefault="0065209B" w:rsidP="00B809FE">
            <w:pPr>
              <w:pStyle w:val="In-tableHeading"/>
            </w:pPr>
            <w:r w:rsidRPr="00CE28E3">
              <w:t>Outcome(s</w:t>
            </w:r>
            <w:r>
              <w:t>)</w:t>
            </w:r>
          </w:p>
        </w:tc>
      </w:tr>
      <w:tr w:rsidR="0065104B" w:rsidRPr="00CE28E3" w14:paraId="29233331" w14:textId="77777777" w:rsidTr="0065104B">
        <w:trPr>
          <w:cantSplit/>
        </w:trPr>
        <w:tc>
          <w:tcPr>
            <w:tcW w:w="660" w:type="pct"/>
            <w:shd w:val="clear" w:color="auto" w:fill="FFFFFF" w:themeFill="background1"/>
            <w:vAlign w:val="center"/>
          </w:tcPr>
          <w:p w14:paraId="448DAE29" w14:textId="3275F58E" w:rsidR="007E0EA0" w:rsidRPr="00CE28E3" w:rsidRDefault="007E0EA0" w:rsidP="00B809FE">
            <w:pPr>
              <w:pStyle w:val="TableText"/>
              <w:spacing w:before="0" w:after="0"/>
              <w:rPr>
                <w:lang w:val="en-US"/>
              </w:rPr>
            </w:pPr>
            <w:r w:rsidRPr="00302E97">
              <w:t>EPIC-Skin</w:t>
            </w:r>
            <w:bookmarkStart w:id="23" w:name="_Ref184288236"/>
            <w:r w:rsidR="00302E97" w:rsidRPr="00302E97">
              <w:rPr>
                <w:rStyle w:val="FootnoteReference"/>
                <w:rFonts w:asciiTheme="minorHAnsi" w:hAnsiTheme="minorHAnsi" w:cstheme="minorHAnsi"/>
              </w:rPr>
              <w:footnoteReference w:id="4"/>
            </w:r>
            <w:bookmarkEnd w:id="23"/>
          </w:p>
        </w:tc>
        <w:tc>
          <w:tcPr>
            <w:tcW w:w="290" w:type="pct"/>
            <w:shd w:val="clear" w:color="auto" w:fill="FFFFFF" w:themeFill="background1"/>
            <w:vAlign w:val="center"/>
          </w:tcPr>
          <w:p w14:paraId="0A5F4333" w14:textId="23AA0C82" w:rsidR="007E0EA0" w:rsidRPr="001D09F6" w:rsidRDefault="007E0EA0" w:rsidP="00B809FE">
            <w:pPr>
              <w:pStyle w:val="TableText"/>
              <w:spacing w:before="0" w:after="0"/>
            </w:pPr>
            <w:r w:rsidRPr="00302E97">
              <w:t>189</w:t>
            </w:r>
          </w:p>
        </w:tc>
        <w:tc>
          <w:tcPr>
            <w:tcW w:w="916" w:type="pct"/>
            <w:shd w:val="clear" w:color="auto" w:fill="FFFFFF" w:themeFill="background1"/>
            <w:vAlign w:val="center"/>
          </w:tcPr>
          <w:p w14:paraId="0DCE12C8" w14:textId="77777777" w:rsidR="00302E97" w:rsidRPr="00302E97" w:rsidRDefault="007E0EA0" w:rsidP="00B809FE">
            <w:pPr>
              <w:pStyle w:val="TableText"/>
              <w:spacing w:before="0" w:after="0"/>
            </w:pPr>
            <w:r w:rsidRPr="00302E97">
              <w:t>Single-arm, prospective Phase IV study</w:t>
            </w:r>
          </w:p>
          <w:p w14:paraId="03A1A903" w14:textId="35B33E13" w:rsidR="007E0EA0" w:rsidRPr="00302E97" w:rsidRDefault="00302E97" w:rsidP="00B809FE">
            <w:pPr>
              <w:pStyle w:val="TableText"/>
              <w:spacing w:before="0" w:after="0"/>
            </w:pPr>
            <w:r w:rsidRPr="00302E97">
              <w:t>12 month follow up</w:t>
            </w:r>
          </w:p>
        </w:tc>
        <w:tc>
          <w:tcPr>
            <w:tcW w:w="354" w:type="pct"/>
            <w:vAlign w:val="center"/>
          </w:tcPr>
          <w:p w14:paraId="6BDD9561" w14:textId="5DBED2A0" w:rsidR="007E0EA0" w:rsidRPr="001D09F6" w:rsidRDefault="00302E97" w:rsidP="00B809FE">
            <w:pPr>
              <w:pStyle w:val="TableText"/>
              <w:spacing w:before="0" w:after="0"/>
            </w:pPr>
            <w:r w:rsidRPr="00302E97">
              <w:t>Fair</w:t>
            </w:r>
          </w:p>
        </w:tc>
        <w:tc>
          <w:tcPr>
            <w:tcW w:w="1112" w:type="pct"/>
            <w:shd w:val="clear" w:color="auto" w:fill="FFFFFF" w:themeFill="background1"/>
            <w:vAlign w:val="center"/>
          </w:tcPr>
          <w:p w14:paraId="2EB89A68" w14:textId="5ACE81BB" w:rsidR="007E0EA0" w:rsidRPr="00C831FD" w:rsidRDefault="007E0EA0" w:rsidP="00B809FE">
            <w:pPr>
              <w:pStyle w:val="TableText"/>
              <w:spacing w:before="0" w:after="0"/>
            </w:pPr>
            <w:r w:rsidRPr="00302E97">
              <w:t>Adults with BCC or SCC lesions who were unwilling or contraindicated for surgery.</w:t>
            </w:r>
          </w:p>
        </w:tc>
        <w:tc>
          <w:tcPr>
            <w:tcW w:w="794" w:type="pct"/>
            <w:vAlign w:val="center"/>
          </w:tcPr>
          <w:p w14:paraId="56F63CAB" w14:textId="77777777" w:rsidR="00302E97" w:rsidRDefault="00302E97" w:rsidP="00B809FE">
            <w:pPr>
              <w:pStyle w:val="TableText"/>
              <w:spacing w:before="0" w:after="0"/>
            </w:pPr>
            <w:r>
              <w:t>Inclusion:</w:t>
            </w:r>
          </w:p>
          <w:p w14:paraId="7B085E78" w14:textId="0EC8C66B" w:rsidR="007E0EA0" w:rsidRPr="001D09F6" w:rsidRDefault="00302E97" w:rsidP="00B809FE">
            <w:pPr>
              <w:pStyle w:val="TableText"/>
              <w:spacing w:before="0" w:after="0"/>
            </w:pPr>
            <w:r w:rsidRPr="00302E97">
              <w:t>≤8</w:t>
            </w:r>
            <w:r w:rsidR="003B7AFA" w:rsidRPr="00D47D52">
              <w:t>cm</w:t>
            </w:r>
            <w:r w:rsidR="003B7AFA" w:rsidRPr="00BA438C">
              <w:rPr>
                <w:vertAlign w:val="superscript"/>
              </w:rPr>
              <w:t>2</w:t>
            </w:r>
            <w:r w:rsidRPr="00302E97">
              <w:t>in size, and depth of ≤3mm</w:t>
            </w:r>
          </w:p>
        </w:tc>
        <w:tc>
          <w:tcPr>
            <w:tcW w:w="874" w:type="pct"/>
            <w:shd w:val="clear" w:color="auto" w:fill="FFFFFF" w:themeFill="background1"/>
            <w:vAlign w:val="center"/>
          </w:tcPr>
          <w:p w14:paraId="5B382EF5" w14:textId="77777777" w:rsidR="007E0EA0" w:rsidRPr="001D09F6" w:rsidRDefault="007E0EA0" w:rsidP="00B809FE">
            <w:pPr>
              <w:pStyle w:val="TableText"/>
              <w:spacing w:before="0" w:after="0"/>
            </w:pPr>
            <w:r w:rsidRPr="00302E97">
              <w:t xml:space="preserve">Tumour response rate at 6 and 12 </w:t>
            </w:r>
            <w:r w:rsidRPr="001D09F6">
              <w:t>months</w:t>
            </w:r>
          </w:p>
          <w:p w14:paraId="156E5708" w14:textId="77777777" w:rsidR="007E0EA0" w:rsidRPr="001D09F6" w:rsidRDefault="007E0EA0" w:rsidP="00B809FE">
            <w:pPr>
              <w:pStyle w:val="TableText"/>
              <w:spacing w:before="0" w:after="0"/>
            </w:pPr>
            <w:r w:rsidRPr="00302E97">
              <w:t>Quality of life at 6 and 12 months</w:t>
            </w:r>
          </w:p>
          <w:p w14:paraId="450D8235" w14:textId="77777777" w:rsidR="007E0EA0" w:rsidRPr="001D09F6" w:rsidRDefault="007E0EA0" w:rsidP="00B809FE">
            <w:pPr>
              <w:pStyle w:val="TableText"/>
              <w:spacing w:before="0" w:after="0"/>
            </w:pPr>
            <w:r w:rsidRPr="00302E97">
              <w:t>Cosmesis at 12 months</w:t>
            </w:r>
          </w:p>
          <w:p w14:paraId="788F364D" w14:textId="3248FCDA" w:rsidR="007E0EA0" w:rsidRPr="001D09F6" w:rsidRDefault="007E0EA0" w:rsidP="00B809FE">
            <w:pPr>
              <w:pStyle w:val="TableText"/>
              <w:spacing w:before="0" w:after="0"/>
            </w:pPr>
            <w:r w:rsidRPr="00302E97">
              <w:t>TRAEs and CTCAE grading</w:t>
            </w:r>
          </w:p>
        </w:tc>
      </w:tr>
      <w:tr w:rsidR="0065104B" w:rsidRPr="00CE28E3" w14:paraId="025E6D62" w14:textId="77777777" w:rsidTr="0065104B">
        <w:trPr>
          <w:cantSplit/>
        </w:trPr>
        <w:tc>
          <w:tcPr>
            <w:tcW w:w="660" w:type="pct"/>
            <w:shd w:val="clear" w:color="auto" w:fill="FFFFFF" w:themeFill="background1"/>
            <w:vAlign w:val="center"/>
          </w:tcPr>
          <w:p w14:paraId="267B22CE" w14:textId="595A5678" w:rsidR="007E0EA0" w:rsidRPr="00CE28E3" w:rsidRDefault="00134CF9" w:rsidP="00B809FE">
            <w:pPr>
              <w:pStyle w:val="TableText"/>
              <w:spacing w:before="0" w:after="0"/>
              <w:rPr>
                <w:lang w:val="en-US"/>
              </w:rPr>
            </w:pPr>
            <w:r w:rsidRPr="00134CF9">
              <w:t>Vetrone 2024</w:t>
            </w:r>
            <w:r>
              <w:t xml:space="preserve"> </w:t>
            </w:r>
            <w:r w:rsidRPr="00134CF9">
              <w:t>(</w:t>
            </w:r>
            <w:r w:rsidR="007E0EA0" w:rsidRPr="00D47D52">
              <w:t>Bologna EANM24</w:t>
            </w:r>
            <w:r>
              <w:t>)</w:t>
            </w:r>
            <w:r w:rsidR="00302E97" w:rsidRPr="00D47D52">
              <w:rPr>
                <w:rStyle w:val="FootnoteReference"/>
                <w:rFonts w:asciiTheme="minorHAnsi" w:hAnsiTheme="minorHAnsi" w:cstheme="minorHAnsi"/>
              </w:rPr>
              <w:footnoteReference w:id="5"/>
            </w:r>
            <w:r w:rsidR="007E0EA0" w:rsidRPr="00D47D52">
              <w:t xml:space="preserve"> </w:t>
            </w:r>
          </w:p>
        </w:tc>
        <w:tc>
          <w:tcPr>
            <w:tcW w:w="290" w:type="pct"/>
            <w:shd w:val="clear" w:color="auto" w:fill="FFFFFF" w:themeFill="background1"/>
            <w:vAlign w:val="center"/>
          </w:tcPr>
          <w:p w14:paraId="5CF303D6" w14:textId="5754297E" w:rsidR="007E0EA0" w:rsidRPr="001D09F6" w:rsidRDefault="007E0EA0" w:rsidP="00B809FE">
            <w:pPr>
              <w:pStyle w:val="TableText"/>
              <w:spacing w:before="0" w:after="0"/>
            </w:pPr>
            <w:r w:rsidRPr="00D47D52">
              <w:t>115</w:t>
            </w:r>
          </w:p>
        </w:tc>
        <w:tc>
          <w:tcPr>
            <w:tcW w:w="916" w:type="pct"/>
            <w:shd w:val="clear" w:color="auto" w:fill="FFFFFF" w:themeFill="background1"/>
            <w:vAlign w:val="center"/>
          </w:tcPr>
          <w:p w14:paraId="5E8236B6" w14:textId="77777777" w:rsidR="00302E97" w:rsidRPr="00D47D52" w:rsidRDefault="007E0EA0" w:rsidP="00B809FE">
            <w:pPr>
              <w:pStyle w:val="TableText"/>
              <w:spacing w:before="0" w:after="0"/>
            </w:pPr>
            <w:r w:rsidRPr="00D47D52">
              <w:t>Single-arm, prospective cohort study</w:t>
            </w:r>
          </w:p>
          <w:p w14:paraId="71E72220" w14:textId="7B47961B" w:rsidR="007E0EA0" w:rsidRPr="00D47D52" w:rsidRDefault="00302E97" w:rsidP="00B809FE">
            <w:pPr>
              <w:pStyle w:val="TableText"/>
              <w:spacing w:before="0" w:after="0"/>
            </w:pPr>
            <w:r w:rsidRPr="00D47D52">
              <w:t xml:space="preserve">36 month follow up </w:t>
            </w:r>
          </w:p>
        </w:tc>
        <w:tc>
          <w:tcPr>
            <w:tcW w:w="354" w:type="pct"/>
            <w:vAlign w:val="center"/>
          </w:tcPr>
          <w:p w14:paraId="4B15095B" w14:textId="40843E4C" w:rsidR="007E0EA0" w:rsidRPr="001D09F6" w:rsidRDefault="00302E97" w:rsidP="00B809FE">
            <w:pPr>
              <w:pStyle w:val="TableText"/>
              <w:spacing w:before="0" w:after="0"/>
            </w:pPr>
            <w:r w:rsidRPr="00D47D52">
              <w:t>Poor</w:t>
            </w:r>
          </w:p>
        </w:tc>
        <w:tc>
          <w:tcPr>
            <w:tcW w:w="1112" w:type="pct"/>
            <w:shd w:val="clear" w:color="auto" w:fill="FFFFFF" w:themeFill="background1"/>
            <w:vAlign w:val="center"/>
          </w:tcPr>
          <w:p w14:paraId="4627A711" w14:textId="77777777" w:rsidR="007E0EA0" w:rsidRPr="001D09F6" w:rsidRDefault="007E0EA0" w:rsidP="00B809FE">
            <w:pPr>
              <w:pStyle w:val="TableText"/>
              <w:spacing w:before="0" w:after="0"/>
            </w:pPr>
            <w:r w:rsidRPr="00D47D52">
              <w:t xml:space="preserve">Adults with </w:t>
            </w:r>
            <w:r w:rsidRPr="001D09F6">
              <w:t>NMSC lesions depth of ≤3mm who were unwilling or contraindicated for surgery.</w:t>
            </w:r>
          </w:p>
          <w:p w14:paraId="0114B8E9" w14:textId="7A411C07" w:rsidR="007E0EA0" w:rsidRPr="001D09F6" w:rsidRDefault="007E0EA0" w:rsidP="00B809FE">
            <w:pPr>
              <w:pStyle w:val="TableText"/>
              <w:spacing w:before="0" w:after="0"/>
            </w:pPr>
            <w:r w:rsidRPr="00D47D52">
              <w:t>Sites treated:  Scalp, forehead, nose, ears, cheeks, extremities (limbs), thorax, scrotum.</w:t>
            </w:r>
          </w:p>
        </w:tc>
        <w:tc>
          <w:tcPr>
            <w:tcW w:w="794" w:type="pct"/>
            <w:vAlign w:val="center"/>
          </w:tcPr>
          <w:p w14:paraId="130675C0" w14:textId="3600B975" w:rsidR="007E0EA0" w:rsidRPr="001D09F6" w:rsidRDefault="00302E97" w:rsidP="00B809FE">
            <w:pPr>
              <w:pStyle w:val="TableText"/>
              <w:spacing w:before="0" w:after="0"/>
            </w:pPr>
            <w:r w:rsidRPr="001D09F6">
              <w:t>Mean surface area was 6</w:t>
            </w:r>
            <w:r w:rsidR="00281757">
              <w:t>.</w:t>
            </w:r>
            <w:r w:rsidRPr="001D09F6">
              <w:t>4</w:t>
            </w:r>
            <w:r w:rsidRPr="00D47D52">
              <w:t>cm</w:t>
            </w:r>
            <w:r w:rsidRPr="00BA438C">
              <w:rPr>
                <w:vertAlign w:val="superscript"/>
              </w:rPr>
              <w:t>2</w:t>
            </w:r>
            <w:r w:rsidRPr="003B7AFA">
              <w:t xml:space="preserve"> </w:t>
            </w:r>
            <w:r w:rsidRPr="001D09F6">
              <w:t>(</w:t>
            </w:r>
            <w:r w:rsidR="00C862C4">
              <w:t xml:space="preserve">range, </w:t>
            </w:r>
            <w:r w:rsidRPr="001D09F6">
              <w:t>1-60cm</w:t>
            </w:r>
            <w:r w:rsidRPr="00446C88">
              <w:rPr>
                <w:vertAlign w:val="superscript"/>
              </w:rPr>
              <w:t>2</w:t>
            </w:r>
            <w:r w:rsidRPr="001D09F6">
              <w:t>);</w:t>
            </w:r>
            <w:r w:rsidRPr="00D47D52">
              <w:t xml:space="preserve"> </w:t>
            </w:r>
            <w:r w:rsidRPr="001D09F6">
              <w:t>mean thickness 1</w:t>
            </w:r>
            <w:r w:rsidR="003B7AFA">
              <w:t>.</w:t>
            </w:r>
            <w:r w:rsidRPr="001D09F6">
              <w:t>3mm (</w:t>
            </w:r>
            <w:r w:rsidR="00C862C4">
              <w:t xml:space="preserve">range, </w:t>
            </w:r>
            <w:r w:rsidRPr="001D09F6">
              <w:t>0.2-3mm)</w:t>
            </w:r>
          </w:p>
        </w:tc>
        <w:tc>
          <w:tcPr>
            <w:tcW w:w="874" w:type="pct"/>
            <w:shd w:val="clear" w:color="auto" w:fill="FFFFFF" w:themeFill="background1"/>
            <w:vAlign w:val="center"/>
          </w:tcPr>
          <w:p w14:paraId="3519099E" w14:textId="77777777" w:rsidR="007E0EA0" w:rsidRPr="001D09F6" w:rsidRDefault="007E0EA0" w:rsidP="00B809FE">
            <w:pPr>
              <w:pStyle w:val="TableText"/>
              <w:spacing w:before="0" w:after="0"/>
            </w:pPr>
            <w:r w:rsidRPr="00D47D52">
              <w:t>Tumour relapses over follow-up (36 months)</w:t>
            </w:r>
          </w:p>
          <w:p w14:paraId="1C92C4BF" w14:textId="77777777" w:rsidR="007E0EA0" w:rsidRPr="001D09F6" w:rsidRDefault="007E0EA0" w:rsidP="00B809FE">
            <w:pPr>
              <w:pStyle w:val="TableText"/>
              <w:spacing w:before="0" w:after="0"/>
            </w:pPr>
            <w:r w:rsidRPr="00D47D52">
              <w:t>CTCAE graded safety</w:t>
            </w:r>
          </w:p>
          <w:p w14:paraId="1FDD2844" w14:textId="45929EC4" w:rsidR="007E0EA0" w:rsidRPr="001D09F6" w:rsidRDefault="007E0EA0" w:rsidP="00B809FE">
            <w:pPr>
              <w:pStyle w:val="TableText"/>
              <w:spacing w:before="0" w:after="0"/>
            </w:pPr>
            <w:r w:rsidRPr="00D47D52">
              <w:t>Cosmesis at 24 months</w:t>
            </w:r>
          </w:p>
        </w:tc>
      </w:tr>
      <w:tr w:rsidR="0065104B" w:rsidRPr="00CE28E3" w14:paraId="4BA04253" w14:textId="77777777" w:rsidTr="0065104B">
        <w:trPr>
          <w:cantSplit/>
        </w:trPr>
        <w:tc>
          <w:tcPr>
            <w:tcW w:w="660" w:type="pct"/>
            <w:shd w:val="clear" w:color="auto" w:fill="FFFFFF" w:themeFill="background1"/>
            <w:vAlign w:val="center"/>
          </w:tcPr>
          <w:p w14:paraId="777A9336" w14:textId="199F7FCE" w:rsidR="007E0EA0" w:rsidRPr="00CE28E3" w:rsidRDefault="007E0EA0" w:rsidP="00B809FE">
            <w:pPr>
              <w:pStyle w:val="TableText"/>
              <w:spacing w:before="0" w:after="0"/>
              <w:rPr>
                <w:lang w:val="en-US"/>
              </w:rPr>
            </w:pPr>
            <w:r w:rsidRPr="00D47D52">
              <w:t>Tietze 2023</w:t>
            </w:r>
            <w:bookmarkStart w:id="24" w:name="_Ref184289037"/>
            <w:r w:rsidR="00302E97" w:rsidRPr="00D47D52">
              <w:rPr>
                <w:rStyle w:val="FootnoteReference"/>
                <w:rFonts w:asciiTheme="minorHAnsi" w:hAnsiTheme="minorHAnsi" w:cstheme="minorHAnsi"/>
              </w:rPr>
              <w:footnoteReference w:id="6"/>
            </w:r>
            <w:bookmarkEnd w:id="24"/>
          </w:p>
        </w:tc>
        <w:tc>
          <w:tcPr>
            <w:tcW w:w="290" w:type="pct"/>
            <w:shd w:val="clear" w:color="auto" w:fill="FFFFFF" w:themeFill="background1"/>
            <w:vAlign w:val="center"/>
          </w:tcPr>
          <w:p w14:paraId="346E76A7" w14:textId="5270889C" w:rsidR="007E0EA0" w:rsidRPr="001D09F6" w:rsidRDefault="007E0EA0" w:rsidP="00B809FE">
            <w:pPr>
              <w:pStyle w:val="TableText"/>
              <w:spacing w:before="0" w:after="0"/>
            </w:pPr>
            <w:r w:rsidRPr="00D47D52">
              <w:t>22</w:t>
            </w:r>
          </w:p>
        </w:tc>
        <w:tc>
          <w:tcPr>
            <w:tcW w:w="916" w:type="pct"/>
            <w:shd w:val="clear" w:color="auto" w:fill="FFFFFF" w:themeFill="background1"/>
            <w:vAlign w:val="center"/>
          </w:tcPr>
          <w:p w14:paraId="7BF14562" w14:textId="77777777" w:rsidR="00302E97" w:rsidRPr="00D47D52" w:rsidRDefault="007E0EA0" w:rsidP="00B809FE">
            <w:pPr>
              <w:pStyle w:val="TableText"/>
              <w:spacing w:before="0" w:after="0"/>
            </w:pPr>
            <w:r w:rsidRPr="00D47D52">
              <w:t>Single-arm, prospective pilot study</w:t>
            </w:r>
          </w:p>
          <w:p w14:paraId="0CCABE36" w14:textId="045677BB" w:rsidR="007E0EA0" w:rsidRPr="00D47D52" w:rsidRDefault="00302E97" w:rsidP="00B809FE">
            <w:pPr>
              <w:pStyle w:val="TableText"/>
              <w:spacing w:before="0" w:after="0"/>
            </w:pPr>
            <w:r w:rsidRPr="00D47D52">
              <w:t>12 month follow up</w:t>
            </w:r>
          </w:p>
        </w:tc>
        <w:tc>
          <w:tcPr>
            <w:tcW w:w="354" w:type="pct"/>
            <w:vAlign w:val="center"/>
          </w:tcPr>
          <w:p w14:paraId="58EFD36A" w14:textId="03C7BBC8" w:rsidR="007E0EA0" w:rsidRPr="001D09F6" w:rsidRDefault="005C15D7" w:rsidP="00B809FE">
            <w:pPr>
              <w:pStyle w:val="TableText"/>
              <w:spacing w:before="0" w:after="0"/>
            </w:pPr>
            <w:r w:rsidRPr="001D09F6">
              <w:t>Poor</w:t>
            </w:r>
          </w:p>
        </w:tc>
        <w:tc>
          <w:tcPr>
            <w:tcW w:w="1112" w:type="pct"/>
            <w:shd w:val="clear" w:color="auto" w:fill="FFFFFF" w:themeFill="background1"/>
            <w:vAlign w:val="center"/>
          </w:tcPr>
          <w:p w14:paraId="2EDD251E" w14:textId="60962153" w:rsidR="007E0EA0" w:rsidRPr="001D09F6" w:rsidRDefault="007E0EA0" w:rsidP="00B809FE">
            <w:pPr>
              <w:pStyle w:val="TableText"/>
              <w:spacing w:before="0" w:after="0"/>
            </w:pPr>
            <w:r w:rsidRPr="00D47D52">
              <w:t>Adults with BCC or SCC lesions who were contraindicated for surgery.</w:t>
            </w:r>
          </w:p>
          <w:p w14:paraId="038E7363" w14:textId="74E5AB04" w:rsidR="007E0EA0" w:rsidRPr="001D09F6" w:rsidRDefault="007E0EA0" w:rsidP="00B809FE">
            <w:pPr>
              <w:pStyle w:val="TableText"/>
              <w:spacing w:before="0" w:after="0"/>
            </w:pPr>
            <w:r w:rsidRPr="00D47D52">
              <w:t>Sites treated: Face, head without face, trunk, lower extremity.</w:t>
            </w:r>
          </w:p>
        </w:tc>
        <w:tc>
          <w:tcPr>
            <w:tcW w:w="794" w:type="pct"/>
            <w:vAlign w:val="center"/>
          </w:tcPr>
          <w:p w14:paraId="0AED4355" w14:textId="1DA7BE31" w:rsidR="007E0EA0" w:rsidRPr="001D09F6" w:rsidRDefault="003B7AFA" w:rsidP="00B809FE">
            <w:pPr>
              <w:pStyle w:val="TableText"/>
              <w:spacing w:before="0" w:after="0"/>
            </w:pPr>
            <w:r>
              <w:t>M</w:t>
            </w:r>
            <w:r w:rsidR="00302E97" w:rsidRPr="00D47D52">
              <w:t>edian size of 1.25cm</w:t>
            </w:r>
            <w:r w:rsidR="00302E97" w:rsidRPr="001D09F6">
              <w:rPr>
                <w:vertAlign w:val="superscript"/>
              </w:rPr>
              <w:t>2</w:t>
            </w:r>
            <w:r w:rsidR="00302E97" w:rsidRPr="00D47D52">
              <w:t xml:space="preserve"> (range, 0.04-16.8</w:t>
            </w:r>
            <w:r w:rsidRPr="00D47D52">
              <w:t>cm</w:t>
            </w:r>
            <w:r w:rsidRPr="00BA438C">
              <w:rPr>
                <w:vertAlign w:val="superscript"/>
              </w:rPr>
              <w:t>2</w:t>
            </w:r>
            <w:r w:rsidR="00302E97" w:rsidRPr="00D47D52">
              <w:t>); median tumour thickness of 0.35mm (range, 0.1-2.1 mm)</w:t>
            </w:r>
          </w:p>
        </w:tc>
        <w:tc>
          <w:tcPr>
            <w:tcW w:w="874" w:type="pct"/>
            <w:shd w:val="clear" w:color="auto" w:fill="FFFFFF" w:themeFill="background1"/>
            <w:vAlign w:val="center"/>
          </w:tcPr>
          <w:p w14:paraId="24E194B4" w14:textId="77777777" w:rsidR="007E0EA0" w:rsidRPr="001D09F6" w:rsidRDefault="007E0EA0" w:rsidP="00B809FE">
            <w:pPr>
              <w:pStyle w:val="TableText"/>
              <w:spacing w:before="0" w:after="0"/>
            </w:pPr>
            <w:r w:rsidRPr="00D47D52">
              <w:t>Patient reported AEs</w:t>
            </w:r>
          </w:p>
          <w:p w14:paraId="7D128C83" w14:textId="77777777" w:rsidR="007E0EA0" w:rsidRPr="001D09F6" w:rsidRDefault="007E0EA0" w:rsidP="00B809FE">
            <w:pPr>
              <w:pStyle w:val="TableText"/>
              <w:spacing w:before="0" w:after="0"/>
            </w:pPr>
            <w:r w:rsidRPr="00D47D52">
              <w:t xml:space="preserve">Tumour </w:t>
            </w:r>
            <w:r w:rsidRPr="001D09F6">
              <w:t>response rate at 12 months</w:t>
            </w:r>
          </w:p>
          <w:p w14:paraId="75B8BFBA" w14:textId="4BA57699" w:rsidR="007E0EA0" w:rsidRPr="001D09F6" w:rsidRDefault="007E0EA0" w:rsidP="00B809FE">
            <w:pPr>
              <w:pStyle w:val="TableText"/>
              <w:spacing w:before="0" w:after="0"/>
            </w:pPr>
            <w:r w:rsidRPr="00D47D52">
              <w:t>Cosmesis at 12 months</w:t>
            </w:r>
          </w:p>
        </w:tc>
      </w:tr>
      <w:tr w:rsidR="00290B2C" w:rsidRPr="00CE28E3" w14:paraId="74CD02CE" w14:textId="380115E2" w:rsidTr="001D09F6">
        <w:trPr>
          <w:cantSplit/>
        </w:trPr>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2F155" w14:textId="1819123F" w:rsidR="00956ACE" w:rsidRPr="00CE28E3" w:rsidRDefault="00FF59D6" w:rsidP="00B809FE">
            <w:pPr>
              <w:pStyle w:val="TableText"/>
              <w:spacing w:before="0" w:after="0"/>
              <w:rPr>
                <w:lang w:val="en-US"/>
              </w:rPr>
            </w:pPr>
            <w:r w:rsidRPr="00FF59D6">
              <w:lastRenderedPageBreak/>
              <w:t>Australian Registry</w:t>
            </w:r>
          </w:p>
        </w:tc>
        <w:tc>
          <w:tcPr>
            <w:tcW w:w="2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FB07" w14:textId="5F724F16" w:rsidR="00956ACE" w:rsidRPr="001D09F6" w:rsidRDefault="007E0EA0" w:rsidP="00B809FE">
            <w:pPr>
              <w:pStyle w:val="TableText"/>
              <w:spacing w:before="0" w:after="0"/>
            </w:pPr>
            <w:r w:rsidRPr="43052E9E">
              <w:t>20</w:t>
            </w:r>
          </w:p>
        </w:tc>
        <w:tc>
          <w:tcPr>
            <w:tcW w:w="9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B41BD" w14:textId="24F13C8C" w:rsidR="00956ACE" w:rsidRPr="0009095C" w:rsidRDefault="007E0EA0" w:rsidP="00B809FE">
            <w:pPr>
              <w:pStyle w:val="TableText"/>
              <w:spacing w:before="0" w:after="0"/>
            </w:pPr>
            <w:r w:rsidRPr="43052E9E">
              <w:t>Retrospective registry</w:t>
            </w:r>
          </w:p>
        </w:tc>
        <w:tc>
          <w:tcPr>
            <w:tcW w:w="354" w:type="pct"/>
            <w:vAlign w:val="center"/>
          </w:tcPr>
          <w:p w14:paraId="7E15D5C9" w14:textId="5D43C805" w:rsidR="00956ACE" w:rsidRPr="001D09F6" w:rsidRDefault="007E0EA0" w:rsidP="00B809FE">
            <w:pPr>
              <w:pStyle w:val="TableText"/>
              <w:spacing w:before="0" w:after="0"/>
            </w:pPr>
            <w:r w:rsidRPr="00D51AB3">
              <w:t>High</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7700A" w14:textId="116F0A26" w:rsidR="00956ACE" w:rsidRPr="001D09F6" w:rsidRDefault="007E0EA0" w:rsidP="00B809FE">
            <w:pPr>
              <w:pStyle w:val="TableText"/>
              <w:spacing w:before="0" w:after="0"/>
            </w:pPr>
            <w:r w:rsidRPr="43052E9E">
              <w:t>Adults with BCC or SCC lesions who were unwilling or unsuitable for surgery. All anatomic sites included</w:t>
            </w:r>
            <w:r w:rsidR="00C862C4">
              <w:t>.</w:t>
            </w:r>
          </w:p>
        </w:tc>
        <w:tc>
          <w:tcPr>
            <w:tcW w:w="794" w:type="pct"/>
            <w:vAlign w:val="center"/>
          </w:tcPr>
          <w:p w14:paraId="6651F863" w14:textId="07467790" w:rsidR="00956ACE" w:rsidRPr="001D09F6" w:rsidRDefault="00302E97" w:rsidP="00B809FE">
            <w:pPr>
              <w:pStyle w:val="TableText"/>
              <w:spacing w:before="0" w:after="0"/>
            </w:pPr>
            <w:r w:rsidRPr="001D09F6">
              <w:t>NR</w:t>
            </w:r>
          </w:p>
        </w:tc>
        <w:tc>
          <w:tcPr>
            <w:tcW w:w="8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3B2E9" w14:textId="77777777" w:rsidR="007E0EA0" w:rsidRDefault="007E0EA0" w:rsidP="00B809FE">
            <w:pPr>
              <w:pStyle w:val="TableText"/>
              <w:spacing w:before="0" w:after="0"/>
            </w:pPr>
            <w:r w:rsidRPr="43052E9E">
              <w:t>Tumour response</w:t>
            </w:r>
          </w:p>
          <w:p w14:paraId="5FB35AA0" w14:textId="77777777" w:rsidR="007E0EA0" w:rsidRPr="001D09F6" w:rsidRDefault="007E0EA0" w:rsidP="00B809FE">
            <w:pPr>
              <w:pStyle w:val="TableText"/>
              <w:spacing w:before="0" w:after="0"/>
            </w:pPr>
            <w:r w:rsidRPr="43052E9E">
              <w:t>Cosmesis</w:t>
            </w:r>
          </w:p>
          <w:p w14:paraId="14BF2948" w14:textId="7EA89EFD" w:rsidR="007E0EA0" w:rsidRPr="001D09F6" w:rsidRDefault="007E0EA0" w:rsidP="00B809FE">
            <w:pPr>
              <w:pStyle w:val="TableText"/>
              <w:spacing w:before="0" w:after="0"/>
            </w:pPr>
            <w:r w:rsidRPr="43052E9E">
              <w:t>Toxicity</w:t>
            </w:r>
          </w:p>
        </w:tc>
      </w:tr>
      <w:tr w:rsidR="005061E3" w:rsidRPr="00CE28E3" w14:paraId="6D136AFB" w14:textId="77777777" w:rsidTr="005061E3">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722CCB0" w14:textId="5163E14B" w:rsidR="005061E3" w:rsidRDefault="00E541A1" w:rsidP="00B809FE">
            <w:pPr>
              <w:pStyle w:val="TableText"/>
              <w:spacing w:before="0" w:after="0"/>
            </w:pPr>
            <w:r>
              <w:t xml:space="preserve">Studies </w:t>
            </w:r>
            <w:r w:rsidRPr="00E541A1">
              <w:t>Included in previous ADAR.</w:t>
            </w:r>
          </w:p>
        </w:tc>
      </w:tr>
      <w:tr w:rsidR="0065104B" w:rsidRPr="00CE28E3" w14:paraId="43B6BE22" w14:textId="77777777" w:rsidTr="0065104B">
        <w:trPr>
          <w:cantSplit/>
        </w:trPr>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tcPr>
          <w:p w14:paraId="4A4BD65A" w14:textId="7FC6C9AB" w:rsidR="00FE6F00" w:rsidRPr="43052E9E" w:rsidRDefault="00FE6F00" w:rsidP="00B809FE">
            <w:pPr>
              <w:pStyle w:val="TableText"/>
              <w:spacing w:before="0" w:after="0"/>
            </w:pPr>
            <w:r>
              <w:rPr>
                <w:spacing w:val="-2"/>
              </w:rPr>
              <w:t>Castellucci 202</w:t>
            </w:r>
            <w:r w:rsidR="0016141D">
              <w:rPr>
                <w:spacing w:val="-2"/>
              </w:rPr>
              <w:t>1</w:t>
            </w:r>
            <w:r w:rsidR="004841F1">
              <w:rPr>
                <w:rStyle w:val="FootnoteReference"/>
                <w:spacing w:val="-2"/>
              </w:rPr>
              <w:footnoteReference w:id="7"/>
            </w:r>
          </w:p>
        </w:tc>
        <w:tc>
          <w:tcPr>
            <w:tcW w:w="2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B0732" w14:textId="57D6AFA6" w:rsidR="00FE6F00" w:rsidRPr="43052E9E" w:rsidRDefault="00FE6F00" w:rsidP="00B809FE">
            <w:pPr>
              <w:pStyle w:val="TableText"/>
              <w:spacing w:before="0" w:after="0"/>
            </w:pPr>
            <w:r w:rsidRPr="001D09F6">
              <w:t>54</w:t>
            </w:r>
          </w:p>
        </w:tc>
        <w:tc>
          <w:tcPr>
            <w:tcW w:w="9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FF476" w14:textId="621D4DBE" w:rsidR="00FE6F00" w:rsidRPr="43052E9E" w:rsidRDefault="00FE6F00" w:rsidP="00B809FE">
            <w:pPr>
              <w:pStyle w:val="TableText"/>
              <w:spacing w:before="0" w:after="0"/>
            </w:pPr>
            <w:r>
              <w:t>Single</w:t>
            </w:r>
            <w:r w:rsidRPr="001D09F6">
              <w:t xml:space="preserve"> </w:t>
            </w:r>
            <w:r>
              <w:t xml:space="preserve">arm, </w:t>
            </w:r>
            <w:r w:rsidRPr="001D09F6">
              <w:t xml:space="preserve">prospective Follow-up: </w:t>
            </w:r>
            <w:r>
              <w:t>33 months</w:t>
            </w:r>
          </w:p>
        </w:tc>
        <w:tc>
          <w:tcPr>
            <w:tcW w:w="354" w:type="pct"/>
            <w:vAlign w:val="center"/>
          </w:tcPr>
          <w:p w14:paraId="345230E7" w14:textId="193C5515" w:rsidR="00FE6F00" w:rsidRPr="00D51AB3" w:rsidRDefault="00FE6F00" w:rsidP="00B809FE">
            <w:pPr>
              <w:pStyle w:val="TableText"/>
              <w:spacing w:before="0" w:after="0"/>
            </w:pPr>
            <w:r w:rsidRPr="001D09F6">
              <w:t>Fair</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BF0D" w14:textId="77777777" w:rsidR="00FE6F00" w:rsidRPr="00CF63ED" w:rsidRDefault="00FE6F00" w:rsidP="00B809FE">
            <w:pPr>
              <w:pStyle w:val="TableParagraph"/>
              <w:spacing w:before="0"/>
              <w:ind w:right="147"/>
              <w:rPr>
                <w:rFonts w:eastAsiaTheme="minorHAnsi" w:cstheme="minorBidi"/>
                <w:sz w:val="20"/>
                <w:lang w:val="en-AU"/>
              </w:rPr>
            </w:pPr>
            <w:r w:rsidRPr="001D09F6">
              <w:rPr>
                <w:rFonts w:eastAsiaTheme="minorHAnsi" w:cstheme="minorBidi"/>
                <w:sz w:val="20"/>
                <w:lang w:val="en-AU"/>
              </w:rPr>
              <w:t>BCC and/or SCC of the scalp, face, ears, fingers or another area where surgery or</w:t>
            </w:r>
            <w:r w:rsidRPr="00CF63ED">
              <w:rPr>
                <w:rFonts w:eastAsiaTheme="minorHAnsi" w:cstheme="minorBidi"/>
                <w:sz w:val="20"/>
                <w:lang w:val="en-AU"/>
              </w:rPr>
              <w:t xml:space="preserve"> radiotherapy</w:t>
            </w:r>
          </w:p>
          <w:p w14:paraId="502AE62F" w14:textId="10E626F3" w:rsidR="00FE6F00" w:rsidRPr="43052E9E" w:rsidRDefault="00FE6F00" w:rsidP="00B809FE">
            <w:pPr>
              <w:pStyle w:val="TableText"/>
              <w:spacing w:before="0" w:after="0"/>
            </w:pPr>
            <w:r>
              <w:t>were</w:t>
            </w:r>
            <w:r w:rsidRPr="00CF63ED">
              <w:t xml:space="preserve"> difficult.</w:t>
            </w:r>
          </w:p>
        </w:tc>
        <w:tc>
          <w:tcPr>
            <w:tcW w:w="794" w:type="pct"/>
            <w:vAlign w:val="center"/>
          </w:tcPr>
          <w:p w14:paraId="6870E7DB" w14:textId="77777777" w:rsidR="00FE6F00" w:rsidRPr="00CF63ED" w:rsidRDefault="00FE6F00" w:rsidP="00B809FE">
            <w:pPr>
              <w:pStyle w:val="TableParagraph"/>
              <w:spacing w:before="0"/>
              <w:rPr>
                <w:rFonts w:eastAsiaTheme="minorHAnsi" w:cstheme="minorBidi"/>
                <w:sz w:val="20"/>
                <w:lang w:val="en-AU"/>
              </w:rPr>
            </w:pPr>
            <w:r w:rsidRPr="00CF63ED">
              <w:rPr>
                <w:rFonts w:eastAsiaTheme="minorHAnsi" w:cstheme="minorBidi"/>
                <w:sz w:val="20"/>
                <w:lang w:val="en-AU"/>
              </w:rPr>
              <w:t>Surface area, mean (range) =</w:t>
            </w:r>
          </w:p>
          <w:p w14:paraId="4E7BA382" w14:textId="77777777" w:rsidR="00FE6F00" w:rsidRPr="00F304AA" w:rsidRDefault="00FE6F00" w:rsidP="00B809FE">
            <w:pPr>
              <w:pStyle w:val="TableParagraph"/>
              <w:spacing w:before="0" w:line="229" w:lineRule="exact"/>
              <w:rPr>
                <w:rFonts w:eastAsiaTheme="minorHAnsi" w:cstheme="minorBidi"/>
                <w:sz w:val="20"/>
                <w:lang w:val="en-AU"/>
              </w:rPr>
            </w:pPr>
            <w:r w:rsidRPr="00CF63ED">
              <w:rPr>
                <w:rFonts w:eastAsiaTheme="minorHAnsi" w:cstheme="minorBidi"/>
                <w:sz w:val="20"/>
                <w:lang w:val="en-AU"/>
              </w:rPr>
              <w:t>7.0</w:t>
            </w:r>
            <w:r w:rsidRPr="00F304AA">
              <w:rPr>
                <w:rFonts w:eastAsiaTheme="minorHAnsi" w:cstheme="minorBidi"/>
                <w:sz w:val="20"/>
                <w:lang w:val="en-AU"/>
              </w:rPr>
              <w:t xml:space="preserve"> cm2 (1–36</w:t>
            </w:r>
          </w:p>
          <w:p w14:paraId="783CA217" w14:textId="47875ED7" w:rsidR="00FE6F00" w:rsidRPr="00F304AA" w:rsidRDefault="003B7AFA" w:rsidP="00B809FE">
            <w:pPr>
              <w:pStyle w:val="TableParagraph"/>
              <w:spacing w:before="0"/>
              <w:rPr>
                <w:rFonts w:eastAsiaTheme="minorHAnsi" w:cstheme="minorBidi"/>
                <w:sz w:val="20"/>
                <w:lang w:val="en-AU"/>
              </w:rPr>
            </w:pPr>
            <w:r w:rsidRPr="00D47D52">
              <w:t>cm</w:t>
            </w:r>
            <w:r w:rsidRPr="00BA438C">
              <w:rPr>
                <w:vertAlign w:val="superscript"/>
              </w:rPr>
              <w:t>2</w:t>
            </w:r>
            <w:r w:rsidR="00FE6F00" w:rsidRPr="00F304AA">
              <w:rPr>
                <w:rFonts w:eastAsiaTheme="minorHAnsi" w:cstheme="minorBidi"/>
                <w:sz w:val="20"/>
                <w:lang w:val="en-AU"/>
              </w:rPr>
              <w:t>), Thickness, mean (range) = 1.1 mm</w:t>
            </w:r>
          </w:p>
          <w:p w14:paraId="18CD71DE" w14:textId="2F4E26F0" w:rsidR="00FE6F00" w:rsidRPr="00F304AA" w:rsidRDefault="00FE6F00" w:rsidP="00B809FE">
            <w:pPr>
              <w:pStyle w:val="TableText"/>
              <w:spacing w:before="0" w:after="0"/>
            </w:pPr>
            <w:r>
              <w:t>(0.2–2.5</w:t>
            </w:r>
            <w:r w:rsidRPr="00F304AA">
              <w:t>mm)</w:t>
            </w:r>
          </w:p>
        </w:tc>
        <w:tc>
          <w:tcPr>
            <w:tcW w:w="8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AA04B" w14:textId="77777777" w:rsidR="00011C57" w:rsidRDefault="00FE6F00" w:rsidP="00B809FE">
            <w:pPr>
              <w:pStyle w:val="TableText"/>
              <w:spacing w:before="0" w:after="0"/>
            </w:pPr>
            <w:r>
              <w:t>Response</w:t>
            </w:r>
            <w:r w:rsidRPr="00F304AA">
              <w:t xml:space="preserve"> </w:t>
            </w:r>
            <w:r>
              <w:t xml:space="preserve">to </w:t>
            </w:r>
            <w:r w:rsidRPr="00B22F65">
              <w:t xml:space="preserve">therapy </w:t>
            </w:r>
          </w:p>
          <w:p w14:paraId="1C960E7E" w14:textId="386CF047" w:rsidR="00FE6F00" w:rsidRPr="43052E9E" w:rsidRDefault="00FE6F00" w:rsidP="00B809FE">
            <w:pPr>
              <w:pStyle w:val="TableText"/>
              <w:spacing w:before="0" w:after="0"/>
            </w:pPr>
            <w:r>
              <w:t xml:space="preserve">Early skin </w:t>
            </w:r>
            <w:r w:rsidRPr="00B22F65">
              <w:t>toxicity Cosmetic results</w:t>
            </w:r>
          </w:p>
        </w:tc>
      </w:tr>
      <w:tr w:rsidR="0065104B" w:rsidRPr="00CE28E3" w14:paraId="7A6CE003" w14:textId="3ACE5A43" w:rsidTr="0065104B">
        <w:trPr>
          <w:cantSplit/>
        </w:trPr>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tcPr>
          <w:p w14:paraId="3113A564" w14:textId="083393A5" w:rsidR="004841F1" w:rsidRPr="43052E9E" w:rsidRDefault="004841F1" w:rsidP="00B809FE">
            <w:pPr>
              <w:pStyle w:val="TableText"/>
              <w:spacing w:before="0" w:after="0"/>
            </w:pPr>
            <w:r>
              <w:rPr>
                <w:spacing w:val="-2"/>
              </w:rPr>
              <w:t>Cipriani 2020</w:t>
            </w:r>
            <w:r>
              <w:rPr>
                <w:rStyle w:val="FootnoteReference"/>
                <w:spacing w:val="-2"/>
              </w:rPr>
              <w:footnoteReference w:id="8"/>
            </w:r>
          </w:p>
        </w:tc>
        <w:tc>
          <w:tcPr>
            <w:tcW w:w="2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CC19F" w14:textId="6F191810" w:rsidR="004841F1" w:rsidRPr="43052E9E" w:rsidRDefault="004841F1" w:rsidP="00B809FE">
            <w:pPr>
              <w:pStyle w:val="TableText"/>
              <w:spacing w:before="0" w:after="0"/>
            </w:pPr>
            <w:r w:rsidRPr="00B22F65">
              <w:t>52</w:t>
            </w:r>
          </w:p>
        </w:tc>
        <w:tc>
          <w:tcPr>
            <w:tcW w:w="9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D7DD" w14:textId="63ADC842" w:rsidR="004841F1" w:rsidRPr="43052E9E" w:rsidRDefault="004841F1" w:rsidP="00B809FE">
            <w:pPr>
              <w:pStyle w:val="TableText"/>
              <w:spacing w:before="0" w:after="0"/>
            </w:pPr>
            <w:r>
              <w:t xml:space="preserve">Single arm, </w:t>
            </w:r>
            <w:r w:rsidRPr="00B22F65">
              <w:t xml:space="preserve">retrospective Follow-up </w:t>
            </w:r>
            <w:r w:rsidR="001E3E02">
              <w:t>time</w:t>
            </w:r>
            <w:r w:rsidR="007E4784">
              <w:t>lines</w:t>
            </w:r>
            <w:r w:rsidR="00F5160A">
              <w:t xml:space="preserve"> not specified</w:t>
            </w:r>
            <w:r w:rsidRPr="00B22F65">
              <w:t xml:space="preserve"> (median= </w:t>
            </w:r>
            <w:r>
              <w:t>296 days)</w:t>
            </w:r>
          </w:p>
        </w:tc>
        <w:tc>
          <w:tcPr>
            <w:tcW w:w="354" w:type="pct"/>
            <w:vAlign w:val="center"/>
          </w:tcPr>
          <w:p w14:paraId="39D210BA" w14:textId="618EAFA1" w:rsidR="004841F1" w:rsidRPr="00D51AB3" w:rsidRDefault="004841F1" w:rsidP="00B809FE">
            <w:pPr>
              <w:pStyle w:val="TableText"/>
              <w:spacing w:before="0" w:after="0"/>
            </w:pPr>
            <w:r w:rsidRPr="00B22F65">
              <w:t>Poor</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4C259" w14:textId="34361C86" w:rsidR="004841F1" w:rsidRPr="00B22F65" w:rsidRDefault="004841F1" w:rsidP="00B809FE">
            <w:pPr>
              <w:pStyle w:val="TableParagraph"/>
              <w:spacing w:before="0" w:line="229" w:lineRule="exact"/>
              <w:ind w:right="1"/>
              <w:rPr>
                <w:rFonts w:eastAsiaTheme="minorHAnsi" w:cstheme="minorBidi"/>
                <w:sz w:val="20"/>
                <w:lang w:val="en-AU"/>
              </w:rPr>
            </w:pPr>
            <w:r w:rsidRPr="00B22F65">
              <w:rPr>
                <w:rFonts w:eastAsiaTheme="minorHAnsi" w:cstheme="minorBidi"/>
                <w:sz w:val="20"/>
                <w:lang w:val="en-AU"/>
              </w:rPr>
              <w:t>BCC, SCC,</w:t>
            </w:r>
            <w:r w:rsidR="00D170B1">
              <w:rPr>
                <w:rFonts w:eastAsiaTheme="minorHAnsi" w:cstheme="minorBidi"/>
                <w:sz w:val="20"/>
                <w:lang w:val="en-AU"/>
              </w:rPr>
              <w:t xml:space="preserve"> </w:t>
            </w:r>
            <w:r w:rsidRPr="00B22F65">
              <w:rPr>
                <w:rFonts w:eastAsiaTheme="minorHAnsi" w:cstheme="minorBidi"/>
                <w:sz w:val="20"/>
                <w:lang w:val="en-AU"/>
              </w:rPr>
              <w:t>Bowen’s disease or extramammary Paget’s disease.</w:t>
            </w:r>
          </w:p>
          <w:p w14:paraId="4AD8886F" w14:textId="1860CED0" w:rsidR="004841F1" w:rsidRPr="43052E9E" w:rsidRDefault="004841F1" w:rsidP="00B809FE">
            <w:pPr>
              <w:pStyle w:val="TableText"/>
              <w:spacing w:before="0" w:after="0"/>
            </w:pPr>
            <w:r>
              <w:t>Head</w:t>
            </w:r>
            <w:r w:rsidRPr="00B22F65">
              <w:t xml:space="preserve"> </w:t>
            </w:r>
            <w:r>
              <w:t>and</w:t>
            </w:r>
            <w:r w:rsidRPr="00B22F65">
              <w:t xml:space="preserve"> </w:t>
            </w:r>
            <w:r>
              <w:t>neck lesions</w:t>
            </w:r>
            <w:r w:rsidRPr="00B22F65">
              <w:t xml:space="preserve"> (~73%)</w:t>
            </w:r>
          </w:p>
        </w:tc>
        <w:tc>
          <w:tcPr>
            <w:tcW w:w="794" w:type="pct"/>
            <w:vAlign w:val="center"/>
          </w:tcPr>
          <w:p w14:paraId="4EB0E9F4" w14:textId="4A921486" w:rsidR="004841F1" w:rsidRPr="00B22F65" w:rsidRDefault="004841F1" w:rsidP="00B809FE">
            <w:pPr>
              <w:pStyle w:val="TableParagraph"/>
              <w:spacing w:before="0"/>
              <w:rPr>
                <w:rFonts w:eastAsiaTheme="minorHAnsi" w:cstheme="minorBidi"/>
                <w:sz w:val="20"/>
                <w:lang w:val="en-AU"/>
              </w:rPr>
            </w:pPr>
            <w:r w:rsidRPr="00B22F65">
              <w:rPr>
                <w:rFonts w:eastAsiaTheme="minorHAnsi" w:cstheme="minorBidi"/>
                <w:sz w:val="20"/>
                <w:lang w:val="en-AU"/>
              </w:rPr>
              <w:t>Treated area, mean (range) =9.79 (0.3 – 60.5)</w:t>
            </w:r>
          </w:p>
          <w:p w14:paraId="740C219C" w14:textId="77777777" w:rsidR="004841F1" w:rsidRPr="00B22F65" w:rsidRDefault="004841F1" w:rsidP="00B809FE">
            <w:pPr>
              <w:pStyle w:val="TableParagraph"/>
              <w:spacing w:before="0"/>
              <w:ind w:right="1"/>
              <w:rPr>
                <w:rFonts w:eastAsiaTheme="minorHAnsi" w:cstheme="minorBidi"/>
                <w:sz w:val="20"/>
                <w:lang w:val="en-AU"/>
              </w:rPr>
            </w:pPr>
            <w:r w:rsidRPr="00B22F65">
              <w:rPr>
                <w:rFonts w:eastAsiaTheme="minorHAnsi" w:cstheme="minorBidi"/>
                <w:sz w:val="20"/>
                <w:lang w:val="en-AU"/>
              </w:rPr>
              <w:t>cm</w:t>
            </w:r>
            <w:r w:rsidRPr="00446C88">
              <w:rPr>
                <w:rFonts w:eastAsiaTheme="minorHAnsi" w:cstheme="minorBidi"/>
                <w:sz w:val="20"/>
                <w:vertAlign w:val="superscript"/>
                <w:lang w:val="en-AU"/>
              </w:rPr>
              <w:t>2</w:t>
            </w:r>
          </w:p>
          <w:p w14:paraId="6FF6F47F" w14:textId="462B88EA" w:rsidR="004841F1" w:rsidRPr="00B22F65" w:rsidRDefault="004841F1" w:rsidP="00B809FE">
            <w:pPr>
              <w:pStyle w:val="TableText"/>
              <w:spacing w:before="0" w:after="0"/>
            </w:pPr>
            <w:r>
              <w:t>57%</w:t>
            </w:r>
            <w:r w:rsidRPr="00B22F65">
              <w:t xml:space="preserve"> </w:t>
            </w:r>
            <w:r>
              <w:t>of</w:t>
            </w:r>
            <w:r w:rsidRPr="00B22F65">
              <w:t xml:space="preserve"> </w:t>
            </w:r>
            <w:r>
              <w:t>the</w:t>
            </w:r>
            <w:r w:rsidRPr="00B22F65">
              <w:t xml:space="preserve"> </w:t>
            </w:r>
            <w:r>
              <w:t>areas were 2-10</w:t>
            </w:r>
            <w:r w:rsidR="003B7AFA" w:rsidRPr="00D47D52">
              <w:t>cm</w:t>
            </w:r>
            <w:r w:rsidR="003B7AFA" w:rsidRPr="00BA438C">
              <w:rPr>
                <w:vertAlign w:val="superscript"/>
              </w:rPr>
              <w:t>2</w:t>
            </w:r>
          </w:p>
        </w:tc>
        <w:tc>
          <w:tcPr>
            <w:tcW w:w="874" w:type="pct"/>
            <w:tcBorders>
              <w:top w:val="single" w:sz="4" w:space="0" w:color="auto"/>
              <w:left w:val="single" w:sz="4" w:space="0" w:color="auto"/>
              <w:bottom w:val="single" w:sz="4" w:space="0" w:color="auto"/>
            </w:tcBorders>
            <w:shd w:val="clear" w:color="auto" w:fill="FFFFFF" w:themeFill="background1"/>
            <w:vAlign w:val="center"/>
          </w:tcPr>
          <w:p w14:paraId="19698FF6" w14:textId="5AB48944" w:rsidR="004841F1" w:rsidRPr="00B22F65" w:rsidRDefault="004841F1" w:rsidP="00B809FE">
            <w:pPr>
              <w:spacing w:before="0" w:after="0"/>
              <w:rPr>
                <w:rFonts w:ascii="Arial Narrow" w:hAnsi="Arial Narrow"/>
                <w:sz w:val="20"/>
              </w:rPr>
            </w:pPr>
            <w:r w:rsidRPr="00B22F65">
              <w:rPr>
                <w:rFonts w:ascii="Arial Narrow" w:hAnsi="Arial Narrow"/>
                <w:sz w:val="20"/>
              </w:rPr>
              <w:t>Response to therapy Complications</w:t>
            </w:r>
          </w:p>
        </w:tc>
      </w:tr>
    </w:tbl>
    <w:p w14:paraId="4BA77B17" w14:textId="1813E52D" w:rsidR="00FE6F00" w:rsidRDefault="00C51ECE" w:rsidP="00B22F65">
      <w:pPr>
        <w:pStyle w:val="TableFigureFooter"/>
        <w:spacing w:before="0"/>
        <w:rPr>
          <w:spacing w:val="-2"/>
        </w:rPr>
      </w:pPr>
      <w:bookmarkStart w:id="25" w:name="_Hlk68276176"/>
      <w:bookmarkEnd w:id="22"/>
      <w:r>
        <w:t xml:space="preserve">AE = adverse event; </w:t>
      </w:r>
      <w:r w:rsidR="00FE6F00">
        <w:t>BCC</w:t>
      </w:r>
      <w:r w:rsidR="00994A26">
        <w:t xml:space="preserve"> </w:t>
      </w:r>
      <w:r w:rsidR="00FE6F00">
        <w:t>=</w:t>
      </w:r>
      <w:r w:rsidR="00FE6F00">
        <w:rPr>
          <w:spacing w:val="-3"/>
        </w:rPr>
        <w:t xml:space="preserve"> </w:t>
      </w:r>
      <w:r w:rsidR="00FE6F00">
        <w:t>basal</w:t>
      </w:r>
      <w:r w:rsidR="00FE6F00">
        <w:rPr>
          <w:spacing w:val="-3"/>
        </w:rPr>
        <w:t xml:space="preserve"> </w:t>
      </w:r>
      <w:r w:rsidR="00FE6F00">
        <w:t>cell</w:t>
      </w:r>
      <w:r w:rsidR="00FE6F00">
        <w:rPr>
          <w:spacing w:val="-3"/>
        </w:rPr>
        <w:t xml:space="preserve"> </w:t>
      </w:r>
      <w:r w:rsidR="00FE6F00">
        <w:t>carcinoma;</w:t>
      </w:r>
      <w:r w:rsidR="00FE6F00">
        <w:rPr>
          <w:spacing w:val="-5"/>
        </w:rPr>
        <w:t xml:space="preserve"> </w:t>
      </w:r>
      <w:r w:rsidR="00011C57">
        <w:rPr>
          <w:spacing w:val="-5"/>
        </w:rPr>
        <w:t xml:space="preserve">CTCAE = </w:t>
      </w:r>
      <w:r w:rsidR="00011C57" w:rsidRPr="00011C57">
        <w:rPr>
          <w:spacing w:val="-5"/>
        </w:rPr>
        <w:t>Common Terminology Criteria for Adverse Events</w:t>
      </w:r>
      <w:r w:rsidR="00011C57">
        <w:rPr>
          <w:spacing w:val="-5"/>
        </w:rPr>
        <w:t xml:space="preserve">; </w:t>
      </w:r>
      <w:r>
        <w:rPr>
          <w:spacing w:val="-2"/>
        </w:rPr>
        <w:t xml:space="preserve">NR = not reported; </w:t>
      </w:r>
      <w:r w:rsidR="00011C57">
        <w:t>SCC =</w:t>
      </w:r>
      <w:r w:rsidR="00011C57">
        <w:rPr>
          <w:spacing w:val="-3"/>
        </w:rPr>
        <w:t xml:space="preserve"> </w:t>
      </w:r>
      <w:r w:rsidR="00011C57">
        <w:t>squamous</w:t>
      </w:r>
      <w:r w:rsidR="00011C57">
        <w:rPr>
          <w:spacing w:val="-3"/>
        </w:rPr>
        <w:t xml:space="preserve"> </w:t>
      </w:r>
      <w:r w:rsidR="00011C57">
        <w:t>cell</w:t>
      </w:r>
      <w:r w:rsidR="00011C57">
        <w:rPr>
          <w:spacing w:val="-3"/>
        </w:rPr>
        <w:t xml:space="preserve"> </w:t>
      </w:r>
      <w:r w:rsidR="00011C57">
        <w:rPr>
          <w:spacing w:val="-2"/>
        </w:rPr>
        <w:t xml:space="preserve">carcinoma; </w:t>
      </w:r>
      <w:r>
        <w:rPr>
          <w:spacing w:val="-2"/>
        </w:rPr>
        <w:t xml:space="preserve">TRAE = </w:t>
      </w:r>
      <w:r w:rsidRPr="00C51ECE">
        <w:rPr>
          <w:spacing w:val="-2"/>
        </w:rPr>
        <w:t>Treatment-Related Adverse Events</w:t>
      </w:r>
    </w:p>
    <w:p w14:paraId="2FF43C16" w14:textId="3E52FC77" w:rsidR="005E0F2F" w:rsidRDefault="00683747" w:rsidP="005C15D7">
      <w:r>
        <w:t>The EPIC Skin Study</w:t>
      </w:r>
      <w:r w:rsidR="00F55676" w:rsidRPr="00B22F65">
        <w:rPr>
          <w:vertAlign w:val="superscript"/>
        </w:rPr>
        <w:fldChar w:fldCharType="begin"/>
      </w:r>
      <w:r w:rsidR="00F55676" w:rsidRPr="00B22F65">
        <w:rPr>
          <w:vertAlign w:val="superscript"/>
        </w:rPr>
        <w:instrText xml:space="preserve"> NOTEREF _Ref184288236 </w:instrText>
      </w:r>
      <w:r w:rsidR="00F55676">
        <w:rPr>
          <w:vertAlign w:val="superscript"/>
        </w:rPr>
        <w:instrText xml:space="preserve"> \* MERGEFORMAT </w:instrText>
      </w:r>
      <w:r w:rsidR="00F55676" w:rsidRPr="00B22F65">
        <w:rPr>
          <w:vertAlign w:val="superscript"/>
        </w:rPr>
        <w:fldChar w:fldCharType="separate"/>
      </w:r>
      <w:r w:rsidR="00AF5AE7">
        <w:rPr>
          <w:vertAlign w:val="superscript"/>
        </w:rPr>
        <w:t>3</w:t>
      </w:r>
      <w:r w:rsidR="00F55676" w:rsidRPr="00B22F65">
        <w:rPr>
          <w:vertAlign w:val="superscript"/>
        </w:rPr>
        <w:fldChar w:fldCharType="end"/>
      </w:r>
      <w:r>
        <w:t xml:space="preserve"> is the key evidence for the ADAR submission, as it provided the largest </w:t>
      </w:r>
      <w:r w:rsidR="00120B13">
        <w:t xml:space="preserve">population </w:t>
      </w:r>
      <w:r w:rsidR="005C15D7">
        <w:t>sample,</w:t>
      </w:r>
      <w:r w:rsidR="00120B13">
        <w:t xml:space="preserve"> and the lesion inclusion criteria directly matches that of the proposal for public funding.</w:t>
      </w:r>
      <w:r w:rsidR="005C15D7">
        <w:t xml:space="preserve"> </w:t>
      </w:r>
      <w:r w:rsidR="00CD0458">
        <w:t>The lesions</w:t>
      </w:r>
      <w:r w:rsidR="00C831FD">
        <w:t xml:space="preserve"> may be smaller than those seen in </w:t>
      </w:r>
      <w:r w:rsidR="00044304">
        <w:t>clinical practice</w:t>
      </w:r>
      <w:r w:rsidR="00F55676">
        <w:t>, however,</w:t>
      </w:r>
      <w:r w:rsidR="00044304">
        <w:t xml:space="preserve"> as the inclusion criteria was limited to patients with lesions </w:t>
      </w:r>
      <w:r w:rsidR="00044304" w:rsidRPr="00044304">
        <w:t>≤8cm</w:t>
      </w:r>
      <w:r w:rsidR="00044304" w:rsidRPr="00044304">
        <w:rPr>
          <w:vertAlign w:val="superscript"/>
        </w:rPr>
        <w:t>2</w:t>
      </w:r>
      <w:r w:rsidR="00044304" w:rsidRPr="00044304">
        <w:t xml:space="preserve"> in size</w:t>
      </w:r>
      <w:r w:rsidR="00044304">
        <w:t>.</w:t>
      </w:r>
    </w:p>
    <w:p w14:paraId="39DE576E" w14:textId="7ED699AF" w:rsidR="00CD0458" w:rsidRPr="00FE6F00" w:rsidRDefault="00CD0458" w:rsidP="005C15D7">
      <w:pPr>
        <w:rPr>
          <w:rFonts w:ascii="Arial Narrow"/>
          <w:color w:val="258221"/>
          <w:sz w:val="18"/>
        </w:rPr>
      </w:pPr>
      <w:r>
        <w:t xml:space="preserve">The ADAR provided Australian </w:t>
      </w:r>
      <w:r w:rsidRPr="00CD0458">
        <w:t>registry</w:t>
      </w:r>
      <w:r>
        <w:t xml:space="preserve"> data</w:t>
      </w:r>
      <w:r w:rsidR="00167235">
        <w:t xml:space="preserve"> of patients that received</w:t>
      </w:r>
      <w:r w:rsidR="002A0446">
        <w:t xml:space="preserve"> either </w:t>
      </w:r>
      <w:r w:rsidR="002A0446" w:rsidRPr="002A0446">
        <w:t>conventional radiation therapy</w:t>
      </w:r>
      <w:r w:rsidR="002A0446">
        <w:t xml:space="preserve"> or </w:t>
      </w:r>
      <w:r w:rsidR="00B17788">
        <w:t>R</w:t>
      </w:r>
      <w:r w:rsidR="001E0ED3">
        <w:t>e</w:t>
      </w:r>
      <w:r w:rsidR="00B17788">
        <w:t xml:space="preserve">-188 </w:t>
      </w:r>
      <w:r w:rsidR="00410070">
        <w:t>b</w:t>
      </w:r>
      <w:r w:rsidR="00410070" w:rsidRPr="00410070">
        <w:t>rachytherapy</w:t>
      </w:r>
      <w:r w:rsidR="00456F22">
        <w:t xml:space="preserve">; however, there was insufficient </w:t>
      </w:r>
      <w:r w:rsidR="00757EF1">
        <w:t xml:space="preserve">reporting </w:t>
      </w:r>
      <w:r w:rsidR="000358E0">
        <w:t>of the patient population</w:t>
      </w:r>
      <w:r w:rsidR="00A52864">
        <w:t>, or intervention</w:t>
      </w:r>
      <w:r w:rsidR="002A0446">
        <w:t xml:space="preserve"> modalities</w:t>
      </w:r>
      <w:r w:rsidR="00A52864">
        <w:t xml:space="preserve"> </w:t>
      </w:r>
      <w:r w:rsidR="00757EF1">
        <w:t xml:space="preserve">for the data to provide useful information on the </w:t>
      </w:r>
      <w:r w:rsidR="00A52864">
        <w:t xml:space="preserve">comparative </w:t>
      </w:r>
      <w:r w:rsidR="00757EF1">
        <w:t xml:space="preserve">safety and efficacy of </w:t>
      </w:r>
      <w:r w:rsidR="00B17788">
        <w:t>Re-188 brachytherapy</w:t>
      </w:r>
      <w:r w:rsidR="00167235">
        <w:t>.</w:t>
      </w:r>
    </w:p>
    <w:p w14:paraId="6A43E091" w14:textId="77777777" w:rsidR="006B62CC" w:rsidRDefault="006B62CC" w:rsidP="00AF4653">
      <w:pPr>
        <w:pStyle w:val="Heading3"/>
      </w:pPr>
      <w:r>
        <w:t>Characteristics</w:t>
      </w:r>
      <w:r>
        <w:rPr>
          <w:spacing w:val="-4"/>
        </w:rPr>
        <w:t xml:space="preserve"> </w:t>
      </w:r>
      <w:r>
        <w:t>of</w:t>
      </w:r>
      <w:r>
        <w:rPr>
          <w:spacing w:val="-2"/>
        </w:rPr>
        <w:t xml:space="preserve"> </w:t>
      </w:r>
      <w:r>
        <w:t>the</w:t>
      </w:r>
      <w:r>
        <w:rPr>
          <w:spacing w:val="-4"/>
        </w:rPr>
        <w:t xml:space="preserve"> </w:t>
      </w:r>
      <w:r>
        <w:t>evidence</w:t>
      </w:r>
      <w:r>
        <w:rPr>
          <w:spacing w:val="-5"/>
        </w:rPr>
        <w:t xml:space="preserve"> </w:t>
      </w:r>
      <w:r>
        <w:t>for</w:t>
      </w:r>
      <w:r>
        <w:rPr>
          <w:spacing w:val="-4"/>
        </w:rPr>
        <w:t xml:space="preserve"> EBRT</w:t>
      </w:r>
    </w:p>
    <w:p w14:paraId="790C06DA" w14:textId="25628731" w:rsidR="000848BC" w:rsidRDefault="00BE3E10" w:rsidP="00174CFB">
      <w:r>
        <w:t>The ADAR resubmission</w:t>
      </w:r>
      <w:r w:rsidR="00A223E6">
        <w:t xml:space="preserve"> narrowed the inclusion/exclusion criteria </w:t>
      </w:r>
      <w:r w:rsidR="00CB5915">
        <w:t xml:space="preserve">to reduce the </w:t>
      </w:r>
      <w:r w:rsidR="003F703B">
        <w:t>heterogeneity</w:t>
      </w:r>
      <w:r w:rsidR="00CB5915">
        <w:t xml:space="preserve"> of the studies and to only </w:t>
      </w:r>
      <w:r w:rsidR="000B7CED">
        <w:t xml:space="preserve">include studies </w:t>
      </w:r>
      <w:r w:rsidR="003F703B" w:rsidRPr="003F703B">
        <w:t xml:space="preserve">with lesions </w:t>
      </w:r>
      <w:r w:rsidR="003F703B">
        <w:t xml:space="preserve">with the same </w:t>
      </w:r>
      <w:r w:rsidR="003F703B" w:rsidRPr="003F703B">
        <w:t xml:space="preserve">target range treated by </w:t>
      </w:r>
      <w:r w:rsidR="008874C4">
        <w:t>the proposed intervention</w:t>
      </w:r>
      <w:r w:rsidR="003F703B">
        <w:t xml:space="preserve">. </w:t>
      </w:r>
      <w:r>
        <w:t xml:space="preserve">The ADAR included six studies on the safety and efficacy of </w:t>
      </w:r>
      <w:r w:rsidR="006B62CC">
        <w:t>EBRT in BCC and SCC</w:t>
      </w:r>
      <w:r w:rsidR="00D003D5">
        <w:t xml:space="preserve"> (</w:t>
      </w:r>
      <w:r w:rsidR="00492910">
        <w:fldChar w:fldCharType="begin"/>
      </w:r>
      <w:r w:rsidR="00492910">
        <w:instrText xml:space="preserve"> REF _Ref184213208 \h </w:instrText>
      </w:r>
      <w:r w:rsidR="00492910">
        <w:fldChar w:fldCharType="separate"/>
      </w:r>
      <w:r w:rsidR="00AF5AE7" w:rsidRPr="00CE28E3">
        <w:t>Table</w:t>
      </w:r>
      <w:r w:rsidR="00AF5AE7">
        <w:t> </w:t>
      </w:r>
      <w:r w:rsidR="00AF5AE7">
        <w:rPr>
          <w:noProof/>
        </w:rPr>
        <w:t>8</w:t>
      </w:r>
      <w:r w:rsidR="00492910">
        <w:fldChar w:fldCharType="end"/>
      </w:r>
      <w:r w:rsidR="00492910">
        <w:t>)</w:t>
      </w:r>
      <w:r w:rsidR="000550D3">
        <w:t xml:space="preserve">. </w:t>
      </w:r>
      <w:r w:rsidR="00B61BE7" w:rsidRPr="00B61BE7">
        <w:t xml:space="preserve">The primary challenge in </w:t>
      </w:r>
      <w:r w:rsidR="00B61BE7">
        <w:t xml:space="preserve">ensuring </w:t>
      </w:r>
      <w:r w:rsidR="00B61BE7" w:rsidRPr="00B61BE7">
        <w:t xml:space="preserve">populations between Re-188 brachytherapy and EBRT studies </w:t>
      </w:r>
      <w:r w:rsidR="00B61BE7">
        <w:t xml:space="preserve">were similar </w:t>
      </w:r>
      <w:r w:rsidR="00B61BE7" w:rsidRPr="00B61BE7">
        <w:t>was the lack of detailed information on lesion area or depth in the EBRT studies</w:t>
      </w:r>
      <w:r w:rsidR="00360364">
        <w:t>. EBRT studies tended to use the</w:t>
      </w:r>
      <w:r w:rsidR="00B61BE7" w:rsidRPr="00B61BE7">
        <w:t xml:space="preserve"> </w:t>
      </w:r>
      <w:r w:rsidR="009645A7">
        <w:t>t</w:t>
      </w:r>
      <w:r w:rsidR="009645A7" w:rsidRPr="009645A7">
        <w:t xml:space="preserve">umour, node and metastasis </w:t>
      </w:r>
      <w:r w:rsidR="009645A7">
        <w:t>(</w:t>
      </w:r>
      <w:r w:rsidR="00B61BE7" w:rsidRPr="00B61BE7">
        <w:t>TNM</w:t>
      </w:r>
      <w:r w:rsidR="009645A7">
        <w:t>)</w:t>
      </w:r>
      <w:r w:rsidR="00B61BE7" w:rsidRPr="00B61BE7">
        <w:t xml:space="preserve"> staging system</w:t>
      </w:r>
      <w:r w:rsidR="00360364">
        <w:t xml:space="preserve">, rather than thickness and depth. </w:t>
      </w:r>
    </w:p>
    <w:p w14:paraId="56929DC0" w14:textId="31E44DC9" w:rsidR="00937FA7" w:rsidRDefault="00360364" w:rsidP="00174CFB">
      <w:r>
        <w:t xml:space="preserve">The ADAR </w:t>
      </w:r>
      <w:r w:rsidR="00E90CAB">
        <w:t xml:space="preserve">resubmission included studies that included patients with all T Stages, this </w:t>
      </w:r>
      <w:r w:rsidR="00256B8C">
        <w:t xml:space="preserve">may bias the comparison in favour of Re-188 </w:t>
      </w:r>
      <w:r w:rsidR="00256B8C" w:rsidRPr="00B61BE7">
        <w:t>brachytherapy</w:t>
      </w:r>
      <w:r w:rsidR="005B5EE5">
        <w:t xml:space="preserve"> as the T4 and some T3 tumours may be more difficult to treat than </w:t>
      </w:r>
      <w:r w:rsidR="009D01F1">
        <w:t>tumours</w:t>
      </w:r>
      <w:r w:rsidR="005B5EE5">
        <w:t xml:space="preserve"> that are </w:t>
      </w:r>
      <w:r w:rsidR="009D01F1" w:rsidRPr="009D01F1">
        <w:t>≤3mm</w:t>
      </w:r>
      <w:r w:rsidR="009D01F1">
        <w:t xml:space="preserve"> deep.</w:t>
      </w:r>
      <w:r w:rsidR="00174CFB" w:rsidRPr="00174CFB">
        <w:t xml:space="preserve"> </w:t>
      </w:r>
      <w:r w:rsidR="00174CFB">
        <w:t xml:space="preserve">Caccialanza </w:t>
      </w:r>
      <w:r w:rsidR="00D30FB2" w:rsidRPr="00B22F65">
        <w:t>et al.</w:t>
      </w:r>
      <w:r w:rsidR="00D30FB2">
        <w:t xml:space="preserve"> </w:t>
      </w:r>
      <w:r w:rsidR="00174CFB">
        <w:t xml:space="preserve">2009 and Grossi Marconi </w:t>
      </w:r>
      <w:r w:rsidR="00D30FB2" w:rsidRPr="00B22F65">
        <w:t>et al</w:t>
      </w:r>
      <w:r w:rsidR="00D30FB2" w:rsidRPr="00D30FB2">
        <w:rPr>
          <w:i/>
          <w:iCs/>
        </w:rPr>
        <w:t>.</w:t>
      </w:r>
      <w:r w:rsidR="00D30FB2">
        <w:rPr>
          <w:i/>
          <w:iCs/>
        </w:rPr>
        <w:t xml:space="preserve"> </w:t>
      </w:r>
      <w:r w:rsidR="00174CFB">
        <w:t xml:space="preserve">2016, should not be included in the comparative evidence as </w:t>
      </w:r>
      <w:r w:rsidR="009645A7">
        <w:t xml:space="preserve">both </w:t>
      </w:r>
      <w:r w:rsidR="00D30FB2">
        <w:t xml:space="preserve">include a much broader </w:t>
      </w:r>
      <w:r w:rsidR="00D30FB2">
        <w:lastRenderedPageBreak/>
        <w:t>population base than the proposed population due to including severe stages of cancer</w:t>
      </w:r>
      <w:r w:rsidR="004225E3">
        <w:t>. In addition,</w:t>
      </w:r>
      <w:r w:rsidR="006E24DF">
        <w:t xml:space="preserve"> </w:t>
      </w:r>
      <w:r w:rsidR="006E24DF" w:rsidRPr="006E24DF">
        <w:t>Tighe</w:t>
      </w:r>
      <w:r w:rsidR="006E24DF">
        <w:t xml:space="preserve"> </w:t>
      </w:r>
      <w:r w:rsidR="006E24DF" w:rsidRPr="00B22F65">
        <w:t>et al.</w:t>
      </w:r>
      <w:r w:rsidR="006E24DF">
        <w:t xml:space="preserve"> </w:t>
      </w:r>
      <w:r w:rsidR="006E24DF" w:rsidRPr="006E24DF">
        <w:t>2021</w:t>
      </w:r>
      <w:r w:rsidR="00FC4FAA">
        <w:t xml:space="preserve"> should be interpreted with caution</w:t>
      </w:r>
      <w:r w:rsidR="00A54F36">
        <w:t xml:space="preserve"> </w:t>
      </w:r>
      <w:r w:rsidR="00317D17">
        <w:t>as it had a short follow up time (4 months) compared to other studies</w:t>
      </w:r>
      <w:r w:rsidR="00FC4FAA">
        <w:t>.</w:t>
      </w:r>
    </w:p>
    <w:p w14:paraId="35A44A58" w14:textId="4C177BDB" w:rsidR="008874C4" w:rsidRPr="00330A0A" w:rsidRDefault="008874C4" w:rsidP="008874C4">
      <w:pPr>
        <w:pStyle w:val="Caption"/>
        <w:rPr>
          <w:color w:val="538135" w:themeColor="accent6" w:themeShade="BF"/>
          <w:sz w:val="16"/>
          <w:szCs w:val="16"/>
        </w:rPr>
      </w:pPr>
      <w:bookmarkStart w:id="26" w:name="_Ref184213208"/>
      <w:r w:rsidRPr="00CE28E3">
        <w:t>Table</w:t>
      </w:r>
      <w:r>
        <w:t> </w:t>
      </w:r>
      <w:r w:rsidR="007F4BCC">
        <w:fldChar w:fldCharType="begin"/>
      </w:r>
      <w:r w:rsidR="007F4BCC">
        <w:instrText xml:space="preserve"> SEQ Table \* ARABIC </w:instrText>
      </w:r>
      <w:r w:rsidR="007F4BCC">
        <w:fldChar w:fldCharType="separate"/>
      </w:r>
      <w:r w:rsidR="00AF5AE7">
        <w:rPr>
          <w:noProof/>
        </w:rPr>
        <w:t>8</w:t>
      </w:r>
      <w:r w:rsidR="007F4BCC">
        <w:rPr>
          <w:noProof/>
        </w:rPr>
        <w:fldChar w:fldCharType="end"/>
      </w:r>
      <w:bookmarkEnd w:id="26"/>
      <w:r w:rsidRPr="00CE28E3">
        <w:tab/>
        <w:t>Key features of the included evidenc</w:t>
      </w:r>
      <w:r w:rsidR="00492910">
        <w:t>e EBRT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7"/>
        <w:gridCol w:w="487"/>
        <w:gridCol w:w="1205"/>
        <w:gridCol w:w="802"/>
        <w:gridCol w:w="1583"/>
        <w:gridCol w:w="1578"/>
        <w:gridCol w:w="997"/>
        <w:gridCol w:w="1397"/>
      </w:tblGrid>
      <w:tr w:rsidR="00515A17" w:rsidRPr="00CE28E3" w14:paraId="31645F4D" w14:textId="77777777" w:rsidTr="00B22F65">
        <w:trPr>
          <w:cantSplit/>
          <w:tblHeader/>
        </w:trPr>
        <w:tc>
          <w:tcPr>
            <w:tcW w:w="536" w:type="pct"/>
            <w:vAlign w:val="center"/>
          </w:tcPr>
          <w:p w14:paraId="7AC4EC41" w14:textId="77777777" w:rsidR="00FF2153" w:rsidRPr="00CE28E3" w:rsidRDefault="00FF2153" w:rsidP="00B809FE">
            <w:pPr>
              <w:pStyle w:val="In-tableHeading"/>
            </w:pPr>
            <w:r w:rsidRPr="00CE28E3">
              <w:t>References</w:t>
            </w:r>
          </w:p>
        </w:tc>
        <w:tc>
          <w:tcPr>
            <w:tcW w:w="270" w:type="pct"/>
            <w:vAlign w:val="center"/>
          </w:tcPr>
          <w:p w14:paraId="6FA87518" w14:textId="77777777" w:rsidR="00FF2153" w:rsidRPr="00CE28E3" w:rsidRDefault="00FF2153" w:rsidP="00B809FE">
            <w:pPr>
              <w:pStyle w:val="In-tableHeading"/>
            </w:pPr>
            <w:r w:rsidRPr="00CE28E3">
              <w:t>N</w:t>
            </w:r>
          </w:p>
        </w:tc>
        <w:tc>
          <w:tcPr>
            <w:tcW w:w="668" w:type="pct"/>
            <w:vAlign w:val="center"/>
          </w:tcPr>
          <w:p w14:paraId="2CA100BF" w14:textId="77777777" w:rsidR="00FF2153" w:rsidRDefault="00FF2153" w:rsidP="00B809FE">
            <w:pPr>
              <w:pStyle w:val="In-tableHeading"/>
            </w:pPr>
            <w:r w:rsidRPr="00CE28E3">
              <w:t>Design</w:t>
            </w:r>
          </w:p>
          <w:p w14:paraId="37A66FEF" w14:textId="0F4A3934" w:rsidR="00FF2153" w:rsidRPr="00CE28E3" w:rsidRDefault="00410070" w:rsidP="00B809FE">
            <w:pPr>
              <w:pStyle w:val="In-tableHeading"/>
            </w:pPr>
            <w:r>
              <w:t>D</w:t>
            </w:r>
            <w:r w:rsidR="00FF2153" w:rsidRPr="00CE28E3">
              <w:t>uration</w:t>
            </w:r>
          </w:p>
        </w:tc>
        <w:tc>
          <w:tcPr>
            <w:tcW w:w="445" w:type="pct"/>
            <w:vAlign w:val="center"/>
          </w:tcPr>
          <w:p w14:paraId="072107C8" w14:textId="77777777" w:rsidR="00FF2153" w:rsidRPr="00CE28E3" w:rsidRDefault="00FF2153" w:rsidP="00B809FE">
            <w:pPr>
              <w:pStyle w:val="In-tableHeading"/>
            </w:pPr>
            <w:r>
              <w:t>Quality</w:t>
            </w:r>
          </w:p>
        </w:tc>
        <w:tc>
          <w:tcPr>
            <w:tcW w:w="878" w:type="pct"/>
            <w:vAlign w:val="center"/>
          </w:tcPr>
          <w:p w14:paraId="193442F9" w14:textId="77777777" w:rsidR="00FF2153" w:rsidRPr="00CE28E3" w:rsidRDefault="00FF2153" w:rsidP="00B809FE">
            <w:pPr>
              <w:pStyle w:val="In-tableHeading"/>
            </w:pPr>
            <w:r w:rsidRPr="00CE28E3">
              <w:t>Patient population</w:t>
            </w:r>
          </w:p>
        </w:tc>
        <w:tc>
          <w:tcPr>
            <w:tcW w:w="875" w:type="pct"/>
            <w:vAlign w:val="center"/>
          </w:tcPr>
          <w:p w14:paraId="04FA1098" w14:textId="58B72CD4" w:rsidR="00FF2153" w:rsidRPr="00CE28E3" w:rsidRDefault="00180297" w:rsidP="00B809FE">
            <w:pPr>
              <w:pStyle w:val="In-tableHeading"/>
            </w:pPr>
            <w:r>
              <w:rPr>
                <w:lang w:val="en-AU"/>
              </w:rPr>
              <w:t>EBRT modality</w:t>
            </w:r>
          </w:p>
        </w:tc>
        <w:tc>
          <w:tcPr>
            <w:tcW w:w="553" w:type="pct"/>
            <w:vAlign w:val="center"/>
          </w:tcPr>
          <w:p w14:paraId="220F244E" w14:textId="3C2C69F8" w:rsidR="00FF2153" w:rsidRPr="00CE28E3" w:rsidRDefault="00D436DA" w:rsidP="00B809FE">
            <w:pPr>
              <w:pStyle w:val="In-tableHeading"/>
            </w:pPr>
            <w:r w:rsidRPr="00FB6AE2">
              <w:rPr>
                <w:lang w:val="en-AU"/>
              </w:rPr>
              <w:t>Surface area and</w:t>
            </w:r>
            <w:r w:rsidRPr="00FB6AE2">
              <w:rPr>
                <w:spacing w:val="-1"/>
                <w:lang w:val="en-AU"/>
              </w:rPr>
              <w:t xml:space="preserve"> </w:t>
            </w:r>
            <w:r w:rsidRPr="00FB6AE2">
              <w:rPr>
                <w:spacing w:val="-2"/>
                <w:lang w:val="en-AU"/>
              </w:rPr>
              <w:t>thickness</w:t>
            </w:r>
          </w:p>
        </w:tc>
        <w:tc>
          <w:tcPr>
            <w:tcW w:w="775" w:type="pct"/>
            <w:vAlign w:val="center"/>
          </w:tcPr>
          <w:p w14:paraId="085B4B4C" w14:textId="6B0B0D6E" w:rsidR="00FF2153" w:rsidRPr="00CE28E3" w:rsidRDefault="00FF2153" w:rsidP="00B809FE">
            <w:pPr>
              <w:pStyle w:val="In-tableHeading"/>
            </w:pPr>
            <w:r w:rsidRPr="00CE28E3">
              <w:t>Outcome(s</w:t>
            </w:r>
            <w:r>
              <w:t>)</w:t>
            </w:r>
          </w:p>
        </w:tc>
      </w:tr>
      <w:tr w:rsidR="00515A17" w:rsidRPr="00302E97" w14:paraId="573F641F" w14:textId="77777777" w:rsidTr="00B22F65">
        <w:trPr>
          <w:cantSplit/>
        </w:trPr>
        <w:tc>
          <w:tcPr>
            <w:tcW w:w="536" w:type="pct"/>
            <w:vAlign w:val="center"/>
          </w:tcPr>
          <w:p w14:paraId="72A8EBC1" w14:textId="3C0A9A0E" w:rsidR="00D436DA" w:rsidRPr="00302E97" w:rsidRDefault="00D436DA" w:rsidP="00B809FE">
            <w:pPr>
              <w:pStyle w:val="Tabletext0"/>
              <w:spacing w:before="0" w:after="0"/>
              <w:jc w:val="left"/>
              <w:rPr>
                <w:lang w:val="en-US"/>
              </w:rPr>
            </w:pPr>
            <w:r w:rsidRPr="002470E1">
              <w:t>Caccialanza 200</w:t>
            </w:r>
            <w:bookmarkStart w:id="27" w:name="_Ref184288566"/>
            <w:r w:rsidRPr="002470E1">
              <w:t>9</w:t>
            </w:r>
            <w:bookmarkEnd w:id="27"/>
            <w:r w:rsidR="00B40B84">
              <w:rPr>
                <w:rStyle w:val="FootnoteReference"/>
              </w:rPr>
              <w:footnoteReference w:id="9"/>
            </w:r>
          </w:p>
        </w:tc>
        <w:tc>
          <w:tcPr>
            <w:tcW w:w="270" w:type="pct"/>
            <w:vAlign w:val="center"/>
          </w:tcPr>
          <w:p w14:paraId="556942B3" w14:textId="300F43F0" w:rsidR="00D436DA" w:rsidRPr="00302E97" w:rsidRDefault="00D436DA" w:rsidP="00B809FE">
            <w:pPr>
              <w:pStyle w:val="Tabletext0"/>
              <w:spacing w:before="0" w:after="0"/>
              <w:jc w:val="left"/>
              <w:rPr>
                <w:lang w:val="en-US"/>
              </w:rPr>
            </w:pPr>
            <w:r>
              <w:t>620</w:t>
            </w:r>
          </w:p>
        </w:tc>
        <w:tc>
          <w:tcPr>
            <w:tcW w:w="668" w:type="pct"/>
            <w:vAlign w:val="center"/>
          </w:tcPr>
          <w:p w14:paraId="4B889EAD" w14:textId="77777777" w:rsidR="00D436DA" w:rsidRDefault="00D436DA" w:rsidP="00B809FE">
            <w:pPr>
              <w:pStyle w:val="Tabletext0"/>
              <w:spacing w:before="0" w:after="0"/>
              <w:jc w:val="left"/>
              <w:rPr>
                <w:bCs/>
              </w:rPr>
            </w:pPr>
            <w:r w:rsidRPr="00D51AB3">
              <w:rPr>
                <w:bCs/>
              </w:rPr>
              <w:t>Single-arm</w:t>
            </w:r>
            <w:r>
              <w:rPr>
                <w:bCs/>
              </w:rPr>
              <w:t xml:space="preserve">, </w:t>
            </w:r>
            <w:r w:rsidRPr="00696C46">
              <w:rPr>
                <w:bCs/>
              </w:rPr>
              <w:t>retrospective</w:t>
            </w:r>
            <w:r>
              <w:rPr>
                <w:bCs/>
              </w:rPr>
              <w:t xml:space="preserve"> case series</w:t>
            </w:r>
          </w:p>
          <w:p w14:paraId="5EE8EB0B" w14:textId="6F4B54E9" w:rsidR="00CE2E0F" w:rsidRPr="00CE2E0F" w:rsidRDefault="00CE2E0F" w:rsidP="00B809FE">
            <w:pPr>
              <w:pStyle w:val="Tabletext0"/>
              <w:spacing w:before="0" w:after="0"/>
              <w:jc w:val="left"/>
            </w:pPr>
            <w:r w:rsidRPr="00CE2E0F">
              <w:t>mean follow-up 38 months</w:t>
            </w:r>
          </w:p>
        </w:tc>
        <w:tc>
          <w:tcPr>
            <w:tcW w:w="445" w:type="pct"/>
            <w:vAlign w:val="center"/>
          </w:tcPr>
          <w:p w14:paraId="288DF4DE" w14:textId="16F54143" w:rsidR="00D436DA" w:rsidRPr="00302E97" w:rsidRDefault="00D436DA" w:rsidP="00B809FE">
            <w:pPr>
              <w:pStyle w:val="Tabletext0"/>
              <w:spacing w:before="0" w:after="0"/>
              <w:jc w:val="left"/>
              <w:rPr>
                <w:lang w:val="en-US"/>
              </w:rPr>
            </w:pPr>
            <w:r w:rsidRPr="00D47D52">
              <w:t>Poor</w:t>
            </w:r>
          </w:p>
        </w:tc>
        <w:tc>
          <w:tcPr>
            <w:tcW w:w="878" w:type="pct"/>
            <w:vAlign w:val="center"/>
          </w:tcPr>
          <w:p w14:paraId="18DE0646" w14:textId="77777777" w:rsidR="00D436DA" w:rsidRDefault="00D436DA" w:rsidP="00B809FE">
            <w:pPr>
              <w:pStyle w:val="Tabletext0"/>
              <w:spacing w:before="0" w:after="0"/>
              <w:jc w:val="left"/>
              <w:rPr>
                <w:b/>
              </w:rPr>
            </w:pPr>
            <w:r>
              <w:t xml:space="preserve">Adults </w:t>
            </w:r>
            <w:r w:rsidRPr="00CC6AD4">
              <w:t>affected by</w:t>
            </w:r>
            <w:r>
              <w:t xml:space="preserve"> </w:t>
            </w:r>
            <w:r w:rsidRPr="00CC6AD4">
              <w:t>primary malignant epithelial skin neoplasms and treated with</w:t>
            </w:r>
            <w:r>
              <w:t xml:space="preserve"> </w:t>
            </w:r>
            <w:r w:rsidRPr="00CC6AD4">
              <w:t>radiotherapy</w:t>
            </w:r>
            <w:r>
              <w:t>.</w:t>
            </w:r>
          </w:p>
          <w:p w14:paraId="7F441CC0" w14:textId="18A3795C" w:rsidR="00D436DA" w:rsidRPr="00302E97" w:rsidRDefault="00D436DA" w:rsidP="00B809FE">
            <w:pPr>
              <w:pStyle w:val="Tabletext0"/>
              <w:spacing w:before="0" w:after="0"/>
              <w:jc w:val="left"/>
              <w:rPr>
                <w:lang w:val="en-US"/>
              </w:rPr>
            </w:pPr>
            <w:r>
              <w:t>Sites treated: Nose.</w:t>
            </w:r>
          </w:p>
        </w:tc>
        <w:tc>
          <w:tcPr>
            <w:tcW w:w="875" w:type="pct"/>
            <w:vAlign w:val="center"/>
          </w:tcPr>
          <w:p w14:paraId="5ECD113D" w14:textId="77777777" w:rsidR="00D436DA" w:rsidRDefault="00D436DA" w:rsidP="00B809FE">
            <w:pPr>
              <w:pStyle w:val="Tabletext0"/>
              <w:spacing w:before="0" w:after="0"/>
              <w:jc w:val="left"/>
              <w:rPr>
                <w:b/>
              </w:rPr>
            </w:pPr>
            <w:r>
              <w:t>SXRT</w:t>
            </w:r>
          </w:p>
          <w:p w14:paraId="7C1B2AEC" w14:textId="77777777" w:rsidR="00D436DA" w:rsidRDefault="00D436DA" w:rsidP="00B809FE">
            <w:pPr>
              <w:pStyle w:val="Tabletext0"/>
              <w:spacing w:before="0" w:after="0"/>
              <w:jc w:val="left"/>
              <w:rPr>
                <w:b/>
              </w:rPr>
            </w:pPr>
            <w:r>
              <w:t>Fractions: 2/5 times p/w</w:t>
            </w:r>
          </w:p>
          <w:p w14:paraId="394A90CD" w14:textId="77777777" w:rsidR="00D436DA" w:rsidRDefault="00D436DA" w:rsidP="00B809FE">
            <w:pPr>
              <w:pStyle w:val="Tabletext0"/>
              <w:spacing w:before="0" w:after="0"/>
              <w:jc w:val="left"/>
              <w:rPr>
                <w:b/>
              </w:rPr>
            </w:pPr>
            <w:r>
              <w:t>DPF: 5Gy, 2/5Gy</w:t>
            </w:r>
          </w:p>
          <w:p w14:paraId="4346AC0B" w14:textId="7CA1E60E" w:rsidR="00D436DA" w:rsidRPr="00302E97" w:rsidRDefault="00D436DA" w:rsidP="00B809FE">
            <w:pPr>
              <w:pStyle w:val="Tabletext0"/>
              <w:spacing w:before="0" w:after="0"/>
              <w:jc w:val="left"/>
              <w:rPr>
                <w:lang w:val="en-US"/>
              </w:rPr>
            </w:pPr>
            <w:r>
              <w:t xml:space="preserve">Total dose: 30-75Gy, 60 + 20/25Gy </w:t>
            </w:r>
          </w:p>
        </w:tc>
        <w:tc>
          <w:tcPr>
            <w:tcW w:w="553" w:type="pct"/>
            <w:vAlign w:val="center"/>
          </w:tcPr>
          <w:p w14:paraId="6A9DF25E" w14:textId="2F0EA67F" w:rsidR="00D436DA" w:rsidRPr="00302E97" w:rsidRDefault="005A5208" w:rsidP="00B809FE">
            <w:pPr>
              <w:pStyle w:val="Tabletext0"/>
              <w:spacing w:before="0" w:after="0"/>
              <w:jc w:val="left"/>
            </w:pPr>
            <w:r>
              <w:t>Included all T stages</w:t>
            </w:r>
          </w:p>
        </w:tc>
        <w:tc>
          <w:tcPr>
            <w:tcW w:w="775" w:type="pct"/>
            <w:vAlign w:val="center"/>
          </w:tcPr>
          <w:p w14:paraId="38D55077" w14:textId="77777777" w:rsidR="00D436DA" w:rsidRDefault="00D436DA" w:rsidP="00B809FE">
            <w:pPr>
              <w:pStyle w:val="Tabletext0"/>
              <w:spacing w:before="0" w:after="0"/>
              <w:jc w:val="left"/>
              <w:rPr>
                <w:b/>
              </w:rPr>
            </w:pPr>
            <w:r>
              <w:t>Tumour cure rate.</w:t>
            </w:r>
          </w:p>
          <w:p w14:paraId="10EC6084" w14:textId="6A7CAE49" w:rsidR="00D436DA" w:rsidRPr="00302E97" w:rsidRDefault="00D436DA" w:rsidP="00B809FE">
            <w:pPr>
              <w:pStyle w:val="Tabletext0"/>
              <w:spacing w:before="0" w:after="0"/>
              <w:jc w:val="left"/>
              <w:rPr>
                <w:lang w:val="en-US"/>
              </w:rPr>
            </w:pPr>
            <w:r>
              <w:t>Cosmesis.</w:t>
            </w:r>
          </w:p>
        </w:tc>
      </w:tr>
      <w:tr w:rsidR="00515A17" w:rsidRPr="00CE28E3" w14:paraId="46A833F3" w14:textId="77777777" w:rsidTr="00B22F65">
        <w:trPr>
          <w:cantSplit/>
        </w:trPr>
        <w:tc>
          <w:tcPr>
            <w:tcW w:w="536" w:type="pct"/>
            <w:vAlign w:val="center"/>
          </w:tcPr>
          <w:p w14:paraId="35F0CDA2" w14:textId="5E493D24" w:rsidR="00D436DA" w:rsidRPr="00D47D52" w:rsidRDefault="00D436DA" w:rsidP="00B809FE">
            <w:pPr>
              <w:pStyle w:val="Tabletext0"/>
              <w:spacing w:before="0" w:after="0"/>
              <w:jc w:val="left"/>
              <w:rPr>
                <w:lang w:val="en-US"/>
              </w:rPr>
            </w:pPr>
            <w:r w:rsidRPr="002470E1">
              <w:t>Ferro 2015</w:t>
            </w:r>
            <w:bookmarkStart w:id="28" w:name="_Ref184289069"/>
            <w:r w:rsidR="00BB2837">
              <w:rPr>
                <w:rStyle w:val="FootnoteReference"/>
              </w:rPr>
              <w:footnoteReference w:id="10"/>
            </w:r>
            <w:bookmarkEnd w:id="28"/>
          </w:p>
        </w:tc>
        <w:tc>
          <w:tcPr>
            <w:tcW w:w="270" w:type="pct"/>
            <w:vAlign w:val="center"/>
          </w:tcPr>
          <w:p w14:paraId="720D878E" w14:textId="2936302E" w:rsidR="00D436DA" w:rsidRPr="00D47D52" w:rsidRDefault="00D436DA" w:rsidP="00B809FE">
            <w:pPr>
              <w:pStyle w:val="Tabletext0"/>
              <w:spacing w:before="0" w:after="0"/>
              <w:jc w:val="left"/>
              <w:rPr>
                <w:lang w:val="en-US"/>
              </w:rPr>
            </w:pPr>
            <w:r>
              <w:t>31</w:t>
            </w:r>
          </w:p>
        </w:tc>
        <w:tc>
          <w:tcPr>
            <w:tcW w:w="668" w:type="pct"/>
            <w:vAlign w:val="center"/>
          </w:tcPr>
          <w:p w14:paraId="200A74E9" w14:textId="77777777" w:rsidR="00D436DA" w:rsidRDefault="00D436DA" w:rsidP="00B809FE">
            <w:pPr>
              <w:pStyle w:val="Tabletext0"/>
              <w:spacing w:before="0" w:after="0"/>
              <w:jc w:val="left"/>
              <w:rPr>
                <w:bCs/>
              </w:rPr>
            </w:pPr>
            <w:r w:rsidRPr="00D51AB3">
              <w:rPr>
                <w:bCs/>
              </w:rPr>
              <w:t>Single-arm</w:t>
            </w:r>
            <w:r>
              <w:rPr>
                <w:bCs/>
              </w:rPr>
              <w:t>, prospective, Phase II study</w:t>
            </w:r>
          </w:p>
          <w:p w14:paraId="4E78CC4E" w14:textId="543E7C51" w:rsidR="00312505" w:rsidRPr="00312505" w:rsidRDefault="00312505" w:rsidP="00B809FE">
            <w:pPr>
              <w:pStyle w:val="Tabletext0"/>
              <w:spacing w:before="0" w:after="0"/>
              <w:jc w:val="left"/>
            </w:pPr>
            <w:r w:rsidRPr="00312505">
              <w:t>median follow-up 30 months</w:t>
            </w:r>
          </w:p>
        </w:tc>
        <w:tc>
          <w:tcPr>
            <w:tcW w:w="445" w:type="pct"/>
            <w:vAlign w:val="center"/>
          </w:tcPr>
          <w:p w14:paraId="0B42B2FE" w14:textId="6982902A" w:rsidR="00D436DA" w:rsidRPr="00D47D52" w:rsidRDefault="00D436DA" w:rsidP="00B809FE">
            <w:pPr>
              <w:pStyle w:val="Tabletext0"/>
              <w:spacing w:before="0" w:after="0"/>
              <w:jc w:val="left"/>
              <w:rPr>
                <w:lang w:val="en-US"/>
              </w:rPr>
            </w:pPr>
            <w:r>
              <w:t>Fair</w:t>
            </w:r>
          </w:p>
        </w:tc>
        <w:tc>
          <w:tcPr>
            <w:tcW w:w="878" w:type="pct"/>
            <w:vAlign w:val="center"/>
          </w:tcPr>
          <w:p w14:paraId="315B5C6F" w14:textId="77777777" w:rsidR="00D436DA" w:rsidRDefault="00D436DA" w:rsidP="00B809FE">
            <w:pPr>
              <w:pStyle w:val="Tabletext0"/>
              <w:spacing w:before="0" w:after="0"/>
              <w:jc w:val="left"/>
              <w:rPr>
                <w:b/>
              </w:rPr>
            </w:pPr>
            <w:r>
              <w:t xml:space="preserve">Adults aged </w:t>
            </w:r>
            <w:r w:rsidRPr="00C24222">
              <w:t>≥70 years</w:t>
            </w:r>
            <w:r>
              <w:t>, with NMSC &lt;3cm, of T1 or T2 grade.</w:t>
            </w:r>
          </w:p>
          <w:p w14:paraId="6773FA82" w14:textId="18F5EDB6" w:rsidR="00D436DA" w:rsidRPr="00D47D52" w:rsidRDefault="00D436DA" w:rsidP="00B809FE">
            <w:pPr>
              <w:pStyle w:val="Tabletext0"/>
              <w:spacing w:before="0" w:after="0"/>
              <w:jc w:val="left"/>
              <w:rPr>
                <w:lang w:val="en-US"/>
              </w:rPr>
            </w:pPr>
            <w:r>
              <w:rPr>
                <w:bCs/>
              </w:rPr>
              <w:t>Sites treated: Ear, scalp, nose, zygomatic-cheek region, temporal, frontal, chin, lumbar.</w:t>
            </w:r>
          </w:p>
        </w:tc>
        <w:tc>
          <w:tcPr>
            <w:tcW w:w="875" w:type="pct"/>
            <w:vAlign w:val="center"/>
          </w:tcPr>
          <w:p w14:paraId="675E3526" w14:textId="2874FC39" w:rsidR="00D436DA" w:rsidRPr="00D47D52" w:rsidRDefault="00D436DA" w:rsidP="00B809FE">
            <w:pPr>
              <w:pStyle w:val="Tabletext0"/>
              <w:spacing w:before="0" w:after="0"/>
              <w:jc w:val="left"/>
              <w:rPr>
                <w:lang w:val="en-US"/>
              </w:rPr>
            </w:pPr>
            <w:r>
              <w:t>E</w:t>
            </w:r>
            <w:r w:rsidRPr="00B37AB2">
              <w:t>lectrons (6-9-12 MeV) or megavoltage photons (6 MV)</w:t>
            </w:r>
          </w:p>
        </w:tc>
        <w:tc>
          <w:tcPr>
            <w:tcW w:w="553" w:type="pct"/>
            <w:vAlign w:val="center"/>
          </w:tcPr>
          <w:p w14:paraId="6C8A052C" w14:textId="7C3424AF" w:rsidR="00D436DA" w:rsidRPr="00D47D52" w:rsidRDefault="00515A17" w:rsidP="00B809FE">
            <w:pPr>
              <w:pStyle w:val="Tabletext0"/>
              <w:spacing w:before="0" w:after="0"/>
              <w:jc w:val="left"/>
            </w:pPr>
            <w:r>
              <w:t xml:space="preserve">Inclusion: </w:t>
            </w:r>
            <w:r w:rsidRPr="00515A17">
              <w:t>Non-melanoma skin cancer </w:t>
            </w:r>
            <w:r w:rsidR="001E69CB" w:rsidRPr="001E69CB">
              <w:t>≤ 3 cm</w:t>
            </w:r>
          </w:p>
        </w:tc>
        <w:tc>
          <w:tcPr>
            <w:tcW w:w="775" w:type="pct"/>
            <w:vAlign w:val="center"/>
          </w:tcPr>
          <w:p w14:paraId="75A8347F" w14:textId="77777777" w:rsidR="00D436DA" w:rsidRDefault="00D436DA" w:rsidP="00B809FE">
            <w:pPr>
              <w:pStyle w:val="Tabletext0"/>
              <w:spacing w:before="0" w:after="0"/>
              <w:jc w:val="left"/>
              <w:rPr>
                <w:b/>
              </w:rPr>
            </w:pPr>
            <w:r>
              <w:t>Acute toxicity.</w:t>
            </w:r>
          </w:p>
          <w:p w14:paraId="54972D0D" w14:textId="50F2D988" w:rsidR="00D436DA" w:rsidRPr="00D47D52" w:rsidRDefault="00D436DA" w:rsidP="00B809FE">
            <w:pPr>
              <w:pStyle w:val="Tabletext0"/>
              <w:spacing w:before="0" w:after="0"/>
              <w:jc w:val="left"/>
              <w:rPr>
                <w:lang w:val="en-US"/>
              </w:rPr>
            </w:pPr>
            <w:r>
              <w:t>Tumour response.</w:t>
            </w:r>
          </w:p>
        </w:tc>
      </w:tr>
      <w:tr w:rsidR="00515A17" w:rsidRPr="00CE28E3" w14:paraId="7A7DCD18" w14:textId="77777777" w:rsidTr="00B22F65">
        <w:trPr>
          <w:cantSplit/>
        </w:trPr>
        <w:tc>
          <w:tcPr>
            <w:tcW w:w="536" w:type="pct"/>
            <w:vAlign w:val="center"/>
          </w:tcPr>
          <w:p w14:paraId="3DDDBE27" w14:textId="1103C8B2" w:rsidR="00D436DA" w:rsidRPr="00D47D52" w:rsidRDefault="00D436DA" w:rsidP="00B809FE">
            <w:pPr>
              <w:pStyle w:val="Tabletext0"/>
              <w:spacing w:before="0" w:after="0"/>
              <w:jc w:val="left"/>
              <w:rPr>
                <w:lang w:val="en-US"/>
              </w:rPr>
            </w:pPr>
            <w:r w:rsidRPr="002470E1">
              <w:t>Grossi Marconi 2016</w:t>
            </w:r>
            <w:r w:rsidR="00C16185">
              <w:rPr>
                <w:rStyle w:val="FootnoteReference"/>
              </w:rPr>
              <w:footnoteReference w:id="11"/>
            </w:r>
          </w:p>
        </w:tc>
        <w:tc>
          <w:tcPr>
            <w:tcW w:w="270" w:type="pct"/>
            <w:vAlign w:val="center"/>
          </w:tcPr>
          <w:p w14:paraId="7ED4C5F1" w14:textId="48043160" w:rsidR="00D436DA" w:rsidRPr="00D47D52" w:rsidRDefault="00D436DA" w:rsidP="00B809FE">
            <w:pPr>
              <w:pStyle w:val="Tabletext0"/>
              <w:spacing w:before="0" w:after="0"/>
              <w:jc w:val="left"/>
              <w:rPr>
                <w:lang w:val="en-US"/>
              </w:rPr>
            </w:pPr>
            <w:r>
              <w:t>597</w:t>
            </w:r>
          </w:p>
        </w:tc>
        <w:tc>
          <w:tcPr>
            <w:tcW w:w="668" w:type="pct"/>
            <w:vAlign w:val="center"/>
          </w:tcPr>
          <w:p w14:paraId="6DAE16E3" w14:textId="77777777" w:rsidR="00D436DA" w:rsidRPr="00F26B12" w:rsidRDefault="00D436DA" w:rsidP="00B809FE">
            <w:pPr>
              <w:pStyle w:val="Tabletext0"/>
              <w:spacing w:before="0" w:after="0"/>
              <w:jc w:val="left"/>
              <w:rPr>
                <w:bCs/>
              </w:rPr>
            </w:pPr>
            <w:r w:rsidRPr="00F26B12">
              <w:rPr>
                <w:bCs/>
              </w:rPr>
              <w:t>Single-arm, retrospective case series</w:t>
            </w:r>
          </w:p>
          <w:p w14:paraId="6959701B" w14:textId="29509A0A" w:rsidR="00F26B12" w:rsidRPr="00F26B12" w:rsidRDefault="00F26B12" w:rsidP="00B809FE">
            <w:pPr>
              <w:pStyle w:val="Tabletext0"/>
              <w:spacing w:before="0" w:after="0"/>
              <w:jc w:val="left"/>
              <w:rPr>
                <w:bCs/>
              </w:rPr>
            </w:pPr>
            <w:r w:rsidRPr="00F26B12">
              <w:rPr>
                <w:bCs/>
              </w:rPr>
              <w:t>median follow up 44 months</w:t>
            </w:r>
          </w:p>
        </w:tc>
        <w:tc>
          <w:tcPr>
            <w:tcW w:w="445" w:type="pct"/>
            <w:vAlign w:val="center"/>
          </w:tcPr>
          <w:p w14:paraId="272EA95B" w14:textId="137F4707" w:rsidR="00D436DA" w:rsidRPr="00D47D52" w:rsidRDefault="00D436DA" w:rsidP="00B809FE">
            <w:pPr>
              <w:pStyle w:val="Tabletext0"/>
              <w:spacing w:before="0" w:after="0"/>
              <w:jc w:val="left"/>
              <w:rPr>
                <w:lang w:val="en-US"/>
              </w:rPr>
            </w:pPr>
            <w:r>
              <w:t>Fair</w:t>
            </w:r>
          </w:p>
        </w:tc>
        <w:tc>
          <w:tcPr>
            <w:tcW w:w="878" w:type="pct"/>
            <w:vAlign w:val="center"/>
          </w:tcPr>
          <w:p w14:paraId="64FF73C2" w14:textId="77777777" w:rsidR="00D436DA" w:rsidRDefault="00D436DA" w:rsidP="00B809FE">
            <w:pPr>
              <w:pStyle w:val="Tabletext0"/>
              <w:spacing w:before="0" w:after="0"/>
              <w:jc w:val="left"/>
              <w:rPr>
                <w:b/>
              </w:rPr>
            </w:pPr>
            <w:r>
              <w:t xml:space="preserve">Adults with NMSC. </w:t>
            </w:r>
          </w:p>
          <w:p w14:paraId="2D146375" w14:textId="3708C36D" w:rsidR="00D436DA" w:rsidRPr="00D47D52" w:rsidRDefault="00D436DA" w:rsidP="00B809FE">
            <w:pPr>
              <w:pStyle w:val="Tabletext0"/>
              <w:spacing w:before="0" w:after="0"/>
              <w:jc w:val="left"/>
              <w:rPr>
                <w:lang w:val="en-US"/>
              </w:rPr>
            </w:pPr>
            <w:r>
              <w:rPr>
                <w:bCs/>
              </w:rPr>
              <w:t>Sites treated: Face, scalp, eyelid, nose, canthus (internal/external), pinna, lips, other.</w:t>
            </w:r>
          </w:p>
        </w:tc>
        <w:tc>
          <w:tcPr>
            <w:tcW w:w="875" w:type="pct"/>
            <w:vAlign w:val="center"/>
          </w:tcPr>
          <w:p w14:paraId="02383D2D" w14:textId="3FF65276" w:rsidR="00D436DA" w:rsidRPr="00D47D52" w:rsidRDefault="00D436DA" w:rsidP="00B809FE">
            <w:pPr>
              <w:pStyle w:val="Tabletext0"/>
              <w:spacing w:before="0" w:after="0"/>
              <w:jc w:val="left"/>
              <w:rPr>
                <w:lang w:val="en-US"/>
              </w:rPr>
            </w:pPr>
            <w:r w:rsidRPr="007433BB">
              <w:t>SXRT</w:t>
            </w:r>
            <w:r>
              <w:t xml:space="preserve">, various fractionation schedules </w:t>
            </w:r>
          </w:p>
        </w:tc>
        <w:tc>
          <w:tcPr>
            <w:tcW w:w="553" w:type="pct"/>
            <w:vAlign w:val="center"/>
          </w:tcPr>
          <w:p w14:paraId="060DEC0F" w14:textId="5BBCC270" w:rsidR="00D436DA" w:rsidRPr="00D47D52" w:rsidRDefault="00887252" w:rsidP="00B809FE">
            <w:pPr>
              <w:pStyle w:val="Tabletext0"/>
              <w:spacing w:before="0" w:after="0"/>
              <w:jc w:val="left"/>
            </w:pPr>
            <w:r>
              <w:t>Included all T stages</w:t>
            </w:r>
          </w:p>
        </w:tc>
        <w:tc>
          <w:tcPr>
            <w:tcW w:w="775" w:type="pct"/>
            <w:vAlign w:val="center"/>
          </w:tcPr>
          <w:p w14:paraId="25EB85A1" w14:textId="77777777" w:rsidR="00D436DA" w:rsidRDefault="00D436DA" w:rsidP="00B809FE">
            <w:pPr>
              <w:pStyle w:val="Tabletext0"/>
              <w:spacing w:before="0" w:after="0"/>
              <w:jc w:val="left"/>
              <w:rPr>
                <w:b/>
              </w:rPr>
            </w:pPr>
            <w:r>
              <w:t>Acute toxicity.</w:t>
            </w:r>
          </w:p>
          <w:p w14:paraId="52860515" w14:textId="57722E67" w:rsidR="00D436DA" w:rsidRPr="00D47D52" w:rsidRDefault="00D436DA" w:rsidP="00B809FE">
            <w:pPr>
              <w:pStyle w:val="Tabletext0"/>
              <w:spacing w:before="0" w:after="0"/>
              <w:jc w:val="left"/>
              <w:rPr>
                <w:lang w:val="en-US"/>
              </w:rPr>
            </w:pPr>
            <w:r>
              <w:t>Local control of tumour (sign to first disease progression).</w:t>
            </w:r>
          </w:p>
        </w:tc>
      </w:tr>
      <w:tr w:rsidR="00D436DA" w:rsidRPr="00CE28E3" w14:paraId="4AB5F494" w14:textId="77777777" w:rsidTr="00B22F65">
        <w:trPr>
          <w:cantSplit/>
        </w:trPr>
        <w:tc>
          <w:tcPr>
            <w:tcW w:w="536" w:type="pct"/>
            <w:vAlign w:val="center"/>
          </w:tcPr>
          <w:p w14:paraId="47320316" w14:textId="4A9A1648" w:rsidR="00D436DA" w:rsidRPr="00CE28E3" w:rsidRDefault="00D436DA" w:rsidP="00B809FE">
            <w:pPr>
              <w:pStyle w:val="Tabletext0"/>
              <w:spacing w:before="0" w:after="0"/>
              <w:jc w:val="left"/>
              <w:rPr>
                <w:lang w:val="en-US"/>
              </w:rPr>
            </w:pPr>
            <w:r>
              <w:t>Schulte 2005</w:t>
            </w:r>
            <w:bookmarkStart w:id="29" w:name="_Ref184289082"/>
            <w:r w:rsidR="00786C80">
              <w:rPr>
                <w:rStyle w:val="FootnoteReference"/>
              </w:rPr>
              <w:footnoteReference w:id="12"/>
            </w:r>
            <w:bookmarkEnd w:id="29"/>
          </w:p>
        </w:tc>
        <w:tc>
          <w:tcPr>
            <w:tcW w:w="270" w:type="pct"/>
            <w:vAlign w:val="center"/>
          </w:tcPr>
          <w:p w14:paraId="64AD3616" w14:textId="4469DD78" w:rsidR="00D436DA" w:rsidRPr="00CE28E3" w:rsidRDefault="00D436DA" w:rsidP="00B809FE">
            <w:pPr>
              <w:pStyle w:val="Tabletext0"/>
              <w:spacing w:before="0" w:after="0"/>
              <w:jc w:val="left"/>
              <w:rPr>
                <w:lang w:val="en-US"/>
              </w:rPr>
            </w:pPr>
            <w:r>
              <w:t>1113</w:t>
            </w:r>
          </w:p>
        </w:tc>
        <w:tc>
          <w:tcPr>
            <w:tcW w:w="668" w:type="pct"/>
            <w:vAlign w:val="center"/>
          </w:tcPr>
          <w:p w14:paraId="2B43A998" w14:textId="77777777" w:rsidR="00D436DA" w:rsidRDefault="00D436DA" w:rsidP="00B809FE">
            <w:pPr>
              <w:pStyle w:val="Tabletext0"/>
              <w:spacing w:before="0" w:after="0"/>
              <w:jc w:val="left"/>
              <w:rPr>
                <w:bCs/>
              </w:rPr>
            </w:pPr>
            <w:r w:rsidRPr="00D51AB3">
              <w:rPr>
                <w:bCs/>
              </w:rPr>
              <w:t>Single-arm</w:t>
            </w:r>
            <w:r>
              <w:rPr>
                <w:bCs/>
              </w:rPr>
              <w:t xml:space="preserve">, </w:t>
            </w:r>
            <w:r w:rsidRPr="0009527E">
              <w:rPr>
                <w:bCs/>
              </w:rPr>
              <w:t>retrospective</w:t>
            </w:r>
            <w:r>
              <w:rPr>
                <w:bCs/>
              </w:rPr>
              <w:t xml:space="preserve"> case series</w:t>
            </w:r>
          </w:p>
          <w:p w14:paraId="6400D4B0" w14:textId="2E50CB74" w:rsidR="00165A11" w:rsidRPr="00165A11" w:rsidRDefault="00165A11" w:rsidP="00B809FE">
            <w:pPr>
              <w:pStyle w:val="Tabletext0"/>
              <w:spacing w:before="0" w:after="0"/>
              <w:jc w:val="left"/>
            </w:pPr>
            <w:r w:rsidRPr="00165A11">
              <w:t>mean follow up 77 months</w:t>
            </w:r>
          </w:p>
        </w:tc>
        <w:tc>
          <w:tcPr>
            <w:tcW w:w="445" w:type="pct"/>
            <w:vAlign w:val="center"/>
          </w:tcPr>
          <w:p w14:paraId="0EEC56F5" w14:textId="2456E88A" w:rsidR="00D436DA" w:rsidRPr="00CE28E3" w:rsidRDefault="00D436DA" w:rsidP="00B809FE">
            <w:pPr>
              <w:pStyle w:val="Tabletext0"/>
              <w:spacing w:before="0" w:after="0"/>
              <w:jc w:val="left"/>
              <w:rPr>
                <w:lang w:val="en-US"/>
              </w:rPr>
            </w:pPr>
            <w:r>
              <w:t>Poor</w:t>
            </w:r>
          </w:p>
        </w:tc>
        <w:tc>
          <w:tcPr>
            <w:tcW w:w="878" w:type="pct"/>
            <w:vAlign w:val="center"/>
          </w:tcPr>
          <w:p w14:paraId="739E12F6" w14:textId="77777777" w:rsidR="00D436DA" w:rsidRDefault="00D436DA" w:rsidP="00B809FE">
            <w:pPr>
              <w:pStyle w:val="Tabletext0"/>
              <w:spacing w:before="0" w:after="0"/>
              <w:jc w:val="left"/>
              <w:rPr>
                <w:b/>
              </w:rPr>
            </w:pPr>
            <w:r>
              <w:t>Adults with BCC and SCC</w:t>
            </w:r>
          </w:p>
          <w:p w14:paraId="1BD0A184" w14:textId="124A5FC8" w:rsidR="00D436DA" w:rsidRPr="00CE28E3" w:rsidRDefault="00D436DA" w:rsidP="00B809FE">
            <w:pPr>
              <w:pStyle w:val="Tabletext0"/>
              <w:spacing w:before="0" w:after="0"/>
              <w:jc w:val="left"/>
              <w:rPr>
                <w:lang w:val="en-US"/>
              </w:rPr>
            </w:pPr>
            <w:r>
              <w:rPr>
                <w:bCs/>
              </w:rPr>
              <w:t>Sites treated: Scalp, lips, ears, forehead and temple, nose, cheek and chin, periorbital region.</w:t>
            </w:r>
          </w:p>
        </w:tc>
        <w:tc>
          <w:tcPr>
            <w:tcW w:w="875" w:type="pct"/>
            <w:vAlign w:val="center"/>
          </w:tcPr>
          <w:p w14:paraId="2DD0F462" w14:textId="3D20A9C8" w:rsidR="00D436DA" w:rsidRPr="00CE28E3" w:rsidRDefault="00D436DA" w:rsidP="00B809FE">
            <w:pPr>
              <w:pStyle w:val="Tabletext0"/>
              <w:spacing w:before="0" w:after="0"/>
              <w:jc w:val="left"/>
              <w:rPr>
                <w:lang w:val="en-US"/>
              </w:rPr>
            </w:pPr>
            <w:r>
              <w:t>SXRT, various fractionation schedules</w:t>
            </w:r>
          </w:p>
        </w:tc>
        <w:tc>
          <w:tcPr>
            <w:tcW w:w="553" w:type="pct"/>
            <w:vAlign w:val="center"/>
          </w:tcPr>
          <w:p w14:paraId="235AE9C5" w14:textId="1516E73F" w:rsidR="00D436DA" w:rsidRPr="43052E9E" w:rsidRDefault="009D6DAC" w:rsidP="00B809FE">
            <w:pPr>
              <w:pStyle w:val="Tabletext0"/>
              <w:spacing w:before="0" w:after="0"/>
              <w:jc w:val="left"/>
            </w:pPr>
            <w:r>
              <w:t>Included up to T3</w:t>
            </w:r>
          </w:p>
        </w:tc>
        <w:tc>
          <w:tcPr>
            <w:tcW w:w="775" w:type="pct"/>
            <w:vAlign w:val="center"/>
          </w:tcPr>
          <w:p w14:paraId="71AF0C07" w14:textId="77777777" w:rsidR="00D436DA" w:rsidRDefault="00D436DA" w:rsidP="00B809FE">
            <w:pPr>
              <w:pStyle w:val="Tabletext0"/>
              <w:spacing w:before="0" w:after="0"/>
              <w:jc w:val="left"/>
              <w:rPr>
                <w:b/>
              </w:rPr>
            </w:pPr>
            <w:r>
              <w:t>Ulceration and hypopigmentation.</w:t>
            </w:r>
          </w:p>
          <w:p w14:paraId="35E91ACD" w14:textId="636D65F9" w:rsidR="00D436DA" w:rsidRPr="00CE28E3" w:rsidRDefault="00D436DA" w:rsidP="00B809FE">
            <w:pPr>
              <w:pStyle w:val="Tabletext0"/>
              <w:spacing w:before="0" w:after="0"/>
              <w:jc w:val="left"/>
              <w:rPr>
                <w:lang w:val="en-US"/>
              </w:rPr>
            </w:pPr>
            <w:r>
              <w:t>Tumour recurrence.</w:t>
            </w:r>
          </w:p>
        </w:tc>
      </w:tr>
      <w:tr w:rsidR="00D436DA" w:rsidRPr="00CE28E3" w14:paraId="04BD90B2" w14:textId="77777777" w:rsidTr="00B22F65">
        <w:trPr>
          <w:cantSplit/>
        </w:trPr>
        <w:tc>
          <w:tcPr>
            <w:tcW w:w="536" w:type="pct"/>
            <w:vAlign w:val="center"/>
          </w:tcPr>
          <w:p w14:paraId="41749DE5" w14:textId="5E16B29A" w:rsidR="00D436DA" w:rsidRPr="43052E9E" w:rsidRDefault="00D436DA" w:rsidP="00B809FE">
            <w:pPr>
              <w:pStyle w:val="Tabletext0"/>
              <w:spacing w:before="0" w:after="0"/>
              <w:jc w:val="left"/>
            </w:pPr>
            <w:r w:rsidRPr="002470E1">
              <w:t>Tighe 2021</w:t>
            </w:r>
            <w:bookmarkStart w:id="30" w:name="_Ref184289096"/>
            <w:r w:rsidR="007F24C1">
              <w:rPr>
                <w:rStyle w:val="FootnoteReference"/>
              </w:rPr>
              <w:footnoteReference w:id="13"/>
            </w:r>
            <w:bookmarkEnd w:id="30"/>
            <w:r w:rsidRPr="002470E1">
              <w:t xml:space="preserve"> </w:t>
            </w:r>
          </w:p>
        </w:tc>
        <w:tc>
          <w:tcPr>
            <w:tcW w:w="270" w:type="pct"/>
            <w:vAlign w:val="center"/>
          </w:tcPr>
          <w:p w14:paraId="31DA22A6" w14:textId="0F07155F" w:rsidR="00D436DA" w:rsidRPr="43052E9E" w:rsidRDefault="00D436DA" w:rsidP="00B809FE">
            <w:pPr>
              <w:pStyle w:val="Tabletext0"/>
              <w:spacing w:before="0" w:after="0"/>
              <w:jc w:val="left"/>
            </w:pPr>
            <w:r>
              <w:t>56</w:t>
            </w:r>
          </w:p>
        </w:tc>
        <w:tc>
          <w:tcPr>
            <w:tcW w:w="668" w:type="pct"/>
            <w:vAlign w:val="center"/>
          </w:tcPr>
          <w:p w14:paraId="42AFA1BE" w14:textId="77777777" w:rsidR="00D436DA" w:rsidRDefault="00D436DA" w:rsidP="00B809FE">
            <w:pPr>
              <w:pStyle w:val="Tabletext0"/>
              <w:spacing w:before="0" w:after="0"/>
              <w:jc w:val="left"/>
              <w:rPr>
                <w:bCs/>
              </w:rPr>
            </w:pPr>
            <w:r w:rsidRPr="00D51AB3">
              <w:rPr>
                <w:bCs/>
              </w:rPr>
              <w:t>Single-arm</w:t>
            </w:r>
            <w:r>
              <w:rPr>
                <w:bCs/>
              </w:rPr>
              <w:t xml:space="preserve">, </w:t>
            </w:r>
            <w:r w:rsidRPr="0009527E">
              <w:rPr>
                <w:bCs/>
              </w:rPr>
              <w:t>retrospective</w:t>
            </w:r>
            <w:r>
              <w:rPr>
                <w:bCs/>
              </w:rPr>
              <w:t xml:space="preserve"> case series, </w:t>
            </w:r>
          </w:p>
          <w:p w14:paraId="18700696" w14:textId="324699E3" w:rsidR="00B07EB8" w:rsidRPr="43052E9E" w:rsidRDefault="00B07EB8" w:rsidP="00B809FE">
            <w:pPr>
              <w:pStyle w:val="Tabletext0"/>
              <w:spacing w:before="0" w:after="0"/>
              <w:jc w:val="left"/>
            </w:pPr>
            <w:r w:rsidRPr="00B07EB8">
              <w:t>Median follow-up 4 months</w:t>
            </w:r>
          </w:p>
        </w:tc>
        <w:tc>
          <w:tcPr>
            <w:tcW w:w="445" w:type="pct"/>
            <w:vAlign w:val="center"/>
          </w:tcPr>
          <w:p w14:paraId="1CB95886" w14:textId="08FDD62A" w:rsidR="00D436DA" w:rsidRPr="00D51AB3" w:rsidRDefault="00D436DA" w:rsidP="00B809FE">
            <w:pPr>
              <w:pStyle w:val="Tabletext0"/>
              <w:spacing w:before="0" w:after="0"/>
              <w:jc w:val="left"/>
            </w:pPr>
            <w:r>
              <w:rPr>
                <w:spacing w:val="-4"/>
              </w:rPr>
              <w:t>Poor</w:t>
            </w:r>
          </w:p>
        </w:tc>
        <w:tc>
          <w:tcPr>
            <w:tcW w:w="878" w:type="pct"/>
            <w:vAlign w:val="center"/>
          </w:tcPr>
          <w:p w14:paraId="740C83BF" w14:textId="77777777" w:rsidR="00D436DA" w:rsidRDefault="00D436DA" w:rsidP="00B809FE">
            <w:pPr>
              <w:pStyle w:val="Tabletext0"/>
              <w:spacing w:before="0" w:after="0"/>
              <w:jc w:val="left"/>
              <w:rPr>
                <w:b/>
              </w:rPr>
            </w:pPr>
            <w:r w:rsidRPr="00FA102B">
              <w:t>Adults with lower-leg NMSCs</w:t>
            </w:r>
          </w:p>
          <w:p w14:paraId="61A4D39F" w14:textId="1F272642" w:rsidR="00D436DA" w:rsidRPr="43052E9E" w:rsidRDefault="00D436DA" w:rsidP="00B809FE">
            <w:pPr>
              <w:pStyle w:val="Tabletext0"/>
              <w:spacing w:before="0" w:after="0"/>
              <w:jc w:val="left"/>
            </w:pPr>
            <w:r>
              <w:rPr>
                <w:bCs/>
              </w:rPr>
              <w:t>Sites treated: Lower legs</w:t>
            </w:r>
          </w:p>
        </w:tc>
        <w:tc>
          <w:tcPr>
            <w:tcW w:w="875" w:type="pct"/>
            <w:vAlign w:val="center"/>
          </w:tcPr>
          <w:p w14:paraId="5EC3FC5C" w14:textId="06C27AA2" w:rsidR="00D436DA" w:rsidRDefault="00D436DA" w:rsidP="00B809FE">
            <w:pPr>
              <w:pStyle w:val="Tabletext0"/>
              <w:spacing w:before="0" w:after="0"/>
              <w:jc w:val="left"/>
              <w:rPr>
                <w:lang w:val="en-US"/>
              </w:rPr>
            </w:pPr>
            <w:r>
              <w:t>Electrons and SXRT, various fractionation schedules</w:t>
            </w:r>
          </w:p>
        </w:tc>
        <w:tc>
          <w:tcPr>
            <w:tcW w:w="553" w:type="pct"/>
            <w:vAlign w:val="center"/>
          </w:tcPr>
          <w:p w14:paraId="4129CD9D" w14:textId="76FC911B" w:rsidR="00D436DA" w:rsidRDefault="001646B2" w:rsidP="00B809FE">
            <w:pPr>
              <w:pStyle w:val="Tabletext0"/>
              <w:spacing w:before="0" w:after="0"/>
              <w:jc w:val="left"/>
            </w:pPr>
            <w:r w:rsidRPr="001646B2">
              <w:t>Median lesion size 2 cm</w:t>
            </w:r>
            <w:r w:rsidR="00D15AEE">
              <w:t>; 52% unknown T stage</w:t>
            </w:r>
          </w:p>
        </w:tc>
        <w:tc>
          <w:tcPr>
            <w:tcW w:w="775" w:type="pct"/>
            <w:vAlign w:val="center"/>
          </w:tcPr>
          <w:p w14:paraId="1E6A3FA1" w14:textId="77777777" w:rsidR="00D436DA" w:rsidRDefault="00D436DA" w:rsidP="00B809FE">
            <w:pPr>
              <w:pStyle w:val="Tabletext0"/>
              <w:spacing w:before="0" w:after="0"/>
              <w:jc w:val="left"/>
              <w:rPr>
                <w:b/>
              </w:rPr>
            </w:pPr>
            <w:r>
              <w:t xml:space="preserve">Local recurrence of lesions. </w:t>
            </w:r>
          </w:p>
          <w:p w14:paraId="1FB52E4A" w14:textId="6D17BBC2" w:rsidR="00D436DA" w:rsidRPr="43052E9E" w:rsidRDefault="00D436DA" w:rsidP="00B809FE">
            <w:pPr>
              <w:pStyle w:val="Tabletext0"/>
              <w:spacing w:before="0" w:after="0"/>
              <w:jc w:val="left"/>
            </w:pPr>
            <w:r>
              <w:t>Radiation induced AEs.</w:t>
            </w:r>
          </w:p>
        </w:tc>
      </w:tr>
      <w:tr w:rsidR="00D436DA" w:rsidRPr="00CE28E3" w14:paraId="36307847" w14:textId="77777777" w:rsidTr="00B22F65">
        <w:trPr>
          <w:cantSplit/>
        </w:trPr>
        <w:tc>
          <w:tcPr>
            <w:tcW w:w="536" w:type="pct"/>
            <w:tcBorders>
              <w:top w:val="single" w:sz="4" w:space="0" w:color="auto"/>
              <w:left w:val="single" w:sz="4" w:space="0" w:color="auto"/>
              <w:bottom w:val="single" w:sz="4" w:space="0" w:color="auto"/>
              <w:right w:val="single" w:sz="4" w:space="0" w:color="auto"/>
            </w:tcBorders>
            <w:vAlign w:val="center"/>
          </w:tcPr>
          <w:p w14:paraId="50AF93FF" w14:textId="30C40589" w:rsidR="00D436DA" w:rsidRDefault="00D436DA" w:rsidP="00B809FE">
            <w:pPr>
              <w:pStyle w:val="Tabletext0"/>
              <w:spacing w:before="0" w:after="0"/>
              <w:jc w:val="left"/>
              <w:rPr>
                <w:spacing w:val="-2"/>
              </w:rPr>
            </w:pPr>
            <w:r w:rsidRPr="43052E9E">
              <w:lastRenderedPageBreak/>
              <w:t>Patel, 2017</w:t>
            </w:r>
            <w:bookmarkStart w:id="31" w:name="_Ref184289106"/>
            <w:r w:rsidR="00DB6A2B">
              <w:rPr>
                <w:rStyle w:val="FootnoteReference"/>
              </w:rPr>
              <w:footnoteReference w:id="14"/>
            </w:r>
            <w:bookmarkEnd w:id="31"/>
          </w:p>
        </w:tc>
        <w:tc>
          <w:tcPr>
            <w:tcW w:w="270" w:type="pct"/>
            <w:tcBorders>
              <w:top w:val="single" w:sz="4" w:space="0" w:color="auto"/>
              <w:left w:val="single" w:sz="4" w:space="0" w:color="auto"/>
              <w:bottom w:val="single" w:sz="4" w:space="0" w:color="auto"/>
              <w:right w:val="single" w:sz="4" w:space="0" w:color="auto"/>
            </w:tcBorders>
            <w:vAlign w:val="center"/>
          </w:tcPr>
          <w:p w14:paraId="7ACD7E24" w14:textId="563FB525" w:rsidR="00D436DA" w:rsidRDefault="00D436DA" w:rsidP="00B809FE">
            <w:pPr>
              <w:pStyle w:val="Tabletext0"/>
              <w:spacing w:before="0" w:after="0"/>
              <w:jc w:val="left"/>
              <w:rPr>
                <w:spacing w:val="-5"/>
              </w:rPr>
            </w:pPr>
            <w:r w:rsidRPr="43052E9E">
              <w:t>369</w:t>
            </w:r>
          </w:p>
        </w:tc>
        <w:tc>
          <w:tcPr>
            <w:tcW w:w="668" w:type="pct"/>
            <w:tcBorders>
              <w:top w:val="single" w:sz="4" w:space="0" w:color="auto"/>
              <w:left w:val="single" w:sz="4" w:space="0" w:color="auto"/>
              <w:bottom w:val="single" w:sz="4" w:space="0" w:color="auto"/>
              <w:right w:val="single" w:sz="4" w:space="0" w:color="auto"/>
            </w:tcBorders>
            <w:vAlign w:val="center"/>
          </w:tcPr>
          <w:p w14:paraId="490C1200" w14:textId="77777777" w:rsidR="00D436DA" w:rsidRDefault="00D436DA" w:rsidP="00B809FE">
            <w:pPr>
              <w:pStyle w:val="Tabletext0"/>
              <w:spacing w:before="0" w:after="0"/>
              <w:jc w:val="left"/>
            </w:pPr>
            <w:r w:rsidRPr="43052E9E">
              <w:t>Matched pair</w:t>
            </w:r>
            <w:r>
              <w:t xml:space="preserve"> cohort study</w:t>
            </w:r>
            <w:r w:rsidRPr="43052E9E">
              <w:t xml:space="preserve"> (EBT vs Mohs)</w:t>
            </w:r>
          </w:p>
          <w:p w14:paraId="07A02C15" w14:textId="598A6584" w:rsidR="001100AE" w:rsidRPr="001100AE" w:rsidRDefault="001100AE" w:rsidP="00B809FE">
            <w:pPr>
              <w:pStyle w:val="Tabletext0"/>
              <w:spacing w:before="0" w:after="0"/>
              <w:jc w:val="left"/>
              <w:rPr>
                <w:bCs/>
              </w:rPr>
            </w:pPr>
            <w:r w:rsidRPr="001100AE">
              <w:rPr>
                <w:bCs/>
              </w:rPr>
              <w:t>mean follow-up of 3.4 years</w:t>
            </w:r>
          </w:p>
          <w:p w14:paraId="386D297C" w14:textId="7E5ECF35" w:rsidR="00D436DA" w:rsidRDefault="00D436DA" w:rsidP="00B809FE">
            <w:pPr>
              <w:pStyle w:val="Tabletext0"/>
              <w:spacing w:before="0" w:after="0"/>
              <w:jc w:val="left"/>
            </w:pPr>
          </w:p>
        </w:tc>
        <w:tc>
          <w:tcPr>
            <w:tcW w:w="445" w:type="pct"/>
            <w:vAlign w:val="center"/>
          </w:tcPr>
          <w:p w14:paraId="4EDD3E02" w14:textId="252B3365" w:rsidR="00D436DA" w:rsidRDefault="00D436DA" w:rsidP="00B809FE">
            <w:pPr>
              <w:pStyle w:val="Tabletext0"/>
              <w:spacing w:before="0" w:after="0"/>
              <w:jc w:val="left"/>
              <w:rPr>
                <w:spacing w:val="-4"/>
              </w:rPr>
            </w:pPr>
            <w:r>
              <w:rPr>
                <w:spacing w:val="-4"/>
              </w:rPr>
              <w:t>Fair</w:t>
            </w:r>
          </w:p>
        </w:tc>
        <w:tc>
          <w:tcPr>
            <w:tcW w:w="878" w:type="pct"/>
            <w:tcBorders>
              <w:top w:val="single" w:sz="4" w:space="0" w:color="auto"/>
              <w:left w:val="single" w:sz="4" w:space="0" w:color="auto"/>
              <w:bottom w:val="single" w:sz="4" w:space="0" w:color="auto"/>
              <w:right w:val="single" w:sz="4" w:space="0" w:color="auto"/>
            </w:tcBorders>
            <w:vAlign w:val="center"/>
          </w:tcPr>
          <w:p w14:paraId="18A0A2E7" w14:textId="3BF36CCC" w:rsidR="00D436DA" w:rsidRDefault="00D436DA" w:rsidP="00B809FE">
            <w:pPr>
              <w:pStyle w:val="Tabletext0"/>
              <w:spacing w:before="0" w:after="0"/>
              <w:jc w:val="left"/>
            </w:pPr>
            <w:r w:rsidRPr="43052E9E">
              <w:t>Adults (80.7 years median), BCC/SCC 1-2cm on the head</w:t>
            </w:r>
          </w:p>
        </w:tc>
        <w:tc>
          <w:tcPr>
            <w:tcW w:w="875" w:type="pct"/>
            <w:tcBorders>
              <w:top w:val="single" w:sz="4" w:space="0" w:color="auto"/>
              <w:left w:val="single" w:sz="4" w:space="0" w:color="auto"/>
              <w:bottom w:val="single" w:sz="4" w:space="0" w:color="auto"/>
              <w:right w:val="single" w:sz="4" w:space="0" w:color="auto"/>
            </w:tcBorders>
            <w:vAlign w:val="center"/>
          </w:tcPr>
          <w:p w14:paraId="65963907" w14:textId="6DE74582" w:rsidR="00D436DA" w:rsidRDefault="00D436DA" w:rsidP="00B809FE">
            <w:pPr>
              <w:pStyle w:val="Tabletext0"/>
              <w:spacing w:before="0" w:after="0"/>
              <w:jc w:val="left"/>
            </w:pPr>
            <w:r w:rsidRPr="43052E9E">
              <w:t>Electronic brachytherapy, various fractionation schedules (30-50 Gy total in 4-5 Gy/fraction)</w:t>
            </w:r>
          </w:p>
        </w:tc>
        <w:tc>
          <w:tcPr>
            <w:tcW w:w="553" w:type="pct"/>
            <w:vAlign w:val="center"/>
          </w:tcPr>
          <w:p w14:paraId="4B5D1CDD" w14:textId="6D55AF23" w:rsidR="00D436DA" w:rsidRDefault="0087783B" w:rsidP="00B809FE">
            <w:pPr>
              <w:pStyle w:val="Tabletext0"/>
              <w:spacing w:before="0" w:after="0"/>
              <w:jc w:val="left"/>
            </w:pPr>
            <w:r w:rsidRPr="0087783B">
              <w:t>≤ 3 cm</w:t>
            </w:r>
            <w:r w:rsidR="002B1011">
              <w:t>, up to stage T2</w:t>
            </w:r>
          </w:p>
        </w:tc>
        <w:tc>
          <w:tcPr>
            <w:tcW w:w="775" w:type="pct"/>
            <w:tcBorders>
              <w:top w:val="single" w:sz="4" w:space="0" w:color="auto"/>
              <w:left w:val="single" w:sz="4" w:space="0" w:color="auto"/>
              <w:bottom w:val="single" w:sz="4" w:space="0" w:color="auto"/>
              <w:right w:val="single" w:sz="4" w:space="0" w:color="auto"/>
            </w:tcBorders>
            <w:vAlign w:val="center"/>
          </w:tcPr>
          <w:p w14:paraId="428AEB20" w14:textId="77777777" w:rsidR="00D436DA" w:rsidRDefault="00D436DA" w:rsidP="00B809FE">
            <w:pPr>
              <w:pStyle w:val="Tabletext0"/>
              <w:spacing w:before="0" w:after="0"/>
              <w:jc w:val="left"/>
            </w:pPr>
            <w:r w:rsidRPr="43052E9E">
              <w:t>Tumour control</w:t>
            </w:r>
          </w:p>
          <w:p w14:paraId="666B08F5" w14:textId="77777777" w:rsidR="00D436DA" w:rsidRDefault="00D436DA" w:rsidP="00B809FE">
            <w:pPr>
              <w:pStyle w:val="Tabletext0"/>
              <w:spacing w:before="0" w:after="0"/>
              <w:jc w:val="left"/>
              <w:rPr>
                <w:b/>
              </w:rPr>
            </w:pPr>
            <w:r w:rsidRPr="43052E9E">
              <w:t>Cosmesis</w:t>
            </w:r>
          </w:p>
          <w:p w14:paraId="33439325" w14:textId="77777777" w:rsidR="00D436DA" w:rsidRDefault="00D436DA" w:rsidP="00B809FE">
            <w:pPr>
              <w:pStyle w:val="Tabletext0"/>
              <w:spacing w:before="0" w:after="0"/>
              <w:jc w:val="left"/>
              <w:rPr>
                <w:b/>
              </w:rPr>
            </w:pPr>
            <w:r w:rsidRPr="43052E9E">
              <w:t>Toxicity</w:t>
            </w:r>
          </w:p>
          <w:p w14:paraId="4F16BBD3" w14:textId="4270BABF" w:rsidR="00D436DA" w:rsidRDefault="00D436DA" w:rsidP="00B809FE">
            <w:pPr>
              <w:pStyle w:val="Tabletext0"/>
              <w:spacing w:before="0" w:after="0"/>
              <w:jc w:val="left"/>
            </w:pPr>
            <w:r w:rsidRPr="43052E9E">
              <w:t>Patient satisfaction</w:t>
            </w:r>
          </w:p>
        </w:tc>
      </w:tr>
    </w:tbl>
    <w:p w14:paraId="7A75BD4E" w14:textId="77777777" w:rsidR="00410070" w:rsidRDefault="008874C4" w:rsidP="00B22F65">
      <w:pPr>
        <w:pStyle w:val="TableFigureFooter"/>
        <w:spacing w:after="0"/>
      </w:pPr>
      <w:r>
        <w:t xml:space="preserve">* Included in previous ADAR. </w:t>
      </w:r>
    </w:p>
    <w:p w14:paraId="572053D3" w14:textId="3ADDD1B6" w:rsidR="00410070" w:rsidRDefault="00410070" w:rsidP="00410070">
      <w:pPr>
        <w:pStyle w:val="TableFigureFooter"/>
        <w:spacing w:before="0"/>
      </w:pPr>
      <w:r>
        <w:t>AE = adverse event; BCC =</w:t>
      </w:r>
      <w:r>
        <w:rPr>
          <w:spacing w:val="-3"/>
        </w:rPr>
        <w:t xml:space="preserve"> </w:t>
      </w:r>
      <w:r>
        <w:t>basal</w:t>
      </w:r>
      <w:r>
        <w:rPr>
          <w:spacing w:val="-3"/>
        </w:rPr>
        <w:t xml:space="preserve"> </w:t>
      </w:r>
      <w:r>
        <w:t>cell</w:t>
      </w:r>
      <w:r>
        <w:rPr>
          <w:spacing w:val="-3"/>
        </w:rPr>
        <w:t xml:space="preserve"> </w:t>
      </w:r>
      <w:r>
        <w:t>carcinoma;</w:t>
      </w:r>
      <w:r>
        <w:rPr>
          <w:spacing w:val="-5"/>
        </w:rPr>
        <w:t xml:space="preserve"> </w:t>
      </w:r>
      <w:r w:rsidR="00D61F27" w:rsidRPr="00D61F27">
        <w:t xml:space="preserve">NMSC = Non-melanoma skin cancer; </w:t>
      </w:r>
      <w:r w:rsidRPr="00D61F27">
        <w:t xml:space="preserve">NR = not reported; </w:t>
      </w:r>
      <w:r>
        <w:t>SCC =</w:t>
      </w:r>
      <w:r w:rsidRPr="00D61F27">
        <w:t xml:space="preserve"> </w:t>
      </w:r>
      <w:r>
        <w:t>squamous</w:t>
      </w:r>
      <w:r w:rsidRPr="00D61F27">
        <w:t xml:space="preserve"> </w:t>
      </w:r>
      <w:r>
        <w:t>cell</w:t>
      </w:r>
      <w:r w:rsidRPr="00D61F27">
        <w:t xml:space="preserve"> </w:t>
      </w:r>
      <w:r w:rsidR="00805450" w:rsidRPr="00D61F27">
        <w:t xml:space="preserve">carcinoma; </w:t>
      </w:r>
      <w:r w:rsidR="00805450" w:rsidRPr="00FD5CEA">
        <w:t>SXRT</w:t>
      </w:r>
      <w:r w:rsidR="00FD5CEA" w:rsidRPr="00BA438C">
        <w:t xml:space="preserve"> = Superficial X-Ray Radiation Therapy</w:t>
      </w:r>
    </w:p>
    <w:p w14:paraId="36B53B57" w14:textId="30CF5866" w:rsidR="00956ACE" w:rsidRPr="00CE28E3" w:rsidRDefault="00805450" w:rsidP="00B8535F">
      <w:pPr>
        <w:pStyle w:val="TableFigureFooter"/>
      </w:pPr>
      <w:r>
        <w:rPr>
          <w:rFonts w:ascii="Franklin Gothic Book" w:eastAsiaTheme="minorHAnsi" w:hAnsi="Franklin Gothic Book" w:cstheme="minorBidi"/>
          <w:snapToGrid/>
          <w:sz w:val="22"/>
          <w:lang w:eastAsia="en-US"/>
        </w:rPr>
        <w:t>T</w:t>
      </w:r>
      <w:r w:rsidR="008474DC" w:rsidRPr="008474DC">
        <w:rPr>
          <w:rFonts w:ascii="Franklin Gothic Book" w:eastAsiaTheme="minorHAnsi" w:hAnsi="Franklin Gothic Book" w:cstheme="minorBidi"/>
          <w:snapToGrid/>
          <w:sz w:val="22"/>
          <w:lang w:eastAsia="en-US"/>
        </w:rPr>
        <w:t xml:space="preserve">he </w:t>
      </w:r>
      <w:r w:rsidR="008474DC">
        <w:rPr>
          <w:rFonts w:ascii="Franklin Gothic Book" w:eastAsiaTheme="minorHAnsi" w:hAnsi="Franklin Gothic Book" w:cstheme="minorBidi"/>
          <w:snapToGrid/>
          <w:sz w:val="22"/>
          <w:lang w:eastAsia="en-US"/>
        </w:rPr>
        <w:t>issue</w:t>
      </w:r>
      <w:r w:rsidR="008474DC" w:rsidRPr="008474DC">
        <w:rPr>
          <w:rFonts w:ascii="Franklin Gothic Book" w:eastAsiaTheme="minorHAnsi" w:hAnsi="Franklin Gothic Book" w:cstheme="minorBidi"/>
          <w:snapToGrid/>
          <w:sz w:val="22"/>
          <w:lang w:eastAsia="en-US"/>
        </w:rPr>
        <w:t xml:space="preserve"> persists that there is neither a direct nor an indirect comparison between Re-188 brachytherapy and EBRT. </w:t>
      </w:r>
      <w:bookmarkStart w:id="32" w:name="_Hlk68276301"/>
      <w:bookmarkEnd w:id="25"/>
    </w:p>
    <w:p w14:paraId="3B9FC2AD" w14:textId="7DB0517A" w:rsidR="00772829" w:rsidRPr="00CE28E3" w:rsidRDefault="00772829" w:rsidP="00B809FE">
      <w:pPr>
        <w:pStyle w:val="Heading2"/>
        <w:numPr>
          <w:ilvl w:val="0"/>
          <w:numId w:val="18"/>
        </w:numPr>
        <w:ind w:hanging="720"/>
      </w:pPr>
      <w:bookmarkStart w:id="33" w:name="_Toc69491423"/>
      <w:bookmarkEnd w:id="32"/>
      <w:r w:rsidRPr="00CE28E3">
        <w:t>Comparative safety</w:t>
      </w:r>
      <w:bookmarkEnd w:id="33"/>
    </w:p>
    <w:p w14:paraId="16B7D17C" w14:textId="0E441F8C" w:rsidR="00F95CE6" w:rsidRDefault="00F95CE6" w:rsidP="00F95CE6">
      <w:pPr>
        <w:pStyle w:val="BodyText"/>
        <w:spacing w:before="238" w:line="259" w:lineRule="auto"/>
        <w:ind w:right="748"/>
      </w:pPr>
      <w:r>
        <w:t>Safety</w:t>
      </w:r>
      <w:r>
        <w:rPr>
          <w:spacing w:val="-4"/>
        </w:rPr>
        <w:t xml:space="preserve"> </w:t>
      </w:r>
      <w:r>
        <w:t>data</w:t>
      </w:r>
      <w:r>
        <w:rPr>
          <w:spacing w:val="-4"/>
        </w:rPr>
        <w:t xml:space="preserve"> </w:t>
      </w:r>
      <w:r>
        <w:t>for</w:t>
      </w:r>
      <w:r>
        <w:rPr>
          <w:spacing w:val="-3"/>
        </w:rPr>
        <w:t xml:space="preserve"> </w:t>
      </w:r>
      <w:r>
        <w:t>Re-188</w:t>
      </w:r>
      <w:r>
        <w:rPr>
          <w:spacing w:val="-2"/>
        </w:rPr>
        <w:t xml:space="preserve"> </w:t>
      </w:r>
      <w:r>
        <w:t>brachytherapy</w:t>
      </w:r>
      <w:r>
        <w:rPr>
          <w:spacing w:val="-4"/>
        </w:rPr>
        <w:t xml:space="preserve"> </w:t>
      </w:r>
      <w:r>
        <w:t>and</w:t>
      </w:r>
      <w:r>
        <w:rPr>
          <w:spacing w:val="-1"/>
        </w:rPr>
        <w:t xml:space="preserve"> </w:t>
      </w:r>
      <w:r>
        <w:t>EBRT</w:t>
      </w:r>
      <w:r>
        <w:rPr>
          <w:spacing w:val="-4"/>
        </w:rPr>
        <w:t xml:space="preserve"> </w:t>
      </w:r>
      <w:r>
        <w:t>in</w:t>
      </w:r>
      <w:r>
        <w:rPr>
          <w:spacing w:val="-4"/>
        </w:rPr>
        <w:t xml:space="preserve"> </w:t>
      </w:r>
      <w:r>
        <w:t>BCC</w:t>
      </w:r>
      <w:r>
        <w:rPr>
          <w:spacing w:val="-3"/>
        </w:rPr>
        <w:t xml:space="preserve"> </w:t>
      </w:r>
      <w:r>
        <w:t>and</w:t>
      </w:r>
      <w:r>
        <w:rPr>
          <w:spacing w:val="-1"/>
        </w:rPr>
        <w:t xml:space="preserve"> </w:t>
      </w:r>
      <w:r>
        <w:t>SCC</w:t>
      </w:r>
      <w:r>
        <w:rPr>
          <w:spacing w:val="-3"/>
        </w:rPr>
        <w:t xml:space="preserve"> </w:t>
      </w:r>
      <w:r>
        <w:t>are</w:t>
      </w:r>
      <w:r>
        <w:rPr>
          <w:spacing w:val="-4"/>
        </w:rPr>
        <w:t xml:space="preserve"> </w:t>
      </w:r>
      <w:r>
        <w:t>summarised</w:t>
      </w:r>
      <w:r>
        <w:rPr>
          <w:spacing w:val="-1"/>
        </w:rPr>
        <w:t xml:space="preserve"> </w:t>
      </w:r>
      <w:r>
        <w:t>in</w:t>
      </w:r>
      <w:r w:rsidR="00F63CFB">
        <w:t xml:space="preserve"> </w:t>
      </w:r>
      <w:r w:rsidR="0074355F">
        <w:rPr>
          <w:spacing w:val="-2"/>
        </w:rPr>
        <w:fldChar w:fldCharType="begin"/>
      </w:r>
      <w:r w:rsidR="0074355F">
        <w:rPr>
          <w:spacing w:val="-2"/>
        </w:rPr>
        <w:instrText xml:space="preserve"> REF _Ref184215984 \h </w:instrText>
      </w:r>
      <w:r w:rsidR="0074355F">
        <w:rPr>
          <w:spacing w:val="-2"/>
        </w:rPr>
      </w:r>
      <w:r w:rsidR="0074355F">
        <w:rPr>
          <w:spacing w:val="-2"/>
        </w:rPr>
        <w:fldChar w:fldCharType="separate"/>
      </w:r>
      <w:r w:rsidR="00AF5AE7" w:rsidRPr="00CE28E3">
        <w:t>Table</w:t>
      </w:r>
      <w:r w:rsidR="00AF5AE7">
        <w:t> </w:t>
      </w:r>
      <w:r w:rsidR="00AF5AE7">
        <w:rPr>
          <w:noProof/>
        </w:rPr>
        <w:t>9</w:t>
      </w:r>
      <w:r w:rsidR="0074355F">
        <w:rPr>
          <w:spacing w:val="-2"/>
        </w:rPr>
        <w:fldChar w:fldCharType="end"/>
      </w:r>
      <w:r w:rsidR="0074355F">
        <w:rPr>
          <w:spacing w:val="-2"/>
        </w:rPr>
        <w:t xml:space="preserve"> and </w:t>
      </w:r>
      <w:r w:rsidR="0074355F">
        <w:rPr>
          <w:spacing w:val="-2"/>
        </w:rPr>
        <w:fldChar w:fldCharType="begin"/>
      </w:r>
      <w:r w:rsidR="0074355F">
        <w:rPr>
          <w:spacing w:val="-2"/>
        </w:rPr>
        <w:instrText xml:space="preserve"> REF _Ref184215992 \h </w:instrText>
      </w:r>
      <w:r w:rsidR="0074355F">
        <w:rPr>
          <w:spacing w:val="-2"/>
        </w:rPr>
      </w:r>
      <w:r w:rsidR="0074355F">
        <w:rPr>
          <w:spacing w:val="-2"/>
        </w:rPr>
        <w:fldChar w:fldCharType="separate"/>
      </w:r>
      <w:r w:rsidR="00AF5AE7" w:rsidRPr="00CE28E3">
        <w:t>Table</w:t>
      </w:r>
      <w:r w:rsidR="00AF5AE7">
        <w:t> </w:t>
      </w:r>
      <w:r w:rsidR="00AF5AE7">
        <w:rPr>
          <w:noProof/>
        </w:rPr>
        <w:t>10</w:t>
      </w:r>
      <w:r w:rsidR="0074355F">
        <w:rPr>
          <w:spacing w:val="-2"/>
        </w:rPr>
        <w:fldChar w:fldCharType="end"/>
      </w:r>
      <w:r w:rsidR="0074355F">
        <w:rPr>
          <w:spacing w:val="-2"/>
        </w:rPr>
        <w:t xml:space="preserve"> </w:t>
      </w:r>
      <w:r>
        <w:t>respectively.</w:t>
      </w:r>
    </w:p>
    <w:p w14:paraId="0F33C297" w14:textId="4A410C84" w:rsidR="00EC14F3" w:rsidRPr="00330A0A" w:rsidRDefault="00EC14F3" w:rsidP="00EC14F3">
      <w:pPr>
        <w:pStyle w:val="Caption"/>
        <w:rPr>
          <w:color w:val="538135" w:themeColor="accent6" w:themeShade="BF"/>
          <w:sz w:val="16"/>
          <w:szCs w:val="16"/>
        </w:rPr>
      </w:pPr>
      <w:bookmarkStart w:id="34" w:name="_Ref184215984"/>
      <w:r w:rsidRPr="00CE28E3">
        <w:t>Table</w:t>
      </w:r>
      <w:r>
        <w:t> </w:t>
      </w:r>
      <w:r w:rsidR="007F4BCC">
        <w:fldChar w:fldCharType="begin"/>
      </w:r>
      <w:r w:rsidR="007F4BCC">
        <w:instrText xml:space="preserve"> SEQ Table \* ARABIC </w:instrText>
      </w:r>
      <w:r w:rsidR="007F4BCC">
        <w:fldChar w:fldCharType="separate"/>
      </w:r>
      <w:r w:rsidR="00AF5AE7">
        <w:rPr>
          <w:noProof/>
        </w:rPr>
        <w:t>9</w:t>
      </w:r>
      <w:r w:rsidR="007F4BCC">
        <w:rPr>
          <w:noProof/>
        </w:rPr>
        <w:fldChar w:fldCharType="end"/>
      </w:r>
      <w:bookmarkEnd w:id="34"/>
      <w:r w:rsidRPr="00CE28E3">
        <w:tab/>
      </w:r>
      <w:r w:rsidR="0074355F">
        <w:t>Percentage</w:t>
      </w:r>
      <w:r w:rsidR="00054AFE">
        <w:t xml:space="preserve"> of </w:t>
      </w:r>
      <w:r w:rsidR="007D15FF">
        <w:t>lesions with a Grade 1 to 3 adverse even</w:t>
      </w:r>
      <w:r w:rsidR="00F41732">
        <w:t xml:space="preserve">t </w:t>
      </w:r>
      <w:r w:rsidR="00F41732" w:rsidRPr="00F41732">
        <w:t>after treatment with Re-188 brachytherapy.</w:t>
      </w:r>
      <w:r w:rsidRPr="00330A0A">
        <w:rPr>
          <w:color w:val="538135" w:themeColor="accent6" w:themeShade="BF"/>
        </w:rPr>
        <w:t xml:space="preserve"> </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85" w:type="dxa"/>
        </w:tblCellMar>
        <w:tblLook w:val="04A0" w:firstRow="1" w:lastRow="0" w:firstColumn="1" w:lastColumn="0" w:noHBand="0" w:noVBand="1"/>
      </w:tblPr>
      <w:tblGrid>
        <w:gridCol w:w="1980"/>
        <w:gridCol w:w="949"/>
        <w:gridCol w:w="1602"/>
        <w:gridCol w:w="1324"/>
        <w:gridCol w:w="1465"/>
        <w:gridCol w:w="1463"/>
      </w:tblGrid>
      <w:tr w:rsidR="00EC14F3" w:rsidRPr="00B22F65" w14:paraId="6FFE3C7D" w14:textId="77777777" w:rsidTr="00B22F65">
        <w:trPr>
          <w:cantSplit/>
          <w:tblHeader/>
        </w:trPr>
        <w:tc>
          <w:tcPr>
            <w:tcW w:w="1127" w:type="pct"/>
            <w:vAlign w:val="center"/>
          </w:tcPr>
          <w:p w14:paraId="4FBCE46F" w14:textId="185870C7" w:rsidR="00EC14F3" w:rsidRPr="00CE28E3" w:rsidRDefault="00EC14F3" w:rsidP="00B22F65">
            <w:pPr>
              <w:pStyle w:val="In-tableHeading"/>
              <w:spacing w:before="240" w:after="240"/>
              <w:jc w:val="center"/>
            </w:pPr>
            <w:r>
              <w:t>Study ID</w:t>
            </w:r>
          </w:p>
        </w:tc>
        <w:tc>
          <w:tcPr>
            <w:tcW w:w="540" w:type="pct"/>
            <w:vAlign w:val="center"/>
          </w:tcPr>
          <w:p w14:paraId="1C945E67" w14:textId="12B86FFB" w:rsidR="00EC14F3" w:rsidRPr="00CE28E3" w:rsidRDefault="00EC14F3" w:rsidP="00B22F65">
            <w:pPr>
              <w:pStyle w:val="In-tableHeading"/>
              <w:spacing w:before="240" w:after="240"/>
              <w:jc w:val="center"/>
            </w:pPr>
            <w:r w:rsidRPr="00CE28E3">
              <w:t>N</w:t>
            </w:r>
            <w:r w:rsidR="0092057E">
              <w:t xml:space="preserve"> (of lesions)</w:t>
            </w:r>
          </w:p>
        </w:tc>
        <w:tc>
          <w:tcPr>
            <w:tcW w:w="912" w:type="pct"/>
            <w:vAlign w:val="center"/>
          </w:tcPr>
          <w:p w14:paraId="3F0F1714" w14:textId="7AF0A6E5" w:rsidR="00EC14F3" w:rsidRPr="00CE28E3" w:rsidRDefault="00EC14F3" w:rsidP="00B22F65">
            <w:pPr>
              <w:pStyle w:val="In-tableHeading"/>
              <w:spacing w:before="240" w:after="240"/>
              <w:jc w:val="center"/>
            </w:pPr>
            <w:r>
              <w:t>Time Point</w:t>
            </w:r>
          </w:p>
        </w:tc>
        <w:tc>
          <w:tcPr>
            <w:tcW w:w="754" w:type="pct"/>
            <w:vAlign w:val="center"/>
          </w:tcPr>
          <w:p w14:paraId="40F522F3" w14:textId="7C0A3A99" w:rsidR="00EC14F3" w:rsidRPr="00CE28E3" w:rsidRDefault="00EC14F3" w:rsidP="00B22F65">
            <w:pPr>
              <w:pStyle w:val="In-tableHeading"/>
              <w:spacing w:before="240" w:after="240"/>
              <w:jc w:val="center"/>
            </w:pPr>
            <w:r>
              <w:t>Grade 1</w:t>
            </w:r>
          </w:p>
        </w:tc>
        <w:tc>
          <w:tcPr>
            <w:tcW w:w="834" w:type="pct"/>
            <w:vAlign w:val="center"/>
          </w:tcPr>
          <w:p w14:paraId="174A961A" w14:textId="6B176F8B" w:rsidR="00EC14F3" w:rsidRPr="00CE28E3" w:rsidRDefault="00EC14F3" w:rsidP="00B22F65">
            <w:pPr>
              <w:pStyle w:val="In-tableHeading"/>
              <w:spacing w:before="240" w:after="240"/>
              <w:jc w:val="center"/>
            </w:pPr>
            <w:r>
              <w:t>Grade 2</w:t>
            </w:r>
          </w:p>
        </w:tc>
        <w:tc>
          <w:tcPr>
            <w:tcW w:w="833" w:type="pct"/>
            <w:vAlign w:val="center"/>
          </w:tcPr>
          <w:p w14:paraId="236D2469" w14:textId="609F3612" w:rsidR="00EC14F3" w:rsidRPr="00CE28E3" w:rsidRDefault="00EC14F3" w:rsidP="00B22F65">
            <w:pPr>
              <w:pStyle w:val="In-tableHeading"/>
              <w:spacing w:before="240" w:after="240"/>
              <w:jc w:val="center"/>
            </w:pPr>
            <w:r>
              <w:rPr>
                <w:lang w:val="en-AU"/>
              </w:rPr>
              <w:t>Grade 3</w:t>
            </w:r>
          </w:p>
        </w:tc>
      </w:tr>
      <w:tr w:rsidR="00C137B5" w:rsidRPr="00B22F65" w14:paraId="68DACD38" w14:textId="77777777" w:rsidTr="00B22F65">
        <w:trPr>
          <w:cantSplit/>
        </w:trPr>
        <w:tc>
          <w:tcPr>
            <w:tcW w:w="1127" w:type="pct"/>
            <w:shd w:val="clear" w:color="auto" w:fill="FFFFFF" w:themeFill="background1"/>
            <w:vAlign w:val="center"/>
          </w:tcPr>
          <w:p w14:paraId="076372B6" w14:textId="77777777" w:rsidR="00C137B5" w:rsidRPr="00302E97" w:rsidRDefault="00C137B5" w:rsidP="00C137B5">
            <w:pPr>
              <w:pStyle w:val="TableText"/>
              <w:rPr>
                <w:lang w:val="en-US"/>
              </w:rPr>
            </w:pPr>
            <w:r w:rsidRPr="00302E97">
              <w:t>EPIC-Skin</w:t>
            </w:r>
            <w:r w:rsidRPr="00B22F65">
              <w:rPr>
                <w:rStyle w:val="FootnoteReference"/>
                <w:rFonts w:cstheme="minorHAnsi"/>
                <w:szCs w:val="20"/>
              </w:rPr>
              <w:footnoteReference w:id="15"/>
            </w:r>
          </w:p>
        </w:tc>
        <w:tc>
          <w:tcPr>
            <w:tcW w:w="540" w:type="pct"/>
            <w:shd w:val="clear" w:color="auto" w:fill="FFFFFF" w:themeFill="background1"/>
            <w:vAlign w:val="center"/>
          </w:tcPr>
          <w:p w14:paraId="0D3467CB" w14:textId="12EF4618" w:rsidR="00C137B5" w:rsidRPr="00302E97" w:rsidRDefault="00C137B5" w:rsidP="00B22F65">
            <w:pPr>
              <w:pStyle w:val="TableText"/>
              <w:jc w:val="right"/>
              <w:rPr>
                <w:lang w:val="en-US"/>
              </w:rPr>
            </w:pPr>
            <w:r>
              <w:t>166</w:t>
            </w:r>
          </w:p>
        </w:tc>
        <w:tc>
          <w:tcPr>
            <w:tcW w:w="912" w:type="pct"/>
            <w:shd w:val="clear" w:color="auto" w:fill="FFFFFF" w:themeFill="background1"/>
            <w:vAlign w:val="center"/>
          </w:tcPr>
          <w:p w14:paraId="474D2118" w14:textId="1752C045" w:rsidR="00C137B5" w:rsidRPr="00302E97" w:rsidRDefault="00C137B5" w:rsidP="00B22F65">
            <w:pPr>
              <w:pStyle w:val="TableText"/>
              <w:jc w:val="right"/>
            </w:pPr>
            <w:r>
              <w:t>12 months</w:t>
            </w:r>
          </w:p>
        </w:tc>
        <w:tc>
          <w:tcPr>
            <w:tcW w:w="754" w:type="pct"/>
            <w:vAlign w:val="center"/>
          </w:tcPr>
          <w:p w14:paraId="74FB78EC" w14:textId="6BA7E103" w:rsidR="00C137B5" w:rsidRPr="00302E97" w:rsidRDefault="00C137B5" w:rsidP="00B22F65">
            <w:pPr>
              <w:pStyle w:val="TableText"/>
              <w:jc w:val="right"/>
              <w:rPr>
                <w:lang w:val="en-US"/>
              </w:rPr>
            </w:pPr>
            <w:r w:rsidRPr="00B22F65">
              <w:rPr>
                <w:rFonts w:cstheme="minorHAnsi"/>
                <w:snapToGrid w:val="0"/>
                <w:szCs w:val="20"/>
              </w:rPr>
              <w:t>6</w:t>
            </w:r>
            <w:r w:rsidR="0092057E" w:rsidRPr="00B22F65">
              <w:rPr>
                <w:rFonts w:cstheme="minorHAnsi"/>
                <w:snapToGrid w:val="0"/>
                <w:szCs w:val="20"/>
              </w:rPr>
              <w:t>3</w:t>
            </w:r>
            <w:r w:rsidRPr="00B22F65">
              <w:rPr>
                <w:rFonts w:cstheme="minorHAnsi"/>
                <w:snapToGrid w:val="0"/>
                <w:szCs w:val="20"/>
              </w:rPr>
              <w:t>%</w:t>
            </w:r>
          </w:p>
        </w:tc>
        <w:tc>
          <w:tcPr>
            <w:tcW w:w="834" w:type="pct"/>
            <w:vAlign w:val="center"/>
          </w:tcPr>
          <w:p w14:paraId="6E5AE274" w14:textId="3A0DED2D" w:rsidR="00C137B5" w:rsidRPr="00C831FD" w:rsidRDefault="00C137B5" w:rsidP="00B22F65">
            <w:pPr>
              <w:pStyle w:val="TableText"/>
              <w:jc w:val="right"/>
            </w:pPr>
            <w:r w:rsidRPr="00B22F65">
              <w:rPr>
                <w:rFonts w:cstheme="minorHAnsi"/>
                <w:snapToGrid w:val="0"/>
                <w:szCs w:val="20"/>
              </w:rPr>
              <w:t>3</w:t>
            </w:r>
            <w:r w:rsidR="0092057E" w:rsidRPr="00B22F65">
              <w:rPr>
                <w:rFonts w:cstheme="minorHAnsi"/>
                <w:snapToGrid w:val="0"/>
                <w:szCs w:val="20"/>
              </w:rPr>
              <w:t>1</w:t>
            </w:r>
            <w:r w:rsidRPr="00B22F65">
              <w:rPr>
                <w:rFonts w:cstheme="minorHAnsi"/>
                <w:snapToGrid w:val="0"/>
                <w:szCs w:val="20"/>
              </w:rPr>
              <w:t>%</w:t>
            </w:r>
          </w:p>
        </w:tc>
        <w:tc>
          <w:tcPr>
            <w:tcW w:w="833" w:type="pct"/>
            <w:vAlign w:val="center"/>
          </w:tcPr>
          <w:p w14:paraId="51612AAF" w14:textId="5BA89E31" w:rsidR="00C137B5" w:rsidRPr="00302E97" w:rsidRDefault="00C137B5" w:rsidP="00B22F65">
            <w:pPr>
              <w:pStyle w:val="TableText"/>
              <w:jc w:val="right"/>
              <w:rPr>
                <w:lang w:val="en-US"/>
              </w:rPr>
            </w:pPr>
            <w:r w:rsidRPr="00B22F65">
              <w:rPr>
                <w:rFonts w:cstheme="minorHAnsi"/>
                <w:snapToGrid w:val="0"/>
                <w:szCs w:val="20"/>
              </w:rPr>
              <w:t>4%</w:t>
            </w:r>
          </w:p>
        </w:tc>
      </w:tr>
      <w:tr w:rsidR="003544BD" w:rsidRPr="00B22F65" w14:paraId="581318B4" w14:textId="77777777" w:rsidTr="00B22F65">
        <w:trPr>
          <w:cantSplit/>
        </w:trPr>
        <w:tc>
          <w:tcPr>
            <w:tcW w:w="1127" w:type="pct"/>
            <w:shd w:val="clear" w:color="auto" w:fill="FFFFFF" w:themeFill="background1"/>
            <w:vAlign w:val="center"/>
          </w:tcPr>
          <w:p w14:paraId="2CFFD9E0" w14:textId="05DFB959" w:rsidR="003544BD" w:rsidRPr="00D47D52" w:rsidRDefault="00C646E1" w:rsidP="003544BD">
            <w:pPr>
              <w:pStyle w:val="TableText"/>
              <w:rPr>
                <w:lang w:val="en-US"/>
              </w:rPr>
            </w:pPr>
            <w:r>
              <w:t>Vetrone, et al. (2024)</w:t>
            </w:r>
            <w:r w:rsidR="003544BD" w:rsidRPr="00B22F65">
              <w:rPr>
                <w:rStyle w:val="FootnoteReference"/>
                <w:rFonts w:cstheme="minorHAnsi"/>
                <w:szCs w:val="20"/>
              </w:rPr>
              <w:footnoteReference w:id="16"/>
            </w:r>
            <w:r w:rsidR="003544BD" w:rsidRPr="00D47D52">
              <w:t xml:space="preserve"> </w:t>
            </w:r>
          </w:p>
        </w:tc>
        <w:tc>
          <w:tcPr>
            <w:tcW w:w="540" w:type="pct"/>
            <w:shd w:val="clear" w:color="auto" w:fill="FFFFFF" w:themeFill="background1"/>
            <w:vAlign w:val="center"/>
          </w:tcPr>
          <w:p w14:paraId="6E563BDE" w14:textId="266D02FC" w:rsidR="003544BD" w:rsidRPr="00D47D52" w:rsidRDefault="0092057E" w:rsidP="00B22F65">
            <w:pPr>
              <w:pStyle w:val="TableText"/>
              <w:jc w:val="right"/>
              <w:rPr>
                <w:lang w:val="en-US"/>
              </w:rPr>
            </w:pPr>
            <w:r>
              <w:t>168</w:t>
            </w:r>
          </w:p>
        </w:tc>
        <w:tc>
          <w:tcPr>
            <w:tcW w:w="912" w:type="pct"/>
            <w:vAlign w:val="center"/>
          </w:tcPr>
          <w:p w14:paraId="250A9567" w14:textId="2A0DA2CD" w:rsidR="003544BD" w:rsidRPr="00D47D52" w:rsidRDefault="003544BD" w:rsidP="00B22F65">
            <w:pPr>
              <w:pStyle w:val="TableText"/>
              <w:jc w:val="right"/>
            </w:pPr>
            <w:r w:rsidRPr="00B22F65">
              <w:rPr>
                <w:rFonts w:cstheme="minorHAnsi"/>
                <w:snapToGrid w:val="0"/>
                <w:szCs w:val="20"/>
              </w:rPr>
              <w:t>90 days</w:t>
            </w:r>
          </w:p>
        </w:tc>
        <w:tc>
          <w:tcPr>
            <w:tcW w:w="754" w:type="pct"/>
            <w:vAlign w:val="center"/>
          </w:tcPr>
          <w:p w14:paraId="221248FE" w14:textId="40AF7065" w:rsidR="003544BD" w:rsidRPr="00D47D52" w:rsidRDefault="003544BD" w:rsidP="00B22F65">
            <w:pPr>
              <w:pStyle w:val="TableText"/>
              <w:jc w:val="right"/>
              <w:rPr>
                <w:lang w:val="en-US"/>
              </w:rPr>
            </w:pPr>
            <w:r w:rsidRPr="00B22F65">
              <w:rPr>
                <w:rFonts w:cstheme="minorHAnsi"/>
                <w:snapToGrid w:val="0"/>
                <w:szCs w:val="20"/>
              </w:rPr>
              <w:t>48%</w:t>
            </w:r>
          </w:p>
        </w:tc>
        <w:tc>
          <w:tcPr>
            <w:tcW w:w="834" w:type="pct"/>
            <w:vAlign w:val="center"/>
          </w:tcPr>
          <w:p w14:paraId="7DDB0D3C" w14:textId="021C9647" w:rsidR="003544BD" w:rsidRPr="00D47D52" w:rsidRDefault="003544BD" w:rsidP="00B22F65">
            <w:pPr>
              <w:pStyle w:val="TableText"/>
              <w:jc w:val="right"/>
              <w:rPr>
                <w:lang w:val="en-US"/>
              </w:rPr>
            </w:pPr>
            <w:r w:rsidRPr="00B22F65">
              <w:rPr>
                <w:rFonts w:cstheme="minorHAnsi"/>
                <w:snapToGrid w:val="0"/>
                <w:szCs w:val="20"/>
              </w:rPr>
              <w:t>4</w:t>
            </w:r>
            <w:r w:rsidR="0092057E" w:rsidRPr="00B22F65">
              <w:rPr>
                <w:rFonts w:cstheme="minorHAnsi"/>
                <w:snapToGrid w:val="0"/>
                <w:szCs w:val="20"/>
              </w:rPr>
              <w:t>5</w:t>
            </w:r>
            <w:r w:rsidRPr="00B22F65">
              <w:rPr>
                <w:rFonts w:cstheme="minorHAnsi"/>
                <w:snapToGrid w:val="0"/>
                <w:szCs w:val="20"/>
              </w:rPr>
              <w:t>%</w:t>
            </w:r>
          </w:p>
        </w:tc>
        <w:tc>
          <w:tcPr>
            <w:tcW w:w="833" w:type="pct"/>
          </w:tcPr>
          <w:p w14:paraId="5797C4DC" w14:textId="48F3276B" w:rsidR="003544BD" w:rsidRPr="00D47D52" w:rsidRDefault="003544BD" w:rsidP="00B22F65">
            <w:pPr>
              <w:pStyle w:val="TableText"/>
              <w:jc w:val="right"/>
              <w:rPr>
                <w:lang w:val="en-US"/>
              </w:rPr>
            </w:pPr>
            <w:r w:rsidRPr="00B22F65">
              <w:rPr>
                <w:rFonts w:cstheme="minorHAnsi"/>
                <w:snapToGrid w:val="0"/>
                <w:szCs w:val="20"/>
              </w:rPr>
              <w:t>7%</w:t>
            </w:r>
          </w:p>
        </w:tc>
      </w:tr>
      <w:tr w:rsidR="003544BD" w:rsidRPr="00B22F65" w14:paraId="52EF0B9E" w14:textId="77777777" w:rsidTr="00B22F65">
        <w:trPr>
          <w:cantSplit/>
        </w:trPr>
        <w:tc>
          <w:tcPr>
            <w:tcW w:w="1127" w:type="pct"/>
            <w:shd w:val="clear" w:color="auto" w:fill="FFFFFF" w:themeFill="background1"/>
            <w:vAlign w:val="center"/>
          </w:tcPr>
          <w:p w14:paraId="6FA78D7A" w14:textId="77777777" w:rsidR="003544BD" w:rsidRPr="00D47D52" w:rsidRDefault="003544BD" w:rsidP="003544BD">
            <w:pPr>
              <w:pStyle w:val="TableText"/>
              <w:rPr>
                <w:lang w:val="en-US"/>
              </w:rPr>
            </w:pPr>
            <w:r w:rsidRPr="00D47D52">
              <w:t>Tietze 2023</w:t>
            </w:r>
            <w:r w:rsidRPr="00B22F65">
              <w:rPr>
                <w:rStyle w:val="FootnoteReference"/>
                <w:rFonts w:cstheme="minorHAnsi"/>
                <w:szCs w:val="20"/>
              </w:rPr>
              <w:footnoteReference w:id="17"/>
            </w:r>
          </w:p>
        </w:tc>
        <w:tc>
          <w:tcPr>
            <w:tcW w:w="540" w:type="pct"/>
            <w:shd w:val="clear" w:color="auto" w:fill="FFFFFF" w:themeFill="background1"/>
            <w:vAlign w:val="center"/>
          </w:tcPr>
          <w:p w14:paraId="09EB643B" w14:textId="69345BA7" w:rsidR="003544BD" w:rsidRPr="00D47D52" w:rsidRDefault="0092057E" w:rsidP="00B22F65">
            <w:pPr>
              <w:pStyle w:val="TableText"/>
              <w:jc w:val="right"/>
              <w:rPr>
                <w:lang w:val="en-US"/>
              </w:rPr>
            </w:pPr>
            <w:r>
              <w:t>40</w:t>
            </w:r>
          </w:p>
        </w:tc>
        <w:tc>
          <w:tcPr>
            <w:tcW w:w="912" w:type="pct"/>
            <w:vAlign w:val="center"/>
          </w:tcPr>
          <w:p w14:paraId="51CB71D6" w14:textId="600782DC" w:rsidR="003544BD" w:rsidRPr="00D47D52" w:rsidRDefault="003544BD" w:rsidP="00B22F65">
            <w:pPr>
              <w:pStyle w:val="TableText"/>
              <w:jc w:val="right"/>
            </w:pPr>
            <w:r w:rsidRPr="00B22F65">
              <w:rPr>
                <w:rFonts w:cstheme="minorHAnsi"/>
                <w:snapToGrid w:val="0"/>
                <w:szCs w:val="20"/>
              </w:rPr>
              <w:t>14 days</w:t>
            </w:r>
          </w:p>
        </w:tc>
        <w:tc>
          <w:tcPr>
            <w:tcW w:w="754" w:type="pct"/>
            <w:vAlign w:val="center"/>
          </w:tcPr>
          <w:p w14:paraId="04DAF3F1" w14:textId="0F1E3089" w:rsidR="003544BD" w:rsidRPr="00D47D52" w:rsidRDefault="003544BD" w:rsidP="00B22F65">
            <w:pPr>
              <w:pStyle w:val="TableText"/>
              <w:jc w:val="right"/>
              <w:rPr>
                <w:lang w:val="en-US"/>
              </w:rPr>
            </w:pPr>
            <w:r w:rsidRPr="00B22F65">
              <w:rPr>
                <w:rFonts w:cstheme="minorHAnsi"/>
                <w:snapToGrid w:val="0"/>
                <w:szCs w:val="20"/>
              </w:rPr>
              <w:t>3</w:t>
            </w:r>
            <w:r w:rsidR="0092057E" w:rsidRPr="00B22F65">
              <w:rPr>
                <w:rFonts w:cstheme="minorHAnsi"/>
                <w:snapToGrid w:val="0"/>
                <w:szCs w:val="20"/>
              </w:rPr>
              <w:t>3</w:t>
            </w:r>
            <w:r w:rsidRPr="00B22F65">
              <w:rPr>
                <w:rFonts w:cstheme="minorHAnsi"/>
                <w:snapToGrid w:val="0"/>
                <w:szCs w:val="20"/>
              </w:rPr>
              <w:t>%</w:t>
            </w:r>
          </w:p>
        </w:tc>
        <w:tc>
          <w:tcPr>
            <w:tcW w:w="834" w:type="pct"/>
            <w:vAlign w:val="center"/>
          </w:tcPr>
          <w:p w14:paraId="7A6515A3" w14:textId="725225D9" w:rsidR="003544BD" w:rsidRPr="00D47D52" w:rsidRDefault="003544BD" w:rsidP="00B22F65">
            <w:pPr>
              <w:pStyle w:val="TableText"/>
              <w:jc w:val="right"/>
              <w:rPr>
                <w:lang w:val="en-US"/>
              </w:rPr>
            </w:pPr>
            <w:r w:rsidRPr="00B22F65">
              <w:rPr>
                <w:rFonts w:cstheme="minorHAnsi"/>
                <w:snapToGrid w:val="0"/>
                <w:szCs w:val="20"/>
              </w:rPr>
              <w:t>65%</w:t>
            </w:r>
          </w:p>
        </w:tc>
        <w:tc>
          <w:tcPr>
            <w:tcW w:w="833" w:type="pct"/>
            <w:vAlign w:val="center"/>
          </w:tcPr>
          <w:p w14:paraId="12FC11F1" w14:textId="2E590F75" w:rsidR="003544BD" w:rsidRPr="00D47D52" w:rsidRDefault="003544BD" w:rsidP="00B22F65">
            <w:pPr>
              <w:pStyle w:val="TableText"/>
              <w:jc w:val="right"/>
              <w:rPr>
                <w:lang w:val="en-US"/>
              </w:rPr>
            </w:pPr>
            <w:r w:rsidRPr="00B22F65">
              <w:rPr>
                <w:rFonts w:cstheme="minorHAnsi"/>
                <w:snapToGrid w:val="0"/>
                <w:szCs w:val="20"/>
              </w:rPr>
              <w:t>0</w:t>
            </w:r>
          </w:p>
        </w:tc>
      </w:tr>
      <w:tr w:rsidR="0092057E" w:rsidRPr="00B22F65" w14:paraId="48199433" w14:textId="77777777" w:rsidTr="00B22F65">
        <w:trPr>
          <w:cantSplit/>
        </w:trPr>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D8D22" w14:textId="7D55E0C0" w:rsidR="0092057E" w:rsidRPr="00CE28E3" w:rsidRDefault="0092057E" w:rsidP="0092057E">
            <w:pPr>
              <w:pStyle w:val="TableText"/>
              <w:rPr>
                <w:lang w:val="en-US"/>
              </w:rPr>
            </w:pPr>
            <w:r>
              <w:t xml:space="preserve">Australian Registry </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C17EF" w14:textId="450CB16F" w:rsidR="0092057E" w:rsidRPr="00CE28E3" w:rsidRDefault="0092057E" w:rsidP="00B22F65">
            <w:pPr>
              <w:pStyle w:val="TableText"/>
              <w:jc w:val="right"/>
              <w:rPr>
                <w:lang w:val="en-US"/>
              </w:rPr>
            </w:pPr>
            <w:r>
              <w:t>9</w:t>
            </w:r>
          </w:p>
        </w:tc>
        <w:tc>
          <w:tcPr>
            <w:tcW w:w="9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F09B6" w14:textId="491285F8" w:rsidR="0092057E" w:rsidRPr="0009095C" w:rsidRDefault="0092057E" w:rsidP="00B22F65">
            <w:pPr>
              <w:pStyle w:val="TableText"/>
              <w:jc w:val="right"/>
            </w:pPr>
            <w:r w:rsidRPr="00FF59D6">
              <w:t>8 months (median)</w:t>
            </w:r>
          </w:p>
        </w:tc>
        <w:tc>
          <w:tcPr>
            <w:tcW w:w="754" w:type="pct"/>
            <w:vAlign w:val="center"/>
          </w:tcPr>
          <w:p w14:paraId="2CD45573" w14:textId="332AE19E" w:rsidR="0092057E" w:rsidRPr="00CE28E3" w:rsidRDefault="0092057E" w:rsidP="00B22F65">
            <w:pPr>
              <w:pStyle w:val="TableText"/>
              <w:jc w:val="right"/>
              <w:rPr>
                <w:lang w:val="en-US"/>
              </w:rPr>
            </w:pPr>
            <w:r w:rsidRPr="00B22F65">
              <w:rPr>
                <w:szCs w:val="20"/>
              </w:rPr>
              <w:t>33%</w:t>
            </w:r>
          </w:p>
        </w:tc>
        <w:tc>
          <w:tcPr>
            <w:tcW w:w="834" w:type="pct"/>
            <w:vAlign w:val="center"/>
          </w:tcPr>
          <w:p w14:paraId="68DED772" w14:textId="3C2C137B" w:rsidR="0092057E" w:rsidRPr="00CE28E3" w:rsidRDefault="0092057E" w:rsidP="00B22F65">
            <w:pPr>
              <w:pStyle w:val="TableText"/>
              <w:jc w:val="right"/>
              <w:rPr>
                <w:lang w:val="en-US"/>
              </w:rPr>
            </w:pPr>
            <w:r w:rsidRPr="00B22F65">
              <w:rPr>
                <w:szCs w:val="20"/>
              </w:rPr>
              <w:t>0</w:t>
            </w:r>
          </w:p>
        </w:tc>
        <w:tc>
          <w:tcPr>
            <w:tcW w:w="833" w:type="pct"/>
            <w:vAlign w:val="center"/>
          </w:tcPr>
          <w:p w14:paraId="47FC12DF" w14:textId="0D88739C" w:rsidR="0092057E" w:rsidRPr="00CE28E3" w:rsidRDefault="0092057E" w:rsidP="00B22F65">
            <w:pPr>
              <w:pStyle w:val="TableText"/>
              <w:jc w:val="right"/>
              <w:rPr>
                <w:lang w:val="en-US"/>
              </w:rPr>
            </w:pPr>
            <w:r w:rsidRPr="00B22F65">
              <w:rPr>
                <w:szCs w:val="20"/>
              </w:rPr>
              <w:t>0</w:t>
            </w:r>
          </w:p>
        </w:tc>
      </w:tr>
      <w:tr w:rsidR="00254F51" w:rsidRPr="00B22F65" w14:paraId="321B0E00" w14:textId="77777777" w:rsidTr="00B22F65">
        <w:trPr>
          <w:cantSplit/>
        </w:trPr>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tcPr>
          <w:p w14:paraId="18573D6D" w14:textId="77777777" w:rsidR="00254F51" w:rsidRPr="43052E9E" w:rsidRDefault="00254F51" w:rsidP="0092057E">
            <w:pPr>
              <w:pStyle w:val="TableText"/>
            </w:pPr>
            <w:r>
              <w:rPr>
                <w:spacing w:val="-2"/>
              </w:rPr>
              <w:t>*Castellucci 2021</w:t>
            </w:r>
            <w:r>
              <w:rPr>
                <w:rStyle w:val="FootnoteReference"/>
                <w:spacing w:val="-2"/>
              </w:rPr>
              <w:footnoteReference w:id="18"/>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tcPr>
          <w:p w14:paraId="65DC2A5B" w14:textId="069D2A9C" w:rsidR="00254F51" w:rsidRPr="43052E9E" w:rsidRDefault="00635CD5" w:rsidP="00B22F65">
            <w:pPr>
              <w:pStyle w:val="TableText"/>
              <w:jc w:val="right"/>
            </w:pPr>
            <w:r>
              <w:rPr>
                <w:spacing w:val="-5"/>
              </w:rPr>
              <w:t>60</w:t>
            </w:r>
          </w:p>
        </w:tc>
        <w:tc>
          <w:tcPr>
            <w:tcW w:w="912" w:type="pct"/>
            <w:tcBorders>
              <w:top w:val="single" w:sz="4" w:space="0" w:color="auto"/>
              <w:left w:val="single" w:sz="4" w:space="0" w:color="auto"/>
              <w:bottom w:val="single" w:sz="4" w:space="0" w:color="auto"/>
              <w:right w:val="single" w:sz="4" w:space="0" w:color="auto"/>
            </w:tcBorders>
            <w:shd w:val="clear" w:color="auto" w:fill="FFFFFF" w:themeFill="background1"/>
          </w:tcPr>
          <w:p w14:paraId="4A51C1E5" w14:textId="40CCAD54" w:rsidR="00254F51" w:rsidRPr="43052E9E" w:rsidRDefault="00A44399" w:rsidP="00B22F65">
            <w:pPr>
              <w:pStyle w:val="TableText"/>
              <w:jc w:val="right"/>
            </w:pPr>
            <w:r>
              <w:t>Early toxicity</w:t>
            </w:r>
          </w:p>
        </w:tc>
        <w:tc>
          <w:tcPr>
            <w:tcW w:w="1588" w:type="pct"/>
            <w:gridSpan w:val="2"/>
            <w:tcBorders>
              <w:right w:val="single" w:sz="4" w:space="0" w:color="auto"/>
            </w:tcBorders>
          </w:tcPr>
          <w:p w14:paraId="4A682E34" w14:textId="2694BAE7" w:rsidR="00254F51" w:rsidRPr="43052E9E" w:rsidRDefault="00635CD5" w:rsidP="00B22F65">
            <w:pPr>
              <w:pStyle w:val="TableText"/>
              <w:jc w:val="right"/>
            </w:pPr>
            <w:r>
              <w:t>93%</w:t>
            </w:r>
          </w:p>
        </w:tc>
        <w:tc>
          <w:tcPr>
            <w:tcW w:w="833" w:type="pct"/>
          </w:tcPr>
          <w:p w14:paraId="3000D533" w14:textId="4152FB2F" w:rsidR="00254F51" w:rsidRDefault="00635CD5" w:rsidP="00B22F65">
            <w:pPr>
              <w:pStyle w:val="TableText"/>
              <w:jc w:val="right"/>
              <w:rPr>
                <w:lang w:val="en-US"/>
              </w:rPr>
            </w:pPr>
            <w:r>
              <w:rPr>
                <w:lang w:val="en-US"/>
              </w:rPr>
              <w:t>7%</w:t>
            </w:r>
          </w:p>
        </w:tc>
      </w:tr>
      <w:tr w:rsidR="0092057E" w:rsidRPr="00B22F65" w14:paraId="525AE651" w14:textId="77777777" w:rsidTr="00B22F65">
        <w:trPr>
          <w:cantSplit/>
        </w:trPr>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tcPr>
          <w:p w14:paraId="52F4D16B" w14:textId="77777777" w:rsidR="0092057E" w:rsidRPr="43052E9E" w:rsidRDefault="0092057E" w:rsidP="0092057E">
            <w:pPr>
              <w:pStyle w:val="TableText"/>
            </w:pPr>
            <w:r>
              <w:rPr>
                <w:spacing w:val="-2"/>
              </w:rPr>
              <w:t>*Cipriani 2020</w:t>
            </w:r>
            <w:r>
              <w:rPr>
                <w:rStyle w:val="FootnoteReference"/>
                <w:spacing w:val="-2"/>
              </w:rPr>
              <w:footnoteReference w:id="19"/>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tcPr>
          <w:p w14:paraId="1512D149" w14:textId="77777777" w:rsidR="0092057E" w:rsidRPr="43052E9E" w:rsidRDefault="0092057E" w:rsidP="00B22F65">
            <w:pPr>
              <w:pStyle w:val="TableText"/>
              <w:jc w:val="right"/>
            </w:pPr>
            <w:r>
              <w:rPr>
                <w:spacing w:val="-5"/>
              </w:rPr>
              <w:t>52</w:t>
            </w:r>
          </w:p>
        </w:tc>
        <w:tc>
          <w:tcPr>
            <w:tcW w:w="912" w:type="pct"/>
            <w:tcBorders>
              <w:top w:val="single" w:sz="4" w:space="0" w:color="auto"/>
              <w:left w:val="single" w:sz="4" w:space="0" w:color="auto"/>
              <w:bottom w:val="single" w:sz="4" w:space="0" w:color="auto"/>
              <w:right w:val="single" w:sz="4" w:space="0" w:color="auto"/>
            </w:tcBorders>
            <w:shd w:val="clear" w:color="auto" w:fill="FFFFFF" w:themeFill="background1"/>
          </w:tcPr>
          <w:p w14:paraId="0DF3A814" w14:textId="40235669" w:rsidR="0092057E" w:rsidRPr="43052E9E" w:rsidRDefault="0092057E" w:rsidP="00B22F65">
            <w:pPr>
              <w:pStyle w:val="TableText"/>
              <w:jc w:val="right"/>
            </w:pPr>
          </w:p>
        </w:tc>
        <w:tc>
          <w:tcPr>
            <w:tcW w:w="754" w:type="pct"/>
          </w:tcPr>
          <w:p w14:paraId="5783B07A" w14:textId="630DAB01" w:rsidR="0092057E" w:rsidRPr="00D51AB3" w:rsidRDefault="00806D51" w:rsidP="00B22F65">
            <w:pPr>
              <w:pStyle w:val="TableText"/>
              <w:jc w:val="right"/>
            </w:pPr>
            <w:r>
              <w:t>NR</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tcPr>
          <w:p w14:paraId="04676589" w14:textId="59735216" w:rsidR="0092057E" w:rsidRPr="43052E9E" w:rsidRDefault="00806D51" w:rsidP="00B22F65">
            <w:pPr>
              <w:pStyle w:val="TableText"/>
              <w:jc w:val="right"/>
            </w:pPr>
            <w:r>
              <w:t>NR</w:t>
            </w:r>
          </w:p>
        </w:tc>
        <w:tc>
          <w:tcPr>
            <w:tcW w:w="833" w:type="pct"/>
          </w:tcPr>
          <w:p w14:paraId="4FFB9687" w14:textId="6D9C4130" w:rsidR="0092057E" w:rsidRDefault="00806D51" w:rsidP="00B22F65">
            <w:pPr>
              <w:pStyle w:val="TableText"/>
              <w:jc w:val="right"/>
              <w:rPr>
                <w:lang w:val="en-US"/>
              </w:rPr>
            </w:pPr>
            <w:r>
              <w:rPr>
                <w:lang w:val="en-US"/>
              </w:rPr>
              <w:t>NR</w:t>
            </w:r>
          </w:p>
        </w:tc>
      </w:tr>
    </w:tbl>
    <w:p w14:paraId="24030616" w14:textId="77777777" w:rsidR="00081217" w:rsidRDefault="00EC14F3" w:rsidP="00B22F65">
      <w:pPr>
        <w:pStyle w:val="TableFigureFooter"/>
        <w:spacing w:after="0"/>
      </w:pPr>
      <w:r>
        <w:t xml:space="preserve">* Included in previous ADAR. </w:t>
      </w:r>
    </w:p>
    <w:p w14:paraId="04429AEE" w14:textId="0AB855E5" w:rsidR="00EC14F3" w:rsidRDefault="00EC14F3" w:rsidP="00EC14F3">
      <w:pPr>
        <w:pStyle w:val="TableFigureFooter"/>
        <w:rPr>
          <w:spacing w:val="-2"/>
        </w:rPr>
      </w:pPr>
      <w:r>
        <w:t>;</w:t>
      </w:r>
      <w:r w:rsidR="00806D51">
        <w:t xml:space="preserve"> NR</w:t>
      </w:r>
      <w:r w:rsidR="006308F5">
        <w:t>= not reported</w:t>
      </w:r>
      <w:r w:rsidR="00081217" w:rsidRPr="00081217">
        <w:t xml:space="preserve"> </w:t>
      </w:r>
      <w:r w:rsidR="00081217" w:rsidRPr="00BA438C">
        <w:t>Re-188 = Rhenium-188</w:t>
      </w:r>
    </w:p>
    <w:p w14:paraId="4820440D" w14:textId="2F1029A8" w:rsidR="00F95CE6" w:rsidRDefault="001C6AE3" w:rsidP="00F95CE6">
      <w:pPr>
        <w:pStyle w:val="BodyText"/>
        <w:spacing w:before="238" w:line="259" w:lineRule="auto"/>
        <w:ind w:right="748"/>
      </w:pPr>
      <w:r>
        <w:t xml:space="preserve">All studies demonstrated </w:t>
      </w:r>
      <w:r w:rsidR="000A0A94">
        <w:t>a high level of Grade 1 and Grade 2</w:t>
      </w:r>
      <w:r w:rsidR="00E350F6">
        <w:t xml:space="preserve"> adverse events</w:t>
      </w:r>
      <w:r w:rsidR="002869A5">
        <w:t>. Across the trials</w:t>
      </w:r>
      <w:r w:rsidR="00784548">
        <w:t xml:space="preserve"> for both Re-188 brachytherapy and EBRT</w:t>
      </w:r>
      <w:r w:rsidR="005935CD">
        <w:t>,</w:t>
      </w:r>
      <w:r w:rsidR="002869A5">
        <w:t xml:space="preserve"> it seemed that </w:t>
      </w:r>
      <w:r w:rsidR="009576A9">
        <w:t>these adverse events</w:t>
      </w:r>
      <w:r w:rsidR="008A72B8">
        <w:t xml:space="preserve"> were related to</w:t>
      </w:r>
      <w:r w:rsidR="000A0A94">
        <w:t xml:space="preserve"> </w:t>
      </w:r>
      <w:r w:rsidR="00476C05" w:rsidRPr="00476C05">
        <w:t>primarily mild skin reactions</w:t>
      </w:r>
      <w:r w:rsidR="00476C05">
        <w:t xml:space="preserve"> and Grade 3+ reactions were related to </w:t>
      </w:r>
      <w:r w:rsidR="00355491">
        <w:lastRenderedPageBreak/>
        <w:t xml:space="preserve">more severe skin reactions such as </w:t>
      </w:r>
      <w:r w:rsidR="00C158D4" w:rsidRPr="00C158D4">
        <w:t>dermatitis, ulceration, induration, and radiation skin injury</w:t>
      </w:r>
      <w:r w:rsidR="00C158D4">
        <w:t>.</w:t>
      </w:r>
    </w:p>
    <w:p w14:paraId="7D073077" w14:textId="601D77E4" w:rsidR="00EC14F3" w:rsidRPr="00330A0A" w:rsidRDefault="00EC14F3" w:rsidP="00EC14F3">
      <w:pPr>
        <w:pStyle w:val="Caption"/>
        <w:rPr>
          <w:color w:val="538135" w:themeColor="accent6" w:themeShade="BF"/>
          <w:sz w:val="16"/>
          <w:szCs w:val="16"/>
        </w:rPr>
      </w:pPr>
      <w:bookmarkStart w:id="35" w:name="_Ref184215992"/>
      <w:r w:rsidRPr="00CE28E3">
        <w:t>Table</w:t>
      </w:r>
      <w:r>
        <w:t> </w:t>
      </w:r>
      <w:r w:rsidR="007F4BCC">
        <w:fldChar w:fldCharType="begin"/>
      </w:r>
      <w:r w:rsidR="007F4BCC">
        <w:instrText xml:space="preserve"> SEQ Table \* ARABIC </w:instrText>
      </w:r>
      <w:r w:rsidR="007F4BCC">
        <w:fldChar w:fldCharType="separate"/>
      </w:r>
      <w:r w:rsidR="00AF5AE7">
        <w:rPr>
          <w:noProof/>
        </w:rPr>
        <w:t>10</w:t>
      </w:r>
      <w:r w:rsidR="007F4BCC">
        <w:rPr>
          <w:noProof/>
        </w:rPr>
        <w:fldChar w:fldCharType="end"/>
      </w:r>
      <w:bookmarkEnd w:id="35"/>
      <w:r w:rsidRPr="00CE28E3">
        <w:tab/>
      </w:r>
      <w:r w:rsidR="00081217">
        <w:t xml:space="preserve">Percentage of lesions with a Grade 1 to 3 adverse event </w:t>
      </w:r>
      <w:r w:rsidR="00081217" w:rsidRPr="00F41732">
        <w:t>after treatment with</w:t>
      </w:r>
      <w:r w:rsidR="00081217" w:rsidRPr="00CE28E3" w:rsidDel="00081217">
        <w:t xml:space="preserve"> </w:t>
      </w:r>
      <w:r>
        <w:t>EBRT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2"/>
        <w:gridCol w:w="1504"/>
        <w:gridCol w:w="1504"/>
        <w:gridCol w:w="1502"/>
        <w:gridCol w:w="1504"/>
        <w:gridCol w:w="1500"/>
      </w:tblGrid>
      <w:tr w:rsidR="00CC5AA4" w:rsidRPr="00CE28E3" w14:paraId="2229903D" w14:textId="77777777" w:rsidTr="00F9501C">
        <w:trPr>
          <w:cantSplit/>
          <w:tblHeader/>
        </w:trPr>
        <w:tc>
          <w:tcPr>
            <w:tcW w:w="833" w:type="pct"/>
            <w:vAlign w:val="center"/>
          </w:tcPr>
          <w:p w14:paraId="17DB5086" w14:textId="3658A356" w:rsidR="00CC5AA4" w:rsidRPr="00CE28E3" w:rsidRDefault="00CC5AA4" w:rsidP="00B22F65">
            <w:pPr>
              <w:pStyle w:val="In-tableHeading"/>
              <w:spacing w:before="240" w:after="240"/>
            </w:pPr>
            <w:r>
              <w:t>Study ID</w:t>
            </w:r>
          </w:p>
        </w:tc>
        <w:tc>
          <w:tcPr>
            <w:tcW w:w="834" w:type="pct"/>
            <w:vAlign w:val="center"/>
          </w:tcPr>
          <w:p w14:paraId="53ACF1EE" w14:textId="7CDFACE3" w:rsidR="00CC5AA4" w:rsidRPr="00CE28E3" w:rsidRDefault="00CC5AA4" w:rsidP="00B22F65">
            <w:pPr>
              <w:pStyle w:val="In-tableHeading"/>
              <w:spacing w:before="240" w:after="240"/>
              <w:jc w:val="center"/>
            </w:pPr>
            <w:r w:rsidRPr="00CE28E3">
              <w:t>N</w:t>
            </w:r>
            <w:r>
              <w:t xml:space="preserve"> (of lesions)</w:t>
            </w:r>
          </w:p>
        </w:tc>
        <w:tc>
          <w:tcPr>
            <w:tcW w:w="834" w:type="pct"/>
            <w:vAlign w:val="center"/>
          </w:tcPr>
          <w:p w14:paraId="609616AB" w14:textId="751CD80C" w:rsidR="00CC5AA4" w:rsidRPr="00CE28E3" w:rsidRDefault="00CC5AA4" w:rsidP="00B22F65">
            <w:pPr>
              <w:pStyle w:val="In-tableHeading"/>
              <w:spacing w:before="240" w:after="240"/>
              <w:jc w:val="center"/>
            </w:pPr>
            <w:r>
              <w:t>Time Point</w:t>
            </w:r>
          </w:p>
        </w:tc>
        <w:tc>
          <w:tcPr>
            <w:tcW w:w="833" w:type="pct"/>
            <w:vAlign w:val="center"/>
          </w:tcPr>
          <w:p w14:paraId="78F07A21" w14:textId="04B7EA60" w:rsidR="00CC5AA4" w:rsidRPr="00CE28E3" w:rsidRDefault="00CC5AA4" w:rsidP="00B22F65">
            <w:pPr>
              <w:pStyle w:val="In-tableHeading"/>
              <w:spacing w:before="240" w:after="240"/>
              <w:jc w:val="center"/>
            </w:pPr>
            <w:r>
              <w:t>Grade 1</w:t>
            </w:r>
          </w:p>
        </w:tc>
        <w:tc>
          <w:tcPr>
            <w:tcW w:w="834" w:type="pct"/>
            <w:vAlign w:val="center"/>
          </w:tcPr>
          <w:p w14:paraId="3C8A464A" w14:textId="0DCAEA70" w:rsidR="00CC5AA4" w:rsidRPr="00CE28E3" w:rsidRDefault="00CC5AA4" w:rsidP="00B22F65">
            <w:pPr>
              <w:pStyle w:val="In-tableHeading"/>
              <w:spacing w:before="240" w:after="240"/>
              <w:jc w:val="center"/>
            </w:pPr>
            <w:r>
              <w:t>Grade 2</w:t>
            </w:r>
          </w:p>
        </w:tc>
        <w:tc>
          <w:tcPr>
            <w:tcW w:w="832" w:type="pct"/>
            <w:vAlign w:val="center"/>
          </w:tcPr>
          <w:p w14:paraId="1FB759EE" w14:textId="0D08B129" w:rsidR="00CC5AA4" w:rsidRPr="00CE28E3" w:rsidRDefault="00CC5AA4" w:rsidP="00B22F65">
            <w:pPr>
              <w:pStyle w:val="In-tableHeading"/>
              <w:spacing w:before="240" w:after="240"/>
              <w:jc w:val="center"/>
            </w:pPr>
            <w:r>
              <w:rPr>
                <w:lang w:val="en-AU"/>
              </w:rPr>
              <w:t>Grade 3</w:t>
            </w:r>
          </w:p>
        </w:tc>
      </w:tr>
      <w:tr w:rsidR="00CC5AA4" w:rsidRPr="00CE28E3" w14:paraId="098B3BC7" w14:textId="77777777" w:rsidTr="00F9501C">
        <w:trPr>
          <w:cantSplit/>
        </w:trPr>
        <w:tc>
          <w:tcPr>
            <w:tcW w:w="833" w:type="pct"/>
            <w:vAlign w:val="center"/>
          </w:tcPr>
          <w:p w14:paraId="13DA7F5F" w14:textId="6EB711DC" w:rsidR="00CC5AA4" w:rsidRPr="00D47D52" w:rsidRDefault="00CC5AA4" w:rsidP="00CC5AA4">
            <w:pPr>
              <w:pStyle w:val="Tabletext0"/>
              <w:rPr>
                <w:lang w:val="en-US"/>
              </w:rPr>
            </w:pPr>
            <w:r w:rsidRPr="00081217">
              <w:t>Ferro 2015</w:t>
            </w:r>
            <w:r w:rsidR="00AE7D72" w:rsidRPr="00B22F65">
              <w:rPr>
                <w:vertAlign w:val="superscript"/>
              </w:rPr>
              <w:fldChar w:fldCharType="begin"/>
            </w:r>
            <w:r w:rsidR="00AE7D72" w:rsidRPr="00B22F65">
              <w:rPr>
                <w:vertAlign w:val="superscript"/>
              </w:rPr>
              <w:instrText xml:space="preserve"> NOTEREF _Ref184289069 </w:instrText>
            </w:r>
            <w:r w:rsidR="00AE7D72">
              <w:rPr>
                <w:vertAlign w:val="superscript"/>
              </w:rPr>
              <w:instrText xml:space="preserve"> \* MERGEFORMAT </w:instrText>
            </w:r>
            <w:r w:rsidR="00AE7D72" w:rsidRPr="00B22F65">
              <w:rPr>
                <w:vertAlign w:val="superscript"/>
              </w:rPr>
              <w:fldChar w:fldCharType="separate"/>
            </w:r>
            <w:r w:rsidR="00AF5AE7">
              <w:rPr>
                <w:vertAlign w:val="superscript"/>
              </w:rPr>
              <w:t>9</w:t>
            </w:r>
            <w:r w:rsidR="00AE7D72" w:rsidRPr="00B22F65">
              <w:rPr>
                <w:vertAlign w:val="superscript"/>
              </w:rPr>
              <w:fldChar w:fldCharType="end"/>
            </w:r>
          </w:p>
        </w:tc>
        <w:tc>
          <w:tcPr>
            <w:tcW w:w="834" w:type="pct"/>
            <w:vAlign w:val="center"/>
          </w:tcPr>
          <w:p w14:paraId="4055251F" w14:textId="77777777" w:rsidR="00CC5AA4" w:rsidRPr="00D47D52" w:rsidRDefault="00CC5AA4" w:rsidP="00CC5AA4">
            <w:pPr>
              <w:pStyle w:val="Tabletext0"/>
              <w:rPr>
                <w:lang w:val="en-US"/>
              </w:rPr>
            </w:pPr>
            <w:r>
              <w:t>31</w:t>
            </w:r>
          </w:p>
        </w:tc>
        <w:tc>
          <w:tcPr>
            <w:tcW w:w="834" w:type="pct"/>
            <w:vAlign w:val="center"/>
          </w:tcPr>
          <w:p w14:paraId="01F85810" w14:textId="7016D4B2" w:rsidR="00CC5AA4" w:rsidRPr="00312505" w:rsidRDefault="00467F02" w:rsidP="00CC5AA4">
            <w:pPr>
              <w:pStyle w:val="Tabletext0"/>
            </w:pPr>
            <w:r>
              <w:t>Acute toxicity</w:t>
            </w:r>
          </w:p>
        </w:tc>
        <w:tc>
          <w:tcPr>
            <w:tcW w:w="833" w:type="pct"/>
            <w:vAlign w:val="center"/>
          </w:tcPr>
          <w:p w14:paraId="2F57139D" w14:textId="36BAA1B2" w:rsidR="00CC5AA4" w:rsidRPr="00D47D52" w:rsidRDefault="001B20A8" w:rsidP="00CC5AA4">
            <w:pPr>
              <w:pStyle w:val="Tabletext0"/>
              <w:rPr>
                <w:lang w:val="en-US"/>
              </w:rPr>
            </w:pPr>
            <w:r>
              <w:t>61.3</w:t>
            </w:r>
            <w:r w:rsidR="0071619B">
              <w:t>%</w:t>
            </w:r>
          </w:p>
        </w:tc>
        <w:tc>
          <w:tcPr>
            <w:tcW w:w="834" w:type="pct"/>
            <w:vAlign w:val="center"/>
          </w:tcPr>
          <w:p w14:paraId="7BB1AB96" w14:textId="1F834B25" w:rsidR="00CC5AA4" w:rsidRPr="00D47D52" w:rsidRDefault="001B20A8" w:rsidP="00CC5AA4">
            <w:pPr>
              <w:pStyle w:val="Tabletext0"/>
              <w:rPr>
                <w:lang w:val="en-US"/>
              </w:rPr>
            </w:pPr>
            <w:r>
              <w:t>0</w:t>
            </w:r>
          </w:p>
        </w:tc>
        <w:tc>
          <w:tcPr>
            <w:tcW w:w="832" w:type="pct"/>
            <w:vAlign w:val="center"/>
          </w:tcPr>
          <w:p w14:paraId="6A1090A0" w14:textId="4C505A4E" w:rsidR="00CC5AA4" w:rsidRPr="00D47D52" w:rsidRDefault="001B20A8" w:rsidP="00CC5AA4">
            <w:pPr>
              <w:pStyle w:val="Tabletext0"/>
              <w:rPr>
                <w:lang w:val="en-US"/>
              </w:rPr>
            </w:pPr>
            <w:r>
              <w:t>0</w:t>
            </w:r>
          </w:p>
        </w:tc>
      </w:tr>
      <w:tr w:rsidR="00CA56FF" w:rsidRPr="00CE28E3" w14:paraId="35831A54" w14:textId="77777777">
        <w:trPr>
          <w:cantSplit/>
        </w:trPr>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BD095" w14:textId="1627EA8F" w:rsidR="00CA56FF" w:rsidRDefault="00CA56FF" w:rsidP="00CA56FF">
            <w:pPr>
              <w:pStyle w:val="Tabletext0"/>
              <w:rPr>
                <w:spacing w:val="-2"/>
              </w:rPr>
            </w:pPr>
            <w:r>
              <w:t xml:space="preserve">Australian Registry </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D9E7F" w14:textId="353D8480" w:rsidR="00CA56FF" w:rsidRDefault="00CA56FF" w:rsidP="00CA56FF">
            <w:pPr>
              <w:pStyle w:val="Tabletext0"/>
              <w:rPr>
                <w:spacing w:val="-5"/>
              </w:rPr>
            </w:pPr>
            <w:r>
              <w:rPr>
                <w:spacing w:val="-5"/>
              </w:rPr>
              <w:t>11</w:t>
            </w:r>
          </w:p>
        </w:tc>
        <w:tc>
          <w:tcPr>
            <w:tcW w:w="834" w:type="pct"/>
            <w:tcBorders>
              <w:bottom w:val="single" w:sz="4" w:space="0" w:color="auto"/>
            </w:tcBorders>
            <w:vAlign w:val="center"/>
          </w:tcPr>
          <w:p w14:paraId="7697E87E" w14:textId="7973A02A" w:rsidR="00CA56FF" w:rsidRDefault="00CA56FF" w:rsidP="00CA56FF">
            <w:pPr>
              <w:pStyle w:val="Tabletext0"/>
            </w:pPr>
            <w:r w:rsidRPr="00B22F65">
              <w:t>18</w:t>
            </w:r>
            <w:r w:rsidR="0050316E">
              <w:t xml:space="preserve"> </w:t>
            </w:r>
            <w:r w:rsidRPr="00B22F65">
              <w:t>months (median)</w:t>
            </w:r>
          </w:p>
        </w:tc>
        <w:tc>
          <w:tcPr>
            <w:tcW w:w="833" w:type="pct"/>
            <w:tcBorders>
              <w:bottom w:val="single" w:sz="4" w:space="0" w:color="auto"/>
            </w:tcBorders>
            <w:vAlign w:val="center"/>
          </w:tcPr>
          <w:p w14:paraId="3CBF2076" w14:textId="0AAFD357" w:rsidR="00CA56FF" w:rsidRDefault="00CA56FF" w:rsidP="00CA56FF">
            <w:pPr>
              <w:pStyle w:val="Tabletext0"/>
              <w:rPr>
                <w:spacing w:val="-4"/>
              </w:rPr>
            </w:pPr>
            <w:r w:rsidRPr="00B22F65">
              <w:rPr>
                <w:rFonts w:cstheme="minorHAnsi"/>
                <w:snapToGrid w:val="0"/>
              </w:rPr>
              <w:t>36.7%</w:t>
            </w:r>
          </w:p>
        </w:tc>
        <w:tc>
          <w:tcPr>
            <w:tcW w:w="834" w:type="pct"/>
            <w:tcBorders>
              <w:bottom w:val="single" w:sz="4" w:space="0" w:color="auto"/>
            </w:tcBorders>
            <w:vAlign w:val="center"/>
          </w:tcPr>
          <w:p w14:paraId="0B4D1DEC" w14:textId="16E17580" w:rsidR="00CA56FF" w:rsidRDefault="00CA56FF" w:rsidP="00CA56FF">
            <w:pPr>
              <w:pStyle w:val="Tabletext0"/>
            </w:pPr>
            <w:r w:rsidRPr="00B22F65">
              <w:rPr>
                <w:rFonts w:cstheme="minorHAnsi"/>
                <w:snapToGrid w:val="0"/>
              </w:rPr>
              <w:t>9.1%</w:t>
            </w:r>
          </w:p>
        </w:tc>
        <w:tc>
          <w:tcPr>
            <w:tcW w:w="832" w:type="pct"/>
            <w:vAlign w:val="center"/>
          </w:tcPr>
          <w:p w14:paraId="28818C0D" w14:textId="10EEAAEC" w:rsidR="00CA56FF" w:rsidRDefault="00CA56FF" w:rsidP="00CA56FF">
            <w:pPr>
              <w:pStyle w:val="Tabletext0"/>
            </w:pPr>
            <w:r w:rsidRPr="00B22F65">
              <w:t>0</w:t>
            </w:r>
          </w:p>
        </w:tc>
      </w:tr>
    </w:tbl>
    <w:p w14:paraId="049B5186" w14:textId="26F2E8F8" w:rsidR="00C8273C" w:rsidRDefault="00081217" w:rsidP="00D61C7F">
      <w:r w:rsidRPr="00BA438C">
        <w:t xml:space="preserve">EBRT = external beam radiation therapy; </w:t>
      </w:r>
      <w:r w:rsidR="00D30FB2">
        <w:t xml:space="preserve">Only two included studies </w:t>
      </w:r>
      <w:r w:rsidR="0071619B">
        <w:t xml:space="preserve">had data on the grade of adverse events. There were no Grade 3+ </w:t>
      </w:r>
      <w:r w:rsidR="00C8273C">
        <w:t xml:space="preserve">adverse events in these studies, though Grade 1 adverse events were common. </w:t>
      </w:r>
    </w:p>
    <w:p w14:paraId="7ABEEBD8" w14:textId="4643F937" w:rsidR="008E7894" w:rsidRPr="00FE6F00" w:rsidRDefault="008E7894" w:rsidP="00D61C7F">
      <w:pPr>
        <w:rPr>
          <w:rFonts w:ascii="Arial Narrow"/>
          <w:color w:val="258221"/>
          <w:sz w:val="18"/>
        </w:rPr>
      </w:pPr>
      <w:r>
        <w:t xml:space="preserve">Overall, Grade 3+ toxicities had a higher </w:t>
      </w:r>
      <w:r w:rsidR="00BC2A6F">
        <w:t xml:space="preserve">frequency </w:t>
      </w:r>
      <w:r w:rsidR="00486E68">
        <w:t xml:space="preserve">in </w:t>
      </w:r>
      <w:r w:rsidR="00C8273C">
        <w:t xml:space="preserve">the </w:t>
      </w:r>
      <w:r w:rsidR="00B17788">
        <w:t>Re-188 brachytherapy</w:t>
      </w:r>
      <w:r w:rsidR="00486E68">
        <w:t xml:space="preserve"> studies than EBRT studies</w:t>
      </w:r>
      <w:r w:rsidR="00D30FB2">
        <w:t>.</w:t>
      </w:r>
      <w:r w:rsidR="000705CF">
        <w:t xml:space="preserve"> </w:t>
      </w:r>
      <w:r w:rsidR="00643469" w:rsidRPr="00643469">
        <w:t xml:space="preserve"> The commentary considered that there </w:t>
      </w:r>
      <w:r w:rsidR="0050316E" w:rsidRPr="00643469">
        <w:t>were</w:t>
      </w:r>
      <w:r w:rsidR="00643469" w:rsidRPr="00643469">
        <w:t xml:space="preserve"> considerable</w:t>
      </w:r>
      <w:r w:rsidR="00643469">
        <w:t xml:space="preserve"> </w:t>
      </w:r>
      <w:r w:rsidR="00424C7E">
        <w:t>limitations</w:t>
      </w:r>
      <w:r w:rsidR="00643469">
        <w:t xml:space="preserve"> to the </w:t>
      </w:r>
      <w:r w:rsidR="00424C7E">
        <w:t>evidence available: there was</w:t>
      </w:r>
      <w:r w:rsidR="00643469" w:rsidRPr="00643469">
        <w:t xml:space="preserve"> heterogeneity between the studies’ results, </w:t>
      </w:r>
      <w:r w:rsidR="00E84226">
        <w:t xml:space="preserve">varying sample sizes and especially </w:t>
      </w:r>
      <w:r w:rsidR="0050316E">
        <w:t>small sample sizes</w:t>
      </w:r>
      <w:r w:rsidR="00E84226">
        <w:t xml:space="preserve"> for EBRT</w:t>
      </w:r>
      <w:r w:rsidR="0050316E">
        <w:t xml:space="preserve"> </w:t>
      </w:r>
      <w:r w:rsidR="00643469" w:rsidRPr="00643469">
        <w:t xml:space="preserve">and there was </w:t>
      </w:r>
      <w:r w:rsidR="00EB362F">
        <w:t>a lack of</w:t>
      </w:r>
      <w:r w:rsidR="00643469" w:rsidRPr="00643469">
        <w:t xml:space="preserve"> uniformity in the follow-up across studies. Therefore, it is difficult to draw conclusions around the comparison of Re-188 brachytherapy to EBRT</w:t>
      </w:r>
      <w:r w:rsidR="00DD6492">
        <w:t xml:space="preserve"> with regards to safety</w:t>
      </w:r>
      <w:r w:rsidR="00643469" w:rsidRPr="00643469">
        <w:t>.</w:t>
      </w:r>
    </w:p>
    <w:p w14:paraId="5DEE16F2" w14:textId="77777777" w:rsidR="008E7894" w:rsidRDefault="008E7894" w:rsidP="008E7894">
      <w:pPr>
        <w:pStyle w:val="Heading3"/>
      </w:pPr>
      <w:r>
        <w:t>Late toxicities</w:t>
      </w:r>
    </w:p>
    <w:p w14:paraId="042EB5E4" w14:textId="51CA9ED2" w:rsidR="00F95CE6" w:rsidRDefault="00D44F10" w:rsidP="00F95CE6">
      <w:pPr>
        <w:pStyle w:val="BodyText"/>
        <w:spacing w:before="238" w:line="259" w:lineRule="auto"/>
        <w:ind w:right="748"/>
      </w:pPr>
      <w:r>
        <w:t xml:space="preserve">The ADAR presented </w:t>
      </w:r>
      <w:r w:rsidR="001912F6">
        <w:t xml:space="preserve">data on late toxicities across the included studies. </w:t>
      </w:r>
      <w:r w:rsidR="00AF122A">
        <w:t xml:space="preserve">The ADAR did not define late toxicities, but </w:t>
      </w:r>
      <w:r w:rsidR="00CD02CF">
        <w:t xml:space="preserve">the toxicities </w:t>
      </w:r>
      <w:r w:rsidR="00684769">
        <w:t xml:space="preserve">used in the </w:t>
      </w:r>
      <w:r w:rsidR="00A07BCC">
        <w:t>ADAR align with the</w:t>
      </w:r>
      <w:r w:rsidR="00FC0406" w:rsidRPr="00FC0406">
        <w:t xml:space="preserve"> Radiation Therapy Oncology Group</w:t>
      </w:r>
      <w:r w:rsidR="00CD02CF">
        <w:t xml:space="preserve"> </w:t>
      </w:r>
      <w:r w:rsidR="00CD02CF">
        <w:rPr>
          <w:rStyle w:val="FootnoteReference"/>
        </w:rPr>
        <w:footnoteReference w:id="20"/>
      </w:r>
      <w:r w:rsidR="00CD02CF">
        <w:t xml:space="preserve"> </w:t>
      </w:r>
      <w:r w:rsidR="00684769" w:rsidRPr="00684769">
        <w:t>late side effects</w:t>
      </w:r>
      <w:r w:rsidR="00CD02CF">
        <w:t>, which are those that</w:t>
      </w:r>
      <w:r w:rsidR="00684769" w:rsidRPr="00684769">
        <w:t xml:space="preserve"> manifest 6 months after treatment and commonly include atrophy, changes in pigmentation, hair loss, telangiectasia, fibrosis, and</w:t>
      </w:r>
      <w:r w:rsidR="00CD02CF">
        <w:t>/or</w:t>
      </w:r>
      <w:r w:rsidR="00684769" w:rsidRPr="00684769">
        <w:t xml:space="preserve"> ulceration.</w:t>
      </w:r>
      <w:r w:rsidR="00980B04">
        <w:t xml:space="preserve"> </w:t>
      </w:r>
      <w:r w:rsidR="001912F6">
        <w:t xml:space="preserve">The summary </w:t>
      </w:r>
      <w:r w:rsidR="00C8273C">
        <w:t>(</w:t>
      </w:r>
      <w:r w:rsidR="00C8273C">
        <w:fldChar w:fldCharType="begin"/>
      </w:r>
      <w:r w:rsidR="00C8273C">
        <w:instrText xml:space="preserve"> REF _Ref184218781 \h </w:instrText>
      </w:r>
      <w:r w:rsidR="00C8273C">
        <w:fldChar w:fldCharType="separate"/>
      </w:r>
      <w:r w:rsidR="00AF5AE7">
        <w:t xml:space="preserve">Table </w:t>
      </w:r>
      <w:r w:rsidR="00AF5AE7">
        <w:rPr>
          <w:noProof/>
        </w:rPr>
        <w:t>11</w:t>
      </w:r>
      <w:r w:rsidR="00C8273C">
        <w:fldChar w:fldCharType="end"/>
      </w:r>
      <w:r w:rsidR="00C8273C">
        <w:t xml:space="preserve">) </w:t>
      </w:r>
      <w:r w:rsidRPr="00D44F10">
        <w:t xml:space="preserve">highlights the varying rates of late toxicities observed in different studies for both </w:t>
      </w:r>
      <w:r w:rsidR="00594F1D">
        <w:t>Re-188 brachytherapy</w:t>
      </w:r>
      <w:r w:rsidRPr="00D44F10">
        <w:t xml:space="preserve"> and EBRT treatments.</w:t>
      </w:r>
      <w:r w:rsidR="001912F6">
        <w:t xml:space="preserve"> </w:t>
      </w:r>
      <w:r w:rsidR="000C1C1C" w:rsidRPr="000C1C1C">
        <w:t>Ulceration</w:t>
      </w:r>
      <w:r w:rsidR="00682963">
        <w:t xml:space="preserve">, </w:t>
      </w:r>
      <w:r w:rsidR="00FF328C">
        <w:t>f</w:t>
      </w:r>
      <w:r w:rsidR="000C1C1C" w:rsidRPr="000C1C1C">
        <w:t xml:space="preserve">ibrosis </w:t>
      </w:r>
      <w:r w:rsidR="00682963">
        <w:t>and</w:t>
      </w:r>
      <w:r w:rsidR="000C1C1C" w:rsidRPr="000C1C1C">
        <w:t xml:space="preserve"> </w:t>
      </w:r>
      <w:r w:rsidR="00FF328C">
        <w:t>s</w:t>
      </w:r>
      <w:r w:rsidR="000C1C1C" w:rsidRPr="000C1C1C">
        <w:t>kin induration</w:t>
      </w:r>
      <w:r w:rsidR="00682963">
        <w:t xml:space="preserve"> were more frequently seen in </w:t>
      </w:r>
      <w:r w:rsidR="00B17788">
        <w:t>Re-188 brachytherapy</w:t>
      </w:r>
      <w:r w:rsidR="00682963">
        <w:t xml:space="preserve"> studies than </w:t>
      </w:r>
      <w:r w:rsidR="00FF328C">
        <w:t>EBRT</w:t>
      </w:r>
      <w:r w:rsidR="00B324BA">
        <w:t xml:space="preserve"> studies</w:t>
      </w:r>
      <w:r w:rsidR="00FF328C">
        <w:t xml:space="preserve"> and h</w:t>
      </w:r>
      <w:r w:rsidR="00FF328C" w:rsidRPr="00FF328C">
        <w:t>yper-pigmentation</w:t>
      </w:r>
      <w:r w:rsidR="00FF328C">
        <w:t xml:space="preserve"> and t</w:t>
      </w:r>
      <w:r w:rsidR="00FF328C" w:rsidRPr="00FF328C">
        <w:t>elangiectasia</w:t>
      </w:r>
      <w:r w:rsidR="00B324BA">
        <w:t xml:space="preserve"> were more frequently seen in EBRT studies than </w:t>
      </w:r>
      <w:r w:rsidR="00B17788">
        <w:t>Re-188 brachytherapy</w:t>
      </w:r>
      <w:r w:rsidR="00B324BA">
        <w:t xml:space="preserve"> studies. </w:t>
      </w:r>
    </w:p>
    <w:p w14:paraId="7A9F5D55" w14:textId="0A5CF8C5" w:rsidR="0035395B" w:rsidRDefault="0035395B" w:rsidP="00702E73">
      <w:pPr>
        <w:pStyle w:val="Caption"/>
        <w:keepLines/>
      </w:pPr>
      <w:bookmarkStart w:id="36" w:name="_Ref184218781"/>
      <w:r>
        <w:lastRenderedPageBreak/>
        <w:t xml:space="preserve">Table </w:t>
      </w:r>
      <w:r w:rsidR="007F4BCC">
        <w:fldChar w:fldCharType="begin"/>
      </w:r>
      <w:r w:rsidR="007F4BCC">
        <w:instrText xml:space="preserve"> SEQ Table \* ARABIC </w:instrText>
      </w:r>
      <w:r w:rsidR="007F4BCC">
        <w:fldChar w:fldCharType="separate"/>
      </w:r>
      <w:r w:rsidR="00AF5AE7">
        <w:rPr>
          <w:noProof/>
        </w:rPr>
        <w:t>11</w:t>
      </w:r>
      <w:r w:rsidR="007F4BCC">
        <w:rPr>
          <w:noProof/>
        </w:rPr>
        <w:fldChar w:fldCharType="end"/>
      </w:r>
      <w:bookmarkEnd w:id="36"/>
      <w:r>
        <w:t xml:space="preserve"> </w:t>
      </w:r>
      <w:r w:rsidRPr="00C80327">
        <w:t xml:space="preserve">Summary of late toxicities (any grade) across </w:t>
      </w:r>
      <w:r w:rsidR="00594F1D">
        <w:t>Re-188 brachytherapy</w:t>
      </w:r>
      <w:r w:rsidRPr="00C80327">
        <w:t xml:space="preserve"> and comparator EBRT studies</w:t>
      </w:r>
    </w:p>
    <w:tbl>
      <w:tblPr>
        <w:tblW w:w="498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28" w:type="dxa"/>
          <w:left w:w="57" w:type="dxa"/>
          <w:bottom w:w="28" w:type="dxa"/>
          <w:right w:w="57" w:type="dxa"/>
        </w:tblCellMar>
        <w:tblLook w:val="04A0" w:firstRow="1" w:lastRow="0" w:firstColumn="1" w:lastColumn="0" w:noHBand="0" w:noVBand="1"/>
      </w:tblPr>
      <w:tblGrid>
        <w:gridCol w:w="2089"/>
        <w:gridCol w:w="1228"/>
        <w:gridCol w:w="917"/>
        <w:gridCol w:w="1213"/>
        <w:gridCol w:w="1145"/>
        <w:gridCol w:w="1144"/>
        <w:gridCol w:w="1251"/>
      </w:tblGrid>
      <w:tr w:rsidR="006F3878" w:rsidRPr="00CF3D50" w14:paraId="3B087C17" w14:textId="77777777" w:rsidTr="00CF7F40">
        <w:trPr>
          <w:trHeight w:val="728"/>
          <w:tblHeader/>
        </w:trPr>
        <w:tc>
          <w:tcPr>
            <w:tcW w:w="1163" w:type="pct"/>
            <w:shd w:val="clear" w:color="auto" w:fill="FFFFFF" w:themeFill="background1"/>
            <w:vAlign w:val="center"/>
          </w:tcPr>
          <w:p w14:paraId="73EBE41F" w14:textId="77777777" w:rsidR="00CF3D50" w:rsidRPr="00CF3D50" w:rsidRDefault="00CF3D50" w:rsidP="00702E73">
            <w:pPr>
              <w:pStyle w:val="Tabletext0"/>
              <w:keepNext/>
              <w:keepLines/>
              <w:rPr>
                <w:b/>
                <w:bCs/>
                <w:snapToGrid w:val="0"/>
              </w:rPr>
            </w:pPr>
            <w:r w:rsidRPr="00CF3D50">
              <w:rPr>
                <w:b/>
                <w:bCs/>
                <w:snapToGrid w:val="0"/>
              </w:rPr>
              <w:t>Study ID, (n)</w:t>
            </w:r>
          </w:p>
        </w:tc>
        <w:tc>
          <w:tcPr>
            <w:tcW w:w="683" w:type="pct"/>
            <w:shd w:val="clear" w:color="auto" w:fill="FFFFFF" w:themeFill="background1"/>
            <w:vAlign w:val="center"/>
          </w:tcPr>
          <w:p w14:paraId="3B9B8155" w14:textId="77777777" w:rsidR="00CF3D50" w:rsidRPr="00CF3D50" w:rsidRDefault="00CF3D50" w:rsidP="00702E73">
            <w:pPr>
              <w:pStyle w:val="Tabletext0"/>
              <w:keepNext/>
              <w:keepLines/>
              <w:rPr>
                <w:b/>
                <w:bCs/>
                <w:snapToGrid w:val="0"/>
              </w:rPr>
            </w:pPr>
            <w:r w:rsidRPr="00CF3D50">
              <w:rPr>
                <w:b/>
                <w:bCs/>
                <w:snapToGrid w:val="0"/>
              </w:rPr>
              <w:t>Timepoint</w:t>
            </w:r>
          </w:p>
        </w:tc>
        <w:tc>
          <w:tcPr>
            <w:tcW w:w="510" w:type="pct"/>
            <w:shd w:val="clear" w:color="auto" w:fill="FFFFFF" w:themeFill="background1"/>
            <w:vAlign w:val="center"/>
          </w:tcPr>
          <w:p w14:paraId="57BD6E52" w14:textId="77777777" w:rsidR="00CF3D50" w:rsidRPr="00CF3D50" w:rsidRDefault="00CF3D50" w:rsidP="00702E73">
            <w:pPr>
              <w:pStyle w:val="Tabletext0"/>
              <w:keepNext/>
              <w:keepLines/>
              <w:rPr>
                <w:b/>
                <w:bCs/>
                <w:snapToGrid w:val="0"/>
              </w:rPr>
            </w:pPr>
            <w:r w:rsidRPr="00CF3D50">
              <w:rPr>
                <w:b/>
                <w:bCs/>
                <w:snapToGrid w:val="0"/>
              </w:rPr>
              <w:t>Ulceration</w:t>
            </w:r>
          </w:p>
        </w:tc>
        <w:tc>
          <w:tcPr>
            <w:tcW w:w="675" w:type="pct"/>
            <w:shd w:val="clear" w:color="auto" w:fill="FFFFFF" w:themeFill="background1"/>
            <w:vAlign w:val="center"/>
          </w:tcPr>
          <w:p w14:paraId="193E34D4" w14:textId="77777777" w:rsidR="00CF3D50" w:rsidRPr="00CF3D50" w:rsidRDefault="00CF3D50" w:rsidP="00702E73">
            <w:pPr>
              <w:pStyle w:val="Tabletext0"/>
              <w:keepNext/>
              <w:keepLines/>
              <w:rPr>
                <w:b/>
                <w:bCs/>
                <w:snapToGrid w:val="0"/>
              </w:rPr>
            </w:pPr>
            <w:r w:rsidRPr="00CF3D50">
              <w:rPr>
                <w:b/>
                <w:bCs/>
                <w:snapToGrid w:val="0"/>
              </w:rPr>
              <w:t>Fibrosis / Skin induration</w:t>
            </w:r>
          </w:p>
        </w:tc>
        <w:tc>
          <w:tcPr>
            <w:tcW w:w="637" w:type="pct"/>
            <w:shd w:val="clear" w:color="auto" w:fill="FFFFFF" w:themeFill="background1"/>
            <w:vAlign w:val="center"/>
          </w:tcPr>
          <w:p w14:paraId="027D7838" w14:textId="77777777" w:rsidR="00CF3D50" w:rsidRPr="00CF3D50" w:rsidRDefault="00CF3D50" w:rsidP="00702E73">
            <w:pPr>
              <w:pStyle w:val="Tabletext0"/>
              <w:keepNext/>
              <w:keepLines/>
              <w:rPr>
                <w:b/>
                <w:bCs/>
                <w:snapToGrid w:val="0"/>
              </w:rPr>
            </w:pPr>
            <w:r w:rsidRPr="00CF3D50">
              <w:rPr>
                <w:b/>
                <w:bCs/>
                <w:snapToGrid w:val="0"/>
              </w:rPr>
              <w:t>Hypo-pigmentation</w:t>
            </w:r>
          </w:p>
        </w:tc>
        <w:tc>
          <w:tcPr>
            <w:tcW w:w="636" w:type="pct"/>
            <w:shd w:val="clear" w:color="auto" w:fill="FFFFFF" w:themeFill="background1"/>
            <w:vAlign w:val="center"/>
          </w:tcPr>
          <w:p w14:paraId="2279AF99" w14:textId="77777777" w:rsidR="00CF3D50" w:rsidRPr="00CF3D50" w:rsidRDefault="00CF3D50" w:rsidP="00702E73">
            <w:pPr>
              <w:pStyle w:val="Tabletext0"/>
              <w:keepNext/>
              <w:keepLines/>
              <w:rPr>
                <w:b/>
                <w:bCs/>
                <w:snapToGrid w:val="0"/>
              </w:rPr>
            </w:pPr>
            <w:r w:rsidRPr="00CF3D50">
              <w:rPr>
                <w:b/>
                <w:bCs/>
                <w:snapToGrid w:val="0"/>
              </w:rPr>
              <w:t>Hyper-pigmentation</w:t>
            </w:r>
          </w:p>
        </w:tc>
        <w:tc>
          <w:tcPr>
            <w:tcW w:w="695" w:type="pct"/>
            <w:shd w:val="clear" w:color="auto" w:fill="FFFFFF" w:themeFill="background1"/>
            <w:vAlign w:val="center"/>
          </w:tcPr>
          <w:p w14:paraId="31523D5A" w14:textId="77777777" w:rsidR="00CF3D50" w:rsidRPr="00CF3D50" w:rsidRDefault="00CF3D50" w:rsidP="00702E73">
            <w:pPr>
              <w:pStyle w:val="Tabletext0"/>
              <w:keepNext/>
              <w:keepLines/>
              <w:rPr>
                <w:b/>
                <w:bCs/>
                <w:snapToGrid w:val="0"/>
              </w:rPr>
            </w:pPr>
            <w:r w:rsidRPr="00CF3D50">
              <w:rPr>
                <w:b/>
                <w:bCs/>
                <w:snapToGrid w:val="0"/>
              </w:rPr>
              <w:t>Telangiectasia</w:t>
            </w:r>
          </w:p>
        </w:tc>
      </w:tr>
      <w:tr w:rsidR="00CF3D50" w:rsidRPr="00CF3D50" w14:paraId="1A4DD9B9" w14:textId="77777777" w:rsidTr="00B22F65">
        <w:tc>
          <w:tcPr>
            <w:tcW w:w="5000" w:type="pct"/>
            <w:gridSpan w:val="7"/>
            <w:shd w:val="clear" w:color="auto" w:fill="FFFFFF" w:themeFill="background1"/>
            <w:vAlign w:val="center"/>
          </w:tcPr>
          <w:p w14:paraId="132F57F4" w14:textId="60AD024B" w:rsidR="00CF3D50" w:rsidRPr="00CF3D50" w:rsidRDefault="00081217" w:rsidP="00702E73">
            <w:pPr>
              <w:pStyle w:val="Tabletext0"/>
              <w:keepNext/>
              <w:keepLines/>
              <w:rPr>
                <w:b/>
                <w:bCs/>
                <w:snapToGrid w:val="0"/>
              </w:rPr>
            </w:pPr>
            <w:r>
              <w:rPr>
                <w:b/>
                <w:bCs/>
                <w:snapToGrid w:val="0"/>
              </w:rPr>
              <w:t>Re-188 brachytherapy</w:t>
            </w:r>
          </w:p>
        </w:tc>
      </w:tr>
      <w:tr w:rsidR="006F3878" w:rsidRPr="00CF3D50" w14:paraId="0692C4DA" w14:textId="77777777" w:rsidTr="00CF7F40">
        <w:trPr>
          <w:trHeight w:val="287"/>
        </w:trPr>
        <w:tc>
          <w:tcPr>
            <w:tcW w:w="1163" w:type="pct"/>
            <w:shd w:val="clear" w:color="auto" w:fill="FFFFFF" w:themeFill="background1"/>
            <w:vAlign w:val="center"/>
          </w:tcPr>
          <w:p w14:paraId="37A65CE2" w14:textId="21D42158" w:rsidR="00CF3D50" w:rsidRPr="00CF3D50" w:rsidRDefault="00CF3D50" w:rsidP="00702E73">
            <w:pPr>
              <w:pStyle w:val="Tabletext0"/>
              <w:keepNext/>
              <w:keepLines/>
              <w:rPr>
                <w:snapToGrid w:val="0"/>
              </w:rPr>
            </w:pPr>
            <w:r w:rsidRPr="00CF3D50">
              <w:rPr>
                <w:snapToGrid w:val="0"/>
              </w:rPr>
              <w:t>EPIC-Skin</w:t>
            </w:r>
            <w:r w:rsidR="002256F8" w:rsidRPr="00B22F65">
              <w:rPr>
                <w:snapToGrid w:val="0"/>
                <w:vertAlign w:val="superscript"/>
              </w:rPr>
              <w:fldChar w:fldCharType="begin"/>
            </w:r>
            <w:r w:rsidR="002256F8" w:rsidRPr="00B22F65">
              <w:rPr>
                <w:snapToGrid w:val="0"/>
                <w:vertAlign w:val="superscript"/>
              </w:rPr>
              <w:instrText xml:space="preserve"> NOTEREF _Ref184288236 </w:instrText>
            </w:r>
            <w:r w:rsidR="002256F8">
              <w:rPr>
                <w:snapToGrid w:val="0"/>
                <w:vertAlign w:val="superscript"/>
              </w:rPr>
              <w:instrText xml:space="preserve"> \* MERGEFORMAT </w:instrText>
            </w:r>
            <w:r w:rsidR="002256F8" w:rsidRPr="00B22F65">
              <w:rPr>
                <w:snapToGrid w:val="0"/>
                <w:vertAlign w:val="superscript"/>
              </w:rPr>
              <w:fldChar w:fldCharType="separate"/>
            </w:r>
            <w:r w:rsidR="00AF5AE7">
              <w:rPr>
                <w:snapToGrid w:val="0"/>
                <w:vertAlign w:val="superscript"/>
              </w:rPr>
              <w:t>3</w:t>
            </w:r>
            <w:r w:rsidR="002256F8" w:rsidRPr="00B22F65">
              <w:rPr>
                <w:snapToGrid w:val="0"/>
                <w:vertAlign w:val="superscript"/>
              </w:rPr>
              <w:fldChar w:fldCharType="end"/>
            </w:r>
            <w:r w:rsidRPr="00CF3D50">
              <w:rPr>
                <w:snapToGrid w:val="0"/>
              </w:rPr>
              <w:t>, (129)</w:t>
            </w:r>
          </w:p>
        </w:tc>
        <w:tc>
          <w:tcPr>
            <w:tcW w:w="683" w:type="pct"/>
            <w:shd w:val="clear" w:color="auto" w:fill="FFFFFF" w:themeFill="background1"/>
            <w:vAlign w:val="center"/>
          </w:tcPr>
          <w:p w14:paraId="0446194E" w14:textId="77777777" w:rsidR="00CF3D50" w:rsidRPr="00CF3D50" w:rsidRDefault="00CF3D50" w:rsidP="00702E73">
            <w:pPr>
              <w:pStyle w:val="Tabletext0"/>
              <w:keepNext/>
              <w:keepLines/>
              <w:rPr>
                <w:snapToGrid w:val="0"/>
              </w:rPr>
            </w:pPr>
            <w:r w:rsidRPr="00CF3D50">
              <w:rPr>
                <w:snapToGrid w:val="0"/>
              </w:rPr>
              <w:t>12 months</w:t>
            </w:r>
          </w:p>
        </w:tc>
        <w:tc>
          <w:tcPr>
            <w:tcW w:w="510" w:type="pct"/>
            <w:shd w:val="clear" w:color="auto" w:fill="FFFFFF" w:themeFill="background1"/>
            <w:vAlign w:val="center"/>
          </w:tcPr>
          <w:p w14:paraId="10457897" w14:textId="2531E7E1" w:rsidR="00CF3D50" w:rsidRPr="00CF3D50" w:rsidRDefault="00CF3D50" w:rsidP="00702E73">
            <w:pPr>
              <w:pStyle w:val="Tabletext0"/>
              <w:keepNext/>
              <w:keepLines/>
              <w:jc w:val="right"/>
              <w:rPr>
                <w:snapToGrid w:val="0"/>
              </w:rPr>
            </w:pPr>
            <w:r w:rsidRPr="00CF3D50">
              <w:rPr>
                <w:snapToGrid w:val="0"/>
              </w:rPr>
              <w:t>3.9%</w:t>
            </w:r>
          </w:p>
        </w:tc>
        <w:tc>
          <w:tcPr>
            <w:tcW w:w="675" w:type="pct"/>
            <w:shd w:val="clear" w:color="auto" w:fill="FFFFFF" w:themeFill="background1"/>
            <w:vAlign w:val="center"/>
          </w:tcPr>
          <w:p w14:paraId="542FF59F" w14:textId="545B2411" w:rsidR="00CF3D50" w:rsidRPr="00CF3D50" w:rsidRDefault="00CF3D50" w:rsidP="00702E73">
            <w:pPr>
              <w:pStyle w:val="Tabletext0"/>
              <w:keepNext/>
              <w:keepLines/>
              <w:jc w:val="right"/>
              <w:rPr>
                <w:snapToGrid w:val="0"/>
              </w:rPr>
            </w:pPr>
            <w:r w:rsidRPr="00CF3D50">
              <w:rPr>
                <w:snapToGrid w:val="0"/>
              </w:rPr>
              <w:t>13.9%</w:t>
            </w:r>
          </w:p>
        </w:tc>
        <w:tc>
          <w:tcPr>
            <w:tcW w:w="637" w:type="pct"/>
            <w:shd w:val="clear" w:color="auto" w:fill="FFFFFF" w:themeFill="background1"/>
            <w:vAlign w:val="center"/>
          </w:tcPr>
          <w:p w14:paraId="4EEEBA84" w14:textId="608BE0F5" w:rsidR="00CF3D50" w:rsidRPr="00CF3D50" w:rsidRDefault="00CF3D50" w:rsidP="00702E73">
            <w:pPr>
              <w:pStyle w:val="Tabletext0"/>
              <w:keepNext/>
              <w:keepLines/>
              <w:jc w:val="right"/>
              <w:rPr>
                <w:snapToGrid w:val="0"/>
              </w:rPr>
            </w:pPr>
            <w:r w:rsidRPr="00CF3D50">
              <w:t>61.3%</w:t>
            </w:r>
          </w:p>
        </w:tc>
        <w:tc>
          <w:tcPr>
            <w:tcW w:w="636" w:type="pct"/>
            <w:shd w:val="clear" w:color="auto" w:fill="FFFFFF" w:themeFill="background1"/>
            <w:vAlign w:val="center"/>
          </w:tcPr>
          <w:p w14:paraId="3776270E" w14:textId="410558E6" w:rsidR="00CF3D50" w:rsidRPr="00CF3D50" w:rsidRDefault="00CF3D50" w:rsidP="00702E73">
            <w:pPr>
              <w:pStyle w:val="Tabletext0"/>
              <w:keepNext/>
              <w:keepLines/>
              <w:jc w:val="right"/>
            </w:pPr>
            <w:r w:rsidRPr="00CF3D50">
              <w:t>4.7%</w:t>
            </w:r>
          </w:p>
        </w:tc>
        <w:tc>
          <w:tcPr>
            <w:tcW w:w="695" w:type="pct"/>
            <w:shd w:val="clear" w:color="auto" w:fill="FFFFFF" w:themeFill="background1"/>
            <w:vAlign w:val="center"/>
          </w:tcPr>
          <w:p w14:paraId="4AC51A67" w14:textId="04AB28EE" w:rsidR="00CF3D50" w:rsidRPr="00CF3D50" w:rsidRDefault="00CF3D50" w:rsidP="00702E73">
            <w:pPr>
              <w:pStyle w:val="Tabletext0"/>
              <w:keepNext/>
              <w:keepLines/>
              <w:jc w:val="right"/>
            </w:pPr>
            <w:r w:rsidRPr="00CF3D50">
              <w:t>10.1%</w:t>
            </w:r>
          </w:p>
        </w:tc>
      </w:tr>
      <w:tr w:rsidR="006F3878" w:rsidRPr="00CF3D50" w14:paraId="24B9FF00" w14:textId="77777777" w:rsidTr="00CF7F40">
        <w:tc>
          <w:tcPr>
            <w:tcW w:w="1163" w:type="pct"/>
            <w:shd w:val="clear" w:color="auto" w:fill="FFFFFF" w:themeFill="background1"/>
            <w:vAlign w:val="center"/>
          </w:tcPr>
          <w:p w14:paraId="47969418" w14:textId="77777777" w:rsidR="00CF3D50" w:rsidRPr="00CF3D50" w:rsidRDefault="00CF3D50" w:rsidP="00702E73">
            <w:pPr>
              <w:pStyle w:val="Tabletext0"/>
              <w:keepNext/>
              <w:keepLines/>
              <w:rPr>
                <w:snapToGrid w:val="0"/>
              </w:rPr>
            </w:pPr>
            <w:r w:rsidRPr="00CF3D50">
              <w:rPr>
                <w:snapToGrid w:val="0"/>
              </w:rPr>
              <w:t>EPIC-Skin, Australian, (33)</w:t>
            </w:r>
          </w:p>
        </w:tc>
        <w:tc>
          <w:tcPr>
            <w:tcW w:w="683" w:type="pct"/>
            <w:shd w:val="clear" w:color="auto" w:fill="FFFFFF" w:themeFill="background1"/>
            <w:vAlign w:val="center"/>
          </w:tcPr>
          <w:p w14:paraId="76BC3FB2" w14:textId="77777777" w:rsidR="00CF3D50" w:rsidRPr="00CF3D50" w:rsidRDefault="00CF3D50" w:rsidP="00702E73">
            <w:pPr>
              <w:pStyle w:val="Tabletext0"/>
              <w:keepNext/>
              <w:keepLines/>
              <w:rPr>
                <w:snapToGrid w:val="0"/>
              </w:rPr>
            </w:pPr>
            <w:r w:rsidRPr="00CF3D50">
              <w:rPr>
                <w:snapToGrid w:val="0"/>
              </w:rPr>
              <w:t>12 months</w:t>
            </w:r>
          </w:p>
        </w:tc>
        <w:tc>
          <w:tcPr>
            <w:tcW w:w="510" w:type="pct"/>
            <w:shd w:val="clear" w:color="auto" w:fill="FFFFFF" w:themeFill="background1"/>
            <w:vAlign w:val="center"/>
          </w:tcPr>
          <w:p w14:paraId="2EE48DD8" w14:textId="116EBAAD" w:rsidR="00CF3D50" w:rsidRPr="00CF3D50" w:rsidRDefault="00CF3D50" w:rsidP="00702E73">
            <w:pPr>
              <w:pStyle w:val="Tabletext0"/>
              <w:keepNext/>
              <w:keepLines/>
              <w:jc w:val="right"/>
              <w:rPr>
                <w:snapToGrid w:val="0"/>
              </w:rPr>
            </w:pPr>
            <w:r w:rsidRPr="00CF3D50">
              <w:rPr>
                <w:snapToGrid w:val="0"/>
              </w:rPr>
              <w:t>12.2%</w:t>
            </w:r>
          </w:p>
        </w:tc>
        <w:tc>
          <w:tcPr>
            <w:tcW w:w="675" w:type="pct"/>
            <w:shd w:val="clear" w:color="auto" w:fill="FFFFFF" w:themeFill="background1"/>
            <w:vAlign w:val="center"/>
          </w:tcPr>
          <w:p w14:paraId="11226CD1" w14:textId="3F7B498B" w:rsidR="00CF3D50" w:rsidRPr="00CF3D50" w:rsidRDefault="00CF3D50" w:rsidP="00702E73">
            <w:pPr>
              <w:pStyle w:val="Tabletext0"/>
              <w:keepNext/>
              <w:keepLines/>
              <w:jc w:val="right"/>
              <w:rPr>
                <w:snapToGrid w:val="0"/>
              </w:rPr>
            </w:pPr>
            <w:r w:rsidRPr="00CF3D50">
              <w:rPr>
                <w:snapToGrid w:val="0"/>
              </w:rPr>
              <w:t>18.2%</w:t>
            </w:r>
          </w:p>
        </w:tc>
        <w:tc>
          <w:tcPr>
            <w:tcW w:w="637" w:type="pct"/>
            <w:shd w:val="clear" w:color="auto" w:fill="FFFFFF" w:themeFill="background1"/>
            <w:vAlign w:val="center"/>
          </w:tcPr>
          <w:p w14:paraId="70B53D21" w14:textId="3E0CD772" w:rsidR="00CF3D50" w:rsidRPr="00CF3D50" w:rsidRDefault="00CF3D50" w:rsidP="00702E73">
            <w:pPr>
              <w:pStyle w:val="Tabletext0"/>
              <w:keepNext/>
              <w:keepLines/>
              <w:jc w:val="right"/>
              <w:rPr>
                <w:snapToGrid w:val="0"/>
              </w:rPr>
            </w:pPr>
            <w:r w:rsidRPr="00CF3D50">
              <w:t>36.4%</w:t>
            </w:r>
          </w:p>
        </w:tc>
        <w:tc>
          <w:tcPr>
            <w:tcW w:w="636" w:type="pct"/>
            <w:shd w:val="clear" w:color="auto" w:fill="FFFFFF" w:themeFill="background1"/>
            <w:vAlign w:val="center"/>
          </w:tcPr>
          <w:p w14:paraId="73F70575" w14:textId="421938A3" w:rsidR="00CF3D50" w:rsidRPr="00CF3D50" w:rsidRDefault="00CF3D50" w:rsidP="00702E73">
            <w:pPr>
              <w:pStyle w:val="Tabletext0"/>
              <w:keepNext/>
              <w:keepLines/>
              <w:jc w:val="right"/>
            </w:pPr>
            <w:r w:rsidRPr="00CF3D50">
              <w:t>3.0%</w:t>
            </w:r>
          </w:p>
        </w:tc>
        <w:tc>
          <w:tcPr>
            <w:tcW w:w="695" w:type="pct"/>
            <w:shd w:val="clear" w:color="auto" w:fill="FFFFFF" w:themeFill="background1"/>
            <w:vAlign w:val="center"/>
          </w:tcPr>
          <w:p w14:paraId="66995E0D" w14:textId="77777777" w:rsidR="00CF3D50" w:rsidRPr="00CF3D50" w:rsidRDefault="00CF3D50" w:rsidP="00702E73">
            <w:pPr>
              <w:pStyle w:val="Tabletext0"/>
              <w:keepNext/>
              <w:keepLines/>
              <w:jc w:val="right"/>
            </w:pPr>
            <w:r w:rsidRPr="00CF3D50">
              <w:t>0</w:t>
            </w:r>
          </w:p>
        </w:tc>
      </w:tr>
      <w:tr w:rsidR="006F3878" w:rsidRPr="00CF3D50" w14:paraId="7BF2D393" w14:textId="77777777" w:rsidTr="00CF7F40">
        <w:trPr>
          <w:trHeight w:val="609"/>
        </w:trPr>
        <w:tc>
          <w:tcPr>
            <w:tcW w:w="1163" w:type="pct"/>
            <w:shd w:val="clear" w:color="auto" w:fill="FFFFFF" w:themeFill="background1"/>
            <w:vAlign w:val="center"/>
          </w:tcPr>
          <w:p w14:paraId="0E787A85" w14:textId="1A5556B8" w:rsidR="00CF3D50" w:rsidRPr="00CF3D50" w:rsidRDefault="00CF3D50" w:rsidP="00702E73">
            <w:pPr>
              <w:pStyle w:val="Tabletext0"/>
              <w:keepNext/>
              <w:keepLines/>
              <w:rPr>
                <w:snapToGrid w:val="0"/>
              </w:rPr>
            </w:pPr>
            <w:r w:rsidRPr="00CF3D50">
              <w:rPr>
                <w:snapToGrid w:val="0"/>
              </w:rPr>
              <w:t>Tietze 2021</w:t>
            </w:r>
            <w:r w:rsidR="002256F8" w:rsidRPr="00B22F65">
              <w:rPr>
                <w:snapToGrid w:val="0"/>
                <w:vertAlign w:val="superscript"/>
              </w:rPr>
              <w:fldChar w:fldCharType="begin"/>
            </w:r>
            <w:r w:rsidR="002256F8" w:rsidRPr="00B22F65">
              <w:rPr>
                <w:snapToGrid w:val="0"/>
                <w:vertAlign w:val="superscript"/>
              </w:rPr>
              <w:instrText xml:space="preserve"> NOTEREF _Ref184289037 </w:instrText>
            </w:r>
            <w:r w:rsidR="002256F8">
              <w:rPr>
                <w:snapToGrid w:val="0"/>
                <w:vertAlign w:val="superscript"/>
              </w:rPr>
              <w:instrText xml:space="preserve"> \* MERGEFORMAT </w:instrText>
            </w:r>
            <w:r w:rsidR="002256F8" w:rsidRPr="00B22F65">
              <w:rPr>
                <w:snapToGrid w:val="0"/>
                <w:vertAlign w:val="superscript"/>
              </w:rPr>
              <w:fldChar w:fldCharType="separate"/>
            </w:r>
            <w:r w:rsidR="00AF5AE7">
              <w:rPr>
                <w:snapToGrid w:val="0"/>
                <w:vertAlign w:val="superscript"/>
              </w:rPr>
              <w:t>5</w:t>
            </w:r>
            <w:r w:rsidR="002256F8" w:rsidRPr="00B22F65">
              <w:rPr>
                <w:snapToGrid w:val="0"/>
                <w:vertAlign w:val="superscript"/>
              </w:rPr>
              <w:fldChar w:fldCharType="end"/>
            </w:r>
            <w:r w:rsidRPr="00CF3D50">
              <w:rPr>
                <w:snapToGrid w:val="0"/>
              </w:rPr>
              <w:t>, (40)</w:t>
            </w:r>
          </w:p>
        </w:tc>
        <w:tc>
          <w:tcPr>
            <w:tcW w:w="683" w:type="pct"/>
            <w:shd w:val="clear" w:color="auto" w:fill="FFFFFF" w:themeFill="background1"/>
            <w:vAlign w:val="center"/>
          </w:tcPr>
          <w:p w14:paraId="3F00F9C9" w14:textId="77777777" w:rsidR="00CF3D50" w:rsidRPr="00CF3D50" w:rsidRDefault="00CF3D50" w:rsidP="00702E73">
            <w:pPr>
              <w:pStyle w:val="Tabletext0"/>
              <w:keepNext/>
              <w:keepLines/>
              <w:rPr>
                <w:snapToGrid w:val="0"/>
              </w:rPr>
            </w:pPr>
            <w:r w:rsidRPr="00CF3D50">
              <w:rPr>
                <w:snapToGrid w:val="0"/>
              </w:rPr>
              <w:t>12 months</w:t>
            </w:r>
          </w:p>
        </w:tc>
        <w:tc>
          <w:tcPr>
            <w:tcW w:w="510" w:type="pct"/>
            <w:shd w:val="clear" w:color="auto" w:fill="FFFFFF" w:themeFill="background1"/>
            <w:vAlign w:val="center"/>
          </w:tcPr>
          <w:p w14:paraId="237B7A13" w14:textId="68CF980D" w:rsidR="00CF3D50" w:rsidRPr="00CF3D50" w:rsidRDefault="00CF3D50" w:rsidP="00702E73">
            <w:pPr>
              <w:pStyle w:val="Tabletext0"/>
              <w:keepNext/>
              <w:keepLines/>
              <w:jc w:val="right"/>
              <w:rPr>
                <w:snapToGrid w:val="0"/>
              </w:rPr>
            </w:pPr>
            <w:r w:rsidRPr="00CF3D50">
              <w:rPr>
                <w:snapToGrid w:val="0"/>
              </w:rPr>
              <w:t>2.5%</w:t>
            </w:r>
          </w:p>
        </w:tc>
        <w:tc>
          <w:tcPr>
            <w:tcW w:w="675" w:type="pct"/>
            <w:shd w:val="clear" w:color="auto" w:fill="FFFFFF" w:themeFill="background1"/>
            <w:vAlign w:val="center"/>
          </w:tcPr>
          <w:p w14:paraId="5306ED83" w14:textId="77777777" w:rsidR="00CF3D50" w:rsidRPr="00CF3D50" w:rsidRDefault="00CF3D50" w:rsidP="00702E73">
            <w:pPr>
              <w:pStyle w:val="Tabletext0"/>
              <w:keepNext/>
              <w:keepLines/>
              <w:jc w:val="right"/>
              <w:rPr>
                <w:snapToGrid w:val="0"/>
              </w:rPr>
            </w:pPr>
            <w:r w:rsidRPr="00CF3D50">
              <w:t>NR</w:t>
            </w:r>
          </w:p>
        </w:tc>
        <w:tc>
          <w:tcPr>
            <w:tcW w:w="637" w:type="pct"/>
            <w:shd w:val="clear" w:color="auto" w:fill="FFFFFF" w:themeFill="background1"/>
            <w:vAlign w:val="center"/>
          </w:tcPr>
          <w:p w14:paraId="4BD2A6C9" w14:textId="05E8FD71" w:rsidR="00CF3D50" w:rsidRPr="00CF3D50" w:rsidRDefault="00CF3D50" w:rsidP="00702E73">
            <w:pPr>
              <w:pStyle w:val="Tabletext0"/>
              <w:keepNext/>
              <w:keepLines/>
              <w:jc w:val="right"/>
              <w:rPr>
                <w:snapToGrid w:val="0"/>
              </w:rPr>
            </w:pPr>
            <w:r w:rsidRPr="00CF3D50">
              <w:t>49%</w:t>
            </w:r>
          </w:p>
        </w:tc>
        <w:tc>
          <w:tcPr>
            <w:tcW w:w="636" w:type="pct"/>
            <w:shd w:val="clear" w:color="auto" w:fill="FFFFFF" w:themeFill="background1"/>
            <w:vAlign w:val="center"/>
          </w:tcPr>
          <w:p w14:paraId="6B5551F2" w14:textId="77777777" w:rsidR="00CF3D50" w:rsidRPr="00CF3D50" w:rsidRDefault="00CF3D50" w:rsidP="00702E73">
            <w:pPr>
              <w:pStyle w:val="Tabletext0"/>
              <w:keepNext/>
              <w:keepLines/>
              <w:jc w:val="right"/>
            </w:pPr>
            <w:r w:rsidRPr="00CF3D50">
              <w:t>NR</w:t>
            </w:r>
          </w:p>
        </w:tc>
        <w:tc>
          <w:tcPr>
            <w:tcW w:w="695" w:type="pct"/>
            <w:shd w:val="clear" w:color="auto" w:fill="FFFFFF" w:themeFill="background1"/>
            <w:vAlign w:val="center"/>
          </w:tcPr>
          <w:p w14:paraId="4335A474" w14:textId="77777777" w:rsidR="00CF3D50" w:rsidRPr="00CF3D50" w:rsidRDefault="00CF3D50" w:rsidP="00702E73">
            <w:pPr>
              <w:pStyle w:val="Tabletext0"/>
              <w:keepNext/>
              <w:keepLines/>
              <w:jc w:val="right"/>
            </w:pPr>
            <w:r w:rsidRPr="00CF3D50">
              <w:t>NR</w:t>
            </w:r>
          </w:p>
        </w:tc>
      </w:tr>
      <w:tr w:rsidR="006F3878" w:rsidRPr="00CF3D50" w14:paraId="7C12EFE2" w14:textId="77777777" w:rsidTr="00CF7F40">
        <w:trPr>
          <w:trHeight w:val="300"/>
        </w:trPr>
        <w:tc>
          <w:tcPr>
            <w:tcW w:w="1163" w:type="pct"/>
            <w:shd w:val="clear" w:color="auto" w:fill="FFFFFF" w:themeFill="background1"/>
            <w:vAlign w:val="center"/>
          </w:tcPr>
          <w:p w14:paraId="2DAB9BA6" w14:textId="2894A605" w:rsidR="00CF3D50" w:rsidRPr="00CF3D50" w:rsidRDefault="00CF3D50" w:rsidP="00702E73">
            <w:pPr>
              <w:pStyle w:val="Tabletext0"/>
              <w:keepNext/>
              <w:keepLines/>
              <w:rPr>
                <w:szCs w:val="18"/>
                <w:highlight w:val="yellow"/>
              </w:rPr>
            </w:pPr>
            <w:r w:rsidRPr="00CF3D50">
              <w:rPr>
                <w:snapToGrid w:val="0"/>
              </w:rPr>
              <w:t>Australian registry (9)</w:t>
            </w:r>
          </w:p>
        </w:tc>
        <w:tc>
          <w:tcPr>
            <w:tcW w:w="683" w:type="pct"/>
            <w:shd w:val="clear" w:color="auto" w:fill="FFFFFF" w:themeFill="background1"/>
            <w:vAlign w:val="center"/>
          </w:tcPr>
          <w:p w14:paraId="2B7F02DA" w14:textId="77777777" w:rsidR="00CF3D50" w:rsidRPr="00CF3D50" w:rsidRDefault="00CF3D50" w:rsidP="00702E73">
            <w:pPr>
              <w:pStyle w:val="Tabletext0"/>
              <w:keepNext/>
              <w:keepLines/>
              <w:rPr>
                <w:szCs w:val="18"/>
              </w:rPr>
            </w:pPr>
            <w:r w:rsidRPr="00CF3D50">
              <w:rPr>
                <w:snapToGrid w:val="0"/>
              </w:rPr>
              <w:t>8 months (median)</w:t>
            </w:r>
          </w:p>
        </w:tc>
        <w:tc>
          <w:tcPr>
            <w:tcW w:w="510" w:type="pct"/>
            <w:shd w:val="clear" w:color="auto" w:fill="FFFFFF" w:themeFill="background1"/>
            <w:vAlign w:val="center"/>
          </w:tcPr>
          <w:p w14:paraId="429D2CFA" w14:textId="77777777" w:rsidR="00CF3D50" w:rsidRPr="00CF3D50" w:rsidRDefault="00CF3D50" w:rsidP="00702E73">
            <w:pPr>
              <w:pStyle w:val="Tabletext0"/>
              <w:keepNext/>
              <w:keepLines/>
              <w:jc w:val="right"/>
              <w:rPr>
                <w:szCs w:val="18"/>
              </w:rPr>
            </w:pPr>
            <w:r w:rsidRPr="00CF3D50">
              <w:rPr>
                <w:snapToGrid w:val="0"/>
              </w:rPr>
              <w:t>0</w:t>
            </w:r>
          </w:p>
        </w:tc>
        <w:tc>
          <w:tcPr>
            <w:tcW w:w="675" w:type="pct"/>
            <w:shd w:val="clear" w:color="auto" w:fill="FFFFFF" w:themeFill="background1"/>
            <w:vAlign w:val="center"/>
          </w:tcPr>
          <w:p w14:paraId="22D34D1C" w14:textId="77777777" w:rsidR="00CF3D50" w:rsidRPr="00CF3D50" w:rsidRDefault="00CF3D50" w:rsidP="00702E73">
            <w:pPr>
              <w:pStyle w:val="Tabletext0"/>
              <w:keepNext/>
              <w:keepLines/>
              <w:jc w:val="right"/>
              <w:rPr>
                <w:szCs w:val="18"/>
              </w:rPr>
            </w:pPr>
            <w:r w:rsidRPr="00CF3D50">
              <w:rPr>
                <w:szCs w:val="18"/>
              </w:rPr>
              <w:t>0</w:t>
            </w:r>
          </w:p>
        </w:tc>
        <w:tc>
          <w:tcPr>
            <w:tcW w:w="637" w:type="pct"/>
            <w:shd w:val="clear" w:color="auto" w:fill="FFFFFF" w:themeFill="background1"/>
            <w:vAlign w:val="center"/>
          </w:tcPr>
          <w:p w14:paraId="1F42004B" w14:textId="1D253E4F" w:rsidR="00CF3D50" w:rsidRPr="00CF3D50" w:rsidRDefault="00CF3D50" w:rsidP="00702E73">
            <w:pPr>
              <w:pStyle w:val="Tabletext0"/>
              <w:keepNext/>
              <w:keepLines/>
              <w:jc w:val="right"/>
            </w:pPr>
            <w:r w:rsidRPr="00CF3D50">
              <w:t>33.3%</w:t>
            </w:r>
          </w:p>
        </w:tc>
        <w:tc>
          <w:tcPr>
            <w:tcW w:w="636" w:type="pct"/>
            <w:shd w:val="clear" w:color="auto" w:fill="FFFFFF" w:themeFill="background1"/>
            <w:vAlign w:val="center"/>
          </w:tcPr>
          <w:p w14:paraId="4211FDE9" w14:textId="77777777" w:rsidR="00CF3D50" w:rsidRPr="00CF3D50" w:rsidRDefault="00CF3D50" w:rsidP="00702E73">
            <w:pPr>
              <w:pStyle w:val="Tabletext0"/>
              <w:keepNext/>
              <w:keepLines/>
              <w:jc w:val="right"/>
            </w:pPr>
            <w:r w:rsidRPr="00CF3D50">
              <w:t>0</w:t>
            </w:r>
          </w:p>
        </w:tc>
        <w:tc>
          <w:tcPr>
            <w:tcW w:w="695" w:type="pct"/>
            <w:shd w:val="clear" w:color="auto" w:fill="FFFFFF" w:themeFill="background1"/>
            <w:vAlign w:val="center"/>
          </w:tcPr>
          <w:p w14:paraId="4746A41E" w14:textId="77777777" w:rsidR="00CF3D50" w:rsidRPr="00CF3D50" w:rsidRDefault="00CF3D50" w:rsidP="00702E73">
            <w:pPr>
              <w:pStyle w:val="Tabletext0"/>
              <w:keepNext/>
              <w:keepLines/>
              <w:jc w:val="right"/>
            </w:pPr>
            <w:r w:rsidRPr="00CF3D50">
              <w:t>0</w:t>
            </w:r>
          </w:p>
        </w:tc>
      </w:tr>
      <w:tr w:rsidR="00CF3D50" w:rsidRPr="00C41389" w14:paraId="4D8DD55E" w14:textId="77777777" w:rsidTr="00B22F65">
        <w:tc>
          <w:tcPr>
            <w:tcW w:w="5000" w:type="pct"/>
            <w:gridSpan w:val="7"/>
            <w:tcBorders>
              <w:bottom w:val="single" w:sz="4" w:space="0" w:color="auto"/>
            </w:tcBorders>
            <w:shd w:val="clear" w:color="auto" w:fill="FFFFFF" w:themeFill="background1"/>
            <w:vAlign w:val="center"/>
          </w:tcPr>
          <w:p w14:paraId="11CBABE3" w14:textId="11897F27" w:rsidR="00CF3D50" w:rsidRPr="00C41389" w:rsidRDefault="00081217" w:rsidP="00702E73">
            <w:pPr>
              <w:pStyle w:val="Tabletext0"/>
              <w:keepNext/>
              <w:keepLines/>
              <w:jc w:val="left"/>
              <w:rPr>
                <w:b/>
                <w:bCs/>
                <w:snapToGrid w:val="0"/>
              </w:rPr>
            </w:pPr>
            <w:r w:rsidRPr="00C41389">
              <w:rPr>
                <w:b/>
                <w:bCs/>
              </w:rPr>
              <w:t>EBRT</w:t>
            </w:r>
          </w:p>
        </w:tc>
      </w:tr>
      <w:tr w:rsidR="006F3878" w:rsidRPr="00CF3D50" w14:paraId="5165479B" w14:textId="77777777" w:rsidTr="00CF7F40">
        <w:trPr>
          <w:trHeight w:val="609"/>
        </w:trPr>
        <w:tc>
          <w:tcPr>
            <w:tcW w:w="1163" w:type="pct"/>
            <w:shd w:val="clear" w:color="auto" w:fill="FFFFFF" w:themeFill="background1"/>
            <w:vAlign w:val="center"/>
          </w:tcPr>
          <w:p w14:paraId="553F4FF0" w14:textId="4F48D9A9" w:rsidR="00CF3D50" w:rsidRPr="00CF3D50" w:rsidRDefault="00CF3D50" w:rsidP="00702E73">
            <w:pPr>
              <w:pStyle w:val="Tabletext0"/>
              <w:keepNext/>
              <w:keepLines/>
              <w:rPr>
                <w:snapToGrid w:val="0"/>
              </w:rPr>
            </w:pPr>
            <w:r w:rsidRPr="00CF3D50">
              <w:rPr>
                <w:snapToGrid w:val="0"/>
              </w:rPr>
              <w:t>Ferro 2015</w:t>
            </w:r>
            <w:r w:rsidR="002256F8" w:rsidRPr="00B22F65">
              <w:rPr>
                <w:snapToGrid w:val="0"/>
                <w:vertAlign w:val="superscript"/>
              </w:rPr>
              <w:fldChar w:fldCharType="begin"/>
            </w:r>
            <w:r w:rsidR="002256F8" w:rsidRPr="00B22F65">
              <w:rPr>
                <w:snapToGrid w:val="0"/>
                <w:vertAlign w:val="superscript"/>
              </w:rPr>
              <w:instrText xml:space="preserve"> NOTEREF _Ref184289069 </w:instrText>
            </w:r>
            <w:r w:rsidR="002256F8">
              <w:rPr>
                <w:snapToGrid w:val="0"/>
                <w:vertAlign w:val="superscript"/>
              </w:rPr>
              <w:instrText xml:space="preserve"> \* MERGEFORMAT </w:instrText>
            </w:r>
            <w:r w:rsidR="002256F8" w:rsidRPr="00B22F65">
              <w:rPr>
                <w:snapToGrid w:val="0"/>
                <w:vertAlign w:val="superscript"/>
              </w:rPr>
              <w:fldChar w:fldCharType="separate"/>
            </w:r>
            <w:r w:rsidR="00AF5AE7">
              <w:rPr>
                <w:snapToGrid w:val="0"/>
                <w:vertAlign w:val="superscript"/>
              </w:rPr>
              <w:t>9</w:t>
            </w:r>
            <w:r w:rsidR="002256F8" w:rsidRPr="00B22F65">
              <w:rPr>
                <w:snapToGrid w:val="0"/>
                <w:vertAlign w:val="superscript"/>
              </w:rPr>
              <w:fldChar w:fldCharType="end"/>
            </w:r>
            <w:r w:rsidRPr="00CF3D50">
              <w:rPr>
                <w:snapToGrid w:val="0"/>
              </w:rPr>
              <w:t>, (31)</w:t>
            </w:r>
          </w:p>
        </w:tc>
        <w:tc>
          <w:tcPr>
            <w:tcW w:w="683" w:type="pct"/>
            <w:shd w:val="clear" w:color="auto" w:fill="FFFFFF" w:themeFill="background1"/>
            <w:vAlign w:val="center"/>
          </w:tcPr>
          <w:p w14:paraId="78EA8D64" w14:textId="77777777" w:rsidR="00CF3D50" w:rsidRPr="00CF3D50" w:rsidRDefault="00CF3D50" w:rsidP="00702E73">
            <w:pPr>
              <w:pStyle w:val="Tabletext0"/>
              <w:keepNext/>
              <w:keepLines/>
              <w:rPr>
                <w:snapToGrid w:val="0"/>
              </w:rPr>
            </w:pPr>
            <w:r w:rsidRPr="00CF3D50">
              <w:rPr>
                <w:snapToGrid w:val="0"/>
              </w:rPr>
              <w:t>29 months</w:t>
            </w:r>
          </w:p>
        </w:tc>
        <w:tc>
          <w:tcPr>
            <w:tcW w:w="510" w:type="pct"/>
            <w:shd w:val="clear" w:color="auto" w:fill="FFFFFF" w:themeFill="background1"/>
            <w:vAlign w:val="center"/>
          </w:tcPr>
          <w:p w14:paraId="593F220C" w14:textId="77777777" w:rsidR="00CF3D50" w:rsidRPr="00CF3D50" w:rsidRDefault="00CF3D50" w:rsidP="00702E73">
            <w:pPr>
              <w:pStyle w:val="Tabletext0"/>
              <w:keepNext/>
              <w:keepLines/>
              <w:jc w:val="right"/>
              <w:rPr>
                <w:snapToGrid w:val="0"/>
              </w:rPr>
            </w:pPr>
            <w:r w:rsidRPr="00CF3D50">
              <w:t>NR</w:t>
            </w:r>
          </w:p>
        </w:tc>
        <w:tc>
          <w:tcPr>
            <w:tcW w:w="675" w:type="pct"/>
            <w:shd w:val="clear" w:color="auto" w:fill="FFFFFF" w:themeFill="background1"/>
            <w:vAlign w:val="center"/>
          </w:tcPr>
          <w:p w14:paraId="660A15C7" w14:textId="0F83316E" w:rsidR="00CF3D50" w:rsidRPr="00CF3D50" w:rsidRDefault="00CF3D50" w:rsidP="00702E73">
            <w:pPr>
              <w:pStyle w:val="Tabletext0"/>
              <w:keepNext/>
              <w:keepLines/>
              <w:jc w:val="right"/>
              <w:rPr>
                <w:snapToGrid w:val="0"/>
              </w:rPr>
            </w:pPr>
            <w:r w:rsidRPr="00CF3D50">
              <w:rPr>
                <w:snapToGrid w:val="0"/>
              </w:rPr>
              <w:t>3.2%</w:t>
            </w:r>
          </w:p>
        </w:tc>
        <w:tc>
          <w:tcPr>
            <w:tcW w:w="637" w:type="pct"/>
            <w:shd w:val="clear" w:color="auto" w:fill="FFFFFF" w:themeFill="background1"/>
            <w:vAlign w:val="center"/>
          </w:tcPr>
          <w:p w14:paraId="2BF250F4" w14:textId="77777777" w:rsidR="00CF3D50" w:rsidRPr="00CF3D50" w:rsidRDefault="00CF3D50" w:rsidP="00702E73">
            <w:pPr>
              <w:pStyle w:val="Tabletext0"/>
              <w:keepNext/>
              <w:keepLines/>
              <w:jc w:val="right"/>
              <w:rPr>
                <w:snapToGrid w:val="0"/>
              </w:rPr>
            </w:pPr>
            <w:r w:rsidRPr="00CF3D50">
              <w:t>NR</w:t>
            </w:r>
          </w:p>
        </w:tc>
        <w:tc>
          <w:tcPr>
            <w:tcW w:w="636" w:type="pct"/>
            <w:shd w:val="clear" w:color="auto" w:fill="FFFFFF" w:themeFill="background1"/>
            <w:vAlign w:val="center"/>
          </w:tcPr>
          <w:p w14:paraId="0A187C6E" w14:textId="76956922" w:rsidR="00CF3D50" w:rsidRPr="00CF3D50" w:rsidRDefault="00CF3D50" w:rsidP="00702E73">
            <w:pPr>
              <w:pStyle w:val="Tabletext0"/>
              <w:keepNext/>
              <w:keepLines/>
              <w:jc w:val="right"/>
            </w:pPr>
            <w:r w:rsidRPr="00CF3D50">
              <w:t>12.9%</w:t>
            </w:r>
          </w:p>
        </w:tc>
        <w:tc>
          <w:tcPr>
            <w:tcW w:w="695" w:type="pct"/>
            <w:shd w:val="clear" w:color="auto" w:fill="FFFFFF" w:themeFill="background1"/>
            <w:vAlign w:val="center"/>
          </w:tcPr>
          <w:p w14:paraId="686A4EFE" w14:textId="77777777" w:rsidR="00CF3D50" w:rsidRPr="00CF3D50" w:rsidRDefault="00CF3D50" w:rsidP="00702E73">
            <w:pPr>
              <w:pStyle w:val="Tabletext0"/>
              <w:keepNext/>
              <w:keepLines/>
              <w:jc w:val="right"/>
            </w:pPr>
            <w:r w:rsidRPr="00CF3D50">
              <w:t>NR</w:t>
            </w:r>
          </w:p>
        </w:tc>
      </w:tr>
      <w:tr w:rsidR="006F3878" w:rsidRPr="00CF3D50" w14:paraId="5E2F5272" w14:textId="77777777" w:rsidTr="00CF7F40">
        <w:tc>
          <w:tcPr>
            <w:tcW w:w="1163" w:type="pct"/>
            <w:shd w:val="clear" w:color="auto" w:fill="FFFFFF" w:themeFill="background1"/>
            <w:vAlign w:val="center"/>
          </w:tcPr>
          <w:p w14:paraId="3578DD46" w14:textId="13C4358E" w:rsidR="00CF3D50" w:rsidRPr="00CF3D50" w:rsidRDefault="00CF3D50" w:rsidP="00702E73">
            <w:pPr>
              <w:pStyle w:val="Tabletext0"/>
              <w:keepNext/>
              <w:keepLines/>
              <w:rPr>
                <w:snapToGrid w:val="0"/>
              </w:rPr>
            </w:pPr>
            <w:r w:rsidRPr="00CF3D50">
              <w:rPr>
                <w:snapToGrid w:val="0"/>
              </w:rPr>
              <w:t>Schulte 2005</w:t>
            </w:r>
            <w:r w:rsidR="002256F8" w:rsidRPr="00B22F65">
              <w:rPr>
                <w:snapToGrid w:val="0"/>
                <w:vertAlign w:val="superscript"/>
              </w:rPr>
              <w:fldChar w:fldCharType="begin"/>
            </w:r>
            <w:r w:rsidR="002256F8" w:rsidRPr="00B22F65">
              <w:rPr>
                <w:snapToGrid w:val="0"/>
                <w:vertAlign w:val="superscript"/>
              </w:rPr>
              <w:instrText xml:space="preserve"> NOTEREF _Ref184289082 </w:instrText>
            </w:r>
            <w:r w:rsidR="002256F8">
              <w:rPr>
                <w:snapToGrid w:val="0"/>
                <w:vertAlign w:val="superscript"/>
              </w:rPr>
              <w:instrText xml:space="preserve"> \* MERGEFORMAT </w:instrText>
            </w:r>
            <w:r w:rsidR="002256F8" w:rsidRPr="00B22F65">
              <w:rPr>
                <w:snapToGrid w:val="0"/>
                <w:vertAlign w:val="superscript"/>
              </w:rPr>
              <w:fldChar w:fldCharType="separate"/>
            </w:r>
            <w:r w:rsidR="00AF5AE7">
              <w:rPr>
                <w:snapToGrid w:val="0"/>
                <w:vertAlign w:val="superscript"/>
              </w:rPr>
              <w:t>11</w:t>
            </w:r>
            <w:r w:rsidR="002256F8" w:rsidRPr="00B22F65">
              <w:rPr>
                <w:snapToGrid w:val="0"/>
                <w:vertAlign w:val="superscript"/>
              </w:rPr>
              <w:fldChar w:fldCharType="end"/>
            </w:r>
            <w:r w:rsidRPr="00CF3D50">
              <w:rPr>
                <w:snapToGrid w:val="0"/>
              </w:rPr>
              <w:t>, (1287)</w:t>
            </w:r>
          </w:p>
        </w:tc>
        <w:tc>
          <w:tcPr>
            <w:tcW w:w="683" w:type="pct"/>
            <w:shd w:val="clear" w:color="auto" w:fill="FFFFFF" w:themeFill="background1"/>
            <w:vAlign w:val="center"/>
          </w:tcPr>
          <w:p w14:paraId="78CDA9B5" w14:textId="77777777" w:rsidR="00CF3D50" w:rsidRPr="00CF3D50" w:rsidRDefault="00CF3D50" w:rsidP="00702E73">
            <w:pPr>
              <w:pStyle w:val="Tabletext0"/>
              <w:keepNext/>
              <w:keepLines/>
              <w:rPr>
                <w:snapToGrid w:val="0"/>
              </w:rPr>
            </w:pPr>
            <w:r w:rsidRPr="00CF3D50">
              <w:rPr>
                <w:snapToGrid w:val="0"/>
              </w:rPr>
              <w:t>77 months</w:t>
            </w:r>
          </w:p>
        </w:tc>
        <w:tc>
          <w:tcPr>
            <w:tcW w:w="510" w:type="pct"/>
            <w:shd w:val="clear" w:color="auto" w:fill="FFFFFF" w:themeFill="background1"/>
            <w:vAlign w:val="center"/>
          </w:tcPr>
          <w:p w14:paraId="04F47872" w14:textId="4F16A7FA" w:rsidR="00CF3D50" w:rsidRPr="00CF3D50" w:rsidRDefault="00CF3D50" w:rsidP="00702E73">
            <w:pPr>
              <w:pStyle w:val="Tabletext0"/>
              <w:keepNext/>
              <w:keepLines/>
              <w:jc w:val="right"/>
              <w:rPr>
                <w:snapToGrid w:val="0"/>
              </w:rPr>
            </w:pPr>
            <w:r w:rsidRPr="00CF3D50">
              <w:t>0.9%</w:t>
            </w:r>
          </w:p>
        </w:tc>
        <w:tc>
          <w:tcPr>
            <w:tcW w:w="675" w:type="pct"/>
            <w:shd w:val="clear" w:color="auto" w:fill="FFFFFF" w:themeFill="background1"/>
            <w:vAlign w:val="center"/>
          </w:tcPr>
          <w:p w14:paraId="31BD7246" w14:textId="77777777" w:rsidR="00CF3D50" w:rsidRPr="00CF3D50" w:rsidRDefault="00CF3D50" w:rsidP="00702E73">
            <w:pPr>
              <w:pStyle w:val="Tabletext0"/>
              <w:keepNext/>
              <w:keepLines/>
              <w:jc w:val="right"/>
              <w:rPr>
                <w:snapToGrid w:val="0"/>
              </w:rPr>
            </w:pPr>
            <w:r w:rsidRPr="00CF3D50">
              <w:t>NR</w:t>
            </w:r>
          </w:p>
        </w:tc>
        <w:tc>
          <w:tcPr>
            <w:tcW w:w="637" w:type="pct"/>
            <w:shd w:val="clear" w:color="auto" w:fill="FFFFFF" w:themeFill="background1"/>
            <w:vAlign w:val="center"/>
          </w:tcPr>
          <w:p w14:paraId="4BD5BE7F" w14:textId="07081A79" w:rsidR="00CF3D50" w:rsidRPr="00CF3D50" w:rsidRDefault="00CF3D50" w:rsidP="00702E73">
            <w:pPr>
              <w:pStyle w:val="Tabletext0"/>
              <w:keepNext/>
              <w:keepLines/>
              <w:jc w:val="right"/>
              <w:rPr>
                <w:snapToGrid w:val="0"/>
              </w:rPr>
            </w:pPr>
            <w:r w:rsidRPr="00CF3D50">
              <w:t>72.7%</w:t>
            </w:r>
          </w:p>
        </w:tc>
        <w:tc>
          <w:tcPr>
            <w:tcW w:w="636" w:type="pct"/>
            <w:shd w:val="clear" w:color="auto" w:fill="FFFFFF" w:themeFill="background1"/>
            <w:vAlign w:val="center"/>
          </w:tcPr>
          <w:p w14:paraId="61F9EA86" w14:textId="77777777" w:rsidR="00CF3D50" w:rsidRPr="00CF3D50" w:rsidRDefault="00CF3D50" w:rsidP="00702E73">
            <w:pPr>
              <w:pStyle w:val="Tabletext0"/>
              <w:keepNext/>
              <w:keepLines/>
              <w:jc w:val="right"/>
            </w:pPr>
            <w:r w:rsidRPr="00CF3D50">
              <w:t>NR</w:t>
            </w:r>
          </w:p>
        </w:tc>
        <w:tc>
          <w:tcPr>
            <w:tcW w:w="695" w:type="pct"/>
            <w:shd w:val="clear" w:color="auto" w:fill="FFFFFF" w:themeFill="background1"/>
            <w:vAlign w:val="center"/>
          </w:tcPr>
          <w:p w14:paraId="4BA6EF18" w14:textId="37411621" w:rsidR="00CF3D50" w:rsidRPr="00CF3D50" w:rsidRDefault="00CF3D50" w:rsidP="00702E73">
            <w:pPr>
              <w:pStyle w:val="Tabletext0"/>
              <w:keepNext/>
              <w:keepLines/>
              <w:jc w:val="right"/>
            </w:pPr>
            <w:r w:rsidRPr="00CF3D50">
              <w:t>23.4%</w:t>
            </w:r>
          </w:p>
        </w:tc>
      </w:tr>
      <w:tr w:rsidR="006F3878" w:rsidRPr="00CF3D50" w14:paraId="6A979C15" w14:textId="77777777" w:rsidTr="00CF7F40">
        <w:tc>
          <w:tcPr>
            <w:tcW w:w="1163" w:type="pct"/>
            <w:tcBorders>
              <w:bottom w:val="single" w:sz="4" w:space="0" w:color="auto"/>
            </w:tcBorders>
            <w:shd w:val="clear" w:color="auto" w:fill="FFFFFF" w:themeFill="background1"/>
            <w:vAlign w:val="center"/>
          </w:tcPr>
          <w:p w14:paraId="587ABA60" w14:textId="6F6765FF" w:rsidR="00CF3D50" w:rsidRPr="00CF3D50" w:rsidRDefault="00CF3D50" w:rsidP="00702E73">
            <w:pPr>
              <w:pStyle w:val="Tabletext0"/>
              <w:keepNext/>
              <w:keepLines/>
              <w:rPr>
                <w:snapToGrid w:val="0"/>
              </w:rPr>
            </w:pPr>
            <w:r w:rsidRPr="00CF3D50">
              <w:rPr>
                <w:snapToGrid w:val="0"/>
              </w:rPr>
              <w:t>Tighe 2021</w:t>
            </w:r>
            <w:r w:rsidR="002256F8" w:rsidRPr="00B22F65">
              <w:rPr>
                <w:snapToGrid w:val="0"/>
                <w:vertAlign w:val="superscript"/>
              </w:rPr>
              <w:fldChar w:fldCharType="begin"/>
            </w:r>
            <w:r w:rsidR="002256F8" w:rsidRPr="00B22F65">
              <w:rPr>
                <w:snapToGrid w:val="0"/>
                <w:vertAlign w:val="superscript"/>
              </w:rPr>
              <w:instrText xml:space="preserve"> NOTEREF _Ref184289096 </w:instrText>
            </w:r>
            <w:r w:rsidR="002256F8">
              <w:rPr>
                <w:snapToGrid w:val="0"/>
                <w:vertAlign w:val="superscript"/>
              </w:rPr>
              <w:instrText xml:space="preserve"> \* MERGEFORMAT </w:instrText>
            </w:r>
            <w:r w:rsidR="002256F8" w:rsidRPr="00B22F65">
              <w:rPr>
                <w:snapToGrid w:val="0"/>
                <w:vertAlign w:val="superscript"/>
              </w:rPr>
              <w:fldChar w:fldCharType="separate"/>
            </w:r>
            <w:r w:rsidR="00AF5AE7">
              <w:rPr>
                <w:snapToGrid w:val="0"/>
                <w:vertAlign w:val="superscript"/>
              </w:rPr>
              <w:t>12</w:t>
            </w:r>
            <w:r w:rsidR="002256F8" w:rsidRPr="00B22F65">
              <w:rPr>
                <w:snapToGrid w:val="0"/>
                <w:vertAlign w:val="superscript"/>
              </w:rPr>
              <w:fldChar w:fldCharType="end"/>
            </w:r>
            <w:r w:rsidRPr="00CF3D50">
              <w:rPr>
                <w:snapToGrid w:val="0"/>
              </w:rPr>
              <w:t>, (111)</w:t>
            </w:r>
          </w:p>
        </w:tc>
        <w:tc>
          <w:tcPr>
            <w:tcW w:w="683" w:type="pct"/>
            <w:tcBorders>
              <w:bottom w:val="single" w:sz="4" w:space="0" w:color="auto"/>
            </w:tcBorders>
            <w:shd w:val="clear" w:color="auto" w:fill="FFFFFF" w:themeFill="background1"/>
            <w:vAlign w:val="center"/>
          </w:tcPr>
          <w:p w14:paraId="774CE258" w14:textId="77777777" w:rsidR="00CF3D50" w:rsidRPr="00CF3D50" w:rsidRDefault="00CF3D50" w:rsidP="00702E73">
            <w:pPr>
              <w:pStyle w:val="Tabletext0"/>
              <w:keepNext/>
              <w:keepLines/>
              <w:rPr>
                <w:snapToGrid w:val="0"/>
              </w:rPr>
            </w:pPr>
            <w:r w:rsidRPr="00CF3D50">
              <w:rPr>
                <w:snapToGrid w:val="0"/>
              </w:rPr>
              <w:t>9.6 months</w:t>
            </w:r>
          </w:p>
        </w:tc>
        <w:tc>
          <w:tcPr>
            <w:tcW w:w="510" w:type="pct"/>
            <w:tcBorders>
              <w:bottom w:val="single" w:sz="4" w:space="0" w:color="auto"/>
            </w:tcBorders>
            <w:shd w:val="clear" w:color="auto" w:fill="FFFFFF" w:themeFill="background1"/>
            <w:vAlign w:val="center"/>
          </w:tcPr>
          <w:p w14:paraId="5B943244" w14:textId="77777777" w:rsidR="00CF3D50" w:rsidRPr="00CF3D50" w:rsidRDefault="00CF3D50" w:rsidP="00702E73">
            <w:pPr>
              <w:pStyle w:val="Tabletext0"/>
              <w:keepNext/>
              <w:keepLines/>
              <w:jc w:val="right"/>
              <w:rPr>
                <w:snapToGrid w:val="0"/>
              </w:rPr>
            </w:pPr>
            <w:r w:rsidRPr="00CF3D50">
              <w:t>NR</w:t>
            </w:r>
          </w:p>
        </w:tc>
        <w:tc>
          <w:tcPr>
            <w:tcW w:w="675" w:type="pct"/>
            <w:tcBorders>
              <w:bottom w:val="single" w:sz="4" w:space="0" w:color="auto"/>
            </w:tcBorders>
            <w:shd w:val="clear" w:color="auto" w:fill="FFFFFF" w:themeFill="background1"/>
            <w:vAlign w:val="center"/>
          </w:tcPr>
          <w:p w14:paraId="5F5954E9" w14:textId="77777777" w:rsidR="00CF3D50" w:rsidRPr="00CF3D50" w:rsidRDefault="00CF3D50" w:rsidP="00702E73">
            <w:pPr>
              <w:pStyle w:val="Tabletext0"/>
              <w:keepNext/>
              <w:keepLines/>
              <w:jc w:val="right"/>
              <w:rPr>
                <w:snapToGrid w:val="0"/>
              </w:rPr>
            </w:pPr>
            <w:r w:rsidRPr="00CF3D50">
              <w:t>NR</w:t>
            </w:r>
          </w:p>
        </w:tc>
        <w:tc>
          <w:tcPr>
            <w:tcW w:w="637" w:type="pct"/>
            <w:tcBorders>
              <w:bottom w:val="single" w:sz="4" w:space="0" w:color="auto"/>
            </w:tcBorders>
            <w:shd w:val="clear" w:color="auto" w:fill="FFFFFF" w:themeFill="background1"/>
            <w:vAlign w:val="center"/>
          </w:tcPr>
          <w:p w14:paraId="011B524E" w14:textId="77777777" w:rsidR="00CF3D50" w:rsidRPr="00CF3D50" w:rsidRDefault="00CF3D50" w:rsidP="00702E73">
            <w:pPr>
              <w:pStyle w:val="Tabletext0"/>
              <w:keepNext/>
              <w:keepLines/>
              <w:jc w:val="right"/>
              <w:rPr>
                <w:snapToGrid w:val="0"/>
              </w:rPr>
            </w:pPr>
            <w:r w:rsidRPr="00CF3D50">
              <w:t>NR</w:t>
            </w:r>
          </w:p>
        </w:tc>
        <w:tc>
          <w:tcPr>
            <w:tcW w:w="636" w:type="pct"/>
            <w:tcBorders>
              <w:bottom w:val="single" w:sz="4" w:space="0" w:color="auto"/>
            </w:tcBorders>
            <w:shd w:val="clear" w:color="auto" w:fill="FFFFFF" w:themeFill="background1"/>
            <w:vAlign w:val="center"/>
          </w:tcPr>
          <w:p w14:paraId="10311DC8" w14:textId="08268969" w:rsidR="00CF3D50" w:rsidRPr="00CF3D50" w:rsidRDefault="00CF3D50" w:rsidP="00702E73">
            <w:pPr>
              <w:pStyle w:val="Tabletext0"/>
              <w:keepNext/>
              <w:keepLines/>
              <w:jc w:val="right"/>
            </w:pPr>
            <w:r w:rsidRPr="00CF3D50">
              <w:t>14%</w:t>
            </w:r>
          </w:p>
        </w:tc>
        <w:tc>
          <w:tcPr>
            <w:tcW w:w="695" w:type="pct"/>
            <w:tcBorders>
              <w:bottom w:val="single" w:sz="4" w:space="0" w:color="auto"/>
            </w:tcBorders>
            <w:shd w:val="clear" w:color="auto" w:fill="FFFFFF" w:themeFill="background1"/>
            <w:vAlign w:val="center"/>
          </w:tcPr>
          <w:p w14:paraId="475031E9" w14:textId="77777777" w:rsidR="00CF3D50" w:rsidRPr="00CF3D50" w:rsidRDefault="00CF3D50" w:rsidP="00702E73">
            <w:pPr>
              <w:pStyle w:val="Tabletext0"/>
              <w:keepNext/>
              <w:keepLines/>
              <w:jc w:val="right"/>
            </w:pPr>
            <w:r w:rsidRPr="00CF3D50">
              <w:t>NR</w:t>
            </w:r>
          </w:p>
        </w:tc>
      </w:tr>
      <w:tr w:rsidR="006F3878" w:rsidRPr="00CF3D50" w14:paraId="4F1ABE43" w14:textId="77777777" w:rsidTr="00CF7F40">
        <w:tc>
          <w:tcPr>
            <w:tcW w:w="1163" w:type="pct"/>
            <w:shd w:val="clear" w:color="auto" w:fill="FFFFFF" w:themeFill="background1"/>
            <w:vAlign w:val="center"/>
          </w:tcPr>
          <w:p w14:paraId="554BD175" w14:textId="3CA55638" w:rsidR="00CF3D50" w:rsidRPr="00CF3D50" w:rsidRDefault="00CF3D50" w:rsidP="00702E73">
            <w:pPr>
              <w:pStyle w:val="Tabletext0"/>
              <w:keepNext/>
              <w:keepLines/>
              <w:rPr>
                <w:snapToGrid w:val="0"/>
              </w:rPr>
            </w:pPr>
            <w:r w:rsidRPr="00CF3D50">
              <w:rPr>
                <w:szCs w:val="18"/>
              </w:rPr>
              <w:t>Patel 2017</w:t>
            </w:r>
            <w:r w:rsidR="002256F8" w:rsidRPr="00B22F65">
              <w:rPr>
                <w:szCs w:val="18"/>
                <w:vertAlign w:val="superscript"/>
              </w:rPr>
              <w:fldChar w:fldCharType="begin"/>
            </w:r>
            <w:r w:rsidR="002256F8" w:rsidRPr="00B22F65">
              <w:rPr>
                <w:szCs w:val="18"/>
                <w:vertAlign w:val="superscript"/>
              </w:rPr>
              <w:instrText xml:space="preserve"> NOTEREF _Ref184289106 </w:instrText>
            </w:r>
            <w:r w:rsidR="002256F8">
              <w:rPr>
                <w:szCs w:val="18"/>
                <w:vertAlign w:val="superscript"/>
              </w:rPr>
              <w:instrText xml:space="preserve"> \* MERGEFORMAT </w:instrText>
            </w:r>
            <w:r w:rsidR="002256F8" w:rsidRPr="00B22F65">
              <w:rPr>
                <w:szCs w:val="18"/>
                <w:vertAlign w:val="superscript"/>
              </w:rPr>
              <w:fldChar w:fldCharType="separate"/>
            </w:r>
            <w:r w:rsidR="00AF5AE7">
              <w:rPr>
                <w:szCs w:val="18"/>
                <w:vertAlign w:val="superscript"/>
              </w:rPr>
              <w:t>13</w:t>
            </w:r>
            <w:r w:rsidR="002256F8" w:rsidRPr="00B22F65">
              <w:rPr>
                <w:szCs w:val="18"/>
                <w:vertAlign w:val="superscript"/>
              </w:rPr>
              <w:fldChar w:fldCharType="end"/>
            </w:r>
            <w:r w:rsidRPr="00B22F65">
              <w:rPr>
                <w:szCs w:val="18"/>
                <w:vertAlign w:val="superscript"/>
              </w:rPr>
              <w:t>,</w:t>
            </w:r>
            <w:r w:rsidRPr="00CF3D50">
              <w:rPr>
                <w:szCs w:val="18"/>
              </w:rPr>
              <w:t xml:space="preserve"> (208)</w:t>
            </w:r>
          </w:p>
        </w:tc>
        <w:tc>
          <w:tcPr>
            <w:tcW w:w="683" w:type="pct"/>
            <w:shd w:val="clear" w:color="auto" w:fill="FFFFFF" w:themeFill="background1"/>
            <w:vAlign w:val="center"/>
          </w:tcPr>
          <w:p w14:paraId="58AF4AB2" w14:textId="77777777" w:rsidR="00CF3D50" w:rsidRPr="00CF3D50" w:rsidRDefault="00CF3D50" w:rsidP="00702E73">
            <w:pPr>
              <w:pStyle w:val="Tabletext0"/>
              <w:keepNext/>
              <w:keepLines/>
              <w:rPr>
                <w:snapToGrid w:val="0"/>
              </w:rPr>
            </w:pPr>
            <w:r w:rsidRPr="00CF3D50">
              <w:rPr>
                <w:szCs w:val="18"/>
              </w:rPr>
              <w:t>38 months</w:t>
            </w:r>
          </w:p>
        </w:tc>
        <w:tc>
          <w:tcPr>
            <w:tcW w:w="510" w:type="pct"/>
            <w:shd w:val="clear" w:color="auto" w:fill="FFFFFF" w:themeFill="background1"/>
            <w:vAlign w:val="center"/>
          </w:tcPr>
          <w:p w14:paraId="57D17CA8" w14:textId="3A3A85E3" w:rsidR="00CF3D50" w:rsidRPr="00CF3D50" w:rsidRDefault="00CF3D50" w:rsidP="00702E73">
            <w:pPr>
              <w:pStyle w:val="Tabletext0"/>
              <w:keepNext/>
              <w:keepLines/>
              <w:jc w:val="right"/>
              <w:rPr>
                <w:snapToGrid w:val="0"/>
              </w:rPr>
            </w:pPr>
            <w:r w:rsidRPr="00CF3D50">
              <w:t>1.9%</w:t>
            </w:r>
          </w:p>
        </w:tc>
        <w:tc>
          <w:tcPr>
            <w:tcW w:w="675" w:type="pct"/>
            <w:shd w:val="clear" w:color="auto" w:fill="FFFFFF" w:themeFill="background1"/>
            <w:vAlign w:val="center"/>
          </w:tcPr>
          <w:p w14:paraId="1AA82BC0" w14:textId="28C1CD2B" w:rsidR="00CF3D50" w:rsidRPr="00CF3D50" w:rsidRDefault="00CF3D50" w:rsidP="00702E73">
            <w:pPr>
              <w:pStyle w:val="Tabletext0"/>
              <w:keepNext/>
              <w:keepLines/>
              <w:jc w:val="right"/>
              <w:rPr>
                <w:snapToGrid w:val="0"/>
              </w:rPr>
            </w:pPr>
            <w:r w:rsidRPr="00CF3D50">
              <w:rPr>
                <w:snapToGrid w:val="0"/>
              </w:rPr>
              <w:t>1.4%</w:t>
            </w:r>
          </w:p>
        </w:tc>
        <w:tc>
          <w:tcPr>
            <w:tcW w:w="637" w:type="pct"/>
            <w:shd w:val="clear" w:color="auto" w:fill="FFFFFF" w:themeFill="background1"/>
            <w:vAlign w:val="center"/>
          </w:tcPr>
          <w:p w14:paraId="40A31BBF" w14:textId="722F27CF" w:rsidR="00CF3D50" w:rsidRPr="00CF3D50" w:rsidRDefault="00CF3D50" w:rsidP="00702E73">
            <w:pPr>
              <w:pStyle w:val="Tabletext0"/>
              <w:keepNext/>
              <w:keepLines/>
              <w:jc w:val="right"/>
              <w:rPr>
                <w:snapToGrid w:val="0"/>
              </w:rPr>
            </w:pPr>
            <w:r w:rsidRPr="00CF3D50">
              <w:t>59.36%</w:t>
            </w:r>
          </w:p>
        </w:tc>
        <w:tc>
          <w:tcPr>
            <w:tcW w:w="636" w:type="pct"/>
            <w:shd w:val="clear" w:color="auto" w:fill="FFFFFF" w:themeFill="background1"/>
            <w:vAlign w:val="center"/>
          </w:tcPr>
          <w:p w14:paraId="4C6C54AA" w14:textId="56A2A1F5" w:rsidR="00CF3D50" w:rsidRPr="00CF3D50" w:rsidRDefault="00CF3D50" w:rsidP="00702E73">
            <w:pPr>
              <w:pStyle w:val="Tabletext0"/>
              <w:keepNext/>
              <w:keepLines/>
              <w:jc w:val="right"/>
            </w:pPr>
            <w:r w:rsidRPr="00CF3D50">
              <w:t>5.3%</w:t>
            </w:r>
          </w:p>
        </w:tc>
        <w:tc>
          <w:tcPr>
            <w:tcW w:w="695" w:type="pct"/>
            <w:shd w:val="clear" w:color="auto" w:fill="FFFFFF" w:themeFill="background1"/>
            <w:vAlign w:val="center"/>
          </w:tcPr>
          <w:p w14:paraId="72F8D545" w14:textId="66379080" w:rsidR="00CF3D50" w:rsidRPr="00CF3D50" w:rsidRDefault="00CF3D50" w:rsidP="00702E73">
            <w:pPr>
              <w:pStyle w:val="Tabletext0"/>
              <w:keepNext/>
              <w:keepLines/>
              <w:jc w:val="right"/>
            </w:pPr>
            <w:r w:rsidRPr="00CF3D50">
              <w:t>31.4%</w:t>
            </w:r>
          </w:p>
        </w:tc>
      </w:tr>
      <w:tr w:rsidR="006F3878" w:rsidRPr="00CF3D50" w14:paraId="3CBD637E" w14:textId="77777777" w:rsidTr="00CF7F40">
        <w:tc>
          <w:tcPr>
            <w:tcW w:w="1163" w:type="pct"/>
            <w:tcBorders>
              <w:bottom w:val="single" w:sz="4" w:space="0" w:color="auto"/>
            </w:tcBorders>
            <w:shd w:val="clear" w:color="auto" w:fill="FFFFFF" w:themeFill="background1"/>
            <w:vAlign w:val="center"/>
          </w:tcPr>
          <w:p w14:paraId="5001F677" w14:textId="659BE45D" w:rsidR="00CF3D50" w:rsidRPr="00CF3D50" w:rsidRDefault="00CF3D50" w:rsidP="00702E73">
            <w:pPr>
              <w:pStyle w:val="Tabletext0"/>
              <w:keepNext/>
              <w:keepLines/>
              <w:rPr>
                <w:szCs w:val="18"/>
              </w:rPr>
            </w:pPr>
            <w:r w:rsidRPr="00CF3D50">
              <w:rPr>
                <w:snapToGrid w:val="0"/>
              </w:rPr>
              <w:t>Australian registry (11)</w:t>
            </w:r>
          </w:p>
        </w:tc>
        <w:tc>
          <w:tcPr>
            <w:tcW w:w="683" w:type="pct"/>
            <w:tcBorders>
              <w:bottom w:val="single" w:sz="4" w:space="0" w:color="auto"/>
            </w:tcBorders>
            <w:shd w:val="clear" w:color="auto" w:fill="FFFFFF" w:themeFill="background1"/>
            <w:vAlign w:val="center"/>
          </w:tcPr>
          <w:p w14:paraId="7659232C" w14:textId="77777777" w:rsidR="00CF3D50" w:rsidRPr="00CF3D50" w:rsidRDefault="00CF3D50" w:rsidP="00702E73">
            <w:pPr>
              <w:pStyle w:val="Tabletext0"/>
              <w:keepNext/>
              <w:keepLines/>
              <w:rPr>
                <w:szCs w:val="18"/>
              </w:rPr>
            </w:pPr>
            <w:r w:rsidRPr="00CF3D50">
              <w:rPr>
                <w:szCs w:val="18"/>
              </w:rPr>
              <w:t>18 months</w:t>
            </w:r>
          </w:p>
          <w:p w14:paraId="54A7370F" w14:textId="77777777" w:rsidR="00CF3D50" w:rsidRPr="00CF3D50" w:rsidRDefault="00CF3D50" w:rsidP="00702E73">
            <w:pPr>
              <w:pStyle w:val="Tabletext0"/>
              <w:keepNext/>
              <w:keepLines/>
              <w:rPr>
                <w:szCs w:val="18"/>
              </w:rPr>
            </w:pPr>
            <w:r w:rsidRPr="00CF3D50">
              <w:rPr>
                <w:szCs w:val="18"/>
              </w:rPr>
              <w:t>(median)</w:t>
            </w:r>
          </w:p>
        </w:tc>
        <w:tc>
          <w:tcPr>
            <w:tcW w:w="510" w:type="pct"/>
            <w:tcBorders>
              <w:bottom w:val="single" w:sz="4" w:space="0" w:color="auto"/>
            </w:tcBorders>
            <w:shd w:val="clear" w:color="auto" w:fill="FFFFFF" w:themeFill="background1"/>
            <w:vAlign w:val="center"/>
          </w:tcPr>
          <w:p w14:paraId="2DF81FD4" w14:textId="77777777" w:rsidR="00CF3D50" w:rsidRPr="00CF3D50" w:rsidRDefault="00CF3D50" w:rsidP="00702E73">
            <w:pPr>
              <w:pStyle w:val="Tabletext0"/>
              <w:keepNext/>
              <w:keepLines/>
              <w:jc w:val="right"/>
            </w:pPr>
            <w:r w:rsidRPr="00CF3D50">
              <w:t>0</w:t>
            </w:r>
          </w:p>
        </w:tc>
        <w:tc>
          <w:tcPr>
            <w:tcW w:w="675" w:type="pct"/>
            <w:tcBorders>
              <w:bottom w:val="single" w:sz="4" w:space="0" w:color="auto"/>
            </w:tcBorders>
            <w:shd w:val="clear" w:color="auto" w:fill="FFFFFF" w:themeFill="background1"/>
            <w:vAlign w:val="center"/>
          </w:tcPr>
          <w:p w14:paraId="22E9D8A4" w14:textId="77777777" w:rsidR="00CF3D50" w:rsidRPr="00CF3D50" w:rsidRDefault="00CF3D50" w:rsidP="00702E73">
            <w:pPr>
              <w:pStyle w:val="Tabletext0"/>
              <w:keepNext/>
              <w:keepLines/>
              <w:jc w:val="right"/>
              <w:rPr>
                <w:snapToGrid w:val="0"/>
              </w:rPr>
            </w:pPr>
            <w:r w:rsidRPr="00CF3D50">
              <w:rPr>
                <w:snapToGrid w:val="0"/>
              </w:rPr>
              <w:t>0</w:t>
            </w:r>
          </w:p>
        </w:tc>
        <w:tc>
          <w:tcPr>
            <w:tcW w:w="637" w:type="pct"/>
            <w:tcBorders>
              <w:bottom w:val="single" w:sz="4" w:space="0" w:color="auto"/>
            </w:tcBorders>
            <w:shd w:val="clear" w:color="auto" w:fill="FFFFFF" w:themeFill="background1"/>
            <w:vAlign w:val="center"/>
          </w:tcPr>
          <w:p w14:paraId="0028D024" w14:textId="7B5B0242" w:rsidR="00CF3D50" w:rsidRPr="00CF3D50" w:rsidRDefault="00CF3D50" w:rsidP="00702E73">
            <w:pPr>
              <w:pStyle w:val="Tabletext0"/>
              <w:keepNext/>
              <w:keepLines/>
              <w:jc w:val="right"/>
            </w:pPr>
            <w:r w:rsidRPr="00CF3D50">
              <w:t>18.1%</w:t>
            </w:r>
          </w:p>
        </w:tc>
        <w:tc>
          <w:tcPr>
            <w:tcW w:w="636" w:type="pct"/>
            <w:tcBorders>
              <w:bottom w:val="single" w:sz="4" w:space="0" w:color="auto"/>
            </w:tcBorders>
            <w:shd w:val="clear" w:color="auto" w:fill="FFFFFF" w:themeFill="background1"/>
            <w:vAlign w:val="center"/>
          </w:tcPr>
          <w:p w14:paraId="38C5B046" w14:textId="77777777" w:rsidR="00CF3D50" w:rsidRPr="00CF3D50" w:rsidRDefault="00CF3D50" w:rsidP="00702E73">
            <w:pPr>
              <w:pStyle w:val="Tabletext0"/>
              <w:keepNext/>
              <w:keepLines/>
              <w:jc w:val="right"/>
            </w:pPr>
            <w:r w:rsidRPr="00CF3D50">
              <w:t>0</w:t>
            </w:r>
          </w:p>
        </w:tc>
        <w:tc>
          <w:tcPr>
            <w:tcW w:w="695" w:type="pct"/>
            <w:tcBorders>
              <w:bottom w:val="single" w:sz="4" w:space="0" w:color="auto"/>
            </w:tcBorders>
            <w:shd w:val="clear" w:color="auto" w:fill="FFFFFF" w:themeFill="background1"/>
            <w:vAlign w:val="center"/>
          </w:tcPr>
          <w:p w14:paraId="130833F1" w14:textId="77777777" w:rsidR="00CF3D50" w:rsidRPr="00CF3D50" w:rsidRDefault="00CF3D50" w:rsidP="00702E73">
            <w:pPr>
              <w:pStyle w:val="Tabletext0"/>
              <w:keepNext/>
              <w:keepLines/>
              <w:jc w:val="right"/>
            </w:pPr>
            <w:r w:rsidRPr="00CF3D50">
              <w:t>0</w:t>
            </w:r>
          </w:p>
        </w:tc>
      </w:tr>
    </w:tbl>
    <w:p w14:paraId="71788786" w14:textId="3FC3BB9A" w:rsidR="009446A0" w:rsidRDefault="009446A0" w:rsidP="00702E73">
      <w:pPr>
        <w:pStyle w:val="TableFigureFooter"/>
        <w:keepNext/>
        <w:keepLines/>
      </w:pPr>
      <w:r w:rsidRPr="00BA438C">
        <w:t>EBRT = external beam radiation therapy</w:t>
      </w:r>
      <w:r>
        <w:t>; NR = not reported</w:t>
      </w:r>
      <w:r w:rsidRPr="00081217">
        <w:t xml:space="preserve"> </w:t>
      </w:r>
      <w:r w:rsidRPr="00BA438C">
        <w:t>Re-188 = Rhenium-188</w:t>
      </w:r>
    </w:p>
    <w:p w14:paraId="586AD735" w14:textId="46B07CC6" w:rsidR="00DD6492" w:rsidRDefault="00DD6492" w:rsidP="00A922E5">
      <w:pPr>
        <w:pStyle w:val="TableFigureFooter"/>
        <w:rPr>
          <w:rFonts w:ascii="Franklin Gothic Book" w:eastAsiaTheme="minorHAnsi" w:hAnsi="Franklin Gothic Book" w:cstheme="minorBidi"/>
          <w:snapToGrid/>
          <w:sz w:val="22"/>
          <w:lang w:eastAsia="en-US"/>
        </w:rPr>
      </w:pPr>
      <w:r>
        <w:rPr>
          <w:rFonts w:ascii="Franklin Gothic Book" w:eastAsiaTheme="minorHAnsi" w:hAnsi="Franklin Gothic Book" w:cstheme="minorBidi"/>
          <w:snapToGrid/>
          <w:sz w:val="22"/>
          <w:lang w:eastAsia="en-US"/>
        </w:rPr>
        <w:t>Similarly, t</w:t>
      </w:r>
      <w:r w:rsidRPr="00DD6492">
        <w:rPr>
          <w:rFonts w:ascii="Franklin Gothic Book" w:eastAsiaTheme="minorHAnsi" w:hAnsi="Franklin Gothic Book" w:cstheme="minorBidi"/>
          <w:snapToGrid/>
          <w:sz w:val="22"/>
          <w:lang w:eastAsia="en-US"/>
        </w:rPr>
        <w:t xml:space="preserve">he commentary considered that there were considerable limitations to the evidence available: there was heterogeneity between the studies’ results, varying sample sizes </w:t>
      </w:r>
      <w:r w:rsidR="005837FE">
        <w:rPr>
          <w:rFonts w:ascii="Franklin Gothic Book" w:eastAsiaTheme="minorHAnsi" w:hAnsi="Franklin Gothic Book" w:cstheme="minorBidi"/>
          <w:snapToGrid/>
          <w:sz w:val="22"/>
          <w:lang w:eastAsia="en-US"/>
        </w:rPr>
        <w:t>though</w:t>
      </w:r>
      <w:r w:rsidRPr="00DD6492">
        <w:rPr>
          <w:rFonts w:ascii="Franklin Gothic Book" w:eastAsiaTheme="minorHAnsi" w:hAnsi="Franklin Gothic Book" w:cstheme="minorBidi"/>
          <w:snapToGrid/>
          <w:sz w:val="22"/>
          <w:lang w:eastAsia="en-US"/>
        </w:rPr>
        <w:t xml:space="preserve"> sample sizes for EBRT</w:t>
      </w:r>
      <w:r w:rsidR="005837FE">
        <w:rPr>
          <w:rFonts w:ascii="Franklin Gothic Book" w:eastAsiaTheme="minorHAnsi" w:hAnsi="Franklin Gothic Book" w:cstheme="minorBidi"/>
          <w:snapToGrid/>
          <w:sz w:val="22"/>
          <w:lang w:eastAsia="en-US"/>
        </w:rPr>
        <w:t xml:space="preserve"> were better for long term follow up of toxicities</w:t>
      </w:r>
      <w:r w:rsidR="003348BB">
        <w:rPr>
          <w:rFonts w:ascii="Franklin Gothic Book" w:eastAsiaTheme="minorHAnsi" w:hAnsi="Franklin Gothic Book" w:cstheme="minorBidi"/>
          <w:snapToGrid/>
          <w:sz w:val="22"/>
          <w:lang w:eastAsia="en-US"/>
        </w:rPr>
        <w:t xml:space="preserve">, </w:t>
      </w:r>
      <w:r w:rsidRPr="00DD6492">
        <w:rPr>
          <w:rFonts w:ascii="Franklin Gothic Book" w:eastAsiaTheme="minorHAnsi" w:hAnsi="Franklin Gothic Book" w:cstheme="minorBidi"/>
          <w:snapToGrid/>
          <w:sz w:val="22"/>
          <w:lang w:eastAsia="en-US"/>
        </w:rPr>
        <w:t>there was a lack of uniformity in the follow-up across studies</w:t>
      </w:r>
      <w:r w:rsidR="003348BB">
        <w:rPr>
          <w:rFonts w:ascii="Franklin Gothic Book" w:eastAsiaTheme="minorHAnsi" w:hAnsi="Franklin Gothic Book" w:cstheme="minorBidi"/>
          <w:snapToGrid/>
          <w:sz w:val="22"/>
          <w:lang w:eastAsia="en-US"/>
        </w:rPr>
        <w:t xml:space="preserve"> and when the late toxicities were identified</w:t>
      </w:r>
      <w:r w:rsidRPr="00DD6492">
        <w:rPr>
          <w:rFonts w:ascii="Franklin Gothic Book" w:eastAsiaTheme="minorHAnsi" w:hAnsi="Franklin Gothic Book" w:cstheme="minorBidi"/>
          <w:snapToGrid/>
          <w:sz w:val="22"/>
          <w:lang w:eastAsia="en-US"/>
        </w:rPr>
        <w:t>. Therefore, it is difficult to draw conclusions around the comparison of Re-188 brachytherapy to EBRT with regards to safety.</w:t>
      </w:r>
    </w:p>
    <w:p w14:paraId="51A6E2A9" w14:textId="28296186" w:rsidR="00A922E5" w:rsidRPr="00CE28E3" w:rsidRDefault="001970E1" w:rsidP="00A922E5">
      <w:pPr>
        <w:pStyle w:val="TableFigureFooter"/>
      </w:pPr>
      <w:r>
        <w:rPr>
          <w:rFonts w:ascii="Franklin Gothic Book" w:eastAsiaTheme="minorHAnsi" w:hAnsi="Franklin Gothic Book" w:cstheme="minorBidi"/>
          <w:snapToGrid/>
          <w:sz w:val="22"/>
          <w:lang w:eastAsia="en-US"/>
        </w:rPr>
        <w:t>The commentary</w:t>
      </w:r>
      <w:r w:rsidR="005E5E88">
        <w:rPr>
          <w:rFonts w:ascii="Franklin Gothic Book" w:eastAsiaTheme="minorHAnsi" w:hAnsi="Franklin Gothic Book" w:cstheme="minorBidi"/>
          <w:snapToGrid/>
          <w:sz w:val="22"/>
          <w:lang w:eastAsia="en-US"/>
        </w:rPr>
        <w:t xml:space="preserve"> considered </w:t>
      </w:r>
      <w:r w:rsidR="00A922E5">
        <w:rPr>
          <w:rFonts w:ascii="Franklin Gothic Book" w:eastAsiaTheme="minorHAnsi" w:hAnsi="Franklin Gothic Book" w:cstheme="minorBidi"/>
          <w:snapToGrid/>
          <w:sz w:val="22"/>
          <w:lang w:eastAsia="en-US"/>
        </w:rPr>
        <w:t xml:space="preserve">that the </w:t>
      </w:r>
      <w:r w:rsidR="00892C9B">
        <w:rPr>
          <w:rFonts w:ascii="Franklin Gothic Book" w:eastAsiaTheme="minorHAnsi" w:hAnsi="Franklin Gothic Book" w:cstheme="minorBidi"/>
          <w:snapToGrid/>
          <w:sz w:val="22"/>
          <w:lang w:eastAsia="en-US"/>
        </w:rPr>
        <w:t>comparative safety</w:t>
      </w:r>
      <w:r w:rsidR="00A922E5" w:rsidRPr="008474DC">
        <w:rPr>
          <w:rFonts w:ascii="Franklin Gothic Book" w:eastAsiaTheme="minorHAnsi" w:hAnsi="Franklin Gothic Book" w:cstheme="minorBidi"/>
          <w:snapToGrid/>
          <w:sz w:val="22"/>
          <w:lang w:eastAsia="en-US"/>
        </w:rPr>
        <w:t xml:space="preserve"> evidence present</w:t>
      </w:r>
      <w:r w:rsidR="00892C9B">
        <w:rPr>
          <w:rFonts w:ascii="Franklin Gothic Book" w:eastAsiaTheme="minorHAnsi" w:hAnsi="Franklin Gothic Book" w:cstheme="minorBidi"/>
          <w:snapToGrid/>
          <w:sz w:val="22"/>
          <w:lang w:eastAsia="en-US"/>
        </w:rPr>
        <w:t>ed in the ADAR</w:t>
      </w:r>
      <w:r w:rsidR="00A922E5" w:rsidRPr="008474DC">
        <w:rPr>
          <w:rFonts w:ascii="Franklin Gothic Book" w:eastAsiaTheme="minorHAnsi" w:hAnsi="Franklin Gothic Book" w:cstheme="minorBidi"/>
          <w:snapToGrid/>
          <w:sz w:val="22"/>
          <w:lang w:eastAsia="en-US"/>
        </w:rPr>
        <w:t xml:space="preserve"> was inadequate to </w:t>
      </w:r>
      <w:r w:rsidR="00A922E5">
        <w:rPr>
          <w:rFonts w:ascii="Franklin Gothic Book" w:eastAsiaTheme="minorHAnsi" w:hAnsi="Franklin Gothic Book" w:cstheme="minorBidi"/>
          <w:snapToGrid/>
          <w:sz w:val="22"/>
          <w:lang w:eastAsia="en-US"/>
        </w:rPr>
        <w:t xml:space="preserve">accurately </w:t>
      </w:r>
      <w:r w:rsidR="00A922E5" w:rsidRPr="008474DC">
        <w:rPr>
          <w:rFonts w:ascii="Franklin Gothic Book" w:eastAsiaTheme="minorHAnsi" w:hAnsi="Franklin Gothic Book" w:cstheme="minorBidi"/>
          <w:snapToGrid/>
          <w:sz w:val="22"/>
          <w:lang w:eastAsia="en-US"/>
        </w:rPr>
        <w:t>assess the comparative safety of Re-188 brachytherapy and EBRT for BCC and SCC</w:t>
      </w:r>
      <w:r w:rsidR="00892C9B">
        <w:rPr>
          <w:rFonts w:ascii="Franklin Gothic Book" w:eastAsiaTheme="minorHAnsi" w:hAnsi="Franklin Gothic Book" w:cstheme="minorBidi"/>
          <w:snapToGrid/>
          <w:sz w:val="22"/>
          <w:lang w:eastAsia="en-US"/>
        </w:rPr>
        <w:t xml:space="preserve">, </w:t>
      </w:r>
      <w:r w:rsidR="00846CDC">
        <w:rPr>
          <w:rFonts w:ascii="Franklin Gothic Book" w:eastAsiaTheme="minorHAnsi" w:hAnsi="Franklin Gothic Book" w:cstheme="minorBidi"/>
          <w:snapToGrid/>
          <w:sz w:val="22"/>
          <w:lang w:eastAsia="en-US"/>
        </w:rPr>
        <w:t xml:space="preserve">noting that </w:t>
      </w:r>
      <w:r w:rsidR="0006082F">
        <w:rPr>
          <w:rFonts w:ascii="Franklin Gothic Book" w:eastAsiaTheme="minorHAnsi" w:hAnsi="Franklin Gothic Book" w:cstheme="minorBidi"/>
          <w:snapToGrid/>
          <w:sz w:val="22"/>
          <w:lang w:eastAsia="en-US"/>
        </w:rPr>
        <w:t xml:space="preserve">Grade 3+ adverse events occur more frequently </w:t>
      </w:r>
      <w:r w:rsidR="00846CDC">
        <w:rPr>
          <w:rFonts w:ascii="Franklin Gothic Book" w:eastAsiaTheme="minorHAnsi" w:hAnsi="Franklin Gothic Book" w:cstheme="minorBidi"/>
          <w:snapToGrid/>
          <w:sz w:val="22"/>
          <w:lang w:eastAsia="en-US"/>
        </w:rPr>
        <w:t xml:space="preserve">with </w:t>
      </w:r>
      <w:r w:rsidR="0006082F" w:rsidRPr="0006082F">
        <w:rPr>
          <w:rFonts w:ascii="Franklin Gothic Book" w:eastAsiaTheme="minorHAnsi" w:hAnsi="Franklin Gothic Book" w:cstheme="minorBidi"/>
          <w:snapToGrid/>
          <w:sz w:val="22"/>
          <w:lang w:eastAsia="en-US"/>
        </w:rPr>
        <w:t>Re-188 brachytherapy</w:t>
      </w:r>
      <w:r w:rsidR="00846CDC">
        <w:rPr>
          <w:rFonts w:ascii="Franklin Gothic Book" w:eastAsiaTheme="minorHAnsi" w:hAnsi="Franklin Gothic Book" w:cstheme="minorBidi"/>
          <w:snapToGrid/>
          <w:sz w:val="22"/>
          <w:lang w:eastAsia="en-US"/>
        </w:rPr>
        <w:t xml:space="preserve"> than with EBRT</w:t>
      </w:r>
      <w:r w:rsidR="0006082F">
        <w:rPr>
          <w:rFonts w:ascii="Franklin Gothic Book" w:eastAsiaTheme="minorHAnsi" w:hAnsi="Franklin Gothic Book" w:cstheme="minorBidi"/>
          <w:snapToGrid/>
          <w:sz w:val="22"/>
          <w:lang w:eastAsia="en-US"/>
        </w:rPr>
        <w:t>.</w:t>
      </w:r>
    </w:p>
    <w:p w14:paraId="3717AA01" w14:textId="12728319" w:rsidR="00772829" w:rsidRPr="00CE28E3" w:rsidRDefault="00772829" w:rsidP="00B809FE">
      <w:pPr>
        <w:pStyle w:val="Heading2"/>
        <w:numPr>
          <w:ilvl w:val="0"/>
          <w:numId w:val="18"/>
        </w:numPr>
        <w:ind w:hanging="720"/>
      </w:pPr>
      <w:bookmarkStart w:id="37" w:name="_Toc69491424"/>
      <w:r w:rsidRPr="00CE28E3">
        <w:t>Comparative effectiveness</w:t>
      </w:r>
      <w:bookmarkEnd w:id="37"/>
    </w:p>
    <w:p w14:paraId="7D490697" w14:textId="77777777" w:rsidR="00E86983" w:rsidRDefault="00656DEC" w:rsidP="00BF78F4">
      <w:r>
        <w:t xml:space="preserve">The ADAR presented </w:t>
      </w:r>
      <w:r w:rsidR="00F91C30">
        <w:t>response</w:t>
      </w:r>
      <w:r w:rsidR="00E86983">
        <w:t>, relapse, cosmetic and quality of life results from the included studies.</w:t>
      </w:r>
    </w:p>
    <w:p w14:paraId="6C9C4905" w14:textId="77777777" w:rsidR="00D546D5" w:rsidRDefault="00D546D5" w:rsidP="00D546D5">
      <w:pPr>
        <w:pStyle w:val="Heading3"/>
      </w:pPr>
      <w:r>
        <w:t>Response rates</w:t>
      </w:r>
    </w:p>
    <w:p w14:paraId="21EFA0DC" w14:textId="75F35918" w:rsidR="00BF78F4" w:rsidRDefault="00D546D5" w:rsidP="00BF78F4">
      <w:r>
        <w:t xml:space="preserve">The ADAR presented </w:t>
      </w:r>
      <w:r w:rsidR="005C5507" w:rsidRPr="005C5507">
        <w:t xml:space="preserve">complete </w:t>
      </w:r>
      <w:r w:rsidR="005C5507">
        <w:t>and</w:t>
      </w:r>
      <w:r w:rsidR="005C5507" w:rsidRPr="005C5507">
        <w:t xml:space="preserve"> partial response </w:t>
      </w:r>
      <w:r w:rsidR="00656DEC">
        <w:t>results</w:t>
      </w:r>
      <w:r w:rsidR="00F31C5A">
        <w:t xml:space="preserve"> </w:t>
      </w:r>
      <w:r w:rsidR="005C5507">
        <w:t>for</w:t>
      </w:r>
      <w:r w:rsidR="00BF78F4">
        <w:t xml:space="preserve"> </w:t>
      </w:r>
      <w:r w:rsidR="00B17788">
        <w:t>Re-188 brachytherapy</w:t>
      </w:r>
      <w:r w:rsidR="00F31C5A">
        <w:t xml:space="preserve"> </w:t>
      </w:r>
      <w:r w:rsidR="005C5507">
        <w:t>at</w:t>
      </w:r>
      <w:r w:rsidR="00C56403">
        <w:t xml:space="preserve"> 12</w:t>
      </w:r>
      <w:r w:rsidR="002256F8">
        <w:t>-</w:t>
      </w:r>
      <w:r w:rsidR="00C56403">
        <w:t>months follow</w:t>
      </w:r>
      <w:r w:rsidR="002256F8">
        <w:t>-</w:t>
      </w:r>
      <w:r w:rsidR="00C56403">
        <w:t>up from the EPIC Skin</w:t>
      </w:r>
      <w:r w:rsidR="00134CF9">
        <w:t xml:space="preserve"> study, </w:t>
      </w:r>
      <w:r w:rsidR="002774F9">
        <w:t>and Tietze et al. 2023</w:t>
      </w:r>
      <w:r w:rsidR="00C36EA8">
        <w:t xml:space="preserve"> (</w:t>
      </w:r>
      <w:r w:rsidR="002B055C">
        <w:fldChar w:fldCharType="begin"/>
      </w:r>
      <w:r w:rsidR="002B055C">
        <w:instrText xml:space="preserve"> REF _Ref184220576 \h </w:instrText>
      </w:r>
      <w:r w:rsidR="002B055C">
        <w:fldChar w:fldCharType="separate"/>
      </w:r>
      <w:r w:rsidR="00AF5AE7">
        <w:t xml:space="preserve">Table </w:t>
      </w:r>
      <w:r w:rsidR="00AF5AE7">
        <w:rPr>
          <w:noProof/>
        </w:rPr>
        <w:t>12</w:t>
      </w:r>
      <w:r w:rsidR="002B055C">
        <w:fldChar w:fldCharType="end"/>
      </w:r>
      <w:r w:rsidR="002B055C">
        <w:t>)</w:t>
      </w:r>
      <w:r w:rsidR="00F8602E">
        <w:t xml:space="preserve">. </w:t>
      </w:r>
    </w:p>
    <w:p w14:paraId="3335EEF4" w14:textId="743434D4" w:rsidR="003A4138" w:rsidRDefault="003A4138" w:rsidP="003A4138">
      <w:pPr>
        <w:pStyle w:val="Caption"/>
      </w:pPr>
      <w:bookmarkStart w:id="38" w:name="_Ref184220576"/>
      <w:r>
        <w:lastRenderedPageBreak/>
        <w:t xml:space="preserve">Table </w:t>
      </w:r>
      <w:r w:rsidR="007F4BCC">
        <w:fldChar w:fldCharType="begin"/>
      </w:r>
      <w:r w:rsidR="007F4BCC">
        <w:instrText xml:space="preserve"> SEQ Table \* ARABIC </w:instrText>
      </w:r>
      <w:r w:rsidR="007F4BCC">
        <w:fldChar w:fldCharType="separate"/>
      </w:r>
      <w:r w:rsidR="00AF5AE7">
        <w:rPr>
          <w:noProof/>
        </w:rPr>
        <w:t>12</w:t>
      </w:r>
      <w:r w:rsidR="007F4BCC">
        <w:rPr>
          <w:noProof/>
        </w:rPr>
        <w:fldChar w:fldCharType="end"/>
      </w:r>
      <w:bookmarkEnd w:id="38"/>
      <w:r>
        <w:t xml:space="preserve"> </w:t>
      </w:r>
      <w:r w:rsidRPr="00292E36">
        <w:t xml:space="preserve">Key clinical effectiveness </w:t>
      </w:r>
      <w:r>
        <w:t>(</w:t>
      </w:r>
      <w:r w:rsidR="00425215">
        <w:t xml:space="preserve">complete or partial response </w:t>
      </w:r>
      <w:r w:rsidR="003A3709">
        <w:t>per lesion</w:t>
      </w:r>
      <w:r w:rsidR="00425215">
        <w:t xml:space="preserve">) </w:t>
      </w:r>
      <w:r w:rsidRPr="00292E36">
        <w:t>results from the</w:t>
      </w:r>
      <w:r>
        <w:t xml:space="preserve"> </w:t>
      </w:r>
      <w:r w:rsidR="00B17788">
        <w:t>Re-188 brachytherapy</w:t>
      </w:r>
      <w:r>
        <w:t xml:space="preserve"> studies</w:t>
      </w:r>
      <w:r w:rsidR="0029590F">
        <w:t xml:space="preserve"> at 12</w:t>
      </w:r>
      <w:r w:rsidR="002256F8">
        <w:t>-</w:t>
      </w:r>
      <w:r w:rsidR="0029590F">
        <w:t>month</w:t>
      </w:r>
      <w:r w:rsidR="002256F8">
        <w:t>s</w:t>
      </w:r>
      <w:r w:rsidR="0029590F">
        <w:t xml:space="preserve"> follow 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3114"/>
        <w:gridCol w:w="2490"/>
        <w:gridCol w:w="3412"/>
      </w:tblGrid>
      <w:tr w:rsidR="005C5507" w:rsidRPr="000B5086" w14:paraId="418BEA3C" w14:textId="77777777" w:rsidTr="00B22F65">
        <w:trPr>
          <w:trHeight w:val="529"/>
          <w:tblHeader/>
        </w:trPr>
        <w:tc>
          <w:tcPr>
            <w:tcW w:w="1727" w:type="pct"/>
            <w:shd w:val="clear" w:color="auto" w:fill="FFFFFF" w:themeFill="background1"/>
            <w:vAlign w:val="center"/>
          </w:tcPr>
          <w:p w14:paraId="0034CE1B" w14:textId="77777777" w:rsidR="005C5507" w:rsidRPr="000B5086" w:rsidRDefault="005C5507" w:rsidP="00B22F65">
            <w:pPr>
              <w:pStyle w:val="Tabletext0"/>
              <w:jc w:val="left"/>
              <w:rPr>
                <w:b/>
                <w:bCs/>
              </w:rPr>
            </w:pPr>
            <w:r w:rsidRPr="000B5086">
              <w:rPr>
                <w:b/>
                <w:bCs/>
              </w:rPr>
              <w:t>Study ID</w:t>
            </w:r>
          </w:p>
        </w:tc>
        <w:tc>
          <w:tcPr>
            <w:tcW w:w="1381" w:type="pct"/>
            <w:shd w:val="clear" w:color="auto" w:fill="FFFFFF" w:themeFill="background1"/>
            <w:vAlign w:val="center"/>
          </w:tcPr>
          <w:p w14:paraId="4207BABB" w14:textId="77777777" w:rsidR="005C5507" w:rsidRPr="000B5086" w:rsidRDefault="005C5507" w:rsidP="00B22F65">
            <w:pPr>
              <w:pStyle w:val="Tabletext0"/>
              <w:jc w:val="left"/>
              <w:rPr>
                <w:b/>
                <w:bCs/>
              </w:rPr>
            </w:pPr>
            <w:r w:rsidRPr="000B5086">
              <w:rPr>
                <w:b/>
                <w:bCs/>
              </w:rPr>
              <w:t>Complete Response</w:t>
            </w:r>
          </w:p>
        </w:tc>
        <w:tc>
          <w:tcPr>
            <w:tcW w:w="1892" w:type="pct"/>
            <w:shd w:val="clear" w:color="auto" w:fill="FFFFFF" w:themeFill="background1"/>
            <w:vAlign w:val="center"/>
          </w:tcPr>
          <w:p w14:paraId="3D936E76" w14:textId="77777777" w:rsidR="005C5507" w:rsidRPr="000B5086" w:rsidRDefault="005C5507" w:rsidP="00B22F65">
            <w:pPr>
              <w:pStyle w:val="Tabletext0"/>
              <w:jc w:val="left"/>
              <w:rPr>
                <w:b/>
                <w:bCs/>
              </w:rPr>
            </w:pPr>
            <w:r w:rsidRPr="000B5086">
              <w:rPr>
                <w:b/>
                <w:bCs/>
              </w:rPr>
              <w:t>Partial Response</w:t>
            </w:r>
          </w:p>
        </w:tc>
      </w:tr>
      <w:tr w:rsidR="005C5507" w:rsidRPr="000B5086" w14:paraId="0E34E34B" w14:textId="77777777" w:rsidTr="00B22F65">
        <w:trPr>
          <w:trHeight w:val="233"/>
        </w:trPr>
        <w:tc>
          <w:tcPr>
            <w:tcW w:w="1727" w:type="pct"/>
            <w:shd w:val="clear" w:color="auto" w:fill="FFFFFF" w:themeFill="background1"/>
            <w:vAlign w:val="center"/>
          </w:tcPr>
          <w:p w14:paraId="24BD631B" w14:textId="4BC1148A" w:rsidR="005C5507" w:rsidRPr="000B5086" w:rsidRDefault="005C5507" w:rsidP="000B5086">
            <w:pPr>
              <w:pStyle w:val="Tabletext0"/>
            </w:pPr>
            <w:r w:rsidRPr="000B5086">
              <w:t>EPIC-Skin</w:t>
            </w:r>
            <w:r w:rsidR="002256F8" w:rsidRPr="00BA438C">
              <w:rPr>
                <w:snapToGrid w:val="0"/>
                <w:vertAlign w:val="superscript"/>
              </w:rPr>
              <w:fldChar w:fldCharType="begin"/>
            </w:r>
            <w:r w:rsidR="002256F8" w:rsidRPr="00BA438C">
              <w:rPr>
                <w:snapToGrid w:val="0"/>
                <w:vertAlign w:val="superscript"/>
              </w:rPr>
              <w:instrText xml:space="preserve"> NOTEREF _Ref184288236 </w:instrText>
            </w:r>
            <w:r w:rsidR="002256F8">
              <w:rPr>
                <w:snapToGrid w:val="0"/>
                <w:vertAlign w:val="superscript"/>
              </w:rPr>
              <w:instrText xml:space="preserve"> \* MERGEFORMAT </w:instrText>
            </w:r>
            <w:r w:rsidR="002256F8" w:rsidRPr="00BA438C">
              <w:rPr>
                <w:snapToGrid w:val="0"/>
                <w:vertAlign w:val="superscript"/>
              </w:rPr>
              <w:fldChar w:fldCharType="separate"/>
            </w:r>
            <w:r w:rsidR="00AF5AE7">
              <w:rPr>
                <w:snapToGrid w:val="0"/>
                <w:vertAlign w:val="superscript"/>
              </w:rPr>
              <w:t>3</w:t>
            </w:r>
            <w:r w:rsidR="002256F8" w:rsidRPr="00BA438C">
              <w:rPr>
                <w:snapToGrid w:val="0"/>
                <w:vertAlign w:val="superscript"/>
              </w:rPr>
              <w:fldChar w:fldCharType="end"/>
            </w:r>
          </w:p>
        </w:tc>
        <w:tc>
          <w:tcPr>
            <w:tcW w:w="1381" w:type="pct"/>
            <w:shd w:val="clear" w:color="auto" w:fill="FFFFFF" w:themeFill="background1"/>
            <w:vAlign w:val="center"/>
          </w:tcPr>
          <w:p w14:paraId="793907AC" w14:textId="77777777" w:rsidR="005C5507" w:rsidRPr="000B5086" w:rsidRDefault="005C5507" w:rsidP="000B5086">
            <w:pPr>
              <w:pStyle w:val="Tabletext0"/>
            </w:pPr>
            <w:r w:rsidRPr="000B5086">
              <w:t>174/185 (94.1%)</w:t>
            </w:r>
          </w:p>
        </w:tc>
        <w:tc>
          <w:tcPr>
            <w:tcW w:w="1892" w:type="pct"/>
            <w:shd w:val="clear" w:color="auto" w:fill="FFFFFF" w:themeFill="background1"/>
          </w:tcPr>
          <w:p w14:paraId="1BE8536A" w14:textId="77777777" w:rsidR="005C5507" w:rsidRPr="000B5086" w:rsidRDefault="005C5507" w:rsidP="000B5086">
            <w:pPr>
              <w:pStyle w:val="Tabletext0"/>
            </w:pPr>
            <w:r w:rsidRPr="000B5086">
              <w:t>6/185 (3.2%)</w:t>
            </w:r>
          </w:p>
        </w:tc>
      </w:tr>
      <w:tr w:rsidR="004B6A93" w:rsidRPr="000B5086" w14:paraId="4C304F5A" w14:textId="77777777" w:rsidTr="00B22F65">
        <w:trPr>
          <w:trHeight w:val="233"/>
        </w:trPr>
        <w:tc>
          <w:tcPr>
            <w:tcW w:w="1727" w:type="pct"/>
            <w:shd w:val="clear" w:color="auto" w:fill="FFFFFF" w:themeFill="background1"/>
          </w:tcPr>
          <w:p w14:paraId="216F9E22" w14:textId="5189B46F" w:rsidR="004B6A93" w:rsidRPr="000B5086" w:rsidRDefault="002256F8" w:rsidP="000B5086">
            <w:pPr>
              <w:pStyle w:val="Tabletext0"/>
            </w:pPr>
            <w:r>
              <w:rPr>
                <w:spacing w:val="-2"/>
              </w:rPr>
              <w:t>*Castellucci 2021</w:t>
            </w:r>
            <w:r>
              <w:rPr>
                <w:rStyle w:val="FootnoteReference"/>
                <w:spacing w:val="-2"/>
              </w:rPr>
              <w:footnoteReference w:id="21"/>
            </w:r>
          </w:p>
        </w:tc>
        <w:tc>
          <w:tcPr>
            <w:tcW w:w="1381" w:type="pct"/>
            <w:shd w:val="clear" w:color="auto" w:fill="FFFFFF" w:themeFill="background1"/>
            <w:vAlign w:val="center"/>
          </w:tcPr>
          <w:p w14:paraId="5212472F" w14:textId="5C1F26FA" w:rsidR="004B6A93" w:rsidRPr="000B5086" w:rsidRDefault="00ED3EE2" w:rsidP="000B5086">
            <w:pPr>
              <w:pStyle w:val="Tabletext0"/>
            </w:pPr>
            <w:r w:rsidRPr="00ED3EE2">
              <w:t>41/41 (100%)</w:t>
            </w:r>
          </w:p>
        </w:tc>
        <w:tc>
          <w:tcPr>
            <w:tcW w:w="1892" w:type="pct"/>
            <w:shd w:val="clear" w:color="auto" w:fill="FFFFFF" w:themeFill="background1"/>
          </w:tcPr>
          <w:p w14:paraId="2241AA55" w14:textId="567E3CDF" w:rsidR="004B6A93" w:rsidRPr="000B5086" w:rsidRDefault="00E61622" w:rsidP="000B5086">
            <w:pPr>
              <w:pStyle w:val="Tabletext0"/>
            </w:pPr>
            <w:r>
              <w:t>0</w:t>
            </w:r>
          </w:p>
        </w:tc>
      </w:tr>
      <w:tr w:rsidR="005C5507" w:rsidRPr="000B5086" w14:paraId="1214B01C" w14:textId="77777777" w:rsidTr="00B22F65">
        <w:tc>
          <w:tcPr>
            <w:tcW w:w="1727" w:type="pct"/>
            <w:shd w:val="clear" w:color="auto" w:fill="FFFFFF" w:themeFill="background1"/>
            <w:vAlign w:val="center"/>
          </w:tcPr>
          <w:p w14:paraId="1D5E42E8" w14:textId="60A1D9D4" w:rsidR="005C5507" w:rsidRPr="000B5086" w:rsidRDefault="005C5507" w:rsidP="000B5086">
            <w:pPr>
              <w:pStyle w:val="Tabletext0"/>
            </w:pPr>
            <w:r w:rsidRPr="000B5086">
              <w:t>Tietze 2023</w:t>
            </w:r>
            <w:r w:rsidR="002256F8" w:rsidRPr="00BA438C">
              <w:rPr>
                <w:snapToGrid w:val="0"/>
                <w:vertAlign w:val="superscript"/>
              </w:rPr>
              <w:fldChar w:fldCharType="begin"/>
            </w:r>
            <w:r w:rsidR="002256F8" w:rsidRPr="00BA438C">
              <w:rPr>
                <w:snapToGrid w:val="0"/>
                <w:vertAlign w:val="superscript"/>
              </w:rPr>
              <w:instrText xml:space="preserve"> NOTEREF _Ref184289037 </w:instrText>
            </w:r>
            <w:r w:rsidR="002256F8">
              <w:rPr>
                <w:snapToGrid w:val="0"/>
                <w:vertAlign w:val="superscript"/>
              </w:rPr>
              <w:instrText xml:space="preserve"> \* MERGEFORMAT </w:instrText>
            </w:r>
            <w:r w:rsidR="002256F8" w:rsidRPr="00BA438C">
              <w:rPr>
                <w:snapToGrid w:val="0"/>
                <w:vertAlign w:val="superscript"/>
              </w:rPr>
              <w:fldChar w:fldCharType="separate"/>
            </w:r>
            <w:r w:rsidR="00AF5AE7">
              <w:rPr>
                <w:snapToGrid w:val="0"/>
                <w:vertAlign w:val="superscript"/>
              </w:rPr>
              <w:t>5</w:t>
            </w:r>
            <w:r w:rsidR="002256F8" w:rsidRPr="00BA438C">
              <w:rPr>
                <w:snapToGrid w:val="0"/>
                <w:vertAlign w:val="superscript"/>
              </w:rPr>
              <w:fldChar w:fldCharType="end"/>
            </w:r>
          </w:p>
        </w:tc>
        <w:tc>
          <w:tcPr>
            <w:tcW w:w="1381" w:type="pct"/>
            <w:shd w:val="clear" w:color="auto" w:fill="FFFFFF" w:themeFill="background1"/>
          </w:tcPr>
          <w:p w14:paraId="6EDBA276" w14:textId="77777777" w:rsidR="005C5507" w:rsidRPr="000B5086" w:rsidRDefault="005C5507" w:rsidP="000B5086">
            <w:pPr>
              <w:pStyle w:val="Tabletext0"/>
            </w:pPr>
            <w:r w:rsidRPr="000B5086">
              <w:t>38/40 (95%)</w:t>
            </w:r>
          </w:p>
        </w:tc>
        <w:tc>
          <w:tcPr>
            <w:tcW w:w="1892" w:type="pct"/>
            <w:shd w:val="clear" w:color="auto" w:fill="FFFFFF" w:themeFill="background1"/>
          </w:tcPr>
          <w:p w14:paraId="7AF46AB8" w14:textId="77777777" w:rsidR="005C5507" w:rsidRPr="000B5086" w:rsidRDefault="005C5507" w:rsidP="000B5086">
            <w:pPr>
              <w:pStyle w:val="Tabletext0"/>
            </w:pPr>
            <w:r w:rsidRPr="000B5086">
              <w:t>1/40 (2.5%)</w:t>
            </w:r>
          </w:p>
        </w:tc>
      </w:tr>
    </w:tbl>
    <w:p w14:paraId="36E089D2" w14:textId="77777777" w:rsidR="002256F8" w:rsidRDefault="002256F8" w:rsidP="00395DDC">
      <w:pPr>
        <w:pStyle w:val="TableFooter"/>
      </w:pPr>
      <w:r>
        <w:t xml:space="preserve">* Included in previous ADAR. </w:t>
      </w:r>
    </w:p>
    <w:p w14:paraId="3D263B5A" w14:textId="2D6351D1" w:rsidR="0029590F" w:rsidRPr="00B22F65" w:rsidRDefault="0029590F" w:rsidP="00395DDC">
      <w:pPr>
        <w:pStyle w:val="TableFooter"/>
      </w:pPr>
      <w:r>
        <w:t>Source:</w:t>
      </w:r>
      <w:r w:rsidRPr="00B22F65">
        <w:t xml:space="preserve"> </w:t>
      </w:r>
      <w:r>
        <w:t>Table</w:t>
      </w:r>
      <w:r w:rsidRPr="0054404E">
        <w:t xml:space="preserve"> </w:t>
      </w:r>
      <w:r w:rsidR="0054404E" w:rsidRPr="0054404E">
        <w:t>21</w:t>
      </w:r>
      <w:r w:rsidR="0054404E">
        <w:t xml:space="preserve"> of MSAC 1657 ADAR </w:t>
      </w:r>
    </w:p>
    <w:p w14:paraId="232A79D1" w14:textId="79BA8A17" w:rsidR="0054404E" w:rsidRDefault="00AD55BD" w:rsidP="00395DDC">
      <w:pPr>
        <w:pStyle w:val="TableFooter"/>
      </w:pPr>
      <w:r w:rsidRPr="00BA438C">
        <w:t>PD</w:t>
      </w:r>
      <w:r>
        <w:t xml:space="preserve"> =</w:t>
      </w:r>
      <w:r w:rsidRPr="00BA438C">
        <w:t xml:space="preserve"> progressive disease</w:t>
      </w:r>
      <w:r>
        <w:t xml:space="preserve">; </w:t>
      </w:r>
      <w:r w:rsidR="0054404E" w:rsidRPr="00BA438C">
        <w:t>Re-188 = Rhenium-188</w:t>
      </w:r>
      <w:r>
        <w:rPr>
          <w:spacing w:val="-2"/>
        </w:rPr>
        <w:t xml:space="preserve">; </w:t>
      </w:r>
      <w:r w:rsidRPr="00BA438C">
        <w:t>SD</w:t>
      </w:r>
      <w:r>
        <w:t xml:space="preserve"> =</w:t>
      </w:r>
      <w:r w:rsidRPr="00BA438C">
        <w:t xml:space="preserve"> stable </w:t>
      </w:r>
      <w:r w:rsidR="00395DDC" w:rsidRPr="00BA438C">
        <w:t>disease</w:t>
      </w:r>
      <w:r w:rsidR="00395DDC">
        <w:t>.</w:t>
      </w:r>
    </w:p>
    <w:p w14:paraId="3F347CF9" w14:textId="2FAEB873" w:rsidR="00F57491" w:rsidRDefault="002B055C" w:rsidP="008C5329">
      <w:r>
        <w:t>The ADAR also included additional data on the Australian specific participants in the EPIC Skin study and</w:t>
      </w:r>
      <w:r w:rsidR="002B6593">
        <w:t xml:space="preserve"> relapse rates from </w:t>
      </w:r>
      <w:r w:rsidR="009330EB">
        <w:t xml:space="preserve">the EPIC Skin study and </w:t>
      </w:r>
      <w:r>
        <w:t>Vetrone, et al. (2024).</w:t>
      </w:r>
      <w:r w:rsidR="00DD3DC5">
        <w:t xml:space="preserve"> </w:t>
      </w:r>
      <w:r w:rsidR="00F57491">
        <w:t>All</w:t>
      </w:r>
      <w:r w:rsidR="00DD3DC5">
        <w:t xml:space="preserve"> the Australian cohort in the EPIC Skin study had complete response up to 12 months. </w:t>
      </w:r>
      <w:r w:rsidR="00F57491">
        <w:t xml:space="preserve">Relapse occurred in 3% of lesions (over 12 months of follow up) in the EPIC Skin study and in 7% of lesions (over 36 months of follow up) in Vetrone, et al. (2024). </w:t>
      </w:r>
      <w:r w:rsidR="00604CCA">
        <w:t xml:space="preserve">Castellucci </w:t>
      </w:r>
      <w:r w:rsidR="00604CCA" w:rsidRPr="00604CCA">
        <w:rPr>
          <w:i/>
          <w:iCs/>
        </w:rPr>
        <w:t xml:space="preserve">et al </w:t>
      </w:r>
      <w:r w:rsidR="00604CCA">
        <w:t xml:space="preserve">(2021) from the previous ADAR also presented </w:t>
      </w:r>
      <w:r w:rsidR="005D2191">
        <w:t>complete response</w:t>
      </w:r>
      <w:r w:rsidR="0046565C">
        <w:t xml:space="preserve"> (</w:t>
      </w:r>
      <w:r w:rsidR="001A6AB3" w:rsidRPr="001A6AB3">
        <w:t>23/24 (96%)</w:t>
      </w:r>
      <w:r w:rsidR="001A6AB3">
        <w:t>) and relapse (</w:t>
      </w:r>
      <w:r w:rsidR="008C5329" w:rsidRPr="008C5329">
        <w:t>1/24 (4%)</w:t>
      </w:r>
      <w:r w:rsidR="008C5329">
        <w:t>)</w:t>
      </w:r>
      <w:r w:rsidR="005D2191">
        <w:t xml:space="preserve"> at 24 months</w:t>
      </w:r>
      <w:r w:rsidR="008C5329">
        <w:t xml:space="preserve"> of follow up. </w:t>
      </w:r>
    </w:p>
    <w:p w14:paraId="1B27BD48" w14:textId="1877E610" w:rsidR="00F57491" w:rsidRDefault="00F57491" w:rsidP="00F57491">
      <w:r>
        <w:t xml:space="preserve">The ADAR presented </w:t>
      </w:r>
      <w:r w:rsidRPr="005C5507">
        <w:t xml:space="preserve">complete </w:t>
      </w:r>
      <w:r>
        <w:t>and</w:t>
      </w:r>
      <w:r w:rsidRPr="005C5507">
        <w:t xml:space="preserve"> partial response </w:t>
      </w:r>
      <w:r>
        <w:t xml:space="preserve">results for </w:t>
      </w:r>
      <w:r w:rsidR="00F71CBE" w:rsidRPr="00F71CBE">
        <w:t xml:space="preserve">EBRT </w:t>
      </w:r>
      <w:r w:rsidR="00F71CBE">
        <w:t>s</w:t>
      </w:r>
      <w:r w:rsidR="00F71CBE" w:rsidRPr="00F71CBE">
        <w:t>tudies</w:t>
      </w:r>
      <w:r w:rsidR="00F71CBE">
        <w:t xml:space="preserve"> at varying</w:t>
      </w:r>
      <w:r w:rsidR="00F71CBE" w:rsidRPr="00F71CBE">
        <w:t xml:space="preserve"> </w:t>
      </w:r>
      <w:r>
        <w:t>follow up</w:t>
      </w:r>
      <w:r w:rsidR="00F71CBE">
        <w:t xml:space="preserve"> times as the</w:t>
      </w:r>
      <w:r w:rsidR="005E60DC">
        <w:t xml:space="preserve">re was no uniformity in the follow up across studies </w:t>
      </w:r>
      <w:r>
        <w:t>(</w:t>
      </w:r>
      <w:r>
        <w:fldChar w:fldCharType="begin"/>
      </w:r>
      <w:r>
        <w:instrText xml:space="preserve"> REF _Ref184220576 \h </w:instrText>
      </w:r>
      <w:r>
        <w:fldChar w:fldCharType="separate"/>
      </w:r>
      <w:r w:rsidR="00AF5AE7">
        <w:t xml:space="preserve">Table </w:t>
      </w:r>
      <w:r w:rsidR="00AF5AE7">
        <w:rPr>
          <w:noProof/>
        </w:rPr>
        <w:t>12</w:t>
      </w:r>
      <w:r>
        <w:fldChar w:fldCharType="end"/>
      </w:r>
      <w:r>
        <w:t xml:space="preserve">). </w:t>
      </w:r>
    </w:p>
    <w:p w14:paraId="0FB141CA" w14:textId="6B21E6CA" w:rsidR="008C5329" w:rsidRDefault="008C5329" w:rsidP="008C5329">
      <w:pPr>
        <w:pStyle w:val="Caption"/>
      </w:pPr>
      <w:r>
        <w:t xml:space="preserve">Table </w:t>
      </w:r>
      <w:r w:rsidR="007F4BCC">
        <w:fldChar w:fldCharType="begin"/>
      </w:r>
      <w:r w:rsidR="007F4BCC">
        <w:instrText xml:space="preserve"> SEQ Table \* ARABIC </w:instrText>
      </w:r>
      <w:r w:rsidR="007F4BCC">
        <w:fldChar w:fldCharType="separate"/>
      </w:r>
      <w:r w:rsidR="00AF5AE7">
        <w:rPr>
          <w:noProof/>
        </w:rPr>
        <w:t>13</w:t>
      </w:r>
      <w:r w:rsidR="007F4BCC">
        <w:rPr>
          <w:noProof/>
        </w:rPr>
        <w:fldChar w:fldCharType="end"/>
      </w:r>
      <w:r>
        <w:t xml:space="preserve"> </w:t>
      </w:r>
      <w:r w:rsidRPr="00493D60">
        <w:t xml:space="preserve">Key clinical effectiveness (complete or partial response </w:t>
      </w:r>
      <w:r>
        <w:t xml:space="preserve">and relapse </w:t>
      </w:r>
      <w:r w:rsidRPr="00493D60">
        <w:t xml:space="preserve">per lesion) results from the </w:t>
      </w:r>
      <w:r>
        <w:t>EBRT</w:t>
      </w:r>
      <w:r w:rsidRPr="00493D60">
        <w:t xml:space="preserve"> studies at </w:t>
      </w:r>
      <w:r w:rsidR="007177AE">
        <w:t>varying</w:t>
      </w:r>
      <w:r w:rsidRPr="00493D60">
        <w:t xml:space="preserve"> follow up</w:t>
      </w:r>
      <w:r w:rsidR="007177AE">
        <w:t xml:space="preserve"> timepoints</w:t>
      </w:r>
      <w:r w:rsidRPr="00493D60">
        <w:t>.</w:t>
      </w:r>
    </w:p>
    <w:tbl>
      <w:tblPr>
        <w:tblW w:w="499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1385"/>
        <w:gridCol w:w="1560"/>
        <w:gridCol w:w="2125"/>
        <w:gridCol w:w="1927"/>
        <w:gridCol w:w="2008"/>
      </w:tblGrid>
      <w:tr w:rsidR="000B5086" w:rsidRPr="000B5086" w14:paraId="0AB44E9E" w14:textId="77777777" w:rsidTr="00B22F65">
        <w:trPr>
          <w:trHeight w:val="657"/>
          <w:tblHeader/>
        </w:trPr>
        <w:tc>
          <w:tcPr>
            <w:tcW w:w="769" w:type="pct"/>
            <w:shd w:val="clear" w:color="auto" w:fill="FFFFFF" w:themeFill="background1"/>
            <w:vAlign w:val="center"/>
          </w:tcPr>
          <w:p w14:paraId="5E739345" w14:textId="77777777" w:rsidR="000B5086" w:rsidRPr="000B5086" w:rsidRDefault="000B5086" w:rsidP="00B22F65">
            <w:pPr>
              <w:pStyle w:val="Tabletext0"/>
              <w:jc w:val="left"/>
              <w:rPr>
                <w:b/>
                <w:bCs/>
              </w:rPr>
            </w:pPr>
            <w:r w:rsidRPr="000B5086">
              <w:rPr>
                <w:b/>
                <w:bCs/>
              </w:rPr>
              <w:t>Study ID</w:t>
            </w:r>
          </w:p>
        </w:tc>
        <w:tc>
          <w:tcPr>
            <w:tcW w:w="866" w:type="pct"/>
            <w:shd w:val="clear" w:color="auto" w:fill="FFFFFF" w:themeFill="background1"/>
            <w:vAlign w:val="center"/>
          </w:tcPr>
          <w:p w14:paraId="12E5AA7E" w14:textId="77777777" w:rsidR="000B5086" w:rsidRPr="000B5086" w:rsidRDefault="000B5086" w:rsidP="00B22F65">
            <w:pPr>
              <w:pStyle w:val="Tabletext0"/>
              <w:jc w:val="left"/>
              <w:rPr>
                <w:b/>
                <w:bCs/>
              </w:rPr>
            </w:pPr>
            <w:r w:rsidRPr="000B5086">
              <w:rPr>
                <w:b/>
                <w:bCs/>
              </w:rPr>
              <w:t>Timepoint</w:t>
            </w:r>
          </w:p>
        </w:tc>
        <w:tc>
          <w:tcPr>
            <w:tcW w:w="1180" w:type="pct"/>
            <w:shd w:val="clear" w:color="auto" w:fill="FFFFFF" w:themeFill="background1"/>
            <w:vAlign w:val="center"/>
          </w:tcPr>
          <w:p w14:paraId="0FCA50E2" w14:textId="77777777" w:rsidR="000B5086" w:rsidRPr="000B5086" w:rsidRDefault="000B5086" w:rsidP="00B22F65">
            <w:pPr>
              <w:pStyle w:val="Tabletext0"/>
              <w:jc w:val="left"/>
              <w:rPr>
                <w:b/>
                <w:bCs/>
              </w:rPr>
            </w:pPr>
            <w:r w:rsidRPr="000B5086">
              <w:rPr>
                <w:b/>
                <w:bCs/>
              </w:rPr>
              <w:t>Complete Response</w:t>
            </w:r>
          </w:p>
        </w:tc>
        <w:tc>
          <w:tcPr>
            <w:tcW w:w="1070" w:type="pct"/>
            <w:shd w:val="clear" w:color="auto" w:fill="FFFFFF" w:themeFill="background1"/>
            <w:vAlign w:val="center"/>
          </w:tcPr>
          <w:p w14:paraId="5F8DAEEA" w14:textId="77777777" w:rsidR="000B5086" w:rsidRPr="000B5086" w:rsidRDefault="000B5086" w:rsidP="00B22F65">
            <w:pPr>
              <w:pStyle w:val="Tabletext0"/>
              <w:jc w:val="left"/>
              <w:rPr>
                <w:b/>
                <w:bCs/>
              </w:rPr>
            </w:pPr>
            <w:r w:rsidRPr="000B5086">
              <w:rPr>
                <w:b/>
                <w:bCs/>
              </w:rPr>
              <w:t>Partial Response</w:t>
            </w:r>
          </w:p>
        </w:tc>
        <w:tc>
          <w:tcPr>
            <w:tcW w:w="1115" w:type="pct"/>
            <w:shd w:val="clear" w:color="auto" w:fill="FFFFFF" w:themeFill="background1"/>
            <w:vAlign w:val="center"/>
          </w:tcPr>
          <w:p w14:paraId="597C256B" w14:textId="77777777" w:rsidR="000B5086" w:rsidRPr="000B5086" w:rsidRDefault="000B5086" w:rsidP="00B22F65">
            <w:pPr>
              <w:pStyle w:val="Tabletext0"/>
              <w:jc w:val="left"/>
              <w:rPr>
                <w:b/>
                <w:bCs/>
              </w:rPr>
            </w:pPr>
            <w:r w:rsidRPr="000B5086">
              <w:rPr>
                <w:b/>
                <w:bCs/>
              </w:rPr>
              <w:t>PD/SD, or relapse</w:t>
            </w:r>
          </w:p>
        </w:tc>
      </w:tr>
      <w:tr w:rsidR="000B5086" w:rsidRPr="000B5086" w14:paraId="2100B663" w14:textId="77777777" w:rsidTr="00B22F65">
        <w:tc>
          <w:tcPr>
            <w:tcW w:w="769" w:type="pct"/>
            <w:vMerge w:val="restart"/>
            <w:shd w:val="clear" w:color="auto" w:fill="FFFFFF" w:themeFill="background1"/>
            <w:vAlign w:val="center"/>
          </w:tcPr>
          <w:p w14:paraId="6A5B48CE" w14:textId="23A4BD54" w:rsidR="000B5086" w:rsidRPr="000B5086" w:rsidRDefault="000B5086">
            <w:pPr>
              <w:pStyle w:val="Tabletext0"/>
            </w:pPr>
            <w:r w:rsidRPr="000B5086">
              <w:t>Ferro 2015</w:t>
            </w:r>
            <w:r w:rsidR="0054404E" w:rsidRPr="00B22F65">
              <w:rPr>
                <w:vertAlign w:val="superscript"/>
              </w:rPr>
              <w:fldChar w:fldCharType="begin"/>
            </w:r>
            <w:r w:rsidR="0054404E" w:rsidRPr="00B22F65">
              <w:rPr>
                <w:vertAlign w:val="superscript"/>
              </w:rPr>
              <w:instrText xml:space="preserve"> NOTEREF _Ref184289069 </w:instrText>
            </w:r>
            <w:r w:rsidR="0054404E">
              <w:rPr>
                <w:vertAlign w:val="superscript"/>
              </w:rPr>
              <w:instrText xml:space="preserve"> \* MERGEFORMAT </w:instrText>
            </w:r>
            <w:r w:rsidR="0054404E" w:rsidRPr="00B22F65">
              <w:rPr>
                <w:vertAlign w:val="superscript"/>
              </w:rPr>
              <w:fldChar w:fldCharType="separate"/>
            </w:r>
            <w:r w:rsidR="00AF5AE7">
              <w:rPr>
                <w:vertAlign w:val="superscript"/>
              </w:rPr>
              <w:t>9</w:t>
            </w:r>
            <w:r w:rsidR="0054404E" w:rsidRPr="00B22F65">
              <w:rPr>
                <w:vertAlign w:val="superscript"/>
              </w:rPr>
              <w:fldChar w:fldCharType="end"/>
            </w:r>
          </w:p>
        </w:tc>
        <w:tc>
          <w:tcPr>
            <w:tcW w:w="866" w:type="pct"/>
            <w:shd w:val="clear" w:color="auto" w:fill="FFFFFF" w:themeFill="background1"/>
            <w:vAlign w:val="center"/>
          </w:tcPr>
          <w:p w14:paraId="4B0506BD" w14:textId="77777777" w:rsidR="000B5086" w:rsidRPr="000B5086" w:rsidRDefault="000B5086">
            <w:pPr>
              <w:pStyle w:val="Tabletext0"/>
            </w:pPr>
            <w:r w:rsidRPr="000B5086">
              <w:t>3 months</w:t>
            </w:r>
          </w:p>
        </w:tc>
        <w:tc>
          <w:tcPr>
            <w:tcW w:w="1180" w:type="pct"/>
            <w:shd w:val="clear" w:color="auto" w:fill="FFFFFF" w:themeFill="background1"/>
            <w:vAlign w:val="center"/>
          </w:tcPr>
          <w:p w14:paraId="1AE05CD3" w14:textId="77777777" w:rsidR="000B5086" w:rsidRPr="000B5086" w:rsidRDefault="000B5086">
            <w:pPr>
              <w:pStyle w:val="Tabletext0"/>
            </w:pPr>
            <w:r w:rsidRPr="000B5086">
              <w:t>30/31 (96.8%)</w:t>
            </w:r>
          </w:p>
        </w:tc>
        <w:tc>
          <w:tcPr>
            <w:tcW w:w="1070" w:type="pct"/>
            <w:shd w:val="clear" w:color="auto" w:fill="FFFFFF" w:themeFill="background1"/>
            <w:vAlign w:val="center"/>
          </w:tcPr>
          <w:p w14:paraId="2C55CE2A" w14:textId="77777777" w:rsidR="000B5086" w:rsidRPr="000B5086" w:rsidRDefault="000B5086">
            <w:pPr>
              <w:pStyle w:val="Tabletext0"/>
            </w:pPr>
            <w:r w:rsidRPr="000B5086">
              <w:t>1/31 (3.2%)</w:t>
            </w:r>
          </w:p>
        </w:tc>
        <w:tc>
          <w:tcPr>
            <w:tcW w:w="1115" w:type="pct"/>
            <w:shd w:val="clear" w:color="auto" w:fill="FFFFFF" w:themeFill="background1"/>
          </w:tcPr>
          <w:p w14:paraId="72D2EDFB" w14:textId="77777777" w:rsidR="000B5086" w:rsidRPr="00B22F65" w:rsidRDefault="000B5086">
            <w:pPr>
              <w:pStyle w:val="Tabletext0"/>
            </w:pPr>
            <w:r w:rsidRPr="00B22F65">
              <w:t>NR</w:t>
            </w:r>
          </w:p>
        </w:tc>
      </w:tr>
      <w:tr w:rsidR="000B5086" w:rsidRPr="000B5086" w14:paraId="66EA8AD1" w14:textId="77777777" w:rsidTr="00B22F65">
        <w:tc>
          <w:tcPr>
            <w:tcW w:w="769" w:type="pct"/>
            <w:vMerge/>
            <w:shd w:val="clear" w:color="auto" w:fill="FFFFFF" w:themeFill="background1"/>
            <w:vAlign w:val="center"/>
          </w:tcPr>
          <w:p w14:paraId="3361C5B6" w14:textId="77777777" w:rsidR="000B5086" w:rsidRPr="000B5086" w:rsidRDefault="000B5086">
            <w:pPr>
              <w:pStyle w:val="Tabletext0"/>
            </w:pPr>
          </w:p>
        </w:tc>
        <w:tc>
          <w:tcPr>
            <w:tcW w:w="866" w:type="pct"/>
            <w:shd w:val="clear" w:color="auto" w:fill="FFFFFF" w:themeFill="background1"/>
            <w:vAlign w:val="center"/>
          </w:tcPr>
          <w:p w14:paraId="48EAB77A" w14:textId="77777777" w:rsidR="000B5086" w:rsidRPr="000B5086" w:rsidRDefault="000B5086">
            <w:pPr>
              <w:pStyle w:val="Tabletext0"/>
            </w:pPr>
            <w:r w:rsidRPr="000B5086">
              <w:t>24 months</w:t>
            </w:r>
          </w:p>
        </w:tc>
        <w:tc>
          <w:tcPr>
            <w:tcW w:w="1180" w:type="pct"/>
            <w:shd w:val="clear" w:color="auto" w:fill="FFFFFF" w:themeFill="background1"/>
          </w:tcPr>
          <w:p w14:paraId="6F8D8D6C" w14:textId="77777777" w:rsidR="000B5086" w:rsidRPr="000B5086" w:rsidRDefault="000B5086">
            <w:pPr>
              <w:pStyle w:val="Tabletext0"/>
            </w:pPr>
            <w:r w:rsidRPr="00B22F65">
              <w:t>NR</w:t>
            </w:r>
          </w:p>
        </w:tc>
        <w:tc>
          <w:tcPr>
            <w:tcW w:w="1070" w:type="pct"/>
            <w:shd w:val="clear" w:color="auto" w:fill="FFFFFF" w:themeFill="background1"/>
          </w:tcPr>
          <w:p w14:paraId="24775ABA" w14:textId="77777777" w:rsidR="000B5086" w:rsidRPr="000B5086" w:rsidRDefault="000B5086">
            <w:pPr>
              <w:pStyle w:val="Tabletext0"/>
            </w:pPr>
            <w:r w:rsidRPr="00B22F65">
              <w:t>NR</w:t>
            </w:r>
          </w:p>
        </w:tc>
        <w:tc>
          <w:tcPr>
            <w:tcW w:w="1115" w:type="pct"/>
            <w:shd w:val="clear" w:color="auto" w:fill="FFFFFF" w:themeFill="background1"/>
            <w:vAlign w:val="center"/>
          </w:tcPr>
          <w:p w14:paraId="11E05A07" w14:textId="77777777" w:rsidR="000B5086" w:rsidRPr="000B5086" w:rsidRDefault="000B5086">
            <w:pPr>
              <w:pStyle w:val="Tabletext0"/>
            </w:pPr>
            <w:r w:rsidRPr="000B5086">
              <w:t>6.8%</w:t>
            </w:r>
          </w:p>
        </w:tc>
      </w:tr>
      <w:tr w:rsidR="000B5086" w:rsidRPr="000B5086" w14:paraId="0012F7A0" w14:textId="77777777" w:rsidTr="00B22F65">
        <w:tc>
          <w:tcPr>
            <w:tcW w:w="769" w:type="pct"/>
            <w:vMerge/>
            <w:shd w:val="clear" w:color="auto" w:fill="FFFFFF" w:themeFill="background1"/>
            <w:vAlign w:val="center"/>
          </w:tcPr>
          <w:p w14:paraId="4EDC70AE" w14:textId="77777777" w:rsidR="000B5086" w:rsidRPr="000B5086" w:rsidRDefault="000B5086">
            <w:pPr>
              <w:pStyle w:val="Tabletext0"/>
            </w:pPr>
          </w:p>
        </w:tc>
        <w:tc>
          <w:tcPr>
            <w:tcW w:w="866" w:type="pct"/>
            <w:shd w:val="clear" w:color="auto" w:fill="FFFFFF" w:themeFill="background1"/>
            <w:vAlign w:val="center"/>
          </w:tcPr>
          <w:p w14:paraId="79DBAD9B" w14:textId="77777777" w:rsidR="000B5086" w:rsidRPr="000B5086" w:rsidRDefault="000B5086">
            <w:pPr>
              <w:pStyle w:val="Tabletext0"/>
            </w:pPr>
            <w:r w:rsidRPr="000B5086">
              <w:t>36 months</w:t>
            </w:r>
          </w:p>
        </w:tc>
        <w:tc>
          <w:tcPr>
            <w:tcW w:w="1180" w:type="pct"/>
            <w:shd w:val="clear" w:color="auto" w:fill="FFFFFF" w:themeFill="background1"/>
          </w:tcPr>
          <w:p w14:paraId="7BA010CF" w14:textId="77777777" w:rsidR="000B5086" w:rsidRPr="00B22F65" w:rsidRDefault="000B5086">
            <w:pPr>
              <w:pStyle w:val="Tabletext0"/>
            </w:pPr>
            <w:r w:rsidRPr="00B22F65">
              <w:t>NR</w:t>
            </w:r>
          </w:p>
        </w:tc>
        <w:tc>
          <w:tcPr>
            <w:tcW w:w="1070" w:type="pct"/>
            <w:shd w:val="clear" w:color="auto" w:fill="FFFFFF" w:themeFill="background1"/>
          </w:tcPr>
          <w:p w14:paraId="46B1DEFE" w14:textId="77777777" w:rsidR="000B5086" w:rsidRPr="00B22F65" w:rsidRDefault="000B5086">
            <w:pPr>
              <w:pStyle w:val="Tabletext0"/>
            </w:pPr>
            <w:r w:rsidRPr="00B22F65">
              <w:t>NR</w:t>
            </w:r>
          </w:p>
        </w:tc>
        <w:tc>
          <w:tcPr>
            <w:tcW w:w="1115" w:type="pct"/>
            <w:shd w:val="clear" w:color="auto" w:fill="FFFFFF" w:themeFill="background1"/>
            <w:vAlign w:val="center"/>
          </w:tcPr>
          <w:p w14:paraId="30C4919D" w14:textId="77777777" w:rsidR="000B5086" w:rsidRPr="000B5086" w:rsidRDefault="000B5086">
            <w:pPr>
              <w:pStyle w:val="Tabletext0"/>
            </w:pPr>
            <w:r w:rsidRPr="000B5086">
              <w:t>11.7%</w:t>
            </w:r>
          </w:p>
        </w:tc>
      </w:tr>
      <w:tr w:rsidR="000B5086" w:rsidRPr="000B5086" w14:paraId="3FAB57A8" w14:textId="77777777" w:rsidTr="00B22F65">
        <w:tc>
          <w:tcPr>
            <w:tcW w:w="769" w:type="pct"/>
            <w:shd w:val="clear" w:color="auto" w:fill="FFFFFF" w:themeFill="background1"/>
            <w:vAlign w:val="center"/>
          </w:tcPr>
          <w:p w14:paraId="3B339E84" w14:textId="77777777" w:rsidR="000B5086" w:rsidRPr="000B5086" w:rsidRDefault="000B5086">
            <w:pPr>
              <w:pStyle w:val="Tabletext0"/>
            </w:pPr>
            <w:r w:rsidRPr="000B5086">
              <w:t>Patel 2017</w:t>
            </w:r>
          </w:p>
        </w:tc>
        <w:tc>
          <w:tcPr>
            <w:tcW w:w="866" w:type="pct"/>
            <w:shd w:val="clear" w:color="auto" w:fill="FFFFFF" w:themeFill="background1"/>
            <w:vAlign w:val="center"/>
          </w:tcPr>
          <w:p w14:paraId="4535DE25" w14:textId="3B2EBF76" w:rsidR="000B5086" w:rsidRPr="000B5086" w:rsidRDefault="000B5086">
            <w:pPr>
              <w:pStyle w:val="Tabletext0"/>
            </w:pPr>
            <w:r w:rsidRPr="000B5086">
              <w:t>3.3 years</w:t>
            </w:r>
            <w:r w:rsidR="00624D9A">
              <w:t xml:space="preserve"> </w:t>
            </w:r>
            <w:r w:rsidRPr="000B5086">
              <w:t>(mean)</w:t>
            </w:r>
          </w:p>
        </w:tc>
        <w:tc>
          <w:tcPr>
            <w:tcW w:w="1180" w:type="pct"/>
            <w:shd w:val="clear" w:color="auto" w:fill="FFFFFF" w:themeFill="background1"/>
            <w:vAlign w:val="center"/>
          </w:tcPr>
          <w:p w14:paraId="3E980CA1" w14:textId="77777777" w:rsidR="000B5086" w:rsidRPr="000B5086" w:rsidRDefault="000B5086">
            <w:pPr>
              <w:pStyle w:val="Tabletext0"/>
            </w:pPr>
            <w:r w:rsidRPr="00B22F65">
              <w:t>NR</w:t>
            </w:r>
          </w:p>
        </w:tc>
        <w:tc>
          <w:tcPr>
            <w:tcW w:w="1070" w:type="pct"/>
            <w:shd w:val="clear" w:color="auto" w:fill="FFFFFF" w:themeFill="background1"/>
            <w:vAlign w:val="center"/>
          </w:tcPr>
          <w:p w14:paraId="6A29587F" w14:textId="77777777" w:rsidR="000B5086" w:rsidRPr="000B5086" w:rsidRDefault="000B5086">
            <w:pPr>
              <w:pStyle w:val="Tabletext0"/>
            </w:pPr>
            <w:r w:rsidRPr="00B22F65">
              <w:t>NR</w:t>
            </w:r>
          </w:p>
        </w:tc>
        <w:tc>
          <w:tcPr>
            <w:tcW w:w="1115" w:type="pct"/>
            <w:shd w:val="clear" w:color="auto" w:fill="FFFFFF" w:themeFill="background1"/>
            <w:vAlign w:val="center"/>
          </w:tcPr>
          <w:p w14:paraId="4F350270" w14:textId="77777777" w:rsidR="000B5086" w:rsidRPr="000B5086" w:rsidRDefault="000B5086">
            <w:pPr>
              <w:pStyle w:val="Tabletext0"/>
            </w:pPr>
            <w:r w:rsidRPr="000B5086">
              <w:t>1/208 (0.05%)</w:t>
            </w:r>
          </w:p>
        </w:tc>
      </w:tr>
      <w:tr w:rsidR="000B5086" w:rsidRPr="000B5086" w14:paraId="080D6FB1" w14:textId="77777777" w:rsidTr="00B22F65">
        <w:tc>
          <w:tcPr>
            <w:tcW w:w="769" w:type="pct"/>
            <w:shd w:val="clear" w:color="auto" w:fill="FFFFFF" w:themeFill="background1"/>
            <w:vAlign w:val="center"/>
          </w:tcPr>
          <w:p w14:paraId="2B4EA11F" w14:textId="77777777" w:rsidR="000B5086" w:rsidRPr="000B5086" w:rsidRDefault="000B5086">
            <w:pPr>
              <w:pStyle w:val="Tabletext0"/>
            </w:pPr>
            <w:r w:rsidRPr="000B5086">
              <w:t>Schulte 2005</w:t>
            </w:r>
          </w:p>
        </w:tc>
        <w:tc>
          <w:tcPr>
            <w:tcW w:w="866" w:type="pct"/>
            <w:shd w:val="clear" w:color="auto" w:fill="FFFFFF" w:themeFill="background1"/>
            <w:vAlign w:val="center"/>
          </w:tcPr>
          <w:p w14:paraId="0287FAFB" w14:textId="77777777" w:rsidR="000B5086" w:rsidRPr="000B5086" w:rsidRDefault="000B5086">
            <w:pPr>
              <w:pStyle w:val="Tabletext0"/>
            </w:pPr>
            <w:r w:rsidRPr="000B5086">
              <w:t>60 months</w:t>
            </w:r>
          </w:p>
        </w:tc>
        <w:tc>
          <w:tcPr>
            <w:tcW w:w="1180" w:type="pct"/>
            <w:shd w:val="clear" w:color="auto" w:fill="FFFFFF" w:themeFill="background1"/>
          </w:tcPr>
          <w:p w14:paraId="35B4250F" w14:textId="77777777" w:rsidR="000B5086" w:rsidRPr="000B5086" w:rsidRDefault="000B5086">
            <w:pPr>
              <w:pStyle w:val="Tabletext0"/>
            </w:pPr>
            <w:r w:rsidRPr="000B5086">
              <w:t>1174/1267 (92.6%)</w:t>
            </w:r>
          </w:p>
        </w:tc>
        <w:tc>
          <w:tcPr>
            <w:tcW w:w="1070" w:type="pct"/>
            <w:shd w:val="clear" w:color="auto" w:fill="FFFFFF" w:themeFill="background1"/>
          </w:tcPr>
          <w:p w14:paraId="5AFE7AEE" w14:textId="77777777" w:rsidR="000B5086" w:rsidRPr="000B5086" w:rsidRDefault="000B5086">
            <w:pPr>
              <w:pStyle w:val="Tabletext0"/>
            </w:pPr>
            <w:r w:rsidRPr="000B5086">
              <w:t>47/1267 (3.7%)</w:t>
            </w:r>
          </w:p>
        </w:tc>
        <w:tc>
          <w:tcPr>
            <w:tcW w:w="1115" w:type="pct"/>
            <w:shd w:val="clear" w:color="auto" w:fill="FFFFFF" w:themeFill="background1"/>
            <w:vAlign w:val="center"/>
          </w:tcPr>
          <w:p w14:paraId="6FBEDC11" w14:textId="77777777" w:rsidR="000B5086" w:rsidRPr="000B5086" w:rsidRDefault="000B5086">
            <w:pPr>
              <w:pStyle w:val="Tabletext0"/>
            </w:pPr>
            <w:r w:rsidRPr="000B5086">
              <w:t>65/1267 (6.2%)</w:t>
            </w:r>
          </w:p>
        </w:tc>
      </w:tr>
      <w:tr w:rsidR="000B5086" w:rsidRPr="000B5086" w14:paraId="4056CAC8" w14:textId="77777777" w:rsidTr="00B22F65">
        <w:tc>
          <w:tcPr>
            <w:tcW w:w="769" w:type="pct"/>
            <w:shd w:val="clear" w:color="auto" w:fill="FFFFFF" w:themeFill="background1"/>
            <w:vAlign w:val="center"/>
          </w:tcPr>
          <w:p w14:paraId="068281FE" w14:textId="77777777" w:rsidR="000B5086" w:rsidRPr="000B5086" w:rsidRDefault="000B5086">
            <w:pPr>
              <w:pStyle w:val="Tabletext0"/>
            </w:pPr>
            <w:r w:rsidRPr="000B5086">
              <w:t>Tighe 2021</w:t>
            </w:r>
          </w:p>
        </w:tc>
        <w:tc>
          <w:tcPr>
            <w:tcW w:w="866" w:type="pct"/>
            <w:shd w:val="clear" w:color="auto" w:fill="FFFFFF" w:themeFill="background1"/>
            <w:vAlign w:val="center"/>
          </w:tcPr>
          <w:p w14:paraId="57C19296" w14:textId="276C9A68" w:rsidR="000B5086" w:rsidRPr="000B5086" w:rsidRDefault="000B5086">
            <w:pPr>
              <w:pStyle w:val="Tabletext0"/>
            </w:pPr>
            <w:r w:rsidRPr="000B5086">
              <w:t>4 months (median)</w:t>
            </w:r>
          </w:p>
        </w:tc>
        <w:tc>
          <w:tcPr>
            <w:tcW w:w="1180" w:type="pct"/>
            <w:shd w:val="clear" w:color="auto" w:fill="FFFFFF" w:themeFill="background1"/>
            <w:vAlign w:val="center"/>
          </w:tcPr>
          <w:p w14:paraId="38216FDD" w14:textId="77777777" w:rsidR="000B5086" w:rsidRPr="000B5086" w:rsidRDefault="000B5086">
            <w:pPr>
              <w:pStyle w:val="Tabletext0"/>
            </w:pPr>
            <w:r w:rsidRPr="000B5086">
              <w:t>74/77 (96.1%)</w:t>
            </w:r>
          </w:p>
        </w:tc>
        <w:tc>
          <w:tcPr>
            <w:tcW w:w="1070" w:type="pct"/>
            <w:shd w:val="clear" w:color="auto" w:fill="FFFFFF" w:themeFill="background1"/>
            <w:vAlign w:val="center"/>
          </w:tcPr>
          <w:p w14:paraId="75CD5649" w14:textId="77777777" w:rsidR="000B5086" w:rsidRPr="000B5086" w:rsidRDefault="000B5086">
            <w:pPr>
              <w:pStyle w:val="Tabletext0"/>
            </w:pPr>
            <w:r w:rsidRPr="00B22F65">
              <w:t>NR</w:t>
            </w:r>
          </w:p>
        </w:tc>
        <w:tc>
          <w:tcPr>
            <w:tcW w:w="1115" w:type="pct"/>
            <w:shd w:val="clear" w:color="auto" w:fill="FFFFFF" w:themeFill="background1"/>
            <w:vAlign w:val="center"/>
          </w:tcPr>
          <w:p w14:paraId="61742907" w14:textId="77777777" w:rsidR="000B5086" w:rsidRPr="000B5086" w:rsidRDefault="000B5086">
            <w:pPr>
              <w:pStyle w:val="Tabletext0"/>
            </w:pPr>
            <w:r w:rsidRPr="00B22F65">
              <w:t>NR</w:t>
            </w:r>
          </w:p>
        </w:tc>
      </w:tr>
    </w:tbl>
    <w:p w14:paraId="57CE8546" w14:textId="77777777" w:rsidR="00624D9A" w:rsidRDefault="00624D9A" w:rsidP="00624D9A">
      <w:pPr>
        <w:pStyle w:val="TableFigureFooter"/>
        <w:spacing w:after="0"/>
      </w:pPr>
      <w:r>
        <w:t xml:space="preserve">* Included in previous ADAR. </w:t>
      </w:r>
    </w:p>
    <w:p w14:paraId="1C94F158" w14:textId="77777777" w:rsidR="00624D9A" w:rsidRDefault="00624D9A" w:rsidP="00624D9A">
      <w:pPr>
        <w:pStyle w:val="TableFigureFooter"/>
        <w:spacing w:before="0" w:after="0"/>
      </w:pPr>
      <w:r>
        <w:t>Source:</w:t>
      </w:r>
      <w:r w:rsidRPr="00BA438C">
        <w:t xml:space="preserve"> </w:t>
      </w:r>
      <w:r w:rsidRPr="0054404E">
        <w:t>Table 21</w:t>
      </w:r>
      <w:r>
        <w:t xml:space="preserve"> of MSAC 1657 ADAR </w:t>
      </w:r>
    </w:p>
    <w:p w14:paraId="4C3FEB97" w14:textId="1B0048D1" w:rsidR="00624D9A" w:rsidRPr="00BA438C" w:rsidRDefault="00AD23ED" w:rsidP="00624D9A">
      <w:pPr>
        <w:pStyle w:val="TableFigureFooter"/>
        <w:spacing w:before="0" w:after="0"/>
      </w:pPr>
      <w:r w:rsidRPr="00BA438C">
        <w:t>EBRT = external beam radiation therapy</w:t>
      </w:r>
      <w:r>
        <w:t xml:space="preserve">; </w:t>
      </w:r>
      <w:r w:rsidR="00624D9A">
        <w:t>NR = Not reported</w:t>
      </w:r>
      <w:r w:rsidR="00AD55BD">
        <w:t xml:space="preserve">; </w:t>
      </w:r>
      <w:r w:rsidR="00AD55BD" w:rsidRPr="00B22F65">
        <w:t>PD</w:t>
      </w:r>
      <w:r w:rsidR="00AD55BD">
        <w:t xml:space="preserve"> =</w:t>
      </w:r>
      <w:r w:rsidR="00AD55BD" w:rsidRPr="00B22F65">
        <w:t xml:space="preserve"> progressive disease, SD</w:t>
      </w:r>
      <w:r w:rsidR="00AD55BD">
        <w:t xml:space="preserve"> =</w:t>
      </w:r>
      <w:r w:rsidR="00AD55BD" w:rsidRPr="00B22F65">
        <w:t xml:space="preserve"> stable disease</w:t>
      </w:r>
    </w:p>
    <w:p w14:paraId="28171823" w14:textId="6428C5ED" w:rsidR="007B728F" w:rsidRDefault="00B8583E" w:rsidP="004D79E7">
      <w:r>
        <w:t xml:space="preserve">Overall response rates were similar for both </w:t>
      </w:r>
      <w:r w:rsidR="00894A65">
        <w:t>interventions and relapse tended to be low, only</w:t>
      </w:r>
      <w:r w:rsidR="008F6180">
        <w:t xml:space="preserve"> been demonstrated in the studies </w:t>
      </w:r>
      <w:r w:rsidR="00894A65">
        <w:t xml:space="preserve">after </w:t>
      </w:r>
      <w:r w:rsidR="008F6180">
        <w:t>12</w:t>
      </w:r>
      <w:r w:rsidR="00894A65">
        <w:t xml:space="preserve"> months of follow up.</w:t>
      </w:r>
      <w:r w:rsidR="003348BB">
        <w:t xml:space="preserve"> </w:t>
      </w:r>
      <w:r w:rsidR="000243C3">
        <w:t>However, the</w:t>
      </w:r>
      <w:r w:rsidR="001970E1">
        <w:t xml:space="preserve"> commentary</w:t>
      </w:r>
      <w:r w:rsidR="008F6180">
        <w:t xml:space="preserve"> considered that</w:t>
      </w:r>
      <w:r w:rsidR="008F6180" w:rsidRPr="008F6180">
        <w:t xml:space="preserve"> the evidence presented in the ADAR was inadequate to accurately assess the comparative </w:t>
      </w:r>
      <w:r w:rsidR="007D2A43">
        <w:t xml:space="preserve">effective </w:t>
      </w:r>
      <w:r w:rsidR="008F6180" w:rsidRPr="008F6180">
        <w:t>of Re-188 brachytherapy and EBRT for BCC and SCC.</w:t>
      </w:r>
      <w:r w:rsidR="003348BB" w:rsidRPr="003348BB">
        <w:t xml:space="preserve"> </w:t>
      </w:r>
      <w:r w:rsidR="003348BB">
        <w:t>This was due to all the studies were single arm cohort studies</w:t>
      </w:r>
      <w:r w:rsidR="004D79E7">
        <w:t>, there</w:t>
      </w:r>
      <w:r w:rsidR="003348BB">
        <w:t xml:space="preserve"> was considerable heterogeneity between the different treatment studies</w:t>
      </w:r>
      <w:r w:rsidR="004D79E7">
        <w:t>,</w:t>
      </w:r>
      <w:r w:rsidR="003348BB">
        <w:t xml:space="preserve"> the quality of the studies were fair to poor</w:t>
      </w:r>
      <w:r w:rsidR="00FC1E4A">
        <w:t>, and evidence identified does not allow for statistical comparison.</w:t>
      </w:r>
    </w:p>
    <w:p w14:paraId="7B997A21" w14:textId="66368F89" w:rsidR="00D546D5" w:rsidRDefault="001308A4" w:rsidP="00B22F65">
      <w:pPr>
        <w:pStyle w:val="Heading3"/>
      </w:pPr>
      <w:r w:rsidRPr="001308A4">
        <w:lastRenderedPageBreak/>
        <w:t>Cosmesis</w:t>
      </w:r>
    </w:p>
    <w:p w14:paraId="24B25737" w14:textId="53EEABB5" w:rsidR="001C76AA" w:rsidRDefault="001308A4" w:rsidP="00E95033">
      <w:r>
        <w:t>The ADAR presented</w:t>
      </w:r>
      <w:r w:rsidR="001C76AA" w:rsidRPr="001C76AA">
        <w:t xml:space="preserve"> </w:t>
      </w:r>
      <w:r w:rsidR="00D75D0C">
        <w:t>tumour</w:t>
      </w:r>
      <w:r w:rsidR="001C76AA">
        <w:t xml:space="preserve"> cosmesis ratings for various studies </w:t>
      </w:r>
      <w:r w:rsidR="00E95033">
        <w:t xml:space="preserve">for </w:t>
      </w:r>
      <w:r w:rsidR="00594F1D">
        <w:t>Re-188 brachytherapy</w:t>
      </w:r>
      <w:r w:rsidR="001C76AA">
        <w:t xml:space="preserve"> and EBRT:</w:t>
      </w:r>
      <w:r w:rsidR="00E95033">
        <w:t xml:space="preserve"> </w:t>
      </w:r>
      <w:r w:rsidR="001C76AA">
        <w:t xml:space="preserve">Ratings range from "Poor" to "Excellent," with percentages of each category provided for EPIC-Skin, </w:t>
      </w:r>
      <w:r w:rsidR="006E3562" w:rsidRPr="006E3562">
        <w:t>Vetrone, et al. 2024</w:t>
      </w:r>
      <w:r w:rsidR="001C76AA">
        <w:t>, Tietze 2023, and the Australian registry.</w:t>
      </w:r>
      <w:r w:rsidR="00E95033">
        <w:t xml:space="preserve"> </w:t>
      </w:r>
      <w:r w:rsidR="00065565">
        <w:t>Most</w:t>
      </w:r>
      <w:r w:rsidR="002A1523">
        <w:t xml:space="preserve"> patients </w:t>
      </w:r>
      <w:r w:rsidR="009E42FC">
        <w:t xml:space="preserve">that received </w:t>
      </w:r>
      <w:r w:rsidR="00594F1D">
        <w:t>Re-188 brachytherapy</w:t>
      </w:r>
      <w:r w:rsidR="009E42FC">
        <w:t xml:space="preserve"> rated as good to excellent response. </w:t>
      </w:r>
      <w:r w:rsidR="001B6DE6">
        <w:t>This was also demonstrated for EBRT</w:t>
      </w:r>
      <w:r w:rsidR="00065565">
        <w:t xml:space="preserve"> (</w:t>
      </w:r>
      <w:r w:rsidR="00065565">
        <w:fldChar w:fldCharType="begin"/>
      </w:r>
      <w:r w:rsidR="00065565">
        <w:instrText xml:space="preserve"> REF _Ref184245452 \h </w:instrText>
      </w:r>
      <w:r w:rsidR="00065565">
        <w:fldChar w:fldCharType="separate"/>
      </w:r>
      <w:r w:rsidR="00AF5AE7">
        <w:t xml:space="preserve">Table </w:t>
      </w:r>
      <w:r w:rsidR="00AF5AE7">
        <w:rPr>
          <w:noProof/>
        </w:rPr>
        <w:t>14</w:t>
      </w:r>
      <w:r w:rsidR="00065565">
        <w:fldChar w:fldCharType="end"/>
      </w:r>
      <w:r w:rsidR="00065565">
        <w:t>).</w:t>
      </w:r>
    </w:p>
    <w:p w14:paraId="33F50A76" w14:textId="24218A8B" w:rsidR="00065565" w:rsidRDefault="00065565" w:rsidP="00065565">
      <w:pPr>
        <w:pStyle w:val="Caption"/>
      </w:pPr>
      <w:bookmarkStart w:id="39" w:name="_Ref184245452"/>
      <w:r>
        <w:t xml:space="preserve">Table </w:t>
      </w:r>
      <w:r w:rsidR="007F4BCC">
        <w:fldChar w:fldCharType="begin"/>
      </w:r>
      <w:r w:rsidR="007F4BCC">
        <w:instrText xml:space="preserve"> SEQ Table \* ARABIC </w:instrText>
      </w:r>
      <w:r w:rsidR="007F4BCC">
        <w:fldChar w:fldCharType="separate"/>
      </w:r>
      <w:r w:rsidR="00AF5AE7">
        <w:rPr>
          <w:noProof/>
        </w:rPr>
        <w:t>14</w:t>
      </w:r>
      <w:r w:rsidR="007F4BCC">
        <w:rPr>
          <w:noProof/>
        </w:rPr>
        <w:fldChar w:fldCharType="end"/>
      </w:r>
      <w:bookmarkEnd w:id="39"/>
      <w:r>
        <w:t xml:space="preserve"> </w:t>
      </w:r>
      <w:r w:rsidRPr="00866ED8">
        <w:t xml:space="preserve">Summary of results of tumour cosmesis ratings across </w:t>
      </w:r>
      <w:r w:rsidR="00594F1D">
        <w:t>Re-188 brachytherapy</w:t>
      </w:r>
      <w:r w:rsidRPr="00866ED8">
        <w:t xml:space="preserve"> and comparator EBRT studies</w:t>
      </w: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77"/>
        <w:gridCol w:w="1343"/>
        <w:gridCol w:w="1439"/>
        <w:gridCol w:w="1608"/>
        <w:gridCol w:w="1652"/>
        <w:gridCol w:w="1497"/>
      </w:tblGrid>
      <w:tr w:rsidR="00A0472E" w:rsidRPr="00867F5A" w14:paraId="2914679C" w14:textId="77777777" w:rsidTr="00446C88">
        <w:trPr>
          <w:trHeight w:val="483"/>
          <w:tblHeader/>
        </w:trPr>
        <w:tc>
          <w:tcPr>
            <w:tcW w:w="819" w:type="pct"/>
            <w:vAlign w:val="center"/>
          </w:tcPr>
          <w:p w14:paraId="54FC8427" w14:textId="77777777" w:rsidR="00867F5A" w:rsidRPr="00867F5A" w:rsidRDefault="00867F5A" w:rsidP="00B22F65">
            <w:pPr>
              <w:pStyle w:val="Tabletext0"/>
              <w:jc w:val="left"/>
              <w:rPr>
                <w:b/>
                <w:bCs/>
                <w:snapToGrid w:val="0"/>
              </w:rPr>
            </w:pPr>
            <w:r w:rsidRPr="00867F5A">
              <w:rPr>
                <w:b/>
                <w:bCs/>
                <w:snapToGrid w:val="0"/>
              </w:rPr>
              <w:t>Study ID</w:t>
            </w:r>
          </w:p>
        </w:tc>
        <w:tc>
          <w:tcPr>
            <w:tcW w:w="745" w:type="pct"/>
            <w:vAlign w:val="center"/>
          </w:tcPr>
          <w:p w14:paraId="7666BF08" w14:textId="77777777" w:rsidR="00867F5A" w:rsidRPr="00867F5A" w:rsidRDefault="00867F5A" w:rsidP="00B22F65">
            <w:pPr>
              <w:pStyle w:val="Tabletext0"/>
              <w:jc w:val="left"/>
              <w:rPr>
                <w:b/>
                <w:bCs/>
                <w:snapToGrid w:val="0"/>
              </w:rPr>
            </w:pPr>
            <w:r w:rsidRPr="00867F5A">
              <w:rPr>
                <w:b/>
                <w:bCs/>
                <w:snapToGrid w:val="0"/>
              </w:rPr>
              <w:t>Follow-up</w:t>
            </w:r>
          </w:p>
        </w:tc>
        <w:tc>
          <w:tcPr>
            <w:tcW w:w="798" w:type="pct"/>
            <w:vAlign w:val="center"/>
          </w:tcPr>
          <w:p w14:paraId="5EBB8134" w14:textId="77777777" w:rsidR="00867F5A" w:rsidRPr="00867F5A" w:rsidRDefault="00867F5A" w:rsidP="00B22F65">
            <w:pPr>
              <w:pStyle w:val="Tabletext0"/>
              <w:jc w:val="left"/>
              <w:rPr>
                <w:b/>
                <w:bCs/>
                <w:snapToGrid w:val="0"/>
              </w:rPr>
            </w:pPr>
            <w:r w:rsidRPr="00867F5A">
              <w:rPr>
                <w:b/>
                <w:bCs/>
                <w:snapToGrid w:val="0"/>
              </w:rPr>
              <w:t>Poor</w:t>
            </w:r>
          </w:p>
        </w:tc>
        <w:tc>
          <w:tcPr>
            <w:tcW w:w="892" w:type="pct"/>
            <w:vAlign w:val="center"/>
          </w:tcPr>
          <w:p w14:paraId="5A5885ED" w14:textId="77777777" w:rsidR="00867F5A" w:rsidRPr="00867F5A" w:rsidRDefault="00867F5A" w:rsidP="00B22F65">
            <w:pPr>
              <w:pStyle w:val="Tabletext0"/>
              <w:jc w:val="left"/>
              <w:rPr>
                <w:b/>
                <w:bCs/>
                <w:snapToGrid w:val="0"/>
              </w:rPr>
            </w:pPr>
            <w:r w:rsidRPr="00867F5A">
              <w:rPr>
                <w:b/>
                <w:bCs/>
                <w:snapToGrid w:val="0"/>
              </w:rPr>
              <w:t>Acceptable</w:t>
            </w:r>
          </w:p>
        </w:tc>
        <w:tc>
          <w:tcPr>
            <w:tcW w:w="916" w:type="pct"/>
            <w:vAlign w:val="center"/>
          </w:tcPr>
          <w:p w14:paraId="1116AD5E" w14:textId="77777777" w:rsidR="00867F5A" w:rsidRPr="00867F5A" w:rsidRDefault="00867F5A" w:rsidP="00B22F65">
            <w:pPr>
              <w:pStyle w:val="Tabletext0"/>
              <w:jc w:val="left"/>
              <w:rPr>
                <w:b/>
                <w:bCs/>
                <w:snapToGrid w:val="0"/>
              </w:rPr>
            </w:pPr>
            <w:r w:rsidRPr="00867F5A">
              <w:rPr>
                <w:b/>
                <w:bCs/>
                <w:snapToGrid w:val="0"/>
              </w:rPr>
              <w:t>Good</w:t>
            </w:r>
          </w:p>
        </w:tc>
        <w:tc>
          <w:tcPr>
            <w:tcW w:w="830" w:type="pct"/>
            <w:vAlign w:val="center"/>
          </w:tcPr>
          <w:p w14:paraId="2E05A194" w14:textId="77777777" w:rsidR="00867F5A" w:rsidRPr="00867F5A" w:rsidRDefault="00867F5A" w:rsidP="00B22F65">
            <w:pPr>
              <w:pStyle w:val="Tabletext0"/>
              <w:jc w:val="left"/>
              <w:rPr>
                <w:b/>
                <w:bCs/>
                <w:snapToGrid w:val="0"/>
              </w:rPr>
            </w:pPr>
            <w:r w:rsidRPr="00867F5A">
              <w:rPr>
                <w:b/>
                <w:bCs/>
                <w:snapToGrid w:val="0"/>
              </w:rPr>
              <w:t>Excellent</w:t>
            </w:r>
          </w:p>
        </w:tc>
      </w:tr>
      <w:tr w:rsidR="00867F5A" w:rsidRPr="0001290C" w14:paraId="7F0A05E2" w14:textId="77777777" w:rsidTr="00446C88">
        <w:trPr>
          <w:tblHeader/>
        </w:trPr>
        <w:tc>
          <w:tcPr>
            <w:tcW w:w="5000" w:type="pct"/>
            <w:gridSpan w:val="6"/>
            <w:vAlign w:val="center"/>
          </w:tcPr>
          <w:p w14:paraId="0ED79208" w14:textId="6C7783D1" w:rsidR="00867F5A" w:rsidRPr="0029476B" w:rsidRDefault="00594F1D" w:rsidP="00867F5A">
            <w:pPr>
              <w:pStyle w:val="Tabletext0"/>
              <w:rPr>
                <w:b/>
                <w:bCs/>
                <w:snapToGrid w:val="0"/>
              </w:rPr>
            </w:pPr>
            <w:r>
              <w:rPr>
                <w:b/>
                <w:bCs/>
                <w:snapToGrid w:val="0"/>
              </w:rPr>
              <w:t>Re-188 brachytherapy</w:t>
            </w:r>
          </w:p>
        </w:tc>
      </w:tr>
      <w:tr w:rsidR="00867F5A" w:rsidRPr="0001290C" w14:paraId="56C2F7F1" w14:textId="77777777" w:rsidTr="00446C88">
        <w:trPr>
          <w:tblHeader/>
        </w:trPr>
        <w:tc>
          <w:tcPr>
            <w:tcW w:w="819" w:type="pct"/>
            <w:vAlign w:val="center"/>
          </w:tcPr>
          <w:p w14:paraId="3E90AC28" w14:textId="77777777" w:rsidR="00867F5A" w:rsidRPr="0001290C" w:rsidRDefault="00867F5A" w:rsidP="00867F5A">
            <w:pPr>
              <w:pStyle w:val="Tabletext0"/>
              <w:rPr>
                <w:snapToGrid w:val="0"/>
              </w:rPr>
            </w:pPr>
            <w:r>
              <w:rPr>
                <w:snapToGrid w:val="0"/>
              </w:rPr>
              <w:t>EPIC-Skin*</w:t>
            </w:r>
          </w:p>
        </w:tc>
        <w:tc>
          <w:tcPr>
            <w:tcW w:w="745" w:type="pct"/>
            <w:vAlign w:val="center"/>
          </w:tcPr>
          <w:p w14:paraId="4F295A84" w14:textId="77777777" w:rsidR="00867F5A" w:rsidRPr="0001290C" w:rsidRDefault="00867F5A" w:rsidP="00867F5A">
            <w:pPr>
              <w:pStyle w:val="Tabletext0"/>
              <w:rPr>
                <w:snapToGrid w:val="0"/>
              </w:rPr>
            </w:pPr>
            <w:r>
              <w:rPr>
                <w:snapToGrid w:val="0"/>
              </w:rPr>
              <w:t>12 months</w:t>
            </w:r>
          </w:p>
        </w:tc>
        <w:tc>
          <w:tcPr>
            <w:tcW w:w="798" w:type="pct"/>
            <w:vAlign w:val="center"/>
          </w:tcPr>
          <w:p w14:paraId="2100D980" w14:textId="60C9529D" w:rsidR="00867F5A" w:rsidRPr="0001290C" w:rsidRDefault="00867F5A" w:rsidP="00446C88">
            <w:pPr>
              <w:pStyle w:val="Tabletext0"/>
              <w:jc w:val="center"/>
              <w:rPr>
                <w:snapToGrid w:val="0"/>
              </w:rPr>
            </w:pPr>
            <w:r>
              <w:rPr>
                <w:snapToGrid w:val="0"/>
              </w:rPr>
              <w:t>7/174</w:t>
            </w:r>
            <w:r w:rsidR="001E2927">
              <w:rPr>
                <w:snapToGrid w:val="0"/>
              </w:rPr>
              <w:t xml:space="preserve"> </w:t>
            </w:r>
            <w:r>
              <w:rPr>
                <w:snapToGrid w:val="0"/>
              </w:rPr>
              <w:t>(4.0%)</w:t>
            </w:r>
          </w:p>
        </w:tc>
        <w:tc>
          <w:tcPr>
            <w:tcW w:w="892" w:type="pct"/>
            <w:vAlign w:val="center"/>
          </w:tcPr>
          <w:p w14:paraId="38A4CA16" w14:textId="77777777" w:rsidR="00867F5A" w:rsidRDefault="00867F5A" w:rsidP="00446C88">
            <w:pPr>
              <w:pStyle w:val="Tabletext0"/>
              <w:jc w:val="center"/>
              <w:rPr>
                <w:snapToGrid w:val="0"/>
              </w:rPr>
            </w:pPr>
            <w:r>
              <w:rPr>
                <w:snapToGrid w:val="0"/>
              </w:rPr>
              <w:t>18/174</w:t>
            </w:r>
          </w:p>
          <w:p w14:paraId="24E97104" w14:textId="77777777" w:rsidR="00867F5A" w:rsidRPr="00406E9F" w:rsidRDefault="00867F5A" w:rsidP="00446C88">
            <w:pPr>
              <w:pStyle w:val="Tabletext0"/>
              <w:jc w:val="center"/>
              <w:rPr>
                <w:snapToGrid w:val="0"/>
              </w:rPr>
            </w:pPr>
            <w:r>
              <w:rPr>
                <w:snapToGrid w:val="0"/>
              </w:rPr>
              <w:t>(10.3%)</w:t>
            </w:r>
          </w:p>
        </w:tc>
        <w:tc>
          <w:tcPr>
            <w:tcW w:w="916" w:type="pct"/>
            <w:vAlign w:val="center"/>
          </w:tcPr>
          <w:p w14:paraId="2AA17F78" w14:textId="0A950684" w:rsidR="00867F5A" w:rsidRDefault="00867F5A" w:rsidP="00446C88">
            <w:pPr>
              <w:pStyle w:val="Tabletext0"/>
              <w:jc w:val="center"/>
              <w:rPr>
                <w:snapToGrid w:val="0"/>
              </w:rPr>
            </w:pPr>
            <w:r>
              <w:rPr>
                <w:snapToGrid w:val="0"/>
              </w:rPr>
              <w:t>34/174</w:t>
            </w:r>
          </w:p>
          <w:p w14:paraId="10A3F058" w14:textId="77777777" w:rsidR="00867F5A" w:rsidRPr="00406E9F" w:rsidRDefault="00867F5A" w:rsidP="00446C88">
            <w:pPr>
              <w:pStyle w:val="Tabletext0"/>
              <w:jc w:val="center"/>
              <w:rPr>
                <w:snapToGrid w:val="0"/>
              </w:rPr>
            </w:pPr>
            <w:r>
              <w:rPr>
                <w:snapToGrid w:val="0"/>
              </w:rPr>
              <w:t>(19.5%)</w:t>
            </w:r>
          </w:p>
        </w:tc>
        <w:tc>
          <w:tcPr>
            <w:tcW w:w="830" w:type="pct"/>
            <w:vAlign w:val="center"/>
          </w:tcPr>
          <w:p w14:paraId="7C4819F6" w14:textId="12279C9F" w:rsidR="00867F5A" w:rsidRDefault="00867F5A" w:rsidP="00446C88">
            <w:pPr>
              <w:pStyle w:val="Tabletext0"/>
              <w:jc w:val="center"/>
              <w:rPr>
                <w:snapToGrid w:val="0"/>
              </w:rPr>
            </w:pPr>
            <w:r>
              <w:rPr>
                <w:snapToGrid w:val="0"/>
              </w:rPr>
              <w:t>74/174</w:t>
            </w:r>
          </w:p>
          <w:p w14:paraId="7518E2D5" w14:textId="77777777" w:rsidR="00867F5A" w:rsidRPr="00406E9F" w:rsidRDefault="00867F5A" w:rsidP="00446C88">
            <w:pPr>
              <w:pStyle w:val="Tabletext0"/>
              <w:jc w:val="center"/>
              <w:rPr>
                <w:snapToGrid w:val="0"/>
              </w:rPr>
            </w:pPr>
            <w:r>
              <w:rPr>
                <w:snapToGrid w:val="0"/>
              </w:rPr>
              <w:t>(42.5%)</w:t>
            </w:r>
          </w:p>
        </w:tc>
      </w:tr>
      <w:tr w:rsidR="00867F5A" w:rsidRPr="0001290C" w14:paraId="10904C50" w14:textId="77777777" w:rsidTr="00446C88">
        <w:trPr>
          <w:tblHeader/>
        </w:trPr>
        <w:tc>
          <w:tcPr>
            <w:tcW w:w="819" w:type="pct"/>
            <w:vAlign w:val="center"/>
          </w:tcPr>
          <w:p w14:paraId="10AECE6B" w14:textId="77777777" w:rsidR="00867F5A" w:rsidRDefault="00867F5A" w:rsidP="00867F5A">
            <w:pPr>
              <w:pStyle w:val="Tabletext0"/>
              <w:rPr>
                <w:snapToGrid w:val="0"/>
              </w:rPr>
            </w:pPr>
            <w:r>
              <w:rPr>
                <w:snapToGrid w:val="0"/>
              </w:rPr>
              <w:t>EPIC-Skin**</w:t>
            </w:r>
          </w:p>
        </w:tc>
        <w:tc>
          <w:tcPr>
            <w:tcW w:w="745" w:type="pct"/>
            <w:vAlign w:val="center"/>
          </w:tcPr>
          <w:p w14:paraId="1D3187A2" w14:textId="77777777" w:rsidR="00867F5A" w:rsidRPr="0001290C" w:rsidRDefault="00867F5A" w:rsidP="00867F5A">
            <w:pPr>
              <w:pStyle w:val="Tabletext0"/>
              <w:rPr>
                <w:snapToGrid w:val="0"/>
              </w:rPr>
            </w:pPr>
            <w:r>
              <w:rPr>
                <w:snapToGrid w:val="0"/>
              </w:rPr>
              <w:t>12 months</w:t>
            </w:r>
          </w:p>
        </w:tc>
        <w:tc>
          <w:tcPr>
            <w:tcW w:w="798" w:type="pct"/>
            <w:vAlign w:val="center"/>
          </w:tcPr>
          <w:p w14:paraId="102D2480" w14:textId="77777777" w:rsidR="00867F5A" w:rsidRDefault="00867F5A" w:rsidP="00446C88">
            <w:pPr>
              <w:pStyle w:val="Tabletext0"/>
              <w:jc w:val="center"/>
              <w:rPr>
                <w:snapToGrid w:val="0"/>
              </w:rPr>
            </w:pPr>
            <w:r>
              <w:rPr>
                <w:snapToGrid w:val="0"/>
              </w:rPr>
              <w:t>7/174</w:t>
            </w:r>
          </w:p>
          <w:p w14:paraId="2EDE0364" w14:textId="77777777" w:rsidR="00867F5A" w:rsidRPr="0001290C" w:rsidRDefault="00867F5A" w:rsidP="00446C88">
            <w:pPr>
              <w:pStyle w:val="Tabletext0"/>
              <w:jc w:val="center"/>
              <w:rPr>
                <w:snapToGrid w:val="0"/>
              </w:rPr>
            </w:pPr>
            <w:r>
              <w:rPr>
                <w:snapToGrid w:val="0"/>
              </w:rPr>
              <w:t>(4.0%)</w:t>
            </w:r>
          </w:p>
        </w:tc>
        <w:tc>
          <w:tcPr>
            <w:tcW w:w="892" w:type="pct"/>
            <w:vAlign w:val="center"/>
          </w:tcPr>
          <w:p w14:paraId="1634D258" w14:textId="77777777" w:rsidR="00867F5A" w:rsidRDefault="00867F5A" w:rsidP="00446C88">
            <w:pPr>
              <w:pStyle w:val="Tabletext0"/>
              <w:jc w:val="center"/>
              <w:rPr>
                <w:snapToGrid w:val="0"/>
              </w:rPr>
            </w:pPr>
            <w:r>
              <w:rPr>
                <w:snapToGrid w:val="0"/>
              </w:rPr>
              <w:t>20/174</w:t>
            </w:r>
          </w:p>
          <w:p w14:paraId="03764A98" w14:textId="77777777" w:rsidR="00867F5A" w:rsidRPr="00406E9F" w:rsidRDefault="00867F5A" w:rsidP="00446C88">
            <w:pPr>
              <w:pStyle w:val="Tabletext0"/>
              <w:jc w:val="center"/>
              <w:rPr>
                <w:snapToGrid w:val="0"/>
              </w:rPr>
            </w:pPr>
            <w:r>
              <w:rPr>
                <w:snapToGrid w:val="0"/>
              </w:rPr>
              <w:t>(11.5%)</w:t>
            </w:r>
          </w:p>
        </w:tc>
        <w:tc>
          <w:tcPr>
            <w:tcW w:w="916" w:type="pct"/>
            <w:vAlign w:val="center"/>
          </w:tcPr>
          <w:p w14:paraId="6C186DC7" w14:textId="77777777" w:rsidR="00867F5A" w:rsidRDefault="00867F5A" w:rsidP="00446C88">
            <w:pPr>
              <w:pStyle w:val="Tabletext0"/>
              <w:jc w:val="center"/>
              <w:rPr>
                <w:snapToGrid w:val="0"/>
              </w:rPr>
            </w:pPr>
            <w:r>
              <w:rPr>
                <w:snapToGrid w:val="0"/>
              </w:rPr>
              <w:t>52/174</w:t>
            </w:r>
          </w:p>
          <w:p w14:paraId="00384CDB" w14:textId="77777777" w:rsidR="00867F5A" w:rsidRPr="00406E9F" w:rsidRDefault="00867F5A" w:rsidP="00446C88">
            <w:pPr>
              <w:pStyle w:val="Tabletext0"/>
              <w:jc w:val="center"/>
              <w:rPr>
                <w:snapToGrid w:val="0"/>
              </w:rPr>
            </w:pPr>
            <w:r>
              <w:rPr>
                <w:snapToGrid w:val="0"/>
              </w:rPr>
              <w:t>(29.9%)</w:t>
            </w:r>
          </w:p>
        </w:tc>
        <w:tc>
          <w:tcPr>
            <w:tcW w:w="830" w:type="pct"/>
            <w:vAlign w:val="center"/>
          </w:tcPr>
          <w:p w14:paraId="0AE90DDB" w14:textId="77777777" w:rsidR="00867F5A" w:rsidRDefault="00867F5A" w:rsidP="00446C88">
            <w:pPr>
              <w:pStyle w:val="Tabletext0"/>
              <w:jc w:val="center"/>
              <w:rPr>
                <w:snapToGrid w:val="0"/>
              </w:rPr>
            </w:pPr>
            <w:r>
              <w:rPr>
                <w:snapToGrid w:val="0"/>
              </w:rPr>
              <w:t>56/174</w:t>
            </w:r>
          </w:p>
          <w:p w14:paraId="29C5490D" w14:textId="77777777" w:rsidR="00867F5A" w:rsidRPr="00406E9F" w:rsidRDefault="00867F5A" w:rsidP="00446C88">
            <w:pPr>
              <w:pStyle w:val="Tabletext0"/>
              <w:jc w:val="center"/>
              <w:rPr>
                <w:snapToGrid w:val="0"/>
              </w:rPr>
            </w:pPr>
            <w:r>
              <w:rPr>
                <w:snapToGrid w:val="0"/>
              </w:rPr>
              <w:t>(32.2%)</w:t>
            </w:r>
          </w:p>
        </w:tc>
      </w:tr>
      <w:tr w:rsidR="00867F5A" w:rsidRPr="0001290C" w14:paraId="57D586FB" w14:textId="77777777" w:rsidTr="00446C88">
        <w:trPr>
          <w:tblHeader/>
        </w:trPr>
        <w:tc>
          <w:tcPr>
            <w:tcW w:w="819" w:type="pct"/>
            <w:vAlign w:val="center"/>
          </w:tcPr>
          <w:p w14:paraId="0ACC4011" w14:textId="77777777" w:rsidR="00867F5A" w:rsidRPr="0001290C" w:rsidRDefault="00867F5A" w:rsidP="00867F5A">
            <w:pPr>
              <w:pStyle w:val="Tabletext0"/>
              <w:rPr>
                <w:snapToGrid w:val="0"/>
              </w:rPr>
            </w:pPr>
            <w:r>
              <w:rPr>
                <w:snapToGrid w:val="0"/>
              </w:rPr>
              <w:t>Bologna</w:t>
            </w:r>
          </w:p>
        </w:tc>
        <w:tc>
          <w:tcPr>
            <w:tcW w:w="745" w:type="pct"/>
            <w:vAlign w:val="center"/>
          </w:tcPr>
          <w:p w14:paraId="58C28156" w14:textId="77777777" w:rsidR="00867F5A" w:rsidRPr="0001290C" w:rsidRDefault="00867F5A" w:rsidP="00867F5A">
            <w:pPr>
              <w:pStyle w:val="Tabletext0"/>
              <w:rPr>
                <w:snapToGrid w:val="0"/>
              </w:rPr>
            </w:pPr>
            <w:r>
              <w:rPr>
                <w:snapToGrid w:val="0"/>
              </w:rPr>
              <w:t>24 months</w:t>
            </w:r>
          </w:p>
        </w:tc>
        <w:tc>
          <w:tcPr>
            <w:tcW w:w="798" w:type="pct"/>
            <w:vAlign w:val="center"/>
          </w:tcPr>
          <w:p w14:paraId="38E8A86E" w14:textId="77777777" w:rsidR="00867F5A" w:rsidRDefault="00867F5A" w:rsidP="00446C88">
            <w:pPr>
              <w:pStyle w:val="Tabletext0"/>
              <w:jc w:val="center"/>
              <w:rPr>
                <w:snapToGrid w:val="0"/>
              </w:rPr>
            </w:pPr>
            <w:r w:rsidRPr="00AA5AF2">
              <w:rPr>
                <w:snapToGrid w:val="0"/>
              </w:rPr>
              <w:t>3/124</w:t>
            </w:r>
          </w:p>
          <w:p w14:paraId="50926092" w14:textId="77777777" w:rsidR="00867F5A" w:rsidRPr="0001290C" w:rsidRDefault="00867F5A" w:rsidP="00446C88">
            <w:pPr>
              <w:pStyle w:val="Tabletext0"/>
              <w:jc w:val="center"/>
              <w:rPr>
                <w:snapToGrid w:val="0"/>
              </w:rPr>
            </w:pPr>
            <w:r>
              <w:rPr>
                <w:snapToGrid w:val="0"/>
              </w:rPr>
              <w:t>(2.4%)</w:t>
            </w:r>
          </w:p>
        </w:tc>
        <w:tc>
          <w:tcPr>
            <w:tcW w:w="892" w:type="pct"/>
            <w:vAlign w:val="center"/>
          </w:tcPr>
          <w:p w14:paraId="1A8FAE5D" w14:textId="77777777" w:rsidR="00867F5A" w:rsidRPr="00B22F65" w:rsidRDefault="00867F5A" w:rsidP="00446C88">
            <w:pPr>
              <w:pStyle w:val="Tabletext0"/>
              <w:jc w:val="center"/>
              <w:rPr>
                <w:snapToGrid w:val="0"/>
              </w:rPr>
            </w:pPr>
            <w:r w:rsidRPr="00B22F65">
              <w:rPr>
                <w:snapToGrid w:val="0"/>
              </w:rPr>
              <w:t>N/A</w:t>
            </w:r>
          </w:p>
        </w:tc>
        <w:tc>
          <w:tcPr>
            <w:tcW w:w="916" w:type="pct"/>
          </w:tcPr>
          <w:p w14:paraId="1520D9CA" w14:textId="77777777" w:rsidR="00867F5A" w:rsidRDefault="00867F5A" w:rsidP="00446C88">
            <w:pPr>
              <w:pStyle w:val="Tabletext0"/>
              <w:jc w:val="center"/>
              <w:rPr>
                <w:snapToGrid w:val="0"/>
              </w:rPr>
            </w:pPr>
            <w:r w:rsidRPr="00AA5AF2">
              <w:rPr>
                <w:snapToGrid w:val="0"/>
              </w:rPr>
              <w:t>25/124</w:t>
            </w:r>
          </w:p>
          <w:p w14:paraId="284FD01C" w14:textId="77777777" w:rsidR="00867F5A" w:rsidRPr="00406E9F" w:rsidRDefault="00867F5A" w:rsidP="00446C88">
            <w:pPr>
              <w:pStyle w:val="Tabletext0"/>
              <w:jc w:val="center"/>
              <w:rPr>
                <w:snapToGrid w:val="0"/>
              </w:rPr>
            </w:pPr>
            <w:r>
              <w:rPr>
                <w:snapToGrid w:val="0"/>
              </w:rPr>
              <w:t>(20.2%)</w:t>
            </w:r>
          </w:p>
        </w:tc>
        <w:tc>
          <w:tcPr>
            <w:tcW w:w="830" w:type="pct"/>
          </w:tcPr>
          <w:p w14:paraId="18EF7EB7" w14:textId="77777777" w:rsidR="00867F5A" w:rsidRDefault="00867F5A" w:rsidP="00446C88">
            <w:pPr>
              <w:pStyle w:val="Tabletext0"/>
              <w:jc w:val="center"/>
              <w:rPr>
                <w:snapToGrid w:val="0"/>
              </w:rPr>
            </w:pPr>
            <w:r w:rsidRPr="00AA5AF2">
              <w:rPr>
                <w:snapToGrid w:val="0"/>
              </w:rPr>
              <w:t>96/124</w:t>
            </w:r>
          </w:p>
          <w:p w14:paraId="36DD0354" w14:textId="77777777" w:rsidR="00867F5A" w:rsidRPr="00406E9F" w:rsidRDefault="00867F5A" w:rsidP="00446C88">
            <w:pPr>
              <w:pStyle w:val="Tabletext0"/>
              <w:jc w:val="center"/>
              <w:rPr>
                <w:snapToGrid w:val="0"/>
              </w:rPr>
            </w:pPr>
            <w:r>
              <w:rPr>
                <w:snapToGrid w:val="0"/>
              </w:rPr>
              <w:t>(77.4%)</w:t>
            </w:r>
          </w:p>
        </w:tc>
      </w:tr>
      <w:tr w:rsidR="00867F5A" w:rsidRPr="0001290C" w14:paraId="39BA7335" w14:textId="77777777" w:rsidTr="00446C88">
        <w:trPr>
          <w:tblHeader/>
        </w:trPr>
        <w:tc>
          <w:tcPr>
            <w:tcW w:w="819" w:type="pct"/>
            <w:vAlign w:val="center"/>
          </w:tcPr>
          <w:p w14:paraId="35A82061" w14:textId="77777777" w:rsidR="00867F5A" w:rsidRPr="0001290C" w:rsidRDefault="00867F5A" w:rsidP="00867F5A">
            <w:pPr>
              <w:pStyle w:val="Tabletext0"/>
              <w:rPr>
                <w:snapToGrid w:val="0"/>
              </w:rPr>
            </w:pPr>
            <w:r>
              <w:rPr>
                <w:snapToGrid w:val="0"/>
              </w:rPr>
              <w:t>Tietze 2023</w:t>
            </w:r>
          </w:p>
        </w:tc>
        <w:tc>
          <w:tcPr>
            <w:tcW w:w="745" w:type="pct"/>
            <w:vAlign w:val="center"/>
          </w:tcPr>
          <w:p w14:paraId="0DEEF0E0" w14:textId="77777777" w:rsidR="00867F5A" w:rsidRPr="000F7A48" w:rsidRDefault="00867F5A" w:rsidP="00867F5A">
            <w:pPr>
              <w:pStyle w:val="Tabletext0"/>
              <w:rPr>
                <w:snapToGrid w:val="0"/>
              </w:rPr>
            </w:pPr>
            <w:r>
              <w:rPr>
                <w:snapToGrid w:val="0"/>
              </w:rPr>
              <w:t>12 months</w:t>
            </w:r>
          </w:p>
        </w:tc>
        <w:tc>
          <w:tcPr>
            <w:tcW w:w="798" w:type="pct"/>
            <w:vAlign w:val="center"/>
          </w:tcPr>
          <w:p w14:paraId="229B675E" w14:textId="77777777" w:rsidR="00867F5A" w:rsidRPr="0001290C" w:rsidRDefault="00867F5A" w:rsidP="00446C88">
            <w:pPr>
              <w:pStyle w:val="Tabletext0"/>
              <w:jc w:val="center"/>
              <w:rPr>
                <w:snapToGrid w:val="0"/>
              </w:rPr>
            </w:pPr>
            <w:r>
              <w:rPr>
                <w:snapToGrid w:val="0"/>
              </w:rPr>
              <w:t>0</w:t>
            </w:r>
          </w:p>
        </w:tc>
        <w:tc>
          <w:tcPr>
            <w:tcW w:w="892" w:type="pct"/>
            <w:vAlign w:val="center"/>
          </w:tcPr>
          <w:p w14:paraId="3ED93825" w14:textId="77777777" w:rsidR="00867F5A" w:rsidRDefault="00867F5A" w:rsidP="00446C88">
            <w:pPr>
              <w:pStyle w:val="Tabletext0"/>
              <w:jc w:val="center"/>
              <w:rPr>
                <w:snapToGrid w:val="0"/>
              </w:rPr>
            </w:pPr>
            <w:r>
              <w:rPr>
                <w:snapToGrid w:val="0"/>
              </w:rPr>
              <w:t>3/40</w:t>
            </w:r>
          </w:p>
          <w:p w14:paraId="2E4BC9B8" w14:textId="77777777" w:rsidR="00867F5A" w:rsidRPr="00406E9F" w:rsidRDefault="00867F5A" w:rsidP="00446C88">
            <w:pPr>
              <w:pStyle w:val="Tabletext0"/>
              <w:jc w:val="center"/>
              <w:rPr>
                <w:snapToGrid w:val="0"/>
              </w:rPr>
            </w:pPr>
            <w:r>
              <w:rPr>
                <w:snapToGrid w:val="0"/>
              </w:rPr>
              <w:t>(7.7%)</w:t>
            </w:r>
          </w:p>
        </w:tc>
        <w:tc>
          <w:tcPr>
            <w:tcW w:w="916" w:type="pct"/>
            <w:vAlign w:val="center"/>
          </w:tcPr>
          <w:p w14:paraId="2C866F5D" w14:textId="77777777" w:rsidR="00867F5A" w:rsidRDefault="00867F5A" w:rsidP="00446C88">
            <w:pPr>
              <w:pStyle w:val="Tabletext0"/>
              <w:jc w:val="center"/>
              <w:rPr>
                <w:snapToGrid w:val="0"/>
              </w:rPr>
            </w:pPr>
            <w:r>
              <w:rPr>
                <w:snapToGrid w:val="0"/>
              </w:rPr>
              <w:t>20/40</w:t>
            </w:r>
          </w:p>
          <w:p w14:paraId="3C6AFC41" w14:textId="77777777" w:rsidR="00867F5A" w:rsidRPr="00406E9F" w:rsidRDefault="00867F5A" w:rsidP="00446C88">
            <w:pPr>
              <w:pStyle w:val="Tabletext0"/>
              <w:jc w:val="center"/>
              <w:rPr>
                <w:snapToGrid w:val="0"/>
              </w:rPr>
            </w:pPr>
            <w:r>
              <w:rPr>
                <w:snapToGrid w:val="0"/>
              </w:rPr>
              <w:t>(51.3%)</w:t>
            </w:r>
          </w:p>
        </w:tc>
        <w:tc>
          <w:tcPr>
            <w:tcW w:w="830" w:type="pct"/>
            <w:vAlign w:val="center"/>
          </w:tcPr>
          <w:p w14:paraId="6F5C2FAA" w14:textId="77777777" w:rsidR="00867F5A" w:rsidRDefault="00867F5A" w:rsidP="00446C88">
            <w:pPr>
              <w:pStyle w:val="Tabletext0"/>
              <w:jc w:val="center"/>
              <w:rPr>
                <w:snapToGrid w:val="0"/>
              </w:rPr>
            </w:pPr>
            <w:r>
              <w:rPr>
                <w:snapToGrid w:val="0"/>
              </w:rPr>
              <w:t>16/40</w:t>
            </w:r>
          </w:p>
          <w:p w14:paraId="3E9D75BC" w14:textId="77777777" w:rsidR="00867F5A" w:rsidRPr="00406E9F" w:rsidRDefault="00867F5A" w:rsidP="00446C88">
            <w:pPr>
              <w:pStyle w:val="Tabletext0"/>
              <w:jc w:val="center"/>
              <w:rPr>
                <w:snapToGrid w:val="0"/>
              </w:rPr>
            </w:pPr>
            <w:r>
              <w:rPr>
                <w:snapToGrid w:val="0"/>
              </w:rPr>
              <w:t>(41.0%)</w:t>
            </w:r>
          </w:p>
        </w:tc>
      </w:tr>
      <w:tr w:rsidR="00867F5A" w:rsidRPr="0001290C" w14:paraId="542762BB" w14:textId="77777777" w:rsidTr="00446C88">
        <w:trPr>
          <w:tblHeader/>
        </w:trPr>
        <w:tc>
          <w:tcPr>
            <w:tcW w:w="819" w:type="pct"/>
            <w:vAlign w:val="center"/>
          </w:tcPr>
          <w:p w14:paraId="40E27DCA" w14:textId="77777777" w:rsidR="00867F5A" w:rsidRPr="00B22F65" w:rsidRDefault="00867F5A" w:rsidP="00867F5A">
            <w:pPr>
              <w:pStyle w:val="Tabletext0"/>
              <w:rPr>
                <w:snapToGrid w:val="0"/>
              </w:rPr>
            </w:pPr>
            <w:r w:rsidRPr="0088662B">
              <w:rPr>
                <w:snapToGrid w:val="0"/>
              </w:rPr>
              <w:t>Australian registry</w:t>
            </w:r>
          </w:p>
        </w:tc>
        <w:tc>
          <w:tcPr>
            <w:tcW w:w="745" w:type="pct"/>
            <w:vAlign w:val="center"/>
          </w:tcPr>
          <w:p w14:paraId="4C007770" w14:textId="77777777" w:rsidR="00867F5A" w:rsidRDefault="00867F5A" w:rsidP="00867F5A">
            <w:pPr>
              <w:pStyle w:val="Tabletext0"/>
              <w:rPr>
                <w:snapToGrid w:val="0"/>
              </w:rPr>
            </w:pPr>
            <w:r w:rsidRPr="00B22F65">
              <w:rPr>
                <w:snapToGrid w:val="0"/>
              </w:rPr>
              <w:t>8 months</w:t>
            </w:r>
            <w:r w:rsidRPr="00B22F65">
              <w:rPr>
                <w:snapToGrid w:val="0"/>
              </w:rPr>
              <w:br/>
              <w:t>(median)</w:t>
            </w:r>
          </w:p>
        </w:tc>
        <w:tc>
          <w:tcPr>
            <w:tcW w:w="798" w:type="pct"/>
            <w:vAlign w:val="center"/>
          </w:tcPr>
          <w:p w14:paraId="48F2E159" w14:textId="77777777" w:rsidR="00867F5A" w:rsidRDefault="00867F5A" w:rsidP="00446C88">
            <w:pPr>
              <w:pStyle w:val="Tabletext0"/>
              <w:jc w:val="center"/>
              <w:rPr>
                <w:snapToGrid w:val="0"/>
              </w:rPr>
            </w:pPr>
            <w:r>
              <w:rPr>
                <w:snapToGrid w:val="0"/>
              </w:rPr>
              <w:t>0</w:t>
            </w:r>
          </w:p>
        </w:tc>
        <w:tc>
          <w:tcPr>
            <w:tcW w:w="892" w:type="pct"/>
            <w:vAlign w:val="center"/>
          </w:tcPr>
          <w:p w14:paraId="28BBEF1F" w14:textId="77777777" w:rsidR="00867F5A" w:rsidRDefault="00867F5A" w:rsidP="00446C88">
            <w:pPr>
              <w:pStyle w:val="Tabletext0"/>
              <w:jc w:val="center"/>
              <w:rPr>
                <w:snapToGrid w:val="0"/>
              </w:rPr>
            </w:pPr>
            <w:r>
              <w:rPr>
                <w:snapToGrid w:val="0"/>
              </w:rPr>
              <w:t>0</w:t>
            </w:r>
          </w:p>
        </w:tc>
        <w:tc>
          <w:tcPr>
            <w:tcW w:w="916" w:type="pct"/>
            <w:vAlign w:val="center"/>
          </w:tcPr>
          <w:p w14:paraId="4CD13F4B" w14:textId="77777777" w:rsidR="00867F5A" w:rsidRDefault="00867F5A" w:rsidP="00446C88">
            <w:pPr>
              <w:pStyle w:val="Tabletext0"/>
              <w:jc w:val="center"/>
              <w:rPr>
                <w:snapToGrid w:val="0"/>
              </w:rPr>
            </w:pPr>
            <w:r>
              <w:rPr>
                <w:snapToGrid w:val="0"/>
              </w:rPr>
              <w:t>2/9 (22.2%)</w:t>
            </w:r>
          </w:p>
        </w:tc>
        <w:tc>
          <w:tcPr>
            <w:tcW w:w="830" w:type="pct"/>
            <w:vAlign w:val="center"/>
          </w:tcPr>
          <w:p w14:paraId="12760195" w14:textId="77777777" w:rsidR="00867F5A" w:rsidRDefault="00867F5A" w:rsidP="00446C88">
            <w:pPr>
              <w:pStyle w:val="Tabletext0"/>
              <w:jc w:val="center"/>
              <w:rPr>
                <w:snapToGrid w:val="0"/>
              </w:rPr>
            </w:pPr>
            <w:r>
              <w:rPr>
                <w:snapToGrid w:val="0"/>
              </w:rPr>
              <w:t>7/9 (77.8%)</w:t>
            </w:r>
          </w:p>
        </w:tc>
      </w:tr>
      <w:tr w:rsidR="00867F5A" w:rsidRPr="0001290C" w14:paraId="4FCDA24E" w14:textId="77777777" w:rsidTr="00446C88">
        <w:trPr>
          <w:tblHeader/>
        </w:trPr>
        <w:tc>
          <w:tcPr>
            <w:tcW w:w="5000" w:type="pct"/>
            <w:gridSpan w:val="6"/>
            <w:tcBorders>
              <w:bottom w:val="single" w:sz="4" w:space="0" w:color="auto"/>
            </w:tcBorders>
            <w:vAlign w:val="center"/>
          </w:tcPr>
          <w:p w14:paraId="06038338" w14:textId="77777777" w:rsidR="00867F5A" w:rsidRPr="0029476B" w:rsidRDefault="00867F5A" w:rsidP="00867F5A">
            <w:pPr>
              <w:pStyle w:val="Tabletext0"/>
              <w:rPr>
                <w:b/>
                <w:bCs/>
                <w:snapToGrid w:val="0"/>
              </w:rPr>
            </w:pPr>
            <w:r w:rsidRPr="0029476B">
              <w:rPr>
                <w:b/>
                <w:bCs/>
                <w:snapToGrid w:val="0"/>
              </w:rPr>
              <w:t>EBRT</w:t>
            </w:r>
          </w:p>
        </w:tc>
      </w:tr>
      <w:tr w:rsidR="00867F5A" w:rsidRPr="0001290C" w14:paraId="59D95414" w14:textId="77777777" w:rsidTr="00446C88">
        <w:trPr>
          <w:tblHeader/>
        </w:trPr>
        <w:tc>
          <w:tcPr>
            <w:tcW w:w="819" w:type="pct"/>
            <w:vAlign w:val="center"/>
          </w:tcPr>
          <w:p w14:paraId="00EFD5A1" w14:textId="77777777" w:rsidR="00867F5A" w:rsidRPr="00226F9B" w:rsidRDefault="00867F5A" w:rsidP="00867F5A">
            <w:pPr>
              <w:pStyle w:val="Tabletext0"/>
              <w:rPr>
                <w:snapToGrid w:val="0"/>
              </w:rPr>
            </w:pPr>
            <w:r>
              <w:rPr>
                <w:snapToGrid w:val="0"/>
              </w:rPr>
              <w:t>Ferro 2015</w:t>
            </w:r>
          </w:p>
        </w:tc>
        <w:tc>
          <w:tcPr>
            <w:tcW w:w="745" w:type="pct"/>
          </w:tcPr>
          <w:p w14:paraId="0BE340CE" w14:textId="77777777" w:rsidR="00867F5A" w:rsidRPr="00226F9B" w:rsidRDefault="00867F5A" w:rsidP="00867F5A">
            <w:pPr>
              <w:pStyle w:val="Tabletext0"/>
              <w:rPr>
                <w:snapToGrid w:val="0"/>
              </w:rPr>
            </w:pPr>
            <w:r>
              <w:rPr>
                <w:snapToGrid w:val="0"/>
              </w:rPr>
              <w:t>24 months</w:t>
            </w:r>
          </w:p>
        </w:tc>
        <w:tc>
          <w:tcPr>
            <w:tcW w:w="798" w:type="pct"/>
            <w:vAlign w:val="center"/>
          </w:tcPr>
          <w:p w14:paraId="2839E4F9" w14:textId="77777777" w:rsidR="00867F5A" w:rsidRPr="00226F9B" w:rsidRDefault="00867F5A" w:rsidP="00446C88">
            <w:pPr>
              <w:pStyle w:val="Tabletext0"/>
              <w:jc w:val="center"/>
              <w:rPr>
                <w:snapToGrid w:val="0"/>
              </w:rPr>
            </w:pPr>
            <w:r>
              <w:rPr>
                <w:snapToGrid w:val="0"/>
              </w:rPr>
              <w:t>0</w:t>
            </w:r>
          </w:p>
        </w:tc>
        <w:tc>
          <w:tcPr>
            <w:tcW w:w="892" w:type="pct"/>
            <w:vAlign w:val="center"/>
          </w:tcPr>
          <w:p w14:paraId="5011E408" w14:textId="77777777" w:rsidR="00867F5A" w:rsidRPr="00226F9B" w:rsidRDefault="00867F5A" w:rsidP="00446C88">
            <w:pPr>
              <w:pStyle w:val="Tabletext0"/>
              <w:jc w:val="center"/>
              <w:rPr>
                <w:snapToGrid w:val="0"/>
              </w:rPr>
            </w:pPr>
            <w:r>
              <w:rPr>
                <w:snapToGrid w:val="0"/>
              </w:rPr>
              <w:t>1/31 (3.2%)</w:t>
            </w:r>
          </w:p>
        </w:tc>
        <w:tc>
          <w:tcPr>
            <w:tcW w:w="916" w:type="pct"/>
            <w:vAlign w:val="center"/>
          </w:tcPr>
          <w:p w14:paraId="5965F89C" w14:textId="77777777" w:rsidR="00867F5A" w:rsidRPr="00226F9B" w:rsidRDefault="00867F5A" w:rsidP="00446C88">
            <w:pPr>
              <w:pStyle w:val="Tabletext0"/>
              <w:jc w:val="center"/>
              <w:rPr>
                <w:snapToGrid w:val="0"/>
              </w:rPr>
            </w:pPr>
            <w:r>
              <w:rPr>
                <w:snapToGrid w:val="0"/>
              </w:rPr>
              <w:t>14/31 (45.2%)</w:t>
            </w:r>
          </w:p>
        </w:tc>
        <w:tc>
          <w:tcPr>
            <w:tcW w:w="830" w:type="pct"/>
          </w:tcPr>
          <w:p w14:paraId="37FF57D5" w14:textId="77777777" w:rsidR="00867F5A" w:rsidRPr="00226F9B" w:rsidRDefault="00867F5A" w:rsidP="00446C88">
            <w:pPr>
              <w:pStyle w:val="Tabletext0"/>
              <w:jc w:val="center"/>
              <w:rPr>
                <w:snapToGrid w:val="0"/>
              </w:rPr>
            </w:pPr>
            <w:r>
              <w:rPr>
                <w:snapToGrid w:val="0"/>
              </w:rPr>
              <w:t>12/31 (37.8%)</w:t>
            </w:r>
          </w:p>
        </w:tc>
      </w:tr>
      <w:tr w:rsidR="007227F3" w:rsidRPr="0001290C" w14:paraId="26628B18" w14:textId="77777777" w:rsidTr="001F5B52">
        <w:trPr>
          <w:tblHeader/>
        </w:trPr>
        <w:tc>
          <w:tcPr>
            <w:tcW w:w="819" w:type="pct"/>
            <w:vAlign w:val="center"/>
          </w:tcPr>
          <w:p w14:paraId="017B6AF8" w14:textId="77777777" w:rsidR="00867F5A" w:rsidRDefault="00867F5A" w:rsidP="00867F5A">
            <w:pPr>
              <w:pStyle w:val="Tabletext0"/>
              <w:rPr>
                <w:snapToGrid w:val="0"/>
              </w:rPr>
            </w:pPr>
            <w:r>
              <w:rPr>
                <w:snapToGrid w:val="0"/>
              </w:rPr>
              <w:t>Patel 2017*</w:t>
            </w:r>
          </w:p>
        </w:tc>
        <w:tc>
          <w:tcPr>
            <w:tcW w:w="745" w:type="pct"/>
            <w:vMerge w:val="restart"/>
            <w:vAlign w:val="center"/>
          </w:tcPr>
          <w:p w14:paraId="76C36E8D" w14:textId="77777777" w:rsidR="00867F5A" w:rsidRDefault="00867F5A" w:rsidP="00867F5A">
            <w:pPr>
              <w:pStyle w:val="Tabletext0"/>
              <w:rPr>
                <w:snapToGrid w:val="0"/>
              </w:rPr>
            </w:pPr>
            <w:r>
              <w:rPr>
                <w:snapToGrid w:val="0"/>
              </w:rPr>
              <w:t>3.3 years</w:t>
            </w:r>
          </w:p>
          <w:p w14:paraId="42751BD9" w14:textId="77777777" w:rsidR="00867F5A" w:rsidRDefault="00867F5A" w:rsidP="00867F5A">
            <w:pPr>
              <w:pStyle w:val="Tabletext0"/>
              <w:rPr>
                <w:snapToGrid w:val="0"/>
              </w:rPr>
            </w:pPr>
            <w:r>
              <w:rPr>
                <w:snapToGrid w:val="0"/>
              </w:rPr>
              <w:t>(mean)</w:t>
            </w:r>
          </w:p>
        </w:tc>
        <w:tc>
          <w:tcPr>
            <w:tcW w:w="798" w:type="pct"/>
            <w:vAlign w:val="center"/>
          </w:tcPr>
          <w:p w14:paraId="21BA262E" w14:textId="77777777" w:rsidR="00867F5A" w:rsidRDefault="00867F5A" w:rsidP="00446C88">
            <w:pPr>
              <w:pStyle w:val="Tabletext0"/>
              <w:jc w:val="center"/>
              <w:rPr>
                <w:snapToGrid w:val="0"/>
              </w:rPr>
            </w:pPr>
            <w:r w:rsidRPr="00843497">
              <w:rPr>
                <w:snapToGrid w:val="0"/>
              </w:rPr>
              <w:t>5 (2.4%)</w:t>
            </w:r>
          </w:p>
        </w:tc>
        <w:tc>
          <w:tcPr>
            <w:tcW w:w="892" w:type="pct"/>
            <w:vAlign w:val="center"/>
          </w:tcPr>
          <w:p w14:paraId="7D577E16" w14:textId="77777777" w:rsidR="00867F5A" w:rsidRDefault="00867F5A" w:rsidP="00446C88">
            <w:pPr>
              <w:pStyle w:val="Tabletext0"/>
              <w:jc w:val="center"/>
              <w:rPr>
                <w:snapToGrid w:val="0"/>
              </w:rPr>
            </w:pPr>
            <w:r w:rsidRPr="0028644E">
              <w:rPr>
                <w:snapToGrid w:val="0"/>
              </w:rPr>
              <w:t>15 (7.2%)</w:t>
            </w:r>
          </w:p>
        </w:tc>
        <w:tc>
          <w:tcPr>
            <w:tcW w:w="916" w:type="pct"/>
          </w:tcPr>
          <w:p w14:paraId="208D07DB" w14:textId="77777777" w:rsidR="00867F5A" w:rsidRDefault="00867F5A" w:rsidP="00446C88">
            <w:pPr>
              <w:pStyle w:val="Tabletext0"/>
              <w:jc w:val="center"/>
              <w:rPr>
                <w:snapToGrid w:val="0"/>
              </w:rPr>
            </w:pPr>
            <w:r w:rsidRPr="0028644E">
              <w:rPr>
                <w:snapToGrid w:val="0"/>
              </w:rPr>
              <w:t>48 (23.1%)</w:t>
            </w:r>
          </w:p>
        </w:tc>
        <w:tc>
          <w:tcPr>
            <w:tcW w:w="830" w:type="pct"/>
          </w:tcPr>
          <w:p w14:paraId="5D732BC2" w14:textId="77777777" w:rsidR="00867F5A" w:rsidRDefault="00867F5A" w:rsidP="00446C88">
            <w:pPr>
              <w:pStyle w:val="Tabletext0"/>
              <w:jc w:val="center"/>
              <w:rPr>
                <w:snapToGrid w:val="0"/>
              </w:rPr>
            </w:pPr>
            <w:r w:rsidRPr="004E295C">
              <w:rPr>
                <w:snapToGrid w:val="0"/>
              </w:rPr>
              <w:t>140 (67.3%)</w:t>
            </w:r>
          </w:p>
        </w:tc>
      </w:tr>
      <w:tr w:rsidR="007227F3" w:rsidRPr="0001290C" w14:paraId="2CA0E37C" w14:textId="77777777" w:rsidTr="001F5B52">
        <w:trPr>
          <w:tblHeader/>
        </w:trPr>
        <w:tc>
          <w:tcPr>
            <w:tcW w:w="819" w:type="pct"/>
            <w:vAlign w:val="center"/>
          </w:tcPr>
          <w:p w14:paraId="2D7ED47D" w14:textId="77777777" w:rsidR="00867F5A" w:rsidRDefault="00867F5A" w:rsidP="00867F5A">
            <w:pPr>
              <w:pStyle w:val="Tabletext0"/>
              <w:rPr>
                <w:snapToGrid w:val="0"/>
              </w:rPr>
            </w:pPr>
            <w:r>
              <w:rPr>
                <w:snapToGrid w:val="0"/>
              </w:rPr>
              <w:t>Patel 2017**</w:t>
            </w:r>
          </w:p>
        </w:tc>
        <w:tc>
          <w:tcPr>
            <w:tcW w:w="745" w:type="pct"/>
            <w:vMerge/>
            <w:vAlign w:val="center"/>
          </w:tcPr>
          <w:p w14:paraId="75AA7ECC" w14:textId="77777777" w:rsidR="00867F5A" w:rsidRDefault="00867F5A" w:rsidP="00867F5A">
            <w:pPr>
              <w:pStyle w:val="Tabletext0"/>
              <w:rPr>
                <w:snapToGrid w:val="0"/>
              </w:rPr>
            </w:pPr>
          </w:p>
        </w:tc>
        <w:tc>
          <w:tcPr>
            <w:tcW w:w="798" w:type="pct"/>
            <w:vAlign w:val="center"/>
          </w:tcPr>
          <w:p w14:paraId="28CF4B93" w14:textId="77777777" w:rsidR="00867F5A" w:rsidRDefault="00867F5A" w:rsidP="00446C88">
            <w:pPr>
              <w:pStyle w:val="Tabletext0"/>
              <w:jc w:val="center"/>
              <w:rPr>
                <w:snapToGrid w:val="0"/>
              </w:rPr>
            </w:pPr>
            <w:r w:rsidRPr="00843497">
              <w:rPr>
                <w:snapToGrid w:val="0"/>
              </w:rPr>
              <w:t>4 (1.9%)</w:t>
            </w:r>
          </w:p>
        </w:tc>
        <w:tc>
          <w:tcPr>
            <w:tcW w:w="892" w:type="pct"/>
            <w:vAlign w:val="center"/>
          </w:tcPr>
          <w:p w14:paraId="33931CCC" w14:textId="77777777" w:rsidR="00867F5A" w:rsidRDefault="00867F5A" w:rsidP="00446C88">
            <w:pPr>
              <w:pStyle w:val="Tabletext0"/>
              <w:jc w:val="center"/>
              <w:rPr>
                <w:snapToGrid w:val="0"/>
              </w:rPr>
            </w:pPr>
            <w:r w:rsidRPr="00843497">
              <w:rPr>
                <w:snapToGrid w:val="0"/>
              </w:rPr>
              <w:t>1 (0.5%)</w:t>
            </w:r>
          </w:p>
        </w:tc>
        <w:tc>
          <w:tcPr>
            <w:tcW w:w="916" w:type="pct"/>
          </w:tcPr>
          <w:p w14:paraId="2DC48225" w14:textId="77777777" w:rsidR="00867F5A" w:rsidRDefault="00867F5A" w:rsidP="00446C88">
            <w:pPr>
              <w:pStyle w:val="Tabletext0"/>
              <w:jc w:val="center"/>
              <w:rPr>
                <w:snapToGrid w:val="0"/>
              </w:rPr>
            </w:pPr>
            <w:r w:rsidRPr="00F1793A">
              <w:rPr>
                <w:snapToGrid w:val="0"/>
              </w:rPr>
              <w:t>70 (33.7%)</w:t>
            </w:r>
          </w:p>
        </w:tc>
        <w:tc>
          <w:tcPr>
            <w:tcW w:w="830" w:type="pct"/>
          </w:tcPr>
          <w:p w14:paraId="66C19C95" w14:textId="77777777" w:rsidR="00867F5A" w:rsidRDefault="00867F5A" w:rsidP="00446C88">
            <w:pPr>
              <w:pStyle w:val="Tabletext0"/>
              <w:jc w:val="center"/>
              <w:rPr>
                <w:snapToGrid w:val="0"/>
              </w:rPr>
            </w:pPr>
            <w:r w:rsidRPr="00F41ED4">
              <w:rPr>
                <w:snapToGrid w:val="0"/>
              </w:rPr>
              <w:t>133 (63.9%)</w:t>
            </w:r>
          </w:p>
        </w:tc>
      </w:tr>
      <w:tr w:rsidR="00867F5A" w:rsidRPr="0001290C" w14:paraId="172C5FFD" w14:textId="77777777" w:rsidTr="00446C88">
        <w:trPr>
          <w:tblHeader/>
        </w:trPr>
        <w:tc>
          <w:tcPr>
            <w:tcW w:w="819" w:type="pct"/>
            <w:vAlign w:val="center"/>
          </w:tcPr>
          <w:p w14:paraId="3343E058" w14:textId="77777777" w:rsidR="00867F5A" w:rsidRPr="00B22F65" w:rsidRDefault="00867F5A" w:rsidP="00867F5A">
            <w:pPr>
              <w:pStyle w:val="Tabletext0"/>
              <w:rPr>
                <w:snapToGrid w:val="0"/>
              </w:rPr>
            </w:pPr>
            <w:r w:rsidRPr="0088662B">
              <w:rPr>
                <w:snapToGrid w:val="0"/>
              </w:rPr>
              <w:t>Australian registry</w:t>
            </w:r>
          </w:p>
        </w:tc>
        <w:tc>
          <w:tcPr>
            <w:tcW w:w="745" w:type="pct"/>
            <w:vAlign w:val="center"/>
          </w:tcPr>
          <w:p w14:paraId="4E0250B5" w14:textId="77777777" w:rsidR="00867F5A" w:rsidRDefault="00867F5A" w:rsidP="00867F5A">
            <w:pPr>
              <w:pStyle w:val="Tabletext0"/>
              <w:rPr>
                <w:snapToGrid w:val="0"/>
              </w:rPr>
            </w:pPr>
            <w:r w:rsidRPr="00B22F65">
              <w:rPr>
                <w:snapToGrid w:val="0"/>
              </w:rPr>
              <w:t>18 months</w:t>
            </w:r>
            <w:r w:rsidRPr="00B22F65">
              <w:rPr>
                <w:snapToGrid w:val="0"/>
              </w:rPr>
              <w:br/>
              <w:t>(median)</w:t>
            </w:r>
          </w:p>
        </w:tc>
        <w:tc>
          <w:tcPr>
            <w:tcW w:w="798" w:type="pct"/>
            <w:vAlign w:val="center"/>
          </w:tcPr>
          <w:p w14:paraId="49DF0732" w14:textId="77777777" w:rsidR="00867F5A" w:rsidRPr="00843497" w:rsidRDefault="00867F5A" w:rsidP="00446C88">
            <w:pPr>
              <w:pStyle w:val="Tabletext0"/>
              <w:jc w:val="center"/>
              <w:rPr>
                <w:snapToGrid w:val="0"/>
              </w:rPr>
            </w:pPr>
            <w:r>
              <w:rPr>
                <w:snapToGrid w:val="0"/>
              </w:rPr>
              <w:t>0</w:t>
            </w:r>
          </w:p>
        </w:tc>
        <w:tc>
          <w:tcPr>
            <w:tcW w:w="892" w:type="pct"/>
            <w:vAlign w:val="center"/>
          </w:tcPr>
          <w:p w14:paraId="0C23E208" w14:textId="77777777" w:rsidR="00867F5A" w:rsidRPr="00843497" w:rsidRDefault="00867F5A" w:rsidP="00446C88">
            <w:pPr>
              <w:pStyle w:val="Tabletext0"/>
              <w:jc w:val="center"/>
              <w:rPr>
                <w:snapToGrid w:val="0"/>
              </w:rPr>
            </w:pPr>
            <w:r>
              <w:rPr>
                <w:snapToGrid w:val="0"/>
              </w:rPr>
              <w:t>0</w:t>
            </w:r>
          </w:p>
        </w:tc>
        <w:tc>
          <w:tcPr>
            <w:tcW w:w="916" w:type="pct"/>
            <w:vAlign w:val="center"/>
          </w:tcPr>
          <w:p w14:paraId="57A310B7" w14:textId="77777777" w:rsidR="00867F5A" w:rsidRPr="00F1793A" w:rsidRDefault="00867F5A" w:rsidP="00446C88">
            <w:pPr>
              <w:pStyle w:val="Tabletext0"/>
              <w:jc w:val="center"/>
              <w:rPr>
                <w:snapToGrid w:val="0"/>
              </w:rPr>
            </w:pPr>
            <w:r>
              <w:rPr>
                <w:snapToGrid w:val="0"/>
              </w:rPr>
              <w:t>3/11 (27.3%)</w:t>
            </w:r>
          </w:p>
        </w:tc>
        <w:tc>
          <w:tcPr>
            <w:tcW w:w="830" w:type="pct"/>
            <w:vAlign w:val="center"/>
          </w:tcPr>
          <w:p w14:paraId="25C52515" w14:textId="77777777" w:rsidR="00867F5A" w:rsidRPr="00F41ED4" w:rsidRDefault="00867F5A" w:rsidP="00446C88">
            <w:pPr>
              <w:pStyle w:val="Tabletext0"/>
              <w:jc w:val="center"/>
              <w:rPr>
                <w:snapToGrid w:val="0"/>
              </w:rPr>
            </w:pPr>
            <w:r>
              <w:rPr>
                <w:snapToGrid w:val="0"/>
              </w:rPr>
              <w:t>8/11 (72.7%)</w:t>
            </w:r>
          </w:p>
        </w:tc>
      </w:tr>
    </w:tbl>
    <w:p w14:paraId="1C6B19B8" w14:textId="77777777" w:rsidR="00867F5A" w:rsidRDefault="00867F5A" w:rsidP="00B22F65">
      <w:pPr>
        <w:pStyle w:val="TableFigureFooter"/>
        <w:spacing w:after="0"/>
      </w:pPr>
      <w:r w:rsidRPr="00B22F65">
        <w:t>EPIC-Skin study notes: The ITT set of 174 lesions used. * Patient rating, ** Clinician rating. 0-10 rating scale used in EPIC-Skin study converted to 0-3 Poor, 4-6 Acceptable, 7-8 Good, 9-10 Excellent.</w:t>
      </w:r>
    </w:p>
    <w:p w14:paraId="3C83BA6D" w14:textId="4EA24BC2" w:rsidR="001E2927" w:rsidRPr="00B22F65" w:rsidRDefault="001E2927" w:rsidP="00B22F65">
      <w:pPr>
        <w:pStyle w:val="TableFigureFooter"/>
        <w:spacing w:before="0" w:after="0"/>
      </w:pPr>
      <w:r w:rsidRPr="00BA438C">
        <w:t>EBRT = external beam radiation therapy</w:t>
      </w:r>
      <w:r>
        <w:t xml:space="preserve">; </w:t>
      </w:r>
      <w:r w:rsidRPr="00BA438C">
        <w:t>Re-188 = Rhenium-188</w:t>
      </w:r>
      <w:r>
        <w:t>;</w:t>
      </w:r>
    </w:p>
    <w:p w14:paraId="68C8A40E" w14:textId="15BEE781" w:rsidR="001C76AA" w:rsidRDefault="002E571C" w:rsidP="001C76AA">
      <w:r>
        <w:t>MSAC</w:t>
      </w:r>
      <w:r w:rsidR="00643469">
        <w:t xml:space="preserve"> considered that t</w:t>
      </w:r>
      <w:r w:rsidR="00D01573">
        <w:t xml:space="preserve">here was considerable heterogeneity between the </w:t>
      </w:r>
      <w:r w:rsidR="003D10C0">
        <w:t>stud</w:t>
      </w:r>
      <w:r w:rsidR="00F7068F">
        <w:t>ies’</w:t>
      </w:r>
      <w:r w:rsidR="00D01573">
        <w:t xml:space="preserve"> results, </w:t>
      </w:r>
      <w:r w:rsidR="003D10C0">
        <w:t>and</w:t>
      </w:r>
      <w:r w:rsidR="000C53D2">
        <w:t xml:space="preserve"> there was no uniformity in the follow</w:t>
      </w:r>
      <w:r w:rsidR="00F7068F">
        <w:t>-</w:t>
      </w:r>
      <w:r w:rsidR="000C53D2">
        <w:t xml:space="preserve">up across </w:t>
      </w:r>
      <w:r w:rsidR="005F5533">
        <w:t>studies</w:t>
      </w:r>
      <w:r w:rsidR="00F7068F">
        <w:t>.</w:t>
      </w:r>
      <w:r w:rsidR="000C53D2">
        <w:t xml:space="preserve"> </w:t>
      </w:r>
      <w:r w:rsidR="00F7068F">
        <w:t>Therefore,</w:t>
      </w:r>
      <w:r w:rsidR="00D01573">
        <w:t xml:space="preserve"> it is difficult to draw conclusions around the </w:t>
      </w:r>
      <w:r w:rsidR="000C53D2">
        <w:t xml:space="preserve">comparison of </w:t>
      </w:r>
      <w:r w:rsidR="00B17788">
        <w:t>Re-188 brachytherapy</w:t>
      </w:r>
      <w:r w:rsidR="000C53D2">
        <w:t xml:space="preserve"> to EBRT. </w:t>
      </w:r>
    </w:p>
    <w:p w14:paraId="6FEC814B" w14:textId="47953415" w:rsidR="001C76AA" w:rsidRDefault="005A5C9E" w:rsidP="005A5C9E">
      <w:pPr>
        <w:pStyle w:val="Heading3"/>
      </w:pPr>
      <w:r w:rsidRPr="005A5C9E">
        <w:t>Quality of Life and Treatment Comfort</w:t>
      </w:r>
    </w:p>
    <w:p w14:paraId="19FEAF3B" w14:textId="5ECF84EB" w:rsidR="00032B37" w:rsidRDefault="00B30410" w:rsidP="001C76AA">
      <w:r>
        <w:t xml:space="preserve">The ADAR presented </w:t>
      </w:r>
      <w:r w:rsidR="00E158BA">
        <w:t>s</w:t>
      </w:r>
      <w:r w:rsidR="005F6AB6" w:rsidRPr="005F6AB6">
        <w:t>kin cancer index (SCI)</w:t>
      </w:r>
      <w:r w:rsidR="005F6AB6">
        <w:t xml:space="preserve"> data that was collected as part of the </w:t>
      </w:r>
      <w:r w:rsidR="00BD6764">
        <w:t xml:space="preserve">EPIC Skin study. The SCI is </w:t>
      </w:r>
      <w:r w:rsidR="002624DA">
        <w:t>a</w:t>
      </w:r>
      <w:r w:rsidR="00160CA3">
        <w:t xml:space="preserve"> validated</w:t>
      </w:r>
      <w:r w:rsidR="002624DA">
        <w:t xml:space="preserve"> </w:t>
      </w:r>
      <w:r w:rsidR="002624DA" w:rsidRPr="002624DA">
        <w:t xml:space="preserve">disease-specific </w:t>
      </w:r>
      <w:r w:rsidR="00E158BA">
        <w:t>quality of life (</w:t>
      </w:r>
      <w:r w:rsidR="002624DA" w:rsidRPr="002624DA">
        <w:t>Q</w:t>
      </w:r>
      <w:r w:rsidR="00FE2477">
        <w:t>o</w:t>
      </w:r>
      <w:r w:rsidR="002624DA" w:rsidRPr="002624DA">
        <w:t>L</w:t>
      </w:r>
      <w:r w:rsidR="00E158BA">
        <w:t>)</w:t>
      </w:r>
      <w:r w:rsidR="002624DA" w:rsidRPr="002624DA">
        <w:t xml:space="preserve"> instrument with 3 distinct subscales</w:t>
      </w:r>
      <w:r w:rsidR="00FE2477">
        <w:t>:</w:t>
      </w:r>
      <w:r w:rsidR="002624DA" w:rsidRPr="002624DA">
        <w:t xml:space="preserve"> Emotion, Social, and Appearance.</w:t>
      </w:r>
      <w:r w:rsidR="00160CA3">
        <w:t xml:space="preserve"> </w:t>
      </w:r>
      <w:r w:rsidR="00160CA3">
        <w:rPr>
          <w:rStyle w:val="FootnoteReference"/>
        </w:rPr>
        <w:footnoteReference w:id="22"/>
      </w:r>
      <w:r w:rsidR="00160CA3">
        <w:t xml:space="preserve"> </w:t>
      </w:r>
      <w:r w:rsidR="00FA05F8" w:rsidRPr="00FA05F8">
        <w:t>Standardi</w:t>
      </w:r>
      <w:r w:rsidR="00412A00">
        <w:t>s</w:t>
      </w:r>
      <w:r w:rsidR="00FA05F8" w:rsidRPr="00FA05F8">
        <w:t>ed scores range from 0 to 100, with higher scores reflecting higher Q</w:t>
      </w:r>
      <w:r w:rsidR="004B7628">
        <w:t>o</w:t>
      </w:r>
      <w:r w:rsidR="00FA05F8" w:rsidRPr="00FA05F8">
        <w:t xml:space="preserve">L. </w:t>
      </w:r>
      <w:r w:rsidR="00160CA3">
        <w:t xml:space="preserve">The SCI </w:t>
      </w:r>
      <w:r w:rsidR="00F36668">
        <w:t xml:space="preserve">is not </w:t>
      </w:r>
      <w:r w:rsidR="00160CA3">
        <w:t xml:space="preserve">a </w:t>
      </w:r>
      <w:r w:rsidR="00CB5E4C" w:rsidRPr="00F36668">
        <w:t>multi-attribute</w:t>
      </w:r>
      <w:r w:rsidR="00F36668" w:rsidRPr="00F36668">
        <w:t xml:space="preserve"> utility instrument (MAUIs)</w:t>
      </w:r>
      <w:r w:rsidR="00A31171">
        <w:t xml:space="preserve"> and the commentary could not identify an</w:t>
      </w:r>
      <w:r w:rsidR="00446ECD">
        <w:t>y</w:t>
      </w:r>
      <w:r w:rsidR="00A31171">
        <w:t>an</w:t>
      </w:r>
      <w:r w:rsidR="00446ECD">
        <w:t>y</w:t>
      </w:r>
      <w:r w:rsidR="00A31171">
        <w:t xml:space="preserve"> evidence where t</w:t>
      </w:r>
      <w:r w:rsidR="006E208E" w:rsidRPr="006E208E">
        <w:t xml:space="preserve">he Minimal Clinically Important Difference (MCID) for the SCI </w:t>
      </w:r>
      <w:r w:rsidR="00A31171">
        <w:t xml:space="preserve">has been </w:t>
      </w:r>
      <w:r w:rsidR="006E208E" w:rsidRPr="006E208E">
        <w:t>explicitly defined</w:t>
      </w:r>
    </w:p>
    <w:p w14:paraId="21204C4C" w14:textId="143A41E5" w:rsidR="005F6AB6" w:rsidRDefault="006C063E" w:rsidP="001C76AA">
      <w:r>
        <w:lastRenderedPageBreak/>
        <w:t xml:space="preserve">In the EPIC Skin study, </w:t>
      </w:r>
      <w:r w:rsidR="005B4444">
        <w:t>a</w:t>
      </w:r>
      <w:r w:rsidRPr="006C063E">
        <w:t>ll subscales and total scores increased from baseline to 6 months and from baseline to 12 months. The average total score improved by 8.21 points at 6 months and 9.23 points at 12 months. The emotion subscale showed an average improvement of 10.28 points at 6 months and 11.39 points at 12 months. The social subscale had an average improvement of 4.90 points at 6 months and 7.41 points at 12 months. The appearance subscale improved by an average of 9.44 points at 6 months and 8.89 points at 12 months.</w:t>
      </w:r>
    </w:p>
    <w:p w14:paraId="5FEDDF21" w14:textId="0D55A7A1" w:rsidR="00290B2C" w:rsidRDefault="006C063E" w:rsidP="008F6180">
      <w:r>
        <w:t xml:space="preserve">This data was only available for </w:t>
      </w:r>
      <w:r w:rsidR="00B17788">
        <w:t>Re-188 brachytherapy</w:t>
      </w:r>
      <w:r>
        <w:t xml:space="preserve"> and no comparison with EBRT was made as there were no studies identified that measure QoL for EBRT. </w:t>
      </w:r>
    </w:p>
    <w:p w14:paraId="79C7B388" w14:textId="3AC34EAC" w:rsidR="006C063E" w:rsidRDefault="006C063E" w:rsidP="008F6180">
      <w:r>
        <w:t>The ADAR presents data on</w:t>
      </w:r>
      <w:r w:rsidR="00530094">
        <w:t xml:space="preserve"> pain for the </w:t>
      </w:r>
      <w:r>
        <w:t xml:space="preserve">comparison of </w:t>
      </w:r>
      <w:r w:rsidR="00B17788">
        <w:t>Re-188 brachytherapy</w:t>
      </w:r>
      <w:r w:rsidR="00530094">
        <w:t xml:space="preserve"> with surgery. As this was not the PICO </w:t>
      </w:r>
      <w:r w:rsidR="005B1667">
        <w:t>comparison</w:t>
      </w:r>
      <w:r w:rsidR="00530094">
        <w:t>,</w:t>
      </w:r>
      <w:r w:rsidR="005B1667">
        <w:t xml:space="preserve"> and no data was available for EBRT</w:t>
      </w:r>
      <w:r w:rsidR="00530094">
        <w:t xml:space="preserve"> it</w:t>
      </w:r>
      <w:r w:rsidR="005B1667">
        <w:t xml:space="preserve"> was not applicable to the current application.</w:t>
      </w:r>
    </w:p>
    <w:p w14:paraId="213924C6" w14:textId="11D5654C" w:rsidR="00772829" w:rsidRPr="00B22F65" w:rsidRDefault="00772829" w:rsidP="00B22F65">
      <w:pPr>
        <w:pStyle w:val="Heading3"/>
      </w:pPr>
      <w:r w:rsidRPr="00B22F65">
        <w:t>Clinical claim</w:t>
      </w:r>
    </w:p>
    <w:p w14:paraId="62ACE163" w14:textId="77777777" w:rsidR="00C8769E" w:rsidRDefault="009456DB" w:rsidP="00CD2443">
      <w:r>
        <w:t>The A</w:t>
      </w:r>
      <w:r w:rsidR="00CD2443">
        <w:t>DAR</w:t>
      </w:r>
      <w:r>
        <w:t xml:space="preserve"> state</w:t>
      </w:r>
      <w:r w:rsidR="00CD2443">
        <w:t>d</w:t>
      </w:r>
      <w:r>
        <w:t xml:space="preserve"> that </w:t>
      </w:r>
      <w:r w:rsidRPr="009456DB">
        <w:t xml:space="preserve">the use of </w:t>
      </w:r>
      <w:r w:rsidR="00B17788">
        <w:t>Re-188 brachytherapy</w:t>
      </w:r>
      <w:r w:rsidR="00A521CB">
        <w:t xml:space="preserve"> </w:t>
      </w:r>
      <w:r w:rsidRPr="009456DB">
        <w:t>results in noninferior safety and effectiveness compared with EBRT.</w:t>
      </w:r>
      <w:r w:rsidR="00A521CB">
        <w:t xml:space="preserve"> </w:t>
      </w:r>
    </w:p>
    <w:p w14:paraId="36B04EBD" w14:textId="29E2323E" w:rsidR="006852A4" w:rsidRDefault="00F413D9" w:rsidP="00CD2443">
      <w:r>
        <w:t>The safety results</w:t>
      </w:r>
      <w:r w:rsidR="006214D0">
        <w:t xml:space="preserve"> </w:t>
      </w:r>
      <w:r w:rsidR="00692568">
        <w:t>varied</w:t>
      </w:r>
      <w:r w:rsidR="006214D0">
        <w:t xml:space="preserve"> between studies. F</w:t>
      </w:r>
      <w:r w:rsidR="00755B95">
        <w:t>or the Re-188</w:t>
      </w:r>
      <w:r w:rsidR="00797085">
        <w:t>,</w:t>
      </w:r>
      <w:r w:rsidR="0052561C">
        <w:t xml:space="preserve"> Grade 1 </w:t>
      </w:r>
      <w:r w:rsidR="00797085">
        <w:t xml:space="preserve">adverse events </w:t>
      </w:r>
      <w:r w:rsidR="0052561C">
        <w:t xml:space="preserve">results ranged from 33% to 63%, Grade 2 from </w:t>
      </w:r>
      <w:r w:rsidR="002F22B6">
        <w:t xml:space="preserve">0 to 65% and Grade 3 from </w:t>
      </w:r>
      <w:r w:rsidR="006214D0">
        <w:t>0 to 7%</w:t>
      </w:r>
      <w:r w:rsidR="00797085">
        <w:t xml:space="preserve"> across the different studies</w:t>
      </w:r>
      <w:r w:rsidR="00755B95">
        <w:t>. F</w:t>
      </w:r>
      <w:r>
        <w:t>or EBRT</w:t>
      </w:r>
      <w:r w:rsidR="007D7E6C">
        <w:t xml:space="preserve"> Grade 1 adverse events occurred at a range between </w:t>
      </w:r>
      <w:r w:rsidR="005E0DBB">
        <w:t xml:space="preserve">37% and 61% and Grade 2 events occurred from 0 to 9% </w:t>
      </w:r>
      <w:r w:rsidR="00F40E50">
        <w:t>across the different studies</w:t>
      </w:r>
      <w:r w:rsidR="00DA2E11">
        <w:t>, there were</w:t>
      </w:r>
      <w:r w:rsidR="00755B95">
        <w:t xml:space="preserve"> no Grade 3 events </w:t>
      </w:r>
      <w:r w:rsidR="00F40E50">
        <w:t>reported</w:t>
      </w:r>
      <w:r w:rsidR="005E0DBB">
        <w:t xml:space="preserve">. </w:t>
      </w:r>
    </w:p>
    <w:p w14:paraId="6817873E" w14:textId="395D44ED" w:rsidR="00797085" w:rsidRDefault="00797085" w:rsidP="00797085">
      <w:r>
        <w:t xml:space="preserve">The </w:t>
      </w:r>
      <w:r w:rsidR="00692568">
        <w:t xml:space="preserve">efficacy </w:t>
      </w:r>
      <w:r>
        <w:t xml:space="preserve">results </w:t>
      </w:r>
      <w:r w:rsidR="00692568">
        <w:t>also varied</w:t>
      </w:r>
      <w:r>
        <w:t xml:space="preserve"> between studies. For the Re-188, </w:t>
      </w:r>
      <w:r w:rsidR="00692568">
        <w:t>complete response</w:t>
      </w:r>
      <w:r>
        <w:t xml:space="preserve"> r</w:t>
      </w:r>
      <w:r w:rsidR="00DA2E11">
        <w:t>ate</w:t>
      </w:r>
      <w:r>
        <w:t xml:space="preserve">s ranged from </w:t>
      </w:r>
      <w:r w:rsidR="00DA2E11">
        <w:t>94</w:t>
      </w:r>
      <w:r>
        <w:t xml:space="preserve">% to </w:t>
      </w:r>
      <w:r w:rsidR="00DA2E11">
        <w:t>100</w:t>
      </w:r>
      <w:r>
        <w:t xml:space="preserve">%, across the different studies. For EBRT </w:t>
      </w:r>
      <w:r w:rsidR="00DA2E11" w:rsidRPr="00DA2E11">
        <w:t xml:space="preserve">complete response rates ranged from </w:t>
      </w:r>
      <w:r w:rsidR="00F40E50">
        <w:t>93</w:t>
      </w:r>
      <w:r w:rsidR="00DA2E11" w:rsidRPr="00DA2E11">
        <w:t xml:space="preserve">% to </w:t>
      </w:r>
      <w:r w:rsidR="00F40E50">
        <w:t>97</w:t>
      </w:r>
      <w:r w:rsidR="00DA2E11" w:rsidRPr="00DA2E11">
        <w:t>%</w:t>
      </w:r>
      <w:r w:rsidR="00F40E50">
        <w:t xml:space="preserve"> across the different studies</w:t>
      </w:r>
      <w:r>
        <w:t xml:space="preserve">. </w:t>
      </w:r>
    </w:p>
    <w:p w14:paraId="546B8D84" w14:textId="4C131F03" w:rsidR="00DE760E" w:rsidRDefault="002E571C" w:rsidP="00CD2443">
      <w:r>
        <w:t>MSAC</w:t>
      </w:r>
      <w:r w:rsidR="008411CD" w:rsidRPr="002F453A">
        <w:t xml:space="preserve"> considered that the</w:t>
      </w:r>
      <w:r w:rsidR="008411CD">
        <w:t>re</w:t>
      </w:r>
      <w:r w:rsidR="008411CD" w:rsidRPr="002F453A">
        <w:t xml:space="preserve"> </w:t>
      </w:r>
      <w:r w:rsidR="008411CD">
        <w:t xml:space="preserve">were considerable biases in the </w:t>
      </w:r>
      <w:r w:rsidR="008A7FA6">
        <w:t>naive</w:t>
      </w:r>
      <w:r w:rsidR="008411CD">
        <w:t xml:space="preserve"> comparisons </w:t>
      </w:r>
      <w:r w:rsidR="008A7FA6">
        <w:t xml:space="preserve">and the </w:t>
      </w:r>
      <w:r w:rsidR="00A521CB" w:rsidRPr="00A521CB">
        <w:t xml:space="preserve">comparative effective evidence presented in the ADAR </w:t>
      </w:r>
      <w:r w:rsidR="008A7FA6">
        <w:t xml:space="preserve">that </w:t>
      </w:r>
      <w:r w:rsidR="00A521CB">
        <w:t xml:space="preserve">does not allow for </w:t>
      </w:r>
      <w:r w:rsidR="00EA5073">
        <w:t xml:space="preserve">statistical comparison and </w:t>
      </w:r>
      <w:r w:rsidR="00CD2443">
        <w:t>cannot</w:t>
      </w:r>
      <w:r w:rsidR="00EA5073">
        <w:t xml:space="preserve"> </w:t>
      </w:r>
      <w:r w:rsidR="00A521CB" w:rsidRPr="00A521CB">
        <w:t xml:space="preserve">accurately </w:t>
      </w:r>
      <w:r w:rsidR="00EA5073">
        <w:t xml:space="preserve">support the clinical claim of </w:t>
      </w:r>
      <w:r w:rsidR="00CD2443" w:rsidRPr="009456DB">
        <w:t>noninferior safety and effectiveness</w:t>
      </w:r>
      <w:r w:rsidR="00CD2443">
        <w:t>.</w:t>
      </w:r>
      <w:r w:rsidR="002C3B45">
        <w:t xml:space="preserve"> </w:t>
      </w:r>
      <w:r w:rsidR="008A7FA6">
        <w:t xml:space="preserve">The </w:t>
      </w:r>
      <w:r w:rsidR="002F453A" w:rsidRPr="002F453A">
        <w:t xml:space="preserve">heterogeneity between the </w:t>
      </w:r>
      <w:r w:rsidR="009A0031">
        <w:t xml:space="preserve">study populations and how the patients were selected for </w:t>
      </w:r>
      <w:r w:rsidR="0036416F">
        <w:t>inclusion</w:t>
      </w:r>
      <w:r w:rsidR="009A0031">
        <w:t xml:space="preserve"> means that there </w:t>
      </w:r>
      <w:r w:rsidR="00B50407">
        <w:t>may be</w:t>
      </w:r>
      <w:r w:rsidR="0036416F">
        <w:t xml:space="preserve"> considerable selection bias</w:t>
      </w:r>
      <w:r w:rsidR="00EE78E5">
        <w:t xml:space="preserve">, this would lead to </w:t>
      </w:r>
      <w:r w:rsidR="002A246E">
        <w:t xml:space="preserve">populations being too </w:t>
      </w:r>
      <w:r w:rsidR="005D25D7">
        <w:t xml:space="preserve">dissimilar </w:t>
      </w:r>
      <w:r w:rsidR="0036416F">
        <w:t xml:space="preserve">between the two interventions </w:t>
      </w:r>
      <w:r w:rsidR="005D25D7">
        <w:t>for comparison of the results</w:t>
      </w:r>
      <w:r w:rsidR="0036416F">
        <w:t xml:space="preserve"> (</w:t>
      </w:r>
      <w:r w:rsidR="00E066E8">
        <w:t>e.g.</w:t>
      </w:r>
      <w:r w:rsidR="0036416F">
        <w:t xml:space="preserve"> studies focusing on specific areas of the body</w:t>
      </w:r>
      <w:r w:rsidR="00DB0ED8">
        <w:t xml:space="preserve">). </w:t>
      </w:r>
      <w:r w:rsidR="007C226E">
        <w:t xml:space="preserve">Using different study designs and </w:t>
      </w:r>
      <w:r w:rsidR="00DE760E">
        <w:t xml:space="preserve">variation in interventions by study location and health systems makes it </w:t>
      </w:r>
      <w:r w:rsidR="00DE760E" w:rsidRPr="00DE760E">
        <w:t>difficult to determine whether observed effects are due to the intervention or other factors</w:t>
      </w:r>
      <w:r w:rsidR="00DE760E">
        <w:t>.</w:t>
      </w:r>
      <w:r w:rsidR="00D60E82">
        <w:t xml:space="preserve"> </w:t>
      </w:r>
      <w:r w:rsidR="00C354E8">
        <w:t>In addition, as the studies don’t include a contro</w:t>
      </w:r>
      <w:r w:rsidR="00770475">
        <w:t xml:space="preserve">l arm it is </w:t>
      </w:r>
      <w:r w:rsidR="00770475" w:rsidRPr="00770475">
        <w:t>challenging to account for confounding variables that might influence the outcome</w:t>
      </w:r>
    </w:p>
    <w:p w14:paraId="0D09C9E4" w14:textId="4DD2AB9F" w:rsidR="00772829" w:rsidRPr="00CE28E3" w:rsidRDefault="00772829" w:rsidP="00B809FE">
      <w:pPr>
        <w:pStyle w:val="Heading2"/>
        <w:numPr>
          <w:ilvl w:val="0"/>
          <w:numId w:val="18"/>
        </w:numPr>
        <w:ind w:hanging="720"/>
      </w:pPr>
      <w:bookmarkStart w:id="40" w:name="_Toc69491425"/>
      <w:r w:rsidRPr="00CE28E3">
        <w:t>Economic evaluation</w:t>
      </w:r>
      <w:bookmarkEnd w:id="40"/>
    </w:p>
    <w:p w14:paraId="262CD6D7" w14:textId="159483FF" w:rsidR="004D4425" w:rsidRDefault="00615888" w:rsidP="00461F59">
      <w:r>
        <w:t xml:space="preserve">The ADAR </w:t>
      </w:r>
      <w:r w:rsidR="00F325A4">
        <w:t xml:space="preserve">presented a cost minimisation </w:t>
      </w:r>
      <w:r w:rsidR="00472237">
        <w:t>approach</w:t>
      </w:r>
      <w:r w:rsidR="00F325A4">
        <w:t xml:space="preserve"> </w:t>
      </w:r>
      <w:r w:rsidR="00944EC6">
        <w:t xml:space="preserve">(CMA) </w:t>
      </w:r>
      <w:r w:rsidR="001A5301">
        <w:t>based on</w:t>
      </w:r>
      <w:r w:rsidR="00F325A4">
        <w:t xml:space="preserve"> a clinical claim of non-inferiority and that t</w:t>
      </w:r>
      <w:r w:rsidR="00F325A4" w:rsidRPr="00F325A4">
        <w:t xml:space="preserve">he MSAC guidelines </w:t>
      </w:r>
      <w:r w:rsidR="00F325A4">
        <w:t xml:space="preserve">recommend </w:t>
      </w:r>
      <w:r w:rsidR="00F325A4" w:rsidRPr="00F325A4">
        <w:t>a cost-minimisation approach is appropriate where there is a therapeutic claim of noninferiority, the safety profile is equivalent or superior</w:t>
      </w:r>
      <w:r w:rsidR="00F81711">
        <w:t>,</w:t>
      </w:r>
      <w:r w:rsidR="00F325A4" w:rsidRPr="00F325A4">
        <w:t xml:space="preserve"> and the proposed service is anticipated to result in equivalent or lesser costs to the health system.</w:t>
      </w:r>
      <w:r w:rsidR="00A71519">
        <w:t xml:space="preserve"> </w:t>
      </w:r>
      <w:r w:rsidR="001970E1">
        <w:t>The</w:t>
      </w:r>
      <w:r w:rsidR="00FE1C6B">
        <w:t xml:space="preserve"> commentary noted </w:t>
      </w:r>
      <w:r w:rsidR="00BD5A1B" w:rsidRPr="00BD5A1B">
        <w:t xml:space="preserve">that a </w:t>
      </w:r>
      <w:r w:rsidR="00FE1C6B">
        <w:t>CMA</w:t>
      </w:r>
      <w:r w:rsidR="00BD5A1B" w:rsidRPr="00BD5A1B">
        <w:t xml:space="preserve"> approach might be suitable given the limited clinical evidence, differences in cost structures between the intervention and comparator, and the lack of existing economic evaluations.</w:t>
      </w:r>
    </w:p>
    <w:p w14:paraId="2CA2FA97" w14:textId="5A2B1698" w:rsidR="001A5301" w:rsidRDefault="001A5301" w:rsidP="00461F59">
      <w:r>
        <w:t>The ADAR present</w:t>
      </w:r>
      <w:r w:rsidR="00FE1C6B">
        <w:t>ed</w:t>
      </w:r>
      <w:r>
        <w:t xml:space="preserve"> costings only and no model was developed for </w:t>
      </w:r>
      <w:r w:rsidR="00207583">
        <w:t>cost minimisation.</w:t>
      </w:r>
      <w:r w:rsidR="00FE24AF">
        <w:t xml:space="preserve"> The cost minimisation </w:t>
      </w:r>
      <w:r w:rsidR="0087313C">
        <w:t xml:space="preserve">only compared the </w:t>
      </w:r>
      <w:r w:rsidR="00145AB0">
        <w:t>MBS-funded</w:t>
      </w:r>
      <w:r w:rsidR="0087313C">
        <w:t xml:space="preserve"> healthcare resources for EBRT against Re-188 </w:t>
      </w:r>
      <w:r w:rsidR="0087313C">
        <w:lastRenderedPageBreak/>
        <w:t>brachytherapy. The ADAR did not include other costs</w:t>
      </w:r>
      <w:r w:rsidR="00FE1C6B">
        <w:t>,</w:t>
      </w:r>
      <w:r w:rsidR="0087313C">
        <w:t xml:space="preserve"> </w:t>
      </w:r>
      <w:r w:rsidR="00000120">
        <w:t>stating that a</w:t>
      </w:r>
      <w:r w:rsidR="00000120" w:rsidRPr="00000120">
        <w:t>ll other costs are identical for both therapies</w:t>
      </w:r>
      <w:r w:rsidR="00000120">
        <w:t xml:space="preserve">. However, </w:t>
      </w:r>
      <w:r w:rsidR="00FE1C6B">
        <w:t xml:space="preserve">the commentary noted that this </w:t>
      </w:r>
      <w:r w:rsidR="00000120">
        <w:t xml:space="preserve">is unlikely to be </w:t>
      </w:r>
      <w:r w:rsidR="008000A8">
        <w:t>true</w:t>
      </w:r>
      <w:r w:rsidR="00000120">
        <w:t xml:space="preserve"> </w:t>
      </w:r>
      <w:r w:rsidR="004B728B">
        <w:t>due</w:t>
      </w:r>
      <w:r w:rsidR="00000120">
        <w:t xml:space="preserve"> </w:t>
      </w:r>
      <w:r w:rsidR="00FE1C6B">
        <w:t xml:space="preserve">to </w:t>
      </w:r>
      <w:r w:rsidR="008000A8">
        <w:t>wastage</w:t>
      </w:r>
      <w:r w:rsidR="004B728B">
        <w:t xml:space="preserve">, </w:t>
      </w:r>
      <w:r w:rsidR="00773379">
        <w:t>as</w:t>
      </w:r>
      <w:r w:rsidR="008000A8">
        <w:t xml:space="preserve"> batching </w:t>
      </w:r>
      <w:r w:rsidR="00773379">
        <w:t xml:space="preserve">would need to </w:t>
      </w:r>
      <w:r w:rsidR="008000A8">
        <w:t>be 100% effective for the current cost minimisation to be accurate.</w:t>
      </w:r>
      <w:r w:rsidR="00773379">
        <w:t xml:space="preserve"> </w:t>
      </w:r>
      <w:r w:rsidR="00616331">
        <w:t xml:space="preserve">This was considered as the wastage of paid product would lead to additional cost, but also </w:t>
      </w:r>
      <w:r w:rsidR="003A1D0D">
        <w:t xml:space="preserve">treatment facilities </w:t>
      </w:r>
      <w:r w:rsidR="00DC3A1F">
        <w:t xml:space="preserve">need to have a </w:t>
      </w:r>
      <w:r w:rsidR="00DC3A1F" w:rsidRPr="00DC3A1F">
        <w:t>defined waste management system</w:t>
      </w:r>
      <w:r w:rsidR="007E41E8">
        <w:t xml:space="preserve"> </w:t>
      </w:r>
      <w:r w:rsidR="00BF207C">
        <w:t xml:space="preserve">or </w:t>
      </w:r>
      <w:r w:rsidR="00BF207C" w:rsidRPr="00BF207C">
        <w:t>special waste containers</w:t>
      </w:r>
      <w:r w:rsidR="00DC3A1F">
        <w:t xml:space="preserve"> to dispose of </w:t>
      </w:r>
      <w:r w:rsidR="00F70CE6" w:rsidRPr="00F70CE6">
        <w:t>unused REC carpoules, protective foils with the rhenium-188 paste and any other radioactive waste</w:t>
      </w:r>
      <w:r w:rsidR="00BF207C">
        <w:t xml:space="preserve">, this is likely to add additional costs to the </w:t>
      </w:r>
      <w:r w:rsidR="0007149A">
        <w:t xml:space="preserve">provider. </w:t>
      </w:r>
    </w:p>
    <w:p w14:paraId="1150926F" w14:textId="43151B61" w:rsidR="00337698" w:rsidRDefault="00337698" w:rsidP="00337698">
      <w:pPr>
        <w:pStyle w:val="BodyText"/>
        <w:spacing w:before="157"/>
      </w:pPr>
      <w:r>
        <w:t>A</w:t>
      </w:r>
      <w:r>
        <w:rPr>
          <w:spacing w:val="-5"/>
        </w:rPr>
        <w:t xml:space="preserve"> </w:t>
      </w:r>
      <w:r>
        <w:t>summary</w:t>
      </w:r>
      <w:r>
        <w:rPr>
          <w:spacing w:val="-4"/>
        </w:rPr>
        <w:t xml:space="preserve"> </w:t>
      </w:r>
      <w:r>
        <w:t>of</w:t>
      </w:r>
      <w:r>
        <w:rPr>
          <w:spacing w:val="-3"/>
        </w:rPr>
        <w:t xml:space="preserve"> </w:t>
      </w:r>
      <w:r>
        <w:t>the</w:t>
      </w:r>
      <w:r>
        <w:rPr>
          <w:spacing w:val="-5"/>
        </w:rPr>
        <w:t xml:space="preserve"> </w:t>
      </w:r>
      <w:r w:rsidR="001A76A1">
        <w:rPr>
          <w:spacing w:val="-5"/>
        </w:rPr>
        <w:t xml:space="preserve">ADAR’s </w:t>
      </w:r>
      <w:r>
        <w:t>economic</w:t>
      </w:r>
      <w:r>
        <w:rPr>
          <w:spacing w:val="-4"/>
        </w:rPr>
        <w:t xml:space="preserve"> </w:t>
      </w:r>
      <w:r>
        <w:t>evaluation</w:t>
      </w:r>
      <w:r>
        <w:rPr>
          <w:spacing w:val="-3"/>
        </w:rPr>
        <w:t xml:space="preserve"> </w:t>
      </w:r>
      <w:r>
        <w:t>is</w:t>
      </w:r>
      <w:r>
        <w:rPr>
          <w:spacing w:val="-4"/>
        </w:rPr>
        <w:t xml:space="preserve"> </w:t>
      </w:r>
      <w:r>
        <w:t>detailed</w:t>
      </w:r>
      <w:r>
        <w:rPr>
          <w:spacing w:val="-3"/>
        </w:rPr>
        <w:t xml:space="preserve"> </w:t>
      </w:r>
      <w:r>
        <w:t>in</w:t>
      </w:r>
      <w:r>
        <w:rPr>
          <w:spacing w:val="-5"/>
        </w:rPr>
        <w:t xml:space="preserve"> </w:t>
      </w:r>
      <w:r w:rsidR="00440E22">
        <w:rPr>
          <w:spacing w:val="-5"/>
        </w:rPr>
        <w:fldChar w:fldCharType="begin"/>
      </w:r>
      <w:r w:rsidR="00440E22">
        <w:rPr>
          <w:spacing w:val="-5"/>
        </w:rPr>
        <w:instrText xml:space="preserve"> REF _Ref69725820 \h </w:instrText>
      </w:r>
      <w:r w:rsidR="00440E22">
        <w:rPr>
          <w:spacing w:val="-5"/>
        </w:rPr>
      </w:r>
      <w:r w:rsidR="00440E22">
        <w:rPr>
          <w:spacing w:val="-5"/>
        </w:rPr>
        <w:fldChar w:fldCharType="separate"/>
      </w:r>
      <w:r w:rsidR="00AF5AE7" w:rsidRPr="00CE28E3">
        <w:t>Table</w:t>
      </w:r>
      <w:r w:rsidR="00AF5AE7">
        <w:t> </w:t>
      </w:r>
      <w:r w:rsidR="00AF5AE7">
        <w:rPr>
          <w:noProof/>
        </w:rPr>
        <w:t>15</w:t>
      </w:r>
      <w:r w:rsidR="00440E22">
        <w:rPr>
          <w:spacing w:val="-5"/>
        </w:rPr>
        <w:fldChar w:fldCharType="end"/>
      </w:r>
      <w:hyperlink w:anchor="_bookmark26" w:history="1">
        <w:r>
          <w:rPr>
            <w:spacing w:val="-5"/>
          </w:rPr>
          <w:t>.</w:t>
        </w:r>
      </w:hyperlink>
    </w:p>
    <w:p w14:paraId="7832FEBA" w14:textId="3BBB67AA" w:rsidR="00C107C3" w:rsidRPr="00CE28E3" w:rsidRDefault="00C107C3" w:rsidP="00670650">
      <w:pPr>
        <w:pStyle w:val="Caption"/>
        <w:tabs>
          <w:tab w:val="left" w:pos="1134"/>
        </w:tabs>
        <w:ind w:left="1134" w:hanging="1134"/>
      </w:pPr>
      <w:bookmarkStart w:id="41" w:name="_Ref69725820"/>
      <w:r w:rsidRPr="00CE28E3">
        <w:t>Table</w:t>
      </w:r>
      <w:r w:rsidR="004A4FDF">
        <w:t> </w:t>
      </w:r>
      <w:r w:rsidRPr="00CE28E3">
        <w:rPr>
          <w:noProof/>
        </w:rPr>
        <w:fldChar w:fldCharType="begin"/>
      </w:r>
      <w:r w:rsidRPr="00CE28E3">
        <w:rPr>
          <w:noProof/>
        </w:rPr>
        <w:instrText xml:space="preserve"> SEQ Table \* ARABIC </w:instrText>
      </w:r>
      <w:r w:rsidRPr="00CE28E3">
        <w:rPr>
          <w:noProof/>
        </w:rPr>
        <w:fldChar w:fldCharType="separate"/>
      </w:r>
      <w:r w:rsidR="00AF5AE7">
        <w:rPr>
          <w:noProof/>
        </w:rPr>
        <w:t>15</w:t>
      </w:r>
      <w:r w:rsidRPr="00CE28E3">
        <w:rPr>
          <w:noProof/>
        </w:rPr>
        <w:fldChar w:fldCharType="end"/>
      </w:r>
      <w:bookmarkEnd w:id="41"/>
      <w:r w:rsidRPr="00CE28E3">
        <w:tab/>
        <w:t xml:space="preserve">Summary of the economic evaluation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003"/>
        <w:gridCol w:w="7064"/>
      </w:tblGrid>
      <w:tr w:rsidR="003E5EB9" w:rsidRPr="00CE28E3" w14:paraId="3C0DF1BD" w14:textId="2726922C" w:rsidTr="00B22F65">
        <w:trPr>
          <w:tblHeader/>
        </w:trPr>
        <w:tc>
          <w:tcPr>
            <w:tcW w:w="2003" w:type="dxa"/>
          </w:tcPr>
          <w:p w14:paraId="57632985" w14:textId="77777777" w:rsidR="003E5EB9" w:rsidRPr="000449D1" w:rsidRDefault="003E5EB9" w:rsidP="00670650">
            <w:pPr>
              <w:pStyle w:val="TableHeading"/>
              <w:rPr>
                <w:szCs w:val="20"/>
              </w:rPr>
            </w:pPr>
            <w:bookmarkStart w:id="42" w:name="Title_Table5"/>
            <w:bookmarkStart w:id="43" w:name="_Hlk68276446"/>
            <w:bookmarkEnd w:id="42"/>
            <w:r w:rsidRPr="000449D1">
              <w:rPr>
                <w:szCs w:val="20"/>
              </w:rPr>
              <w:t>Component</w:t>
            </w:r>
          </w:p>
        </w:tc>
        <w:tc>
          <w:tcPr>
            <w:tcW w:w="7064" w:type="dxa"/>
          </w:tcPr>
          <w:p w14:paraId="123CA837" w14:textId="77777777" w:rsidR="003E5EB9" w:rsidRPr="000449D1" w:rsidRDefault="003E5EB9" w:rsidP="00670650">
            <w:pPr>
              <w:pStyle w:val="TableHeading"/>
              <w:rPr>
                <w:szCs w:val="20"/>
              </w:rPr>
            </w:pPr>
            <w:r w:rsidRPr="000449D1">
              <w:rPr>
                <w:szCs w:val="20"/>
              </w:rPr>
              <w:t>Description</w:t>
            </w:r>
          </w:p>
        </w:tc>
      </w:tr>
      <w:tr w:rsidR="002F3BEF" w:rsidRPr="000449D1" w14:paraId="31113E27" w14:textId="755DAA21" w:rsidTr="00B22F65">
        <w:tc>
          <w:tcPr>
            <w:tcW w:w="2003" w:type="dxa"/>
          </w:tcPr>
          <w:p w14:paraId="7DFFBC7E" w14:textId="33B78096" w:rsidR="002F3BEF" w:rsidRPr="000449D1" w:rsidRDefault="002F3BEF" w:rsidP="00440E22">
            <w:pPr>
              <w:pStyle w:val="Tabletext0"/>
            </w:pPr>
            <w:r>
              <w:t>Perspective</w:t>
            </w:r>
          </w:p>
        </w:tc>
        <w:tc>
          <w:tcPr>
            <w:tcW w:w="7064" w:type="dxa"/>
          </w:tcPr>
          <w:p w14:paraId="56EF2FFF" w14:textId="420E9C49" w:rsidR="002F3BEF" w:rsidRPr="000449D1" w:rsidRDefault="002F3BEF" w:rsidP="00440E22">
            <w:pPr>
              <w:pStyle w:val="Tabletext0"/>
            </w:pPr>
            <w:r>
              <w:t>Medicare</w:t>
            </w:r>
            <w:r>
              <w:rPr>
                <w:spacing w:val="-8"/>
              </w:rPr>
              <w:t xml:space="preserve"> </w:t>
            </w:r>
            <w:r>
              <w:t>Benefits</w:t>
            </w:r>
            <w:r>
              <w:rPr>
                <w:spacing w:val="-6"/>
              </w:rPr>
              <w:t xml:space="preserve"> </w:t>
            </w:r>
            <w:r>
              <w:t>Schedule</w:t>
            </w:r>
            <w:r>
              <w:rPr>
                <w:spacing w:val="-8"/>
              </w:rPr>
              <w:t xml:space="preserve"> </w:t>
            </w:r>
            <w:r w:rsidR="00145AB0">
              <w:t>Perspective</w:t>
            </w:r>
          </w:p>
        </w:tc>
      </w:tr>
      <w:tr w:rsidR="002F3BEF" w:rsidRPr="000449D1" w14:paraId="3AE7C53E" w14:textId="3AF3CBC2" w:rsidTr="00B22F65">
        <w:trPr>
          <w:tblHeader/>
        </w:trPr>
        <w:tc>
          <w:tcPr>
            <w:tcW w:w="2003" w:type="dxa"/>
          </w:tcPr>
          <w:p w14:paraId="7D8A22F3" w14:textId="091731C3" w:rsidR="002F3BEF" w:rsidRPr="000449D1" w:rsidRDefault="002F3BEF" w:rsidP="00440E22">
            <w:pPr>
              <w:pStyle w:val="Tabletext0"/>
            </w:pPr>
            <w:r>
              <w:t>Population</w:t>
            </w:r>
          </w:p>
        </w:tc>
        <w:tc>
          <w:tcPr>
            <w:tcW w:w="7064" w:type="dxa"/>
          </w:tcPr>
          <w:p w14:paraId="376BBABD" w14:textId="2F9B3DBC" w:rsidR="002F3BEF" w:rsidRPr="000449D1" w:rsidRDefault="002F3BEF" w:rsidP="00440E22">
            <w:pPr>
              <w:pStyle w:val="Tabletext0"/>
            </w:pPr>
            <w:r>
              <w:t>Patients</w:t>
            </w:r>
            <w:r w:rsidRPr="00B22F65">
              <w:t xml:space="preserve"> </w:t>
            </w:r>
            <w:r>
              <w:t>with</w:t>
            </w:r>
            <w:r w:rsidRPr="00B22F65">
              <w:t xml:space="preserve"> </w:t>
            </w:r>
            <w:r>
              <w:t>confirmed</w:t>
            </w:r>
            <w:r w:rsidRPr="00B22F65">
              <w:t xml:space="preserve"> </w:t>
            </w:r>
            <w:r>
              <w:t>Basal</w:t>
            </w:r>
            <w:r w:rsidRPr="00B22F65">
              <w:t xml:space="preserve"> </w:t>
            </w:r>
            <w:r>
              <w:t>Cell</w:t>
            </w:r>
            <w:r w:rsidRPr="00B22F65">
              <w:t xml:space="preserve"> </w:t>
            </w:r>
            <w:r>
              <w:t>Carcinoma</w:t>
            </w:r>
            <w:r w:rsidRPr="00B22F65">
              <w:t xml:space="preserve"> </w:t>
            </w:r>
            <w:r>
              <w:t>or</w:t>
            </w:r>
            <w:r w:rsidRPr="00B22F65">
              <w:t xml:space="preserve"> </w:t>
            </w:r>
            <w:r>
              <w:t>Squamous</w:t>
            </w:r>
            <w:r w:rsidRPr="00B22F65">
              <w:t xml:space="preserve"> </w:t>
            </w:r>
            <w:r>
              <w:t>Cell</w:t>
            </w:r>
            <w:r w:rsidRPr="00B22F65">
              <w:t xml:space="preserve"> </w:t>
            </w:r>
            <w:r>
              <w:t xml:space="preserve">Carcinoma </w:t>
            </w:r>
            <w:r w:rsidR="007A58F6">
              <w:t xml:space="preserve">that has a </w:t>
            </w:r>
            <w:r w:rsidR="007A58F6" w:rsidRPr="00B22F65">
              <w:t>lesion size of 3.5cm</w:t>
            </w:r>
            <w:r w:rsidR="007A58F6" w:rsidRPr="00B22F65">
              <w:rPr>
                <w:vertAlign w:val="superscript"/>
              </w:rPr>
              <w:t>2</w:t>
            </w:r>
            <w:r w:rsidR="00AD0445" w:rsidRPr="00B22F65">
              <w:rPr>
                <w:vertAlign w:val="superscript"/>
              </w:rPr>
              <w:t xml:space="preserve"> </w:t>
            </w:r>
            <w:r w:rsidR="00AD0445">
              <w:t>and a m</w:t>
            </w:r>
            <w:r>
              <w:t>aximum</w:t>
            </w:r>
            <w:r w:rsidRPr="00B22F65">
              <w:t xml:space="preserve"> </w:t>
            </w:r>
            <w:r>
              <w:t>depth</w:t>
            </w:r>
            <w:r w:rsidR="007A58F6">
              <w:t xml:space="preserve"> of</w:t>
            </w:r>
            <w:r w:rsidRPr="00B22F65">
              <w:t xml:space="preserve"> </w:t>
            </w:r>
            <w:r>
              <w:t>3.0</w:t>
            </w:r>
            <w:r w:rsidRPr="00B22F65">
              <w:t xml:space="preserve"> </w:t>
            </w:r>
            <w:r>
              <w:t>mm;</w:t>
            </w:r>
            <w:r w:rsidRPr="00B22F65">
              <w:t xml:space="preserve"> </w:t>
            </w:r>
            <w:r w:rsidR="00AD0445" w:rsidRPr="00B22F65">
              <w:t>o</w:t>
            </w:r>
            <w:r>
              <w:t>n</w:t>
            </w:r>
            <w:r w:rsidRPr="00B22F65">
              <w:t xml:space="preserve"> </w:t>
            </w:r>
            <w:r>
              <w:t>the</w:t>
            </w:r>
            <w:r w:rsidRPr="00B22F65">
              <w:t xml:space="preserve"> </w:t>
            </w:r>
            <w:r>
              <w:t>nose,</w:t>
            </w:r>
            <w:r w:rsidRPr="00B22F65">
              <w:t xml:space="preserve"> </w:t>
            </w:r>
            <w:r>
              <w:t>eyebrow,</w:t>
            </w:r>
            <w:r w:rsidRPr="00B22F65">
              <w:t xml:space="preserve"> </w:t>
            </w:r>
            <w:r>
              <w:t>lip,</w:t>
            </w:r>
            <w:r w:rsidRPr="00B22F65">
              <w:t xml:space="preserve"> </w:t>
            </w:r>
            <w:r>
              <w:t>ear,</w:t>
            </w:r>
            <w:r w:rsidRPr="00B22F65">
              <w:t xml:space="preserve"> </w:t>
            </w:r>
            <w:r>
              <w:t>digit,</w:t>
            </w:r>
            <w:r w:rsidRPr="00B22F65">
              <w:t xml:space="preserve"> </w:t>
            </w:r>
            <w:r>
              <w:t>genitalia,</w:t>
            </w:r>
            <w:r w:rsidRPr="00B22F65">
              <w:t xml:space="preserve"> </w:t>
            </w:r>
            <w:r>
              <w:t>shin</w:t>
            </w:r>
            <w:r w:rsidRPr="00B22F65">
              <w:t xml:space="preserve"> </w:t>
            </w:r>
            <w:r>
              <w:t>or</w:t>
            </w:r>
            <w:r w:rsidRPr="00B22F65">
              <w:t xml:space="preserve"> </w:t>
            </w:r>
            <w:r>
              <w:t>collarbone</w:t>
            </w:r>
            <w:r w:rsidRPr="00B22F65">
              <w:t xml:space="preserve"> </w:t>
            </w:r>
            <w:r>
              <w:t>or</w:t>
            </w:r>
            <w:r w:rsidRPr="00B22F65">
              <w:t xml:space="preserve"> </w:t>
            </w:r>
            <w:r>
              <w:t>a contiguous area; and</w:t>
            </w:r>
            <w:r w:rsidR="00AD0445">
              <w:t xml:space="preserve"> wit</w:t>
            </w:r>
            <w:r>
              <w:t>h</w:t>
            </w:r>
            <w:r w:rsidRPr="00B22F65">
              <w:t xml:space="preserve"> </w:t>
            </w:r>
            <w:r>
              <w:t>comorbidities</w:t>
            </w:r>
            <w:r w:rsidRPr="00B22F65">
              <w:t xml:space="preserve"> </w:t>
            </w:r>
            <w:r>
              <w:t>preventing</w:t>
            </w:r>
            <w:r w:rsidRPr="00B22F65">
              <w:t xml:space="preserve"> </w:t>
            </w:r>
            <w:r>
              <w:t>surgery;</w:t>
            </w:r>
            <w:r w:rsidRPr="00B22F65">
              <w:t xml:space="preserve"> </w:t>
            </w:r>
            <w:r>
              <w:t>or</w:t>
            </w:r>
            <w:r w:rsidRPr="00B22F65">
              <w:t xml:space="preserve"> </w:t>
            </w:r>
            <w:r>
              <w:t>who</w:t>
            </w:r>
            <w:r w:rsidRPr="00B22F65">
              <w:t xml:space="preserve"> </w:t>
            </w:r>
            <w:r>
              <w:t>have</w:t>
            </w:r>
            <w:r w:rsidRPr="00B22F65">
              <w:t xml:space="preserve"> </w:t>
            </w:r>
            <w:r>
              <w:t>refused</w:t>
            </w:r>
            <w:r w:rsidRPr="00B22F65">
              <w:t xml:space="preserve"> </w:t>
            </w:r>
            <w:r>
              <w:t>surgery</w:t>
            </w:r>
          </w:p>
        </w:tc>
      </w:tr>
      <w:tr w:rsidR="002F3BEF" w:rsidRPr="000449D1" w14:paraId="750830A5" w14:textId="33978BE8" w:rsidTr="00B22F65">
        <w:tc>
          <w:tcPr>
            <w:tcW w:w="2003" w:type="dxa"/>
          </w:tcPr>
          <w:p w14:paraId="59B80C68" w14:textId="23DB12D2" w:rsidR="002F3BEF" w:rsidRPr="000449D1" w:rsidRDefault="002F3BEF" w:rsidP="00440E22">
            <w:pPr>
              <w:pStyle w:val="Tabletext0"/>
            </w:pPr>
            <w:r>
              <w:t>Comparator</w:t>
            </w:r>
          </w:p>
        </w:tc>
        <w:tc>
          <w:tcPr>
            <w:tcW w:w="7064" w:type="dxa"/>
          </w:tcPr>
          <w:p w14:paraId="04C0D717" w14:textId="779FC511" w:rsidR="002F3BEF" w:rsidRPr="000449D1" w:rsidRDefault="002F3BEF" w:rsidP="00440E22">
            <w:pPr>
              <w:pStyle w:val="Tabletext0"/>
            </w:pPr>
            <w:r>
              <w:t>External</w:t>
            </w:r>
            <w:r w:rsidRPr="00B22F65">
              <w:t xml:space="preserve"> </w:t>
            </w:r>
            <w:r>
              <w:t>beam</w:t>
            </w:r>
            <w:r w:rsidRPr="00B22F65">
              <w:t xml:space="preserve"> </w:t>
            </w:r>
            <w:r>
              <w:t>radiation</w:t>
            </w:r>
            <w:r w:rsidRPr="00B22F65">
              <w:t xml:space="preserve"> </w:t>
            </w:r>
            <w:r>
              <w:t>therapy</w:t>
            </w:r>
            <w:r w:rsidRPr="00B22F65">
              <w:t xml:space="preserve"> </w:t>
            </w:r>
            <w:r w:rsidR="001B0EEA" w:rsidRPr="00B22F65">
              <w:rPr>
                <w:rFonts w:eastAsia="Arial Narrow"/>
              </w:rPr>
              <w:t>comprised of one simulation/dosimetry service and 22 fractions per course of treatment.</w:t>
            </w:r>
          </w:p>
        </w:tc>
      </w:tr>
      <w:tr w:rsidR="002F3BEF" w:rsidRPr="000449D1" w14:paraId="352DFBB5" w14:textId="23E331A7" w:rsidTr="00B22F65">
        <w:tc>
          <w:tcPr>
            <w:tcW w:w="2003" w:type="dxa"/>
          </w:tcPr>
          <w:p w14:paraId="563F18FC" w14:textId="08B94B1B" w:rsidR="002F3BEF" w:rsidRPr="000449D1" w:rsidRDefault="002F3BEF" w:rsidP="00440E22">
            <w:pPr>
              <w:pStyle w:val="Tabletext0"/>
            </w:pPr>
            <w:r>
              <w:t>Type(s)</w:t>
            </w:r>
            <w:r>
              <w:rPr>
                <w:spacing w:val="-4"/>
              </w:rPr>
              <w:t xml:space="preserve"> </w:t>
            </w:r>
            <w:r>
              <w:t>of</w:t>
            </w:r>
            <w:r>
              <w:rPr>
                <w:spacing w:val="-4"/>
              </w:rPr>
              <w:t xml:space="preserve"> </w:t>
            </w:r>
            <w:r>
              <w:t>analysis</w:t>
            </w:r>
          </w:p>
        </w:tc>
        <w:tc>
          <w:tcPr>
            <w:tcW w:w="7064" w:type="dxa"/>
          </w:tcPr>
          <w:p w14:paraId="4DAE5CE1" w14:textId="6ECB3A36" w:rsidR="002F3BEF" w:rsidRPr="000449D1" w:rsidRDefault="002F3BEF" w:rsidP="00440E22">
            <w:pPr>
              <w:pStyle w:val="Tabletext0"/>
            </w:pPr>
            <w:r>
              <w:t>Cost-</w:t>
            </w:r>
            <w:r w:rsidR="00E1236E">
              <w:t>minimisation</w:t>
            </w:r>
            <w:r w:rsidR="00C91A18">
              <w:t xml:space="preserve"> </w:t>
            </w:r>
          </w:p>
        </w:tc>
      </w:tr>
      <w:tr w:rsidR="002F3BEF" w:rsidRPr="000449D1" w14:paraId="6CB6FA6B" w14:textId="0CFF196E" w:rsidTr="00B22F65">
        <w:tc>
          <w:tcPr>
            <w:tcW w:w="2003" w:type="dxa"/>
          </w:tcPr>
          <w:p w14:paraId="401E0BAC" w14:textId="46D45EA3" w:rsidR="002F3BEF" w:rsidRPr="000449D1" w:rsidRDefault="002F3BEF" w:rsidP="00440E22">
            <w:pPr>
              <w:pStyle w:val="Tabletext0"/>
            </w:pPr>
            <w:r>
              <w:t>Outcomes</w:t>
            </w:r>
          </w:p>
        </w:tc>
        <w:tc>
          <w:tcPr>
            <w:tcW w:w="7064" w:type="dxa"/>
          </w:tcPr>
          <w:p w14:paraId="5BB292CF" w14:textId="0B1063B0" w:rsidR="002F3BEF" w:rsidRPr="000449D1" w:rsidRDefault="002F3BEF" w:rsidP="00440E22">
            <w:pPr>
              <w:pStyle w:val="Tabletext0"/>
            </w:pPr>
            <w:r>
              <w:t>Total</w:t>
            </w:r>
            <w:r w:rsidRPr="00B22F65">
              <w:t xml:space="preserve"> </w:t>
            </w:r>
            <w:r>
              <w:t>treatment</w:t>
            </w:r>
            <w:r w:rsidRPr="00B22F65">
              <w:t xml:space="preserve"> cost</w:t>
            </w:r>
          </w:p>
        </w:tc>
      </w:tr>
      <w:tr w:rsidR="002F3BEF" w:rsidRPr="000449D1" w14:paraId="643C0794" w14:textId="7BA4E085" w:rsidTr="00B22F65">
        <w:tc>
          <w:tcPr>
            <w:tcW w:w="2003" w:type="dxa"/>
          </w:tcPr>
          <w:p w14:paraId="42B1D84D" w14:textId="6D14FF28" w:rsidR="002F3BEF" w:rsidRPr="000449D1" w:rsidRDefault="002F3BEF" w:rsidP="00440E22">
            <w:pPr>
              <w:pStyle w:val="Tabletext0"/>
            </w:pPr>
            <w:r>
              <w:t>Time</w:t>
            </w:r>
            <w:r>
              <w:rPr>
                <w:spacing w:val="-4"/>
              </w:rPr>
              <w:t xml:space="preserve"> </w:t>
            </w:r>
            <w:r>
              <w:t>horizon</w:t>
            </w:r>
          </w:p>
        </w:tc>
        <w:tc>
          <w:tcPr>
            <w:tcW w:w="7064" w:type="dxa"/>
          </w:tcPr>
          <w:p w14:paraId="3BC3DE82" w14:textId="28BF03D7" w:rsidR="002F3BEF" w:rsidRPr="000449D1" w:rsidRDefault="002F3BEF" w:rsidP="00440E22">
            <w:pPr>
              <w:pStyle w:val="Tabletext0"/>
            </w:pPr>
            <w:r>
              <w:t>Discrete</w:t>
            </w:r>
            <w:r w:rsidRPr="00B22F65">
              <w:t xml:space="preserve"> </w:t>
            </w:r>
            <w:r>
              <w:t>time</w:t>
            </w:r>
            <w:r w:rsidRPr="00B22F65">
              <w:t xml:space="preserve"> </w:t>
            </w:r>
            <w:r>
              <w:t>horizon</w:t>
            </w:r>
          </w:p>
        </w:tc>
      </w:tr>
      <w:tr w:rsidR="002F3BEF" w:rsidRPr="000449D1" w14:paraId="03A3B794" w14:textId="3A58F192" w:rsidTr="00B22F65">
        <w:tc>
          <w:tcPr>
            <w:tcW w:w="2003" w:type="dxa"/>
          </w:tcPr>
          <w:p w14:paraId="4E12B2D4" w14:textId="647BE10C" w:rsidR="002F3BEF" w:rsidRPr="000449D1" w:rsidRDefault="002F3BEF" w:rsidP="00440E22">
            <w:pPr>
              <w:pStyle w:val="Tabletext0"/>
            </w:pPr>
            <w:r>
              <w:t>Software</w:t>
            </w:r>
          </w:p>
        </w:tc>
        <w:tc>
          <w:tcPr>
            <w:tcW w:w="7064" w:type="dxa"/>
          </w:tcPr>
          <w:p w14:paraId="3E63543F" w14:textId="56E3FC42" w:rsidR="002F3BEF" w:rsidRPr="000449D1" w:rsidRDefault="002F3BEF" w:rsidP="00440E22">
            <w:pPr>
              <w:pStyle w:val="Tabletext0"/>
            </w:pPr>
            <w:r>
              <w:t>Excel</w:t>
            </w:r>
          </w:p>
        </w:tc>
      </w:tr>
    </w:tbl>
    <w:bookmarkEnd w:id="43"/>
    <w:p w14:paraId="225CEF99" w14:textId="39C70036" w:rsidR="004D5A7F" w:rsidRDefault="004D5A7F" w:rsidP="004D5A7F">
      <w:pPr>
        <w:pStyle w:val="Heading3"/>
      </w:pPr>
      <w:r>
        <w:t xml:space="preserve">Cost of </w:t>
      </w:r>
      <w:r w:rsidR="00B17788">
        <w:t>Re-188 brachytherapy</w:t>
      </w:r>
    </w:p>
    <w:p w14:paraId="2FC21C46" w14:textId="7366C93D" w:rsidR="00DD5987" w:rsidRDefault="00105B85" w:rsidP="00DD5C36">
      <w:r>
        <w:t xml:space="preserve">The costs for </w:t>
      </w:r>
      <w:r w:rsidR="00B17788">
        <w:t>Re-188 brachytherapy</w:t>
      </w:r>
      <w:r>
        <w:t xml:space="preserve"> </w:t>
      </w:r>
      <w:r w:rsidR="00F43BE2">
        <w:t>was</w:t>
      </w:r>
      <w:r w:rsidR="00DD5987">
        <w:t xml:space="preserve"> solely</w:t>
      </w:r>
      <w:r w:rsidR="004E5B46">
        <w:t xml:space="preserve"> based on the costs of the individual MBS items</w:t>
      </w:r>
      <w:r w:rsidR="00DD5987" w:rsidRPr="00DD5987">
        <w:t xml:space="preserve"> </w:t>
      </w:r>
      <w:r w:rsidR="00DD5987">
        <w:t>proposed by the ADAR</w:t>
      </w:r>
      <w:r w:rsidR="004E5B46">
        <w:t>.</w:t>
      </w:r>
      <w:r w:rsidR="00DD5987">
        <w:t xml:space="preserve"> </w:t>
      </w:r>
      <w:r w:rsidR="00065241">
        <w:t xml:space="preserve">As Item XXXX2 </w:t>
      </w:r>
      <w:r w:rsidR="00F36AA7">
        <w:t xml:space="preserve">was based on a per </w:t>
      </w:r>
      <w:r w:rsidR="00FE204B">
        <w:t>0</w:t>
      </w:r>
      <w:r w:rsidR="00F36AA7">
        <w:t>.05cm</w:t>
      </w:r>
      <w:r w:rsidR="00F36AA7" w:rsidRPr="00F36AA7">
        <w:rPr>
          <w:vertAlign w:val="superscript"/>
        </w:rPr>
        <w:t>2</w:t>
      </w:r>
      <w:r w:rsidR="00F36AA7">
        <w:t xml:space="preserve"> dosing</w:t>
      </w:r>
      <w:r w:rsidR="00FE204B">
        <w:t>,</w:t>
      </w:r>
      <w:r w:rsidR="00F36AA7">
        <w:t xml:space="preserve"> the cost of the intervention was based on </w:t>
      </w:r>
      <w:r w:rsidR="00F223B5">
        <w:t>t</w:t>
      </w:r>
      <w:r w:rsidR="00065241">
        <w:t xml:space="preserve">he average </w:t>
      </w:r>
      <w:r w:rsidR="00F223B5">
        <w:t>lesion size from the EPIC Skin Study</w:t>
      </w:r>
      <w:r w:rsidR="00065241">
        <w:t xml:space="preserve"> </w:t>
      </w:r>
      <w:r w:rsidR="00D735CE">
        <w:t>(</w:t>
      </w:r>
      <w:r w:rsidR="00D735CE" w:rsidRPr="00D735CE">
        <w:t>3.5cm</w:t>
      </w:r>
      <w:r w:rsidR="00D735CE" w:rsidRPr="00D735CE">
        <w:rPr>
          <w:vertAlign w:val="superscript"/>
        </w:rPr>
        <w:t>2</w:t>
      </w:r>
      <w:r w:rsidR="00D735CE">
        <w:t>)</w:t>
      </w:r>
      <w:r w:rsidR="00D735CE" w:rsidRPr="00D735CE">
        <w:t>, which equates to</w:t>
      </w:r>
      <w:r w:rsidR="00FF6FA4">
        <w:t xml:space="preserve"> the use of seven </w:t>
      </w:r>
      <w:r w:rsidR="00FE204B">
        <w:t xml:space="preserve">of </w:t>
      </w:r>
      <w:r w:rsidR="00FF6FA4">
        <w:t>Item XXXX2</w:t>
      </w:r>
      <w:r w:rsidR="00D735CE" w:rsidRPr="00D735CE">
        <w:t>.</w:t>
      </w:r>
      <w:r w:rsidR="00FF6FA4">
        <w:t xml:space="preserve"> The proposed cost of </w:t>
      </w:r>
      <w:r w:rsidR="00B17788">
        <w:t>Re-188 brachytherapy</w:t>
      </w:r>
      <w:r w:rsidR="00FF6FA4">
        <w:t xml:space="preserve"> is presented in </w:t>
      </w:r>
      <w:r w:rsidR="007F4BCC">
        <w:fldChar w:fldCharType="begin"/>
      </w:r>
      <w:r w:rsidR="007F4BCC">
        <w:instrText xml:space="preserve"> REF _Ref184290146 </w:instrText>
      </w:r>
      <w:r w:rsidR="007F4BCC">
        <w:fldChar w:fldCharType="separate"/>
      </w:r>
      <w:r w:rsidR="00AF5AE7">
        <w:t xml:space="preserve">Table </w:t>
      </w:r>
      <w:r w:rsidR="00AF5AE7">
        <w:rPr>
          <w:noProof/>
        </w:rPr>
        <w:t>16</w:t>
      </w:r>
      <w:r w:rsidR="007F4BCC">
        <w:rPr>
          <w:noProof/>
        </w:rPr>
        <w:fldChar w:fldCharType="end"/>
      </w:r>
      <w:r w:rsidR="00FE204B">
        <w:t>.</w:t>
      </w:r>
    </w:p>
    <w:p w14:paraId="05B8D2EE" w14:textId="7460B119" w:rsidR="00DD5C36" w:rsidRDefault="00DD5C36" w:rsidP="00DD5C36">
      <w:pPr>
        <w:pStyle w:val="Caption"/>
      </w:pPr>
      <w:bookmarkStart w:id="44" w:name="_Ref184290146"/>
      <w:r>
        <w:t xml:space="preserve">Table </w:t>
      </w:r>
      <w:r w:rsidR="007F4BCC">
        <w:fldChar w:fldCharType="begin"/>
      </w:r>
      <w:r w:rsidR="007F4BCC">
        <w:instrText xml:space="preserve"> SEQ Table \* ARABIC </w:instrText>
      </w:r>
      <w:r w:rsidR="007F4BCC">
        <w:fldChar w:fldCharType="separate"/>
      </w:r>
      <w:r w:rsidR="00AF5AE7">
        <w:rPr>
          <w:noProof/>
        </w:rPr>
        <w:t>16</w:t>
      </w:r>
      <w:r w:rsidR="007F4BCC">
        <w:rPr>
          <w:noProof/>
        </w:rPr>
        <w:fldChar w:fldCharType="end"/>
      </w:r>
      <w:bookmarkEnd w:id="44"/>
      <w:r>
        <w:t xml:space="preserve"> </w:t>
      </w:r>
      <w:r w:rsidRPr="00CC047E">
        <w:t xml:space="preserve">Proposed MBS items and fees for </w:t>
      </w:r>
      <w:r w:rsidR="00594F1D">
        <w:t>Re-188 brachytherapy</w:t>
      </w:r>
    </w:p>
    <w:tbl>
      <w:tblPr>
        <w:tblStyle w:val="TableGrid"/>
        <w:tblW w:w="0" w:type="auto"/>
        <w:tblLook w:val="04A0" w:firstRow="1" w:lastRow="0" w:firstColumn="1" w:lastColumn="0" w:noHBand="0" w:noVBand="1"/>
      </w:tblPr>
      <w:tblGrid>
        <w:gridCol w:w="3106"/>
        <w:gridCol w:w="3098"/>
        <w:gridCol w:w="2812"/>
      </w:tblGrid>
      <w:tr w:rsidR="00DD5C36" w:rsidRPr="00364ECA" w14:paraId="2341FA53" w14:textId="324E3DA1" w:rsidTr="00B22F65">
        <w:trPr>
          <w:trHeight w:val="517"/>
        </w:trPr>
        <w:tc>
          <w:tcPr>
            <w:tcW w:w="3106" w:type="dxa"/>
            <w:vAlign w:val="center"/>
          </w:tcPr>
          <w:p w14:paraId="5193E11F" w14:textId="77777777" w:rsidR="00DD5C36" w:rsidRPr="00B22F65" w:rsidRDefault="00DD5C36" w:rsidP="00B22F65">
            <w:pPr>
              <w:pStyle w:val="Tabletext0"/>
              <w:jc w:val="left"/>
              <w:rPr>
                <w:b/>
                <w:bCs/>
              </w:rPr>
            </w:pPr>
            <w:r w:rsidRPr="00B22F65">
              <w:rPr>
                <w:b/>
                <w:bCs/>
              </w:rPr>
              <w:t>Proposed MBS Item</w:t>
            </w:r>
          </w:p>
        </w:tc>
        <w:tc>
          <w:tcPr>
            <w:tcW w:w="3098" w:type="dxa"/>
            <w:vAlign w:val="center"/>
          </w:tcPr>
          <w:p w14:paraId="31304132" w14:textId="77777777" w:rsidR="00DD5C36" w:rsidRPr="00B22F65" w:rsidRDefault="00DD5C36" w:rsidP="00B22F65">
            <w:pPr>
              <w:pStyle w:val="Tabletext0"/>
              <w:jc w:val="left"/>
              <w:rPr>
                <w:b/>
                <w:bCs/>
              </w:rPr>
            </w:pPr>
            <w:r w:rsidRPr="00B22F65">
              <w:rPr>
                <w:b/>
                <w:bCs/>
              </w:rPr>
              <w:t>Proposed MBS Fee</w:t>
            </w:r>
          </w:p>
        </w:tc>
        <w:tc>
          <w:tcPr>
            <w:tcW w:w="2812" w:type="dxa"/>
            <w:vAlign w:val="center"/>
          </w:tcPr>
          <w:p w14:paraId="7E9F0667" w14:textId="1FF8986F" w:rsidR="00DD5C36" w:rsidRPr="00B22F65" w:rsidRDefault="00DD5C36" w:rsidP="00B22F65">
            <w:pPr>
              <w:pStyle w:val="Tabletext0"/>
              <w:jc w:val="left"/>
              <w:rPr>
                <w:b/>
                <w:bCs/>
              </w:rPr>
            </w:pPr>
            <w:r w:rsidRPr="00B22F65">
              <w:rPr>
                <w:b/>
                <w:bCs/>
              </w:rPr>
              <w:t xml:space="preserve">Cost used in the </w:t>
            </w:r>
            <w:r w:rsidR="00454514" w:rsidRPr="00B22F65">
              <w:rPr>
                <w:b/>
                <w:bCs/>
              </w:rPr>
              <w:t>calculations</w:t>
            </w:r>
          </w:p>
        </w:tc>
      </w:tr>
      <w:tr w:rsidR="00DD5C36" w:rsidRPr="00364ECA" w14:paraId="73DD0B03" w14:textId="380D9DF9" w:rsidTr="00DD5C36">
        <w:tc>
          <w:tcPr>
            <w:tcW w:w="3106" w:type="dxa"/>
          </w:tcPr>
          <w:p w14:paraId="352D0FDB" w14:textId="7DE73EB1" w:rsidR="00DD5C36" w:rsidRPr="00364ECA" w:rsidRDefault="00454514" w:rsidP="00DD5C36">
            <w:pPr>
              <w:pStyle w:val="Tabletext0"/>
            </w:pPr>
            <w:r>
              <w:t>XXXX3</w:t>
            </w:r>
            <w:r w:rsidR="00DD5C36" w:rsidRPr="00364ECA">
              <w:t xml:space="preserve"> Service Item</w:t>
            </w:r>
          </w:p>
        </w:tc>
        <w:tc>
          <w:tcPr>
            <w:tcW w:w="3098" w:type="dxa"/>
          </w:tcPr>
          <w:p w14:paraId="1CC605E6" w14:textId="46A24AC5" w:rsidR="00DD5C36" w:rsidRPr="00364ECA" w:rsidRDefault="00DD5C36" w:rsidP="00DD5C36">
            <w:pPr>
              <w:pStyle w:val="Tabletext0"/>
            </w:pPr>
            <w:r w:rsidRPr="00364ECA">
              <w:t>$1,733.77</w:t>
            </w:r>
            <w:r w:rsidR="005F564A">
              <w:t xml:space="preserve"> </w:t>
            </w:r>
          </w:p>
        </w:tc>
        <w:tc>
          <w:tcPr>
            <w:tcW w:w="2812" w:type="dxa"/>
          </w:tcPr>
          <w:p w14:paraId="7D7235FD" w14:textId="5B1B552F" w:rsidR="00DD5C36" w:rsidRPr="00364ECA" w:rsidRDefault="002D1EFF" w:rsidP="00DD5C36">
            <w:pPr>
              <w:pStyle w:val="Tabletext0"/>
            </w:pPr>
            <w:r w:rsidRPr="002D1EFF">
              <w:t>$1,733.77</w:t>
            </w:r>
            <w:r w:rsidR="005F564A">
              <w:t xml:space="preserve"> </w:t>
            </w:r>
          </w:p>
        </w:tc>
      </w:tr>
      <w:tr w:rsidR="00DD5C36" w:rsidRPr="00364ECA" w14:paraId="6CA0D00D" w14:textId="4FE0A320" w:rsidTr="00DD5C36">
        <w:tc>
          <w:tcPr>
            <w:tcW w:w="3106" w:type="dxa"/>
          </w:tcPr>
          <w:p w14:paraId="01FC76B8" w14:textId="4D280D09" w:rsidR="00DD5C36" w:rsidRPr="00364ECA" w:rsidRDefault="00454514" w:rsidP="00DD5C36">
            <w:pPr>
              <w:pStyle w:val="Tabletext0"/>
            </w:pPr>
            <w:r>
              <w:t>XXXX1</w:t>
            </w:r>
            <w:r w:rsidR="00DD5C36" w:rsidRPr="00364ECA">
              <w:t xml:space="preserve"> Planning Item</w:t>
            </w:r>
          </w:p>
        </w:tc>
        <w:tc>
          <w:tcPr>
            <w:tcW w:w="3098" w:type="dxa"/>
          </w:tcPr>
          <w:p w14:paraId="4D631170" w14:textId="429FE250" w:rsidR="00DD5C36" w:rsidRPr="00364ECA" w:rsidRDefault="00DD5C36" w:rsidP="00DD5C36">
            <w:pPr>
              <w:pStyle w:val="Tabletext0"/>
            </w:pPr>
            <w:r w:rsidRPr="00364ECA">
              <w:t>$203.70</w:t>
            </w:r>
            <w:r w:rsidR="005F564A">
              <w:t xml:space="preserve"> </w:t>
            </w:r>
          </w:p>
        </w:tc>
        <w:tc>
          <w:tcPr>
            <w:tcW w:w="2812" w:type="dxa"/>
          </w:tcPr>
          <w:p w14:paraId="77DEE0CF" w14:textId="1839782A" w:rsidR="00DD5C36" w:rsidRPr="00364ECA" w:rsidRDefault="004409EC" w:rsidP="00DD5C36">
            <w:pPr>
              <w:pStyle w:val="Tabletext0"/>
            </w:pPr>
            <w:r w:rsidRPr="004409EC">
              <w:t>$203.70</w:t>
            </w:r>
          </w:p>
        </w:tc>
      </w:tr>
      <w:tr w:rsidR="00DD5C36" w:rsidRPr="00364ECA" w14:paraId="4D3EEF2A" w14:textId="5323ADAF" w:rsidTr="00DD5C36">
        <w:tc>
          <w:tcPr>
            <w:tcW w:w="3106" w:type="dxa"/>
          </w:tcPr>
          <w:p w14:paraId="705A75CF" w14:textId="3490A6AB" w:rsidR="00DD5C36" w:rsidRPr="00364ECA" w:rsidRDefault="00454514" w:rsidP="00DD5C36">
            <w:pPr>
              <w:pStyle w:val="Tabletext0"/>
            </w:pPr>
            <w:r>
              <w:t>XXXX2</w:t>
            </w:r>
            <w:r w:rsidR="00DD5C36" w:rsidRPr="00364ECA">
              <w:t xml:space="preserve"> Treatment Item</w:t>
            </w:r>
          </w:p>
        </w:tc>
        <w:tc>
          <w:tcPr>
            <w:tcW w:w="3098" w:type="dxa"/>
          </w:tcPr>
          <w:p w14:paraId="59668666" w14:textId="6FC3A604" w:rsidR="00DD5C36" w:rsidRPr="00364ECA" w:rsidRDefault="00DD5C36" w:rsidP="00DD5C36">
            <w:pPr>
              <w:pStyle w:val="Tabletext0"/>
            </w:pPr>
            <w:r w:rsidRPr="00364ECA">
              <w:t>$393.90</w:t>
            </w:r>
            <w:r w:rsidR="005F564A">
              <w:t xml:space="preserve"> </w:t>
            </w:r>
          </w:p>
        </w:tc>
        <w:tc>
          <w:tcPr>
            <w:tcW w:w="2812" w:type="dxa"/>
          </w:tcPr>
          <w:p w14:paraId="1ACAF841" w14:textId="3FC4E196" w:rsidR="00DD5C36" w:rsidRPr="00364ECA" w:rsidRDefault="004409EC" w:rsidP="00DD5C36">
            <w:pPr>
              <w:pStyle w:val="Tabletext0"/>
            </w:pPr>
            <w:r w:rsidRPr="004409EC">
              <w:t>$2,757.30</w:t>
            </w:r>
            <w:r w:rsidR="005F564A">
              <w:t xml:space="preserve"> </w:t>
            </w:r>
          </w:p>
        </w:tc>
      </w:tr>
      <w:tr w:rsidR="00454514" w:rsidRPr="00364ECA" w14:paraId="0B28E05A" w14:textId="77777777" w:rsidTr="00DD5C36">
        <w:tc>
          <w:tcPr>
            <w:tcW w:w="3106" w:type="dxa"/>
          </w:tcPr>
          <w:p w14:paraId="7F11DC79" w14:textId="74D5EC6D" w:rsidR="00454514" w:rsidRPr="00364ECA" w:rsidRDefault="00454514" w:rsidP="00DD5C36">
            <w:pPr>
              <w:pStyle w:val="Tabletext0"/>
            </w:pPr>
            <w:r>
              <w:t>Total Treatment</w:t>
            </w:r>
          </w:p>
        </w:tc>
        <w:tc>
          <w:tcPr>
            <w:tcW w:w="3098" w:type="dxa"/>
          </w:tcPr>
          <w:p w14:paraId="6B440038" w14:textId="77777777" w:rsidR="00454514" w:rsidRPr="00364ECA" w:rsidRDefault="00454514" w:rsidP="00DD5C36">
            <w:pPr>
              <w:pStyle w:val="Tabletext0"/>
            </w:pPr>
          </w:p>
        </w:tc>
        <w:tc>
          <w:tcPr>
            <w:tcW w:w="2812" w:type="dxa"/>
          </w:tcPr>
          <w:p w14:paraId="2AC964B3" w14:textId="008BB662" w:rsidR="00454514" w:rsidRPr="00364ECA" w:rsidRDefault="0077038C" w:rsidP="00DD5C36">
            <w:pPr>
              <w:pStyle w:val="Tabletext0"/>
            </w:pPr>
            <w:r w:rsidRPr="0077038C">
              <w:t>$4,694.77</w:t>
            </w:r>
          </w:p>
        </w:tc>
      </w:tr>
    </w:tbl>
    <w:p w14:paraId="4C3459A8" w14:textId="0FD3CC31" w:rsidR="00CE2DE1" w:rsidRDefault="006F7070" w:rsidP="00702E73">
      <w:pPr>
        <w:spacing w:before="240"/>
      </w:pPr>
      <w:r w:rsidRPr="1677FDF3">
        <w:t xml:space="preserve">The proposed fee structure for </w:t>
      </w:r>
      <w:r w:rsidR="00B17788">
        <w:t>Re-188 brachytherapy</w:t>
      </w:r>
      <w:r w:rsidRPr="1677FDF3">
        <w:t xml:space="preserve"> result</w:t>
      </w:r>
      <w:r w:rsidR="00FE204B">
        <w:t>ed</w:t>
      </w:r>
      <w:r w:rsidRPr="1677FDF3">
        <w:t xml:space="preserve"> in a total cost of $4,694.77 for the average treated patient</w:t>
      </w:r>
      <w:r w:rsidR="005A1719">
        <w:t xml:space="preserve">. This would leave </w:t>
      </w:r>
      <w:r w:rsidR="00577044">
        <w:t xml:space="preserve">enough of the </w:t>
      </w:r>
      <w:r w:rsidR="00F25B07" w:rsidRPr="00F25B07">
        <w:t xml:space="preserve">carpoule </w:t>
      </w:r>
      <w:r w:rsidR="00577044">
        <w:t>to treat an additional</w:t>
      </w:r>
      <w:r w:rsidR="00D52988">
        <w:t xml:space="preserve"> </w:t>
      </w:r>
      <w:r w:rsidR="00D52988" w:rsidRPr="00D52988">
        <w:rPr>
          <w:b/>
          <w:bCs/>
        </w:rPr>
        <w:t>redacted</w:t>
      </w:r>
      <w:r w:rsidR="00503A67">
        <w:t>cm</w:t>
      </w:r>
      <w:r w:rsidR="00503A67" w:rsidRPr="00503A67">
        <w:rPr>
          <w:vertAlign w:val="superscript"/>
        </w:rPr>
        <w:t>2</w:t>
      </w:r>
      <w:r w:rsidR="00A600A2">
        <w:t>, or</w:t>
      </w:r>
      <w:r w:rsidR="00526433">
        <w:t xml:space="preserve"> an approximate cost of $</w:t>
      </w:r>
      <w:r w:rsidR="00D52988" w:rsidRPr="00D52988">
        <w:rPr>
          <w:b/>
          <w:bCs/>
        </w:rPr>
        <w:t>redacted</w:t>
      </w:r>
      <w:r w:rsidR="00A10069">
        <w:t xml:space="preserve"> to the clinic </w:t>
      </w:r>
      <w:r w:rsidR="00507FFE">
        <w:t xml:space="preserve">or </w:t>
      </w:r>
      <w:r w:rsidR="00A10069">
        <w:t>out</w:t>
      </w:r>
      <w:r w:rsidR="00FE204B">
        <w:t>-</w:t>
      </w:r>
      <w:r w:rsidR="00A10069">
        <w:t>of</w:t>
      </w:r>
      <w:r w:rsidR="00FE204B">
        <w:t>-</w:t>
      </w:r>
      <w:r w:rsidR="00A10069">
        <w:t>pocket to the patient</w:t>
      </w:r>
      <w:r w:rsidR="00507FFE">
        <w:t xml:space="preserve">, if the clinic passes on the costs. </w:t>
      </w:r>
      <w:r w:rsidR="00CE2DE1">
        <w:t>Alternatively,</w:t>
      </w:r>
      <w:r w:rsidR="00507FFE">
        <w:t xml:space="preserve"> the</w:t>
      </w:r>
      <w:r w:rsidR="00503A67">
        <w:t xml:space="preserve"> clinic would have to </w:t>
      </w:r>
      <w:r w:rsidR="00507FFE">
        <w:t xml:space="preserve">see </w:t>
      </w:r>
      <w:r w:rsidR="004333A2">
        <w:t xml:space="preserve">seven patients </w:t>
      </w:r>
      <w:r w:rsidR="00D9083B">
        <w:t xml:space="preserve">in a certain </w:t>
      </w:r>
      <w:r w:rsidR="00BB0DC0">
        <w:t>period</w:t>
      </w:r>
      <w:r w:rsidR="00D9083B">
        <w:t xml:space="preserve"> to ensure batching can be c</w:t>
      </w:r>
      <w:r w:rsidR="00CE2DE1">
        <w:t xml:space="preserve">arried out. </w:t>
      </w:r>
      <w:r w:rsidR="00CE2DE1" w:rsidRPr="0003286F">
        <w:t xml:space="preserve">The ADAR </w:t>
      </w:r>
      <w:r w:rsidR="00FE204B">
        <w:t>did</w:t>
      </w:r>
      <w:r w:rsidR="00FE204B" w:rsidRPr="0003286F">
        <w:t xml:space="preserve"> </w:t>
      </w:r>
      <w:r w:rsidR="00CE2DE1" w:rsidRPr="0003286F">
        <w:t xml:space="preserve">not </w:t>
      </w:r>
      <w:r w:rsidR="00CE2DE1">
        <w:t xml:space="preserve">present adequate information to inform how batching can be achieved, i.e. </w:t>
      </w:r>
      <w:r w:rsidR="00020D32">
        <w:t xml:space="preserve">the </w:t>
      </w:r>
      <w:r w:rsidR="00CE2DE1">
        <w:t xml:space="preserve">length of time a carpoule can be open before it is no longer </w:t>
      </w:r>
      <w:r w:rsidR="00BB0DC0">
        <w:t>useful</w:t>
      </w:r>
      <w:r w:rsidR="00020D32">
        <w:t>,</w:t>
      </w:r>
      <w:r w:rsidR="00BB0DC0">
        <w:t xml:space="preserve"> or</w:t>
      </w:r>
      <w:r w:rsidR="00CE2DE1">
        <w:t xml:space="preserve"> </w:t>
      </w:r>
      <w:r w:rsidR="00020D32">
        <w:t>if</w:t>
      </w:r>
      <w:r w:rsidR="00CE2DE1">
        <w:t xml:space="preserve"> there </w:t>
      </w:r>
      <w:r w:rsidR="00020D32">
        <w:t>are</w:t>
      </w:r>
      <w:r w:rsidR="00CE2DE1">
        <w:t xml:space="preserve"> additional steps required for the equipment when batching is done, compared to when a new carpoule is used. Further detail</w:t>
      </w:r>
      <w:r w:rsidR="00BE017C">
        <w:t>s</w:t>
      </w:r>
      <w:r w:rsidR="00CE2DE1">
        <w:t xml:space="preserve"> on how </w:t>
      </w:r>
      <w:r w:rsidR="00CE2DE1">
        <w:lastRenderedPageBreak/>
        <w:t xml:space="preserve">batching has been </w:t>
      </w:r>
      <w:r w:rsidR="00CE2DE1" w:rsidRPr="0003286F">
        <w:t xml:space="preserve">achieved in </w:t>
      </w:r>
      <w:r w:rsidR="00D86E5D">
        <w:t>the</w:t>
      </w:r>
      <w:r w:rsidR="00CE2DE1" w:rsidRPr="0003286F">
        <w:t xml:space="preserve"> South Africa</w:t>
      </w:r>
      <w:r w:rsidR="00D86E5D">
        <w:t>n</w:t>
      </w:r>
      <w:r w:rsidR="1313037F">
        <w:t xml:space="preserve"> </w:t>
      </w:r>
      <w:r w:rsidR="00CE2DE1">
        <w:t>example</w:t>
      </w:r>
      <w:r w:rsidR="00CE2DE1" w:rsidRPr="0003286F">
        <w:t xml:space="preserve"> would be beneficial and clinical feedback on </w:t>
      </w:r>
      <w:r w:rsidR="00B71BFE">
        <w:t>whether</w:t>
      </w:r>
      <w:r w:rsidR="00CE2DE1" w:rsidRPr="0003286F">
        <w:t xml:space="preserve"> this could be achieved in an Australian setting should be sought.</w:t>
      </w:r>
    </w:p>
    <w:p w14:paraId="1919B047" w14:textId="74C52671" w:rsidR="00BB0DC0" w:rsidRDefault="00025370" w:rsidP="00BB0DC0">
      <w:r>
        <w:t>If batching can</w:t>
      </w:r>
      <w:r w:rsidR="00D86E5D">
        <w:t>no</w:t>
      </w:r>
      <w:r>
        <w:t>t be achieved</w:t>
      </w:r>
      <w:r w:rsidR="00D86E5D">
        <w:t>,</w:t>
      </w:r>
      <w:r>
        <w:t xml:space="preserve"> the cost of treating an average patient </w:t>
      </w:r>
      <w:r w:rsidR="00AC247E">
        <w:t>with a 3.5cm</w:t>
      </w:r>
      <w:r w:rsidR="00AC247E" w:rsidRPr="00B22F65">
        <w:rPr>
          <w:vertAlign w:val="superscript"/>
        </w:rPr>
        <w:t>2</w:t>
      </w:r>
      <w:r w:rsidR="00AC247E">
        <w:t xml:space="preserve"> lesion would increase to </w:t>
      </w:r>
      <w:r w:rsidR="00745C8E">
        <w:t xml:space="preserve">approximately </w:t>
      </w:r>
      <w:r w:rsidR="00D52988">
        <w:t>$</w:t>
      </w:r>
      <w:r w:rsidR="00D52988" w:rsidRPr="00D52988">
        <w:rPr>
          <w:b/>
          <w:bCs/>
        </w:rPr>
        <w:t>redacted</w:t>
      </w:r>
      <w:r w:rsidR="00D52988">
        <w:t xml:space="preserve"> </w:t>
      </w:r>
      <w:r w:rsidR="00745C8E">
        <w:t>(assuming a carpoule would cost</w:t>
      </w:r>
      <w:r w:rsidR="00EE5E96">
        <w:t xml:space="preserve"> </w:t>
      </w:r>
      <w:r w:rsidR="00D52988" w:rsidRPr="00D52988">
        <w:rPr>
          <w:b/>
          <w:bCs/>
        </w:rPr>
        <w:t>redacted</w:t>
      </w:r>
      <w:r w:rsidR="00745C8E">
        <w:t xml:space="preserve">, though exact pricing has not been provided by the ADAR). </w:t>
      </w:r>
    </w:p>
    <w:p w14:paraId="583304E3" w14:textId="2AEDABCE" w:rsidR="00427440" w:rsidRDefault="00427440" w:rsidP="00427440">
      <w:pPr>
        <w:pStyle w:val="Heading3"/>
      </w:pPr>
      <w:r>
        <w:t>Cost of EBRT</w:t>
      </w:r>
    </w:p>
    <w:p w14:paraId="3583D86E" w14:textId="56136DC3" w:rsidR="00427440" w:rsidRDefault="00B20371" w:rsidP="00EB1793">
      <w:r>
        <w:t xml:space="preserve">The calculation of the costs of </w:t>
      </w:r>
      <w:r w:rsidR="00B25B9D">
        <w:t>EBRT</w:t>
      </w:r>
      <w:r>
        <w:t xml:space="preserve"> were based on the </w:t>
      </w:r>
      <w:r w:rsidR="005A36CF">
        <w:t xml:space="preserve">proportion </w:t>
      </w:r>
      <w:r w:rsidR="00BD4690">
        <w:t>of the</w:t>
      </w:r>
      <w:r w:rsidR="005A36CF">
        <w:t xml:space="preserve"> different </w:t>
      </w:r>
      <w:r w:rsidR="00BD4690">
        <w:t>MBS items</w:t>
      </w:r>
      <w:r w:rsidR="00EB1793">
        <w:t xml:space="preserve"> (15904, 15906, 15930, 15910, 15938, 15950 and 15952)</w:t>
      </w:r>
      <w:r w:rsidR="00BD4690">
        <w:t xml:space="preserve"> </w:t>
      </w:r>
      <w:r w:rsidR="005A36CF">
        <w:t xml:space="preserve">used </w:t>
      </w:r>
      <w:r w:rsidR="00BD4690">
        <w:t xml:space="preserve">for </w:t>
      </w:r>
      <w:r w:rsidR="002B31E0" w:rsidRPr="002B31E0">
        <w:t>simulation</w:t>
      </w:r>
      <w:r w:rsidR="005A36CF">
        <w:t>,</w:t>
      </w:r>
      <w:r w:rsidR="002B31E0">
        <w:t xml:space="preserve"> </w:t>
      </w:r>
      <w:r w:rsidR="002B31E0" w:rsidRPr="002B31E0">
        <w:t>dosimetry</w:t>
      </w:r>
      <w:r w:rsidR="005A36CF">
        <w:t>,</w:t>
      </w:r>
      <w:r w:rsidR="002B31E0">
        <w:t xml:space="preserve"> and treatment</w:t>
      </w:r>
      <w:r w:rsidR="00367371">
        <w:t xml:space="preserve"> </w:t>
      </w:r>
      <w:r w:rsidR="00022198">
        <w:t>of the different treatment modalities (e</w:t>
      </w:r>
      <w:r w:rsidR="00367371">
        <w:t>lectrons, IMRT and SXRT</w:t>
      </w:r>
      <w:r w:rsidR="00022198">
        <w:t>)</w:t>
      </w:r>
      <w:r w:rsidR="00972AB9">
        <w:t xml:space="preserve"> and weighted for </w:t>
      </w:r>
      <w:r w:rsidR="003909BE" w:rsidRPr="005E3989">
        <w:t>non-melanoma</w:t>
      </w:r>
      <w:r w:rsidR="005E3989" w:rsidRPr="005E3989">
        <w:t xml:space="preserve"> skin cancers</w:t>
      </w:r>
      <w:r w:rsidR="005E3989">
        <w:t xml:space="preserve"> (</w:t>
      </w:r>
      <w:r w:rsidR="00D86E5D">
        <w:t>b</w:t>
      </w:r>
      <w:r w:rsidR="005E3989">
        <w:t>ased on a</w:t>
      </w:r>
      <w:r w:rsidR="00944198">
        <w:t>n email from</w:t>
      </w:r>
      <w:r w:rsidR="00185AEA" w:rsidRPr="00185AEA">
        <w:t xml:space="preserve"> </w:t>
      </w:r>
      <w:r w:rsidR="00D52988" w:rsidRPr="00D52988">
        <w:rPr>
          <w:b/>
          <w:bCs/>
        </w:rPr>
        <w:t>redacted</w:t>
      </w:r>
      <w:r w:rsidR="009D4153">
        <w:t xml:space="preserve">). </w:t>
      </w:r>
      <w:r w:rsidR="00D52988" w:rsidRPr="00D52988">
        <w:rPr>
          <w:b/>
          <w:bCs/>
        </w:rPr>
        <w:t>redacted</w:t>
      </w:r>
      <w:r w:rsidR="009D4153">
        <w:t xml:space="preserve"> provided the </w:t>
      </w:r>
      <w:r w:rsidR="00D05F7B">
        <w:t xml:space="preserve">proportion of </w:t>
      </w:r>
      <w:r w:rsidR="003909BE">
        <w:t>the different modalities that are used for NM</w:t>
      </w:r>
      <w:r w:rsidR="00D05F7B">
        <w:t>SC</w:t>
      </w:r>
      <w:r w:rsidR="00D86E5D">
        <w:t>,</w:t>
      </w:r>
      <w:r w:rsidR="00927FF2">
        <w:t xml:space="preserve"> i.e.</w:t>
      </w:r>
      <w:r w:rsidR="00D86E5D">
        <w:t>,</w:t>
      </w:r>
      <w:r w:rsidR="00367371">
        <w:t xml:space="preserve"> </w:t>
      </w:r>
      <w:r w:rsidR="00C35296">
        <w:t>o</w:t>
      </w:r>
      <w:r w:rsidR="000B69F9">
        <w:t xml:space="preserve">f </w:t>
      </w:r>
      <w:r w:rsidR="00C35296">
        <w:t>all the VMAT/IMRT treated patients</w:t>
      </w:r>
      <w:r w:rsidR="00D86E5D">
        <w:t>,</w:t>
      </w:r>
      <w:r w:rsidR="00C35296">
        <w:t xml:space="preserve"> </w:t>
      </w:r>
      <w:r w:rsidR="00D52988" w:rsidRPr="00D52988">
        <w:rPr>
          <w:b/>
          <w:bCs/>
        </w:rPr>
        <w:t>redacted</w:t>
      </w:r>
      <w:r w:rsidR="00B31AA4">
        <w:t xml:space="preserve">% were NMSC; for electron – </w:t>
      </w:r>
      <w:r w:rsidR="00D52988" w:rsidRPr="00D52988">
        <w:rPr>
          <w:b/>
          <w:bCs/>
        </w:rPr>
        <w:t>redacted</w:t>
      </w:r>
      <w:r w:rsidR="00B31AA4">
        <w:t>%</w:t>
      </w:r>
      <w:r w:rsidR="00B31AA4" w:rsidRPr="00D52988">
        <w:rPr>
          <w:b/>
        </w:rPr>
        <w:t xml:space="preserve"> </w:t>
      </w:r>
      <w:r w:rsidR="00B31AA4">
        <w:t xml:space="preserve">were NMSC, and for </w:t>
      </w:r>
      <w:r w:rsidR="0052223E">
        <w:t xml:space="preserve">SXRT – </w:t>
      </w:r>
      <w:r w:rsidR="00D52988" w:rsidRPr="00D52988">
        <w:rPr>
          <w:b/>
          <w:bCs/>
        </w:rPr>
        <w:t>redacted</w:t>
      </w:r>
      <w:r w:rsidR="0052223E">
        <w:t>%</w:t>
      </w:r>
      <w:r w:rsidR="0052223E" w:rsidRPr="00D52988">
        <w:rPr>
          <w:b/>
        </w:rPr>
        <w:t xml:space="preserve"> </w:t>
      </w:r>
      <w:r w:rsidR="0052223E">
        <w:t xml:space="preserve">were NMSC. These rates were applied to the current use of </w:t>
      </w:r>
      <w:r w:rsidR="003A2AE2">
        <w:t xml:space="preserve">MBS items to get a weighted average of the treatment </w:t>
      </w:r>
      <w:r w:rsidR="00A40210">
        <w:t>modalities</w:t>
      </w:r>
      <w:r w:rsidR="003A2AE2">
        <w:t xml:space="preserve"> for </w:t>
      </w:r>
      <w:r w:rsidR="00D830A7">
        <w:t>EBRT</w:t>
      </w:r>
      <w:r w:rsidR="003A2AE2">
        <w:t>.</w:t>
      </w:r>
    </w:p>
    <w:p w14:paraId="0788C9C9" w14:textId="1E69CCE8" w:rsidR="00481D80" w:rsidRDefault="00481D80" w:rsidP="00481D80">
      <w:pPr>
        <w:pStyle w:val="Caption"/>
      </w:pPr>
      <w:bookmarkStart w:id="45" w:name="_Ref187072468"/>
      <w:r>
        <w:t xml:space="preserve">Table </w:t>
      </w:r>
      <w:r w:rsidR="007F4BCC">
        <w:fldChar w:fldCharType="begin"/>
      </w:r>
      <w:r w:rsidR="007F4BCC">
        <w:instrText xml:space="preserve"> SEQ Table \* ARABIC </w:instrText>
      </w:r>
      <w:r w:rsidR="007F4BCC">
        <w:fldChar w:fldCharType="separate"/>
      </w:r>
      <w:r w:rsidR="00AF5AE7">
        <w:rPr>
          <w:noProof/>
        </w:rPr>
        <w:t>17</w:t>
      </w:r>
      <w:r w:rsidR="007F4BCC">
        <w:rPr>
          <w:noProof/>
        </w:rPr>
        <w:fldChar w:fldCharType="end"/>
      </w:r>
      <w:bookmarkEnd w:id="45"/>
      <w:r>
        <w:t xml:space="preserve"> </w:t>
      </w:r>
      <w:r w:rsidR="00D86E5D">
        <w:t>P</w:t>
      </w:r>
      <w:r>
        <w:t>roportion of patients receiving the different treatment modalities in the costing analysis</w:t>
      </w:r>
    </w:p>
    <w:tbl>
      <w:tblPr>
        <w:tblStyle w:val="TableGrid"/>
        <w:tblW w:w="5000" w:type="pct"/>
        <w:tblLook w:val="04A0" w:firstRow="1" w:lastRow="0" w:firstColumn="1" w:lastColumn="0" w:noHBand="0" w:noVBand="1"/>
      </w:tblPr>
      <w:tblGrid>
        <w:gridCol w:w="2260"/>
        <w:gridCol w:w="2252"/>
        <w:gridCol w:w="2252"/>
        <w:gridCol w:w="2252"/>
      </w:tblGrid>
      <w:tr w:rsidR="0061272C" w:rsidRPr="00364ECA" w14:paraId="544645BB" w14:textId="75BCB7E3" w:rsidTr="00446C88">
        <w:trPr>
          <w:trHeight w:val="417"/>
        </w:trPr>
        <w:tc>
          <w:tcPr>
            <w:tcW w:w="1253" w:type="pct"/>
            <w:vAlign w:val="center"/>
          </w:tcPr>
          <w:p w14:paraId="7CC897D8" w14:textId="204BDA70" w:rsidR="0061272C" w:rsidRPr="00B22F65" w:rsidRDefault="0061272C" w:rsidP="00446C88">
            <w:pPr>
              <w:pStyle w:val="Tabletext0"/>
              <w:rPr>
                <w:b/>
                <w:bCs/>
              </w:rPr>
            </w:pPr>
            <w:r w:rsidRPr="00B22F65">
              <w:rPr>
                <w:b/>
                <w:bCs/>
              </w:rPr>
              <w:t>Modality</w:t>
            </w:r>
          </w:p>
        </w:tc>
        <w:tc>
          <w:tcPr>
            <w:tcW w:w="1249" w:type="pct"/>
            <w:vAlign w:val="center"/>
          </w:tcPr>
          <w:p w14:paraId="36763BC5" w14:textId="702455F6" w:rsidR="0061272C" w:rsidRPr="00B22F65" w:rsidRDefault="0061272C" w:rsidP="00446C88">
            <w:pPr>
              <w:pStyle w:val="Tabletext0"/>
              <w:jc w:val="center"/>
              <w:rPr>
                <w:b/>
                <w:bCs/>
              </w:rPr>
            </w:pPr>
            <w:r w:rsidRPr="00B22F65">
              <w:rPr>
                <w:b/>
                <w:bCs/>
              </w:rPr>
              <w:t>Proportion of NMSC Patients</w:t>
            </w:r>
            <w:r>
              <w:rPr>
                <w:b/>
                <w:bCs/>
              </w:rPr>
              <w:t xml:space="preserve"> (2023)</w:t>
            </w:r>
          </w:p>
        </w:tc>
        <w:tc>
          <w:tcPr>
            <w:tcW w:w="1249" w:type="pct"/>
            <w:vAlign w:val="center"/>
          </w:tcPr>
          <w:p w14:paraId="441CEE78" w14:textId="59EBA0E3" w:rsidR="0061272C" w:rsidRPr="00B22F65" w:rsidRDefault="0061272C" w:rsidP="00446C88">
            <w:pPr>
              <w:pStyle w:val="Tabletext0"/>
              <w:jc w:val="center"/>
              <w:rPr>
                <w:b/>
                <w:bCs/>
              </w:rPr>
            </w:pPr>
            <w:r w:rsidRPr="00B22F65">
              <w:rPr>
                <w:b/>
                <w:bCs/>
              </w:rPr>
              <w:t>Proportion of NMSC Patients</w:t>
            </w:r>
            <w:r>
              <w:rPr>
                <w:b/>
                <w:bCs/>
              </w:rPr>
              <w:t xml:space="preserve"> (2030)</w:t>
            </w:r>
          </w:p>
        </w:tc>
        <w:tc>
          <w:tcPr>
            <w:tcW w:w="1249" w:type="pct"/>
          </w:tcPr>
          <w:p w14:paraId="63E787E8" w14:textId="77CE363B" w:rsidR="0061272C" w:rsidRPr="00B22F65" w:rsidRDefault="0061272C" w:rsidP="00457171">
            <w:pPr>
              <w:pStyle w:val="Tabletext0"/>
              <w:jc w:val="center"/>
              <w:rPr>
                <w:b/>
                <w:bCs/>
              </w:rPr>
            </w:pPr>
            <w:r w:rsidRPr="00B22F65">
              <w:rPr>
                <w:b/>
                <w:bCs/>
              </w:rPr>
              <w:t>Proportion of NMSC Patients</w:t>
            </w:r>
            <w:r>
              <w:rPr>
                <w:b/>
                <w:bCs/>
              </w:rPr>
              <w:t xml:space="preserve"> (used in the cos</w:t>
            </w:r>
            <w:r w:rsidR="001D1830">
              <w:rPr>
                <w:b/>
                <w:bCs/>
              </w:rPr>
              <w:t>t minimisation</w:t>
            </w:r>
            <w:r>
              <w:rPr>
                <w:b/>
                <w:bCs/>
              </w:rPr>
              <w:t>)</w:t>
            </w:r>
          </w:p>
        </w:tc>
      </w:tr>
      <w:tr w:rsidR="00BD4648" w:rsidRPr="00364ECA" w14:paraId="57DA51AE" w14:textId="3C723223" w:rsidTr="00446C88">
        <w:tc>
          <w:tcPr>
            <w:tcW w:w="1253" w:type="pct"/>
          </w:tcPr>
          <w:p w14:paraId="26EDEBAE" w14:textId="191A29D9" w:rsidR="00BD4648" w:rsidRPr="00364ECA" w:rsidRDefault="00BD4648" w:rsidP="00BD4648">
            <w:pPr>
              <w:pStyle w:val="Tabletext0"/>
            </w:pPr>
            <w:r>
              <w:t>Electrons</w:t>
            </w:r>
          </w:p>
        </w:tc>
        <w:tc>
          <w:tcPr>
            <w:tcW w:w="1249" w:type="pct"/>
          </w:tcPr>
          <w:p w14:paraId="10773666" w14:textId="4278FD9B" w:rsidR="00BD4648" w:rsidRPr="00364ECA" w:rsidRDefault="00BD4648" w:rsidP="00BD4648">
            <w:pPr>
              <w:pStyle w:val="Tabletext0"/>
            </w:pPr>
            <w:r>
              <w:t>55%</w:t>
            </w:r>
            <w:r w:rsidR="0026398F" w:rsidRPr="002872A0" w:rsidDel="0026398F">
              <w:rPr>
                <w:b/>
                <w:bCs/>
              </w:rPr>
              <w:t xml:space="preserve"> </w:t>
            </w:r>
          </w:p>
        </w:tc>
        <w:tc>
          <w:tcPr>
            <w:tcW w:w="1249" w:type="pct"/>
          </w:tcPr>
          <w:p w14:paraId="4C80A0AD" w14:textId="36A5F9A0" w:rsidR="00BD4648" w:rsidRPr="00D52988" w:rsidRDefault="00BD4648" w:rsidP="00BD4648">
            <w:pPr>
              <w:pStyle w:val="Tabletext0"/>
              <w:rPr>
                <w:b/>
              </w:rPr>
            </w:pPr>
            <w:r>
              <w:t>46%</w:t>
            </w:r>
          </w:p>
        </w:tc>
        <w:tc>
          <w:tcPr>
            <w:tcW w:w="1249" w:type="pct"/>
          </w:tcPr>
          <w:p w14:paraId="03FA3119" w14:textId="1866528F" w:rsidR="00BD4648" w:rsidRDefault="00F56A8B" w:rsidP="00BD4648">
            <w:pPr>
              <w:pStyle w:val="Tabletext0"/>
            </w:pPr>
            <w:r>
              <w:t>52</w:t>
            </w:r>
            <w:r w:rsidR="00BD4648">
              <w:t>%</w:t>
            </w:r>
          </w:p>
        </w:tc>
      </w:tr>
      <w:tr w:rsidR="00D87B24" w:rsidRPr="00364ECA" w14:paraId="219DD89F" w14:textId="70A47920" w:rsidTr="00446C88">
        <w:tc>
          <w:tcPr>
            <w:tcW w:w="1253" w:type="pct"/>
          </w:tcPr>
          <w:p w14:paraId="6D7C5541" w14:textId="4D86767A" w:rsidR="00D87B24" w:rsidRPr="00364ECA" w:rsidRDefault="00D87B24" w:rsidP="00D87B24">
            <w:pPr>
              <w:pStyle w:val="Tabletext0"/>
            </w:pPr>
            <w:r>
              <w:t>IMRT</w:t>
            </w:r>
          </w:p>
        </w:tc>
        <w:tc>
          <w:tcPr>
            <w:tcW w:w="1249" w:type="pct"/>
          </w:tcPr>
          <w:p w14:paraId="55DF7EAC" w14:textId="2879ECDA" w:rsidR="00D87B24" w:rsidRPr="00364ECA" w:rsidRDefault="00BD4648" w:rsidP="00D87B24">
            <w:pPr>
              <w:pStyle w:val="Tabletext0"/>
            </w:pPr>
            <w:r>
              <w:t>32%</w:t>
            </w:r>
          </w:p>
        </w:tc>
        <w:tc>
          <w:tcPr>
            <w:tcW w:w="1249" w:type="pct"/>
          </w:tcPr>
          <w:p w14:paraId="01CDCE5E" w14:textId="688023CF" w:rsidR="00D87B24" w:rsidRDefault="00BD4648" w:rsidP="00D87B24">
            <w:pPr>
              <w:pStyle w:val="Tabletext0"/>
            </w:pPr>
            <w:r>
              <w:t>48%</w:t>
            </w:r>
          </w:p>
        </w:tc>
        <w:tc>
          <w:tcPr>
            <w:tcW w:w="1249" w:type="pct"/>
          </w:tcPr>
          <w:p w14:paraId="70C7C1A6" w14:textId="16EABA62" w:rsidR="00D87B24" w:rsidRDefault="00BD4648" w:rsidP="00D87B24">
            <w:pPr>
              <w:pStyle w:val="Tabletext0"/>
            </w:pPr>
            <w:r>
              <w:t>4</w:t>
            </w:r>
            <w:r w:rsidR="00F56A8B">
              <w:t>2</w:t>
            </w:r>
            <w:r>
              <w:t>%</w:t>
            </w:r>
          </w:p>
        </w:tc>
      </w:tr>
      <w:tr w:rsidR="00D87B24" w:rsidRPr="00364ECA" w14:paraId="23E77EB0" w14:textId="784CC59F" w:rsidTr="00446C88">
        <w:trPr>
          <w:trHeight w:val="197"/>
        </w:trPr>
        <w:tc>
          <w:tcPr>
            <w:tcW w:w="1253" w:type="pct"/>
          </w:tcPr>
          <w:p w14:paraId="3F8C0AA0" w14:textId="7FE721B7" w:rsidR="00D87B24" w:rsidRPr="00364ECA" w:rsidRDefault="00D87B24" w:rsidP="00D87B24">
            <w:pPr>
              <w:pStyle w:val="Tabletext0"/>
            </w:pPr>
            <w:r>
              <w:t>SXRT</w:t>
            </w:r>
          </w:p>
        </w:tc>
        <w:tc>
          <w:tcPr>
            <w:tcW w:w="1249" w:type="pct"/>
          </w:tcPr>
          <w:p w14:paraId="7A80852C" w14:textId="45FCF095" w:rsidR="00D87B24" w:rsidRPr="00364ECA" w:rsidRDefault="00BD4648" w:rsidP="00D87B24">
            <w:pPr>
              <w:pStyle w:val="Tabletext0"/>
            </w:pPr>
            <w:r>
              <w:t>13%</w:t>
            </w:r>
          </w:p>
        </w:tc>
        <w:tc>
          <w:tcPr>
            <w:tcW w:w="1249" w:type="pct"/>
          </w:tcPr>
          <w:p w14:paraId="04469983" w14:textId="13A659B3" w:rsidR="00D87B24" w:rsidRDefault="00BD4648" w:rsidP="00D87B24">
            <w:pPr>
              <w:pStyle w:val="Tabletext0"/>
            </w:pPr>
            <w:r>
              <w:t>6%</w:t>
            </w:r>
          </w:p>
        </w:tc>
        <w:tc>
          <w:tcPr>
            <w:tcW w:w="1249" w:type="pct"/>
          </w:tcPr>
          <w:p w14:paraId="34465322" w14:textId="6FCBEC22" w:rsidR="00D87B24" w:rsidRDefault="00BD4648" w:rsidP="00D87B24">
            <w:pPr>
              <w:pStyle w:val="Tabletext0"/>
            </w:pPr>
            <w:r>
              <w:t>6%</w:t>
            </w:r>
          </w:p>
        </w:tc>
      </w:tr>
    </w:tbl>
    <w:p w14:paraId="499E0AA0" w14:textId="77777777" w:rsidR="00D86E5D" w:rsidRDefault="00CB09DF" w:rsidP="0033164E">
      <w:pPr>
        <w:pStyle w:val="TableFigureFooter"/>
        <w:spacing w:after="0"/>
      </w:pPr>
      <w:r>
        <w:t>Calculated during evaluation</w:t>
      </w:r>
      <w:r w:rsidR="001565BE">
        <w:t xml:space="preserve">. </w:t>
      </w:r>
    </w:p>
    <w:p w14:paraId="28FB38D4" w14:textId="3EAD3797" w:rsidR="0033164E" w:rsidRDefault="004160E7" w:rsidP="00702E73">
      <w:pPr>
        <w:pStyle w:val="TableFigureFooter"/>
        <w:spacing w:before="0" w:after="0"/>
      </w:pPr>
      <w:r w:rsidRPr="004160E7">
        <w:t>IMRT</w:t>
      </w:r>
      <w:r w:rsidR="00D86E5D">
        <w:t xml:space="preserve"> </w:t>
      </w:r>
      <w:r w:rsidR="001565BE">
        <w:t xml:space="preserve">= </w:t>
      </w:r>
      <w:r w:rsidRPr="004160E7">
        <w:t>Intensity</w:t>
      </w:r>
      <w:r w:rsidR="00BE017C">
        <w:t>-modulated</w:t>
      </w:r>
      <w:r w:rsidRPr="004160E7">
        <w:t xml:space="preserve"> radiation therapy</w:t>
      </w:r>
      <w:r w:rsidR="00DB7D19">
        <w:t xml:space="preserve">; </w:t>
      </w:r>
      <w:r w:rsidR="00DB7D19" w:rsidRPr="00DB7D19">
        <w:t>NMSC</w:t>
      </w:r>
      <w:r w:rsidR="00D86E5D">
        <w:t xml:space="preserve"> </w:t>
      </w:r>
      <w:r w:rsidR="001565BE">
        <w:t xml:space="preserve">= </w:t>
      </w:r>
      <w:r w:rsidR="001565BE" w:rsidRPr="00DB7D19">
        <w:t>non-melanoma</w:t>
      </w:r>
      <w:r w:rsidR="00DB7D19" w:rsidRPr="00DB7D19">
        <w:t xml:space="preserve"> skin cancer</w:t>
      </w:r>
      <w:r w:rsidR="00DB7D19">
        <w:t xml:space="preserve">; </w:t>
      </w:r>
      <w:r w:rsidR="00B344A8" w:rsidRPr="00B344A8">
        <w:t>SXRT</w:t>
      </w:r>
      <w:r w:rsidR="00D86E5D">
        <w:t xml:space="preserve"> </w:t>
      </w:r>
      <w:r w:rsidR="001565BE">
        <w:t>=</w:t>
      </w:r>
      <w:r w:rsidR="00B344A8" w:rsidRPr="00B344A8">
        <w:t xml:space="preserve"> Superficial X-ray</w:t>
      </w:r>
      <w:r w:rsidR="00B344A8">
        <w:t>.</w:t>
      </w:r>
    </w:p>
    <w:p w14:paraId="6FBE90DE" w14:textId="3CD50079" w:rsidR="00243422" w:rsidRDefault="00A53DAE" w:rsidP="00702E73">
      <w:pPr>
        <w:spacing w:before="240"/>
      </w:pPr>
      <w:r>
        <w:t>The ADAR calculate</w:t>
      </w:r>
      <w:r w:rsidR="00F40331">
        <w:t>d</w:t>
      </w:r>
      <w:r>
        <w:t xml:space="preserve"> the weighted usage of the different MBS items, based on 2023 </w:t>
      </w:r>
      <w:r w:rsidR="00C36D4E">
        <w:t xml:space="preserve">Medicare statistics and </w:t>
      </w:r>
      <w:r w:rsidR="00AC4A24">
        <w:t>applie</w:t>
      </w:r>
      <w:r w:rsidR="00F40331">
        <w:t>d</w:t>
      </w:r>
      <w:r w:rsidR="00AC4A24">
        <w:t xml:space="preserve"> the </w:t>
      </w:r>
      <w:r w:rsidR="00C36D4E">
        <w:t xml:space="preserve">above table to </w:t>
      </w:r>
      <w:r w:rsidR="0033604C">
        <w:t>calculate</w:t>
      </w:r>
      <w:r w:rsidR="00C36D4E">
        <w:t xml:space="preserve"> the </w:t>
      </w:r>
      <w:r w:rsidR="0091344E">
        <w:t xml:space="preserve">weighted </w:t>
      </w:r>
      <w:r w:rsidR="0033193F">
        <w:t>numbers</w:t>
      </w:r>
      <w:r w:rsidR="0091344E">
        <w:t xml:space="preserve"> of MBS items for</w:t>
      </w:r>
      <w:r w:rsidR="0033604C">
        <w:t xml:space="preserve"> </w:t>
      </w:r>
      <w:r w:rsidR="00D86E5D">
        <w:t>s</w:t>
      </w:r>
      <w:r w:rsidR="0033604C">
        <w:t>imulation/</w:t>
      </w:r>
      <w:r w:rsidR="00D86E5D">
        <w:t>d</w:t>
      </w:r>
      <w:r w:rsidR="0033604C">
        <w:t xml:space="preserve">osimetry </w:t>
      </w:r>
      <w:r w:rsidR="00D576DF">
        <w:t xml:space="preserve">across all </w:t>
      </w:r>
      <w:r w:rsidR="0091344E">
        <w:t>modalities</w:t>
      </w:r>
      <w:r w:rsidR="00252B94">
        <w:t xml:space="preserve"> for NMSC</w:t>
      </w:r>
      <w:r w:rsidR="0091344E">
        <w:t xml:space="preserve">. </w:t>
      </w:r>
      <w:r w:rsidR="0033193F">
        <w:t>The ADAR use</w:t>
      </w:r>
      <w:r w:rsidR="00EB1793">
        <w:t>d</w:t>
      </w:r>
      <w:r w:rsidR="0033193F">
        <w:t xml:space="preserve"> these numbers and the average </w:t>
      </w:r>
      <w:r w:rsidR="00DE70B6">
        <w:t xml:space="preserve">number of </w:t>
      </w:r>
      <w:r w:rsidR="00D830A7">
        <w:t>EBRT</w:t>
      </w:r>
      <w:r w:rsidR="008C5CBB">
        <w:t xml:space="preserve"> </w:t>
      </w:r>
      <w:r w:rsidR="0033193F">
        <w:t>fraction</w:t>
      </w:r>
      <w:r w:rsidR="00DE70B6">
        <w:t>s</w:t>
      </w:r>
      <w:r w:rsidR="0033193F">
        <w:t xml:space="preserve"> </w:t>
      </w:r>
      <w:r w:rsidR="00AE33A0">
        <w:t xml:space="preserve">of </w:t>
      </w:r>
      <w:r w:rsidR="00252B94">
        <w:t xml:space="preserve">22 </w:t>
      </w:r>
      <w:r w:rsidR="009C2D6E">
        <w:t xml:space="preserve">(as advised by </w:t>
      </w:r>
      <w:r w:rsidR="00252B94">
        <w:t xml:space="preserve">the advisory board </w:t>
      </w:r>
      <w:r w:rsidR="00621337">
        <w:t>convened by the applicant</w:t>
      </w:r>
      <w:r w:rsidR="009C2D6E">
        <w:t>)</w:t>
      </w:r>
      <w:r w:rsidR="00252B94">
        <w:t xml:space="preserve"> to calculate the </w:t>
      </w:r>
      <w:r w:rsidR="00376579">
        <w:t xml:space="preserve">usage of MBS treatment items for the different modalities and </w:t>
      </w:r>
      <w:r w:rsidR="00B47E6C">
        <w:t>projects usage and costs out to 2030. F</w:t>
      </w:r>
      <w:r w:rsidR="00376579">
        <w:t>rom that</w:t>
      </w:r>
      <w:r w:rsidR="00462103">
        <w:t>,</w:t>
      </w:r>
      <w:r w:rsidR="00376579">
        <w:t xml:space="preserve"> </w:t>
      </w:r>
      <w:r w:rsidR="002D6013">
        <w:t xml:space="preserve">the ADAR </w:t>
      </w:r>
      <w:r w:rsidR="00376579">
        <w:t>calculate</w:t>
      </w:r>
      <w:r w:rsidR="002D6013">
        <w:t>d</w:t>
      </w:r>
      <w:r w:rsidR="00376579">
        <w:t xml:space="preserve"> the average </w:t>
      </w:r>
      <w:r w:rsidR="002D6013">
        <w:t xml:space="preserve">cost per treatment for each year and then the </w:t>
      </w:r>
      <w:r w:rsidR="0044440B">
        <w:t xml:space="preserve">overall </w:t>
      </w:r>
      <w:r w:rsidR="002D6013">
        <w:t xml:space="preserve">average </w:t>
      </w:r>
      <w:r w:rsidR="00376579">
        <w:t xml:space="preserve">weighted cost per patient for </w:t>
      </w:r>
      <w:r w:rsidR="00B52656">
        <w:t>EBRT.</w:t>
      </w:r>
      <w:r w:rsidR="0091344E">
        <w:t xml:space="preserve"> </w:t>
      </w:r>
      <w:r w:rsidR="00B52656">
        <w:t xml:space="preserve">The weighted average cost for </w:t>
      </w:r>
      <w:r w:rsidR="007E69A1">
        <w:t xml:space="preserve">EBRT </w:t>
      </w:r>
      <w:r w:rsidR="00462103">
        <w:t>was</w:t>
      </w:r>
      <w:r w:rsidR="005F564A">
        <w:t xml:space="preserve"> </w:t>
      </w:r>
      <w:r w:rsidR="007E69A1" w:rsidRPr="007E69A1">
        <w:t>$5,952.53</w:t>
      </w:r>
      <w:r w:rsidR="00FC01E0">
        <w:t>.</w:t>
      </w:r>
    </w:p>
    <w:p w14:paraId="609481BD" w14:textId="39E7F8D6" w:rsidR="00246AE1" w:rsidRDefault="00FC01E0" w:rsidP="009E250D">
      <w:r w:rsidRPr="00FC01E0">
        <w:t>Th</w:t>
      </w:r>
      <w:r w:rsidR="0044440B">
        <w:t xml:space="preserve">is </w:t>
      </w:r>
      <w:r w:rsidRPr="00FC01E0">
        <w:t>method to estimate the average cost of treatment likely overestimate</w:t>
      </w:r>
      <w:r w:rsidR="00466540">
        <w:t>d</w:t>
      </w:r>
      <w:r w:rsidRPr="00FC01E0">
        <w:t xml:space="preserve"> the cost of EBRT.</w:t>
      </w:r>
      <w:r w:rsidR="003206B7">
        <w:t xml:space="preserve"> It was reliant on a two key factors</w:t>
      </w:r>
      <w:r w:rsidR="00246AE1">
        <w:t xml:space="preserve">, replacement rates and projected growth/market share of the different modalities for </w:t>
      </w:r>
      <w:r w:rsidR="00D830A7">
        <w:t>EBRT</w:t>
      </w:r>
      <w:r w:rsidR="00246AE1">
        <w:t xml:space="preserve">. </w:t>
      </w:r>
      <w:r w:rsidR="001B41F6" w:rsidRPr="00FC01E0">
        <w:t>There was no justification for these varying rates, just that the ADAR generated rates of replacement based on their own commercial experience.</w:t>
      </w:r>
    </w:p>
    <w:p w14:paraId="593E7131" w14:textId="1FC79B49" w:rsidR="00E43C21" w:rsidRDefault="006D61F8" w:rsidP="00C27D23">
      <w:pPr>
        <w:rPr>
          <w:rStyle w:val="IntenseEmphasis"/>
          <w:color w:val="auto"/>
        </w:rPr>
      </w:pPr>
      <w:r>
        <w:t xml:space="preserve">The </w:t>
      </w:r>
      <w:r w:rsidR="00014350">
        <w:t xml:space="preserve">most expensive </w:t>
      </w:r>
      <w:r w:rsidR="0093389B">
        <w:t>modality</w:t>
      </w:r>
      <w:r w:rsidR="00014350">
        <w:t xml:space="preserve"> (</w:t>
      </w:r>
      <w:r w:rsidR="00DE0381" w:rsidRPr="00DE0381">
        <w:t>IMRT/VMAT</w:t>
      </w:r>
      <w:r w:rsidR="0093389B">
        <w:t xml:space="preserve"> w</w:t>
      </w:r>
      <w:r w:rsidR="00DE0381">
        <w:t xml:space="preserve">as estimated to take up </w:t>
      </w:r>
      <w:r w:rsidR="00246AE1">
        <w:t>an</w:t>
      </w:r>
      <w:r w:rsidR="00DE0381">
        <w:t xml:space="preserve"> increasing proportion of the </w:t>
      </w:r>
      <w:r w:rsidR="00A61245">
        <w:t xml:space="preserve">market share from year one to year six, whereas the </w:t>
      </w:r>
      <w:r w:rsidR="00550588">
        <w:t>two cheaper modalities either had no change (SXRT) or were assumed to have a reducing market share (</w:t>
      </w:r>
      <w:r w:rsidR="00D8391C">
        <w:t>Electrons)</w:t>
      </w:r>
      <w:r w:rsidR="00457171">
        <w:t>(</w:t>
      </w:r>
      <w:r w:rsidR="00457171">
        <w:fldChar w:fldCharType="begin"/>
      </w:r>
      <w:r w:rsidR="00457171">
        <w:instrText xml:space="preserve"> REF _Ref187072468 \h </w:instrText>
      </w:r>
      <w:r w:rsidR="00457171">
        <w:fldChar w:fldCharType="separate"/>
      </w:r>
      <w:r w:rsidR="00AF5AE7">
        <w:t xml:space="preserve">Table </w:t>
      </w:r>
      <w:r w:rsidR="00AF5AE7">
        <w:rPr>
          <w:noProof/>
        </w:rPr>
        <w:t>17</w:t>
      </w:r>
      <w:r w:rsidR="00457171">
        <w:fldChar w:fldCharType="end"/>
      </w:r>
      <w:r w:rsidR="00457171">
        <w:t>)</w:t>
      </w:r>
      <w:r w:rsidR="00D8391C">
        <w:t xml:space="preserve">. This meant that the average cost </w:t>
      </w:r>
      <w:r w:rsidR="00162A2E">
        <w:t>per</w:t>
      </w:r>
      <w:r w:rsidR="00D8391C">
        <w:t xml:space="preserve"> patient went from</w:t>
      </w:r>
      <w:r w:rsidR="005F564A">
        <w:t xml:space="preserve"> </w:t>
      </w:r>
      <w:r w:rsidR="00680D00" w:rsidRPr="00680D00">
        <w:t>$5,244.37</w:t>
      </w:r>
      <w:r w:rsidR="00680D00">
        <w:t xml:space="preserve"> </w:t>
      </w:r>
      <w:r w:rsidR="009E76C4">
        <w:t xml:space="preserve">in </w:t>
      </w:r>
      <w:r w:rsidR="00162A2E">
        <w:t>2025</w:t>
      </w:r>
      <w:r w:rsidR="009E76C4">
        <w:t xml:space="preserve"> to </w:t>
      </w:r>
      <w:r w:rsidR="009E76C4" w:rsidRPr="009E76C4">
        <w:t>$</w:t>
      </w:r>
      <w:r w:rsidR="00680D00" w:rsidRPr="00680D00">
        <w:t>6,592.68</w:t>
      </w:r>
      <w:r w:rsidR="00680D00">
        <w:t xml:space="preserve"> </w:t>
      </w:r>
      <w:r w:rsidR="009E76C4">
        <w:t xml:space="preserve">in </w:t>
      </w:r>
      <w:r w:rsidR="00162A2E">
        <w:t>2030</w:t>
      </w:r>
      <w:r w:rsidR="00745390">
        <w:t xml:space="preserve">, </w:t>
      </w:r>
      <w:r w:rsidR="00162A2E">
        <w:t>leading to</w:t>
      </w:r>
      <w:r w:rsidR="00745390">
        <w:t xml:space="preserve"> a weighted average cost for the comparator (used in the cost minimisation) of</w:t>
      </w:r>
      <w:r w:rsidR="005F564A">
        <w:t xml:space="preserve"> </w:t>
      </w:r>
      <w:r w:rsidR="00744327" w:rsidRPr="00744327">
        <w:t>$</w:t>
      </w:r>
      <w:r w:rsidR="009E250D" w:rsidRPr="009E250D">
        <w:t>5,952.5</w:t>
      </w:r>
      <w:r w:rsidR="00B5195D">
        <w:t>3</w:t>
      </w:r>
      <w:r w:rsidR="005F564A">
        <w:t xml:space="preserve"> </w:t>
      </w:r>
      <w:r w:rsidR="00744327">
        <w:t>per patient.</w:t>
      </w:r>
      <w:r w:rsidR="00706A07">
        <w:t xml:space="preserve"> </w:t>
      </w:r>
      <w:r w:rsidR="001970E1">
        <w:t>The commentary calculated</w:t>
      </w:r>
      <w:r w:rsidR="00706A07">
        <w:t xml:space="preserve"> the</w:t>
      </w:r>
      <w:r w:rsidR="000451CB">
        <w:t xml:space="preserve"> weighted cost for the comparison </w:t>
      </w:r>
      <w:r w:rsidR="00C27D23">
        <w:t xml:space="preserve">to be </w:t>
      </w:r>
      <w:r w:rsidR="00D52988" w:rsidRPr="00D52988">
        <w:rPr>
          <w:b/>
          <w:bCs/>
        </w:rPr>
        <w:t>redacted</w:t>
      </w:r>
      <w:r w:rsidR="00C27D23">
        <w:t xml:space="preserve"> </w:t>
      </w:r>
      <w:r w:rsidR="00C27D23" w:rsidRPr="00FC01E0">
        <w:t>based on</w:t>
      </w:r>
      <w:r w:rsidR="00C27D23">
        <w:t xml:space="preserve"> the assumed </w:t>
      </w:r>
      <w:r w:rsidR="009F7B5F">
        <w:t xml:space="preserve">breakdown of </w:t>
      </w:r>
      <w:r w:rsidR="0048304A">
        <w:t xml:space="preserve">modalities used for NMSC and </w:t>
      </w:r>
      <w:r w:rsidR="00C27D23" w:rsidRPr="00FC01E0">
        <w:t>2023 MBS usage data</w:t>
      </w:r>
      <w:r w:rsidR="0048304A">
        <w:t xml:space="preserve"> (tested in the sensitivity analysis</w:t>
      </w:r>
      <w:r w:rsidR="00E2014D">
        <w:t>).</w:t>
      </w:r>
      <w:r w:rsidR="00706A07">
        <w:t xml:space="preserve"> </w:t>
      </w:r>
      <w:r w:rsidR="00D830A7">
        <w:t>EBRT</w:t>
      </w:r>
    </w:p>
    <w:p w14:paraId="78E305C1" w14:textId="0F095A45" w:rsidR="002B778B" w:rsidRPr="006A2444" w:rsidRDefault="002B778B" w:rsidP="00446C88">
      <w:pPr>
        <w:pStyle w:val="Caption"/>
      </w:pPr>
      <w:r w:rsidRPr="006A2444">
        <w:lastRenderedPageBreak/>
        <w:t xml:space="preserve">Table </w:t>
      </w:r>
      <w:r w:rsidR="007F4BCC" w:rsidRPr="006A2444">
        <w:fldChar w:fldCharType="begin"/>
      </w:r>
      <w:r w:rsidR="007F4BCC" w:rsidRPr="006A2444">
        <w:instrText xml:space="preserve"> SEQ Table \* ARABIC </w:instrText>
      </w:r>
      <w:r w:rsidR="007F4BCC" w:rsidRPr="006A2444">
        <w:fldChar w:fldCharType="separate"/>
      </w:r>
      <w:r w:rsidR="00AF5AE7">
        <w:rPr>
          <w:noProof/>
        </w:rPr>
        <w:t>18</w:t>
      </w:r>
      <w:r w:rsidR="007F4BCC" w:rsidRPr="006A2444">
        <w:rPr>
          <w:noProof/>
        </w:rPr>
        <w:fldChar w:fldCharType="end"/>
      </w:r>
      <w:r w:rsidRPr="006A2444">
        <w:t xml:space="preserve"> Costings of the comparator used in the sensitivity analysis of the economic model.</w:t>
      </w:r>
    </w:p>
    <w:tbl>
      <w:tblPr>
        <w:tblStyle w:val="TableGrid1"/>
        <w:tblW w:w="5000" w:type="pct"/>
        <w:tblLook w:val="04A0" w:firstRow="1" w:lastRow="0" w:firstColumn="1" w:lastColumn="0" w:noHBand="0" w:noVBand="1"/>
      </w:tblPr>
      <w:tblGrid>
        <w:gridCol w:w="5626"/>
        <w:gridCol w:w="3390"/>
      </w:tblGrid>
      <w:tr w:rsidR="002B778B" w:rsidRPr="006A2444" w14:paraId="02F157BE" w14:textId="77777777">
        <w:trPr>
          <w:cnfStyle w:val="100000000000" w:firstRow="1" w:lastRow="0" w:firstColumn="0" w:lastColumn="0" w:oddVBand="0" w:evenVBand="0" w:oddHBand="0" w:evenHBand="0" w:firstRowFirstColumn="0" w:firstRowLastColumn="0" w:lastRowFirstColumn="0" w:lastRowLastColumn="0"/>
          <w:trHeight w:val="300"/>
        </w:trPr>
        <w:tc>
          <w:tcPr>
            <w:tcW w:w="3120" w:type="pct"/>
            <w:noWrap/>
            <w:hideMark/>
          </w:tcPr>
          <w:p w14:paraId="2090D801" w14:textId="77777777" w:rsidR="002B778B" w:rsidRPr="006A2444" w:rsidRDefault="002B778B">
            <w:pPr>
              <w:pStyle w:val="TableText"/>
              <w:rPr>
                <w:b/>
                <w:bCs/>
              </w:rPr>
            </w:pPr>
            <w:r w:rsidRPr="006A2444">
              <w:rPr>
                <w:b/>
                <w:bCs/>
              </w:rPr>
              <w:t>Modality</w:t>
            </w:r>
          </w:p>
        </w:tc>
        <w:tc>
          <w:tcPr>
            <w:tcW w:w="1880" w:type="pct"/>
            <w:noWrap/>
            <w:hideMark/>
          </w:tcPr>
          <w:p w14:paraId="6FBB63D2" w14:textId="77777777" w:rsidR="002B778B" w:rsidRPr="006A2444" w:rsidRDefault="002B778B">
            <w:pPr>
              <w:pStyle w:val="TableText"/>
              <w:rPr>
                <w:b/>
                <w:bCs/>
              </w:rPr>
            </w:pPr>
            <w:r w:rsidRPr="006A2444">
              <w:rPr>
                <w:b/>
                <w:bCs/>
              </w:rPr>
              <w:t>Cost</w:t>
            </w:r>
          </w:p>
        </w:tc>
      </w:tr>
      <w:tr w:rsidR="002B778B" w:rsidRPr="006A2444" w14:paraId="17E673A5" w14:textId="77777777">
        <w:trPr>
          <w:trHeight w:val="300"/>
        </w:trPr>
        <w:tc>
          <w:tcPr>
            <w:tcW w:w="3120" w:type="pct"/>
            <w:noWrap/>
            <w:hideMark/>
          </w:tcPr>
          <w:p w14:paraId="7FBFCF96" w14:textId="77777777" w:rsidR="002B778B" w:rsidRPr="006A2444" w:rsidRDefault="002B778B">
            <w:pPr>
              <w:pStyle w:val="TableText"/>
              <w:rPr>
                <w:b/>
                <w:bCs/>
              </w:rPr>
            </w:pPr>
            <w:r w:rsidRPr="006A2444">
              <w:rPr>
                <w:b/>
                <w:bCs/>
              </w:rPr>
              <w:t>Electron</w:t>
            </w:r>
          </w:p>
        </w:tc>
        <w:tc>
          <w:tcPr>
            <w:tcW w:w="1880" w:type="pct"/>
            <w:noWrap/>
            <w:hideMark/>
          </w:tcPr>
          <w:p w14:paraId="7C8BBD34" w14:textId="77777777" w:rsidR="002B778B" w:rsidRPr="006A2444" w:rsidRDefault="002B778B">
            <w:pPr>
              <w:pStyle w:val="TableText"/>
            </w:pPr>
          </w:p>
        </w:tc>
      </w:tr>
      <w:tr w:rsidR="002B778B" w:rsidRPr="006A2444" w14:paraId="02A4C8BF" w14:textId="77777777">
        <w:trPr>
          <w:trHeight w:val="300"/>
        </w:trPr>
        <w:tc>
          <w:tcPr>
            <w:tcW w:w="3120" w:type="pct"/>
            <w:noWrap/>
            <w:hideMark/>
          </w:tcPr>
          <w:p w14:paraId="7EEF4F3D" w14:textId="77777777" w:rsidR="002B778B" w:rsidRPr="006A2444" w:rsidRDefault="002B778B">
            <w:pPr>
              <w:pStyle w:val="TableText"/>
            </w:pPr>
            <w:r w:rsidRPr="006A2444">
              <w:t>Simulation</w:t>
            </w:r>
          </w:p>
        </w:tc>
        <w:tc>
          <w:tcPr>
            <w:tcW w:w="1880" w:type="pct"/>
            <w:noWrap/>
            <w:hideMark/>
          </w:tcPr>
          <w:p w14:paraId="3DBFD03F" w14:textId="2DF81BB5" w:rsidR="002B778B" w:rsidRPr="006A2444" w:rsidRDefault="002B778B">
            <w:pPr>
              <w:pStyle w:val="TableText"/>
              <w:rPr>
                <w:b/>
              </w:rPr>
            </w:pPr>
            <w:r w:rsidRPr="006A2444">
              <w:t>$1,505</w:t>
            </w:r>
          </w:p>
        </w:tc>
      </w:tr>
      <w:tr w:rsidR="002B778B" w:rsidRPr="006A2444" w14:paraId="1609B791" w14:textId="77777777">
        <w:trPr>
          <w:trHeight w:val="300"/>
        </w:trPr>
        <w:tc>
          <w:tcPr>
            <w:tcW w:w="3120" w:type="pct"/>
            <w:noWrap/>
            <w:hideMark/>
          </w:tcPr>
          <w:p w14:paraId="06B60249" w14:textId="77777777" w:rsidR="002B778B" w:rsidRPr="006A2444" w:rsidRDefault="002B778B">
            <w:pPr>
              <w:pStyle w:val="TableText"/>
            </w:pPr>
            <w:r w:rsidRPr="006A2444">
              <w:t>Cost of Fractions</w:t>
            </w:r>
          </w:p>
        </w:tc>
        <w:tc>
          <w:tcPr>
            <w:tcW w:w="1880" w:type="pct"/>
            <w:noWrap/>
            <w:hideMark/>
          </w:tcPr>
          <w:p w14:paraId="0F825529" w14:textId="224BCC31" w:rsidR="002B778B" w:rsidRPr="006A2444" w:rsidRDefault="002B778B">
            <w:pPr>
              <w:pStyle w:val="TableText"/>
              <w:rPr>
                <w:b/>
              </w:rPr>
            </w:pPr>
            <w:r w:rsidRPr="006A2444">
              <w:t>$2,00</w:t>
            </w:r>
            <w:r w:rsidR="00012710" w:rsidRPr="006A2444">
              <w:t>8</w:t>
            </w:r>
          </w:p>
        </w:tc>
      </w:tr>
      <w:tr w:rsidR="002B778B" w:rsidRPr="006A2444" w14:paraId="08B4D0CE" w14:textId="77777777">
        <w:trPr>
          <w:trHeight w:val="300"/>
        </w:trPr>
        <w:tc>
          <w:tcPr>
            <w:tcW w:w="3120" w:type="pct"/>
            <w:noWrap/>
            <w:hideMark/>
          </w:tcPr>
          <w:p w14:paraId="0DD3EA51" w14:textId="77777777" w:rsidR="002B778B" w:rsidRPr="006A2444" w:rsidRDefault="002B778B">
            <w:pPr>
              <w:pStyle w:val="TableText"/>
            </w:pPr>
            <w:r w:rsidRPr="006A2444">
              <w:t>Sub Total</w:t>
            </w:r>
          </w:p>
        </w:tc>
        <w:tc>
          <w:tcPr>
            <w:tcW w:w="1880" w:type="pct"/>
            <w:noWrap/>
            <w:hideMark/>
          </w:tcPr>
          <w:p w14:paraId="15D0DCD7" w14:textId="50E53AAF" w:rsidR="002B778B" w:rsidRPr="006A2444" w:rsidRDefault="002B778B">
            <w:pPr>
              <w:pStyle w:val="TableText"/>
              <w:rPr>
                <w:b/>
              </w:rPr>
            </w:pPr>
            <w:r w:rsidRPr="006A2444">
              <w:t>$3,51</w:t>
            </w:r>
            <w:r w:rsidR="00012710" w:rsidRPr="006A2444">
              <w:t>3</w:t>
            </w:r>
          </w:p>
        </w:tc>
      </w:tr>
      <w:tr w:rsidR="002B778B" w:rsidRPr="006A2444" w14:paraId="0B767F2A" w14:textId="77777777">
        <w:trPr>
          <w:trHeight w:val="300"/>
        </w:trPr>
        <w:tc>
          <w:tcPr>
            <w:tcW w:w="3120" w:type="pct"/>
            <w:noWrap/>
            <w:hideMark/>
          </w:tcPr>
          <w:p w14:paraId="1BBB1C82" w14:textId="77777777" w:rsidR="002B778B" w:rsidRPr="006A2444" w:rsidRDefault="002B778B">
            <w:pPr>
              <w:pStyle w:val="TableText"/>
              <w:rPr>
                <w:b/>
                <w:bCs/>
              </w:rPr>
            </w:pPr>
            <w:r w:rsidRPr="006A2444">
              <w:rPr>
                <w:b/>
                <w:bCs/>
              </w:rPr>
              <w:t>IMRT</w:t>
            </w:r>
          </w:p>
        </w:tc>
        <w:tc>
          <w:tcPr>
            <w:tcW w:w="1880" w:type="pct"/>
            <w:noWrap/>
            <w:hideMark/>
          </w:tcPr>
          <w:p w14:paraId="744162C1" w14:textId="77777777" w:rsidR="002B778B" w:rsidRPr="006A2444" w:rsidRDefault="002B778B">
            <w:pPr>
              <w:pStyle w:val="TableText"/>
            </w:pPr>
          </w:p>
        </w:tc>
      </w:tr>
      <w:tr w:rsidR="00CA345B" w:rsidRPr="006A2444" w14:paraId="655B6CC3" w14:textId="77777777">
        <w:trPr>
          <w:trHeight w:val="300"/>
        </w:trPr>
        <w:tc>
          <w:tcPr>
            <w:tcW w:w="3120" w:type="pct"/>
            <w:noWrap/>
            <w:hideMark/>
          </w:tcPr>
          <w:p w14:paraId="5BF91F7C" w14:textId="77777777" w:rsidR="00CA345B" w:rsidRPr="006A2444" w:rsidRDefault="00CA345B" w:rsidP="00CA345B">
            <w:pPr>
              <w:pStyle w:val="TableText"/>
            </w:pPr>
            <w:r w:rsidRPr="006A2444">
              <w:t>Simulation</w:t>
            </w:r>
          </w:p>
        </w:tc>
        <w:tc>
          <w:tcPr>
            <w:tcW w:w="1880" w:type="pct"/>
            <w:noWrap/>
            <w:hideMark/>
          </w:tcPr>
          <w:p w14:paraId="7F39BED8" w14:textId="05091EF9" w:rsidR="00CA345B" w:rsidRPr="006A2444" w:rsidRDefault="002B778B" w:rsidP="00CA345B">
            <w:pPr>
              <w:pStyle w:val="TableText"/>
              <w:rPr>
                <w:b/>
              </w:rPr>
            </w:pPr>
            <w:r w:rsidRPr="006A2444">
              <w:t>$4,14</w:t>
            </w:r>
            <w:r w:rsidR="00012710" w:rsidRPr="006A2444">
              <w:t>3</w:t>
            </w:r>
          </w:p>
        </w:tc>
      </w:tr>
      <w:tr w:rsidR="00CA345B" w:rsidRPr="006A2444" w14:paraId="13D8D2E7" w14:textId="77777777">
        <w:trPr>
          <w:trHeight w:val="300"/>
        </w:trPr>
        <w:tc>
          <w:tcPr>
            <w:tcW w:w="3120" w:type="pct"/>
            <w:noWrap/>
            <w:hideMark/>
          </w:tcPr>
          <w:p w14:paraId="7F685E43" w14:textId="77777777" w:rsidR="00CA345B" w:rsidRPr="006A2444" w:rsidRDefault="00CA345B" w:rsidP="00CA345B">
            <w:pPr>
              <w:pStyle w:val="TableText"/>
            </w:pPr>
            <w:r w:rsidRPr="006A2444">
              <w:t>Cost of Fractions</w:t>
            </w:r>
          </w:p>
        </w:tc>
        <w:tc>
          <w:tcPr>
            <w:tcW w:w="1880" w:type="pct"/>
            <w:noWrap/>
            <w:hideMark/>
          </w:tcPr>
          <w:p w14:paraId="61F51FFB" w14:textId="49F5F04D" w:rsidR="00CA345B" w:rsidRPr="006A2444" w:rsidRDefault="002B778B" w:rsidP="00CA345B">
            <w:pPr>
              <w:pStyle w:val="TableText"/>
              <w:rPr>
                <w:b/>
              </w:rPr>
            </w:pPr>
            <w:r w:rsidRPr="006A2444">
              <w:t>$6,12</w:t>
            </w:r>
            <w:r w:rsidR="00012710" w:rsidRPr="006A2444">
              <w:t>5</w:t>
            </w:r>
          </w:p>
        </w:tc>
      </w:tr>
      <w:tr w:rsidR="00CA345B" w:rsidRPr="006A2444" w14:paraId="6CA79109" w14:textId="77777777">
        <w:trPr>
          <w:trHeight w:val="300"/>
        </w:trPr>
        <w:tc>
          <w:tcPr>
            <w:tcW w:w="3120" w:type="pct"/>
            <w:noWrap/>
            <w:hideMark/>
          </w:tcPr>
          <w:p w14:paraId="001F9EEB" w14:textId="77777777" w:rsidR="00CA345B" w:rsidRPr="006A2444" w:rsidRDefault="00CA345B" w:rsidP="00CA345B">
            <w:pPr>
              <w:pStyle w:val="TableText"/>
            </w:pPr>
            <w:r w:rsidRPr="006A2444">
              <w:t>Sub Total</w:t>
            </w:r>
          </w:p>
        </w:tc>
        <w:tc>
          <w:tcPr>
            <w:tcW w:w="1880" w:type="pct"/>
            <w:noWrap/>
            <w:hideMark/>
          </w:tcPr>
          <w:p w14:paraId="58205D49" w14:textId="7B109C80" w:rsidR="00CA345B" w:rsidRPr="006A2444" w:rsidRDefault="002B778B" w:rsidP="00CA345B">
            <w:pPr>
              <w:pStyle w:val="TableText"/>
              <w:rPr>
                <w:b/>
              </w:rPr>
            </w:pPr>
            <w:r w:rsidRPr="006A2444">
              <w:t>$10,26</w:t>
            </w:r>
            <w:r w:rsidR="00012710" w:rsidRPr="006A2444">
              <w:t>8</w:t>
            </w:r>
          </w:p>
        </w:tc>
      </w:tr>
      <w:tr w:rsidR="002B778B" w:rsidRPr="006A2444" w14:paraId="73FB9110" w14:textId="77777777">
        <w:trPr>
          <w:trHeight w:val="300"/>
        </w:trPr>
        <w:tc>
          <w:tcPr>
            <w:tcW w:w="3120" w:type="pct"/>
            <w:noWrap/>
            <w:hideMark/>
          </w:tcPr>
          <w:p w14:paraId="7373F47C" w14:textId="77777777" w:rsidR="002B778B" w:rsidRPr="006A2444" w:rsidRDefault="002B778B">
            <w:pPr>
              <w:pStyle w:val="TableText"/>
              <w:rPr>
                <w:b/>
                <w:bCs/>
              </w:rPr>
            </w:pPr>
            <w:r w:rsidRPr="006A2444">
              <w:rPr>
                <w:b/>
                <w:bCs/>
              </w:rPr>
              <w:t>SXRT</w:t>
            </w:r>
          </w:p>
        </w:tc>
        <w:tc>
          <w:tcPr>
            <w:tcW w:w="1880" w:type="pct"/>
            <w:noWrap/>
            <w:hideMark/>
          </w:tcPr>
          <w:p w14:paraId="427740BE" w14:textId="77777777" w:rsidR="002B778B" w:rsidRPr="006A2444" w:rsidRDefault="002B778B">
            <w:pPr>
              <w:pStyle w:val="TableText"/>
              <w:rPr>
                <w:b/>
                <w:bCs/>
              </w:rPr>
            </w:pPr>
          </w:p>
        </w:tc>
      </w:tr>
      <w:tr w:rsidR="00CA345B" w:rsidRPr="006A2444" w14:paraId="3DD8FCCB" w14:textId="77777777">
        <w:trPr>
          <w:trHeight w:val="300"/>
        </w:trPr>
        <w:tc>
          <w:tcPr>
            <w:tcW w:w="3120" w:type="pct"/>
            <w:noWrap/>
            <w:hideMark/>
          </w:tcPr>
          <w:p w14:paraId="14F8FD10" w14:textId="77777777" w:rsidR="00CA345B" w:rsidRPr="006A2444" w:rsidRDefault="00CA345B" w:rsidP="00CA345B">
            <w:pPr>
              <w:pStyle w:val="TableText"/>
            </w:pPr>
            <w:r w:rsidRPr="006A2444">
              <w:t>Dosimetry</w:t>
            </w:r>
          </w:p>
        </w:tc>
        <w:tc>
          <w:tcPr>
            <w:tcW w:w="1880" w:type="pct"/>
            <w:noWrap/>
            <w:hideMark/>
          </w:tcPr>
          <w:p w14:paraId="2F11182B" w14:textId="4750D53C" w:rsidR="00CA345B" w:rsidRPr="006A2444" w:rsidRDefault="002B778B" w:rsidP="00CA345B">
            <w:pPr>
              <w:pStyle w:val="TableText"/>
              <w:rPr>
                <w:b/>
              </w:rPr>
            </w:pPr>
            <w:r w:rsidRPr="006A2444">
              <w:t>$203</w:t>
            </w:r>
          </w:p>
        </w:tc>
      </w:tr>
      <w:tr w:rsidR="00CA345B" w:rsidRPr="006A2444" w14:paraId="52D89ADC" w14:textId="77777777">
        <w:trPr>
          <w:trHeight w:val="300"/>
        </w:trPr>
        <w:tc>
          <w:tcPr>
            <w:tcW w:w="3120" w:type="pct"/>
            <w:noWrap/>
            <w:hideMark/>
          </w:tcPr>
          <w:p w14:paraId="4866C30D" w14:textId="77777777" w:rsidR="00CA345B" w:rsidRPr="006A2444" w:rsidRDefault="00CA345B" w:rsidP="00CA345B">
            <w:pPr>
              <w:pStyle w:val="TableText"/>
            </w:pPr>
            <w:r w:rsidRPr="006A2444">
              <w:t>Fractions</w:t>
            </w:r>
          </w:p>
        </w:tc>
        <w:tc>
          <w:tcPr>
            <w:tcW w:w="1880" w:type="pct"/>
            <w:noWrap/>
            <w:hideMark/>
          </w:tcPr>
          <w:p w14:paraId="29559241" w14:textId="031126A8" w:rsidR="00CA345B" w:rsidRPr="006A2444" w:rsidRDefault="002B778B" w:rsidP="00CA345B">
            <w:pPr>
              <w:pStyle w:val="TableText"/>
              <w:rPr>
                <w:b/>
              </w:rPr>
            </w:pPr>
            <w:r w:rsidRPr="006A2444">
              <w:t>$1,207</w:t>
            </w:r>
          </w:p>
        </w:tc>
      </w:tr>
      <w:tr w:rsidR="00CA345B" w:rsidRPr="006A2444" w14:paraId="12EB7107" w14:textId="77777777">
        <w:trPr>
          <w:trHeight w:val="300"/>
        </w:trPr>
        <w:tc>
          <w:tcPr>
            <w:tcW w:w="3120" w:type="pct"/>
            <w:noWrap/>
            <w:hideMark/>
          </w:tcPr>
          <w:p w14:paraId="5AB9BC31" w14:textId="77777777" w:rsidR="00CA345B" w:rsidRPr="006A2444" w:rsidRDefault="00CA345B" w:rsidP="00CA345B">
            <w:pPr>
              <w:pStyle w:val="TableText"/>
            </w:pPr>
            <w:r w:rsidRPr="006A2444">
              <w:t>Sub Total</w:t>
            </w:r>
          </w:p>
        </w:tc>
        <w:tc>
          <w:tcPr>
            <w:tcW w:w="1880" w:type="pct"/>
            <w:noWrap/>
            <w:hideMark/>
          </w:tcPr>
          <w:p w14:paraId="22758E93" w14:textId="4404B5ED" w:rsidR="00CA345B" w:rsidRPr="006A2444" w:rsidRDefault="002B778B" w:rsidP="00CA345B">
            <w:pPr>
              <w:pStyle w:val="TableText"/>
              <w:rPr>
                <w:b/>
              </w:rPr>
            </w:pPr>
            <w:r w:rsidRPr="006A2444">
              <w:t>$1,4</w:t>
            </w:r>
            <w:r w:rsidR="00012710" w:rsidRPr="006A2444">
              <w:t>10</w:t>
            </w:r>
          </w:p>
        </w:tc>
      </w:tr>
      <w:tr w:rsidR="002B778B" w:rsidRPr="006A2444" w14:paraId="484AFF22" w14:textId="77777777">
        <w:trPr>
          <w:trHeight w:val="300"/>
        </w:trPr>
        <w:tc>
          <w:tcPr>
            <w:tcW w:w="3120" w:type="pct"/>
            <w:noWrap/>
          </w:tcPr>
          <w:p w14:paraId="6D5BC1ED" w14:textId="77777777" w:rsidR="002B778B" w:rsidRPr="006A2444" w:rsidRDefault="002B778B">
            <w:pPr>
              <w:pStyle w:val="TableText"/>
              <w:rPr>
                <w:b/>
                <w:bCs/>
              </w:rPr>
            </w:pPr>
            <w:r w:rsidRPr="006A2444">
              <w:rPr>
                <w:b/>
                <w:bCs/>
              </w:rPr>
              <w:t>Combined (weighted average based on 2023 MBS usage)</w:t>
            </w:r>
          </w:p>
        </w:tc>
        <w:tc>
          <w:tcPr>
            <w:tcW w:w="1880" w:type="pct"/>
            <w:noWrap/>
          </w:tcPr>
          <w:p w14:paraId="742B9DA0" w14:textId="77777777" w:rsidR="002B778B" w:rsidRPr="006A2444" w:rsidRDefault="002B778B">
            <w:pPr>
              <w:pStyle w:val="TableText"/>
            </w:pPr>
          </w:p>
        </w:tc>
      </w:tr>
      <w:tr w:rsidR="002B778B" w:rsidRPr="006A2444" w14:paraId="3E0ECAC7" w14:textId="77777777">
        <w:trPr>
          <w:trHeight w:val="300"/>
        </w:trPr>
        <w:tc>
          <w:tcPr>
            <w:tcW w:w="3120" w:type="pct"/>
            <w:noWrap/>
          </w:tcPr>
          <w:p w14:paraId="002A8682" w14:textId="383E2249" w:rsidR="002B778B" w:rsidRPr="006A2444" w:rsidRDefault="002B778B">
            <w:pPr>
              <w:pStyle w:val="TableText"/>
            </w:pPr>
            <w:r w:rsidRPr="006A2444">
              <w:t>55%</w:t>
            </w:r>
            <w:r w:rsidR="00CA345B" w:rsidRPr="006A2444">
              <w:rPr>
                <w:b/>
              </w:rPr>
              <w:t xml:space="preserve"> </w:t>
            </w:r>
            <w:r w:rsidRPr="006A2444">
              <w:t>Electron,</w:t>
            </w:r>
            <w:r w:rsidR="00CA345B" w:rsidRPr="006A2444">
              <w:rPr>
                <w:b/>
              </w:rPr>
              <w:t xml:space="preserve"> </w:t>
            </w:r>
            <w:r w:rsidRPr="006A2444">
              <w:t>32% IMRT, 13%, SXRT</w:t>
            </w:r>
          </w:p>
        </w:tc>
        <w:tc>
          <w:tcPr>
            <w:tcW w:w="1880" w:type="pct"/>
            <w:noWrap/>
          </w:tcPr>
          <w:p w14:paraId="7A76E3D1" w14:textId="1A415ACC" w:rsidR="002B778B" w:rsidRPr="006A2444" w:rsidRDefault="002B778B">
            <w:pPr>
              <w:pStyle w:val="TableText"/>
              <w:rPr>
                <w:b/>
                <w:bCs/>
              </w:rPr>
            </w:pPr>
            <w:r w:rsidRPr="006A2444">
              <w:rPr>
                <w:b/>
                <w:bCs/>
              </w:rPr>
              <w:t>$5,37</w:t>
            </w:r>
            <w:r w:rsidR="004C45DA" w:rsidRPr="006A2444">
              <w:rPr>
                <w:b/>
                <w:bCs/>
              </w:rPr>
              <w:t>3</w:t>
            </w:r>
          </w:p>
        </w:tc>
      </w:tr>
    </w:tbl>
    <w:p w14:paraId="77A448D9" w14:textId="77777777" w:rsidR="002B778B" w:rsidRDefault="002B778B" w:rsidP="002B778B">
      <w:pPr>
        <w:pStyle w:val="TableFigureFooter"/>
        <w:spacing w:after="0"/>
      </w:pPr>
      <w:r>
        <w:t xml:space="preserve">Calculated during evaluation. </w:t>
      </w:r>
    </w:p>
    <w:p w14:paraId="5A8EDF1A" w14:textId="54015EBA" w:rsidR="002B778B" w:rsidRDefault="002B778B" w:rsidP="002B778B">
      <w:pPr>
        <w:pStyle w:val="TableFigureFooter"/>
        <w:spacing w:before="0" w:after="0"/>
      </w:pPr>
      <w:r w:rsidRPr="004160E7">
        <w:t>IMRT</w:t>
      </w:r>
      <w:r>
        <w:t xml:space="preserve"> = </w:t>
      </w:r>
      <w:r w:rsidRPr="004160E7">
        <w:t>Intensity modulated radiation therapy</w:t>
      </w:r>
      <w:r>
        <w:t xml:space="preserve">; </w:t>
      </w:r>
      <w:r w:rsidRPr="00DB7D19">
        <w:t>NMSC</w:t>
      </w:r>
      <w:r>
        <w:t xml:space="preserve"> = </w:t>
      </w:r>
      <w:r w:rsidRPr="00DB7D19">
        <w:t>non-melanoma skin cancer</w:t>
      </w:r>
      <w:r>
        <w:t xml:space="preserve">; </w:t>
      </w:r>
      <w:r w:rsidRPr="00B344A8">
        <w:t>SXRT</w:t>
      </w:r>
      <w:r>
        <w:t xml:space="preserve"> =</w:t>
      </w:r>
      <w:r w:rsidRPr="00B344A8">
        <w:t xml:space="preserve"> Superficial X-ray</w:t>
      </w:r>
      <w:r>
        <w:t>.</w:t>
      </w:r>
    </w:p>
    <w:p w14:paraId="60F9AE24" w14:textId="22199559" w:rsidR="00315B18" w:rsidRDefault="00FC6C62" w:rsidP="00431E9A">
      <w:pPr>
        <w:rPr>
          <w:rStyle w:val="IntenseEmphasis"/>
          <w:color w:val="auto"/>
        </w:rPr>
      </w:pPr>
      <w:r>
        <w:rPr>
          <w:rStyle w:val="IntenseEmphasis"/>
          <w:color w:val="auto"/>
        </w:rPr>
        <w:t xml:space="preserve">In Addition, </w:t>
      </w:r>
      <w:r w:rsidR="00150E1E" w:rsidRPr="0BB796CC">
        <w:rPr>
          <w:rStyle w:val="IntenseEmphasis"/>
          <w:color w:val="auto"/>
        </w:rPr>
        <w:t xml:space="preserve">consultation feedback received previously </w:t>
      </w:r>
      <w:r w:rsidR="00DA30FF" w:rsidRPr="00DA30FF">
        <w:rPr>
          <w:rStyle w:val="IntenseEmphasis"/>
          <w:color w:val="auto"/>
        </w:rPr>
        <w:t>from the Faculty of Radiation Oncology at the Royal Australian &amp; New Zealand College of Radiologists (RANZCR) is that the main comparator should be superficial radiation therapy (RT) using a kilovoltage machine. The costs to government of a</w:t>
      </w:r>
      <w:r w:rsidR="00551558" w:rsidRPr="00D52988">
        <w:t xml:space="preserve"> </w:t>
      </w:r>
      <w:r w:rsidR="00DA30FF" w:rsidRPr="00DA30FF">
        <w:rPr>
          <w:rStyle w:val="IntenseEmphasis"/>
          <w:color w:val="auto"/>
        </w:rPr>
        <w:t>22</w:t>
      </w:r>
      <w:r w:rsidR="00551558">
        <w:t xml:space="preserve"> </w:t>
      </w:r>
      <w:r w:rsidR="00DA30FF" w:rsidRPr="00DA30FF">
        <w:rPr>
          <w:rStyle w:val="IntenseEmphasis"/>
          <w:color w:val="auto"/>
        </w:rPr>
        <w:t xml:space="preserve">-fraction course of kilovoltage treatment is approximately $1,410. And a minority of cases electron radiation therapy from a linear accelerator (LINAC) would be used. The costs to </w:t>
      </w:r>
      <w:r w:rsidR="00BE017C">
        <w:rPr>
          <w:rStyle w:val="IntenseEmphasis"/>
          <w:color w:val="auto"/>
        </w:rPr>
        <w:t>the</w:t>
      </w:r>
      <w:r w:rsidR="00DA30FF" w:rsidRPr="00DA30FF">
        <w:rPr>
          <w:rStyle w:val="IntenseEmphasis"/>
          <w:color w:val="auto"/>
        </w:rPr>
        <w:t xml:space="preserve"> government of a</w:t>
      </w:r>
      <w:r w:rsidR="00551558" w:rsidRPr="00D52988">
        <w:t xml:space="preserve"> </w:t>
      </w:r>
      <w:r w:rsidR="00DA30FF" w:rsidRPr="00DA30FF">
        <w:rPr>
          <w:rStyle w:val="IntenseEmphasis"/>
          <w:color w:val="auto"/>
        </w:rPr>
        <w:t>22</w:t>
      </w:r>
      <w:r w:rsidR="00551558">
        <w:t xml:space="preserve"> </w:t>
      </w:r>
      <w:r w:rsidR="00DA30FF" w:rsidRPr="00DA30FF">
        <w:rPr>
          <w:rStyle w:val="IntenseEmphasis"/>
          <w:color w:val="auto"/>
        </w:rPr>
        <w:t>-fraction course of treatment is approximately</w:t>
      </w:r>
      <w:r w:rsidR="00551558" w:rsidRPr="00D52988">
        <w:t xml:space="preserve"> </w:t>
      </w:r>
      <w:r w:rsidR="00DA30FF" w:rsidRPr="00DA30FF">
        <w:rPr>
          <w:rStyle w:val="IntenseEmphasis"/>
          <w:color w:val="auto"/>
        </w:rPr>
        <w:t>$3,513.</w:t>
      </w:r>
      <w:r w:rsidR="07BB6D6B" w:rsidRPr="00DA30FF">
        <w:rPr>
          <w:rStyle w:val="IntenseEmphasis"/>
          <w:color w:val="auto"/>
        </w:rPr>
        <w:t xml:space="preserve"> </w:t>
      </w:r>
      <w:r w:rsidR="007B6E75">
        <w:rPr>
          <w:rStyle w:val="IntenseEmphasis"/>
          <w:color w:val="auto"/>
        </w:rPr>
        <w:t xml:space="preserve">The results of the cost minimisation are presented in </w:t>
      </w:r>
      <w:r w:rsidR="005724E4">
        <w:rPr>
          <w:rStyle w:val="IntenseEmphasis"/>
          <w:color w:val="auto"/>
        </w:rPr>
        <w:fldChar w:fldCharType="begin"/>
      </w:r>
      <w:r w:rsidR="005724E4">
        <w:rPr>
          <w:rStyle w:val="IntenseEmphasis"/>
          <w:color w:val="auto"/>
        </w:rPr>
        <w:instrText xml:space="preserve"> REF _Ref184261314 \h </w:instrText>
      </w:r>
      <w:r w:rsidR="005724E4">
        <w:rPr>
          <w:rStyle w:val="IntenseEmphasis"/>
          <w:color w:val="auto"/>
        </w:rPr>
      </w:r>
      <w:r w:rsidR="005724E4">
        <w:rPr>
          <w:rStyle w:val="IntenseEmphasis"/>
          <w:color w:val="auto"/>
        </w:rPr>
        <w:fldChar w:fldCharType="separate"/>
      </w:r>
      <w:r w:rsidR="00AF5AE7">
        <w:t xml:space="preserve">Table </w:t>
      </w:r>
      <w:r w:rsidR="00AF5AE7">
        <w:rPr>
          <w:noProof/>
        </w:rPr>
        <w:t>19</w:t>
      </w:r>
      <w:r w:rsidR="005724E4">
        <w:rPr>
          <w:rStyle w:val="IntenseEmphasis"/>
          <w:color w:val="auto"/>
        </w:rPr>
        <w:fldChar w:fldCharType="end"/>
      </w:r>
      <w:r w:rsidR="005724E4">
        <w:rPr>
          <w:rStyle w:val="IntenseEmphasis"/>
          <w:color w:val="auto"/>
        </w:rPr>
        <w:t>.</w:t>
      </w:r>
    </w:p>
    <w:p w14:paraId="30AA2B80" w14:textId="79CCFB58" w:rsidR="005724E4" w:rsidRDefault="005724E4" w:rsidP="005724E4">
      <w:pPr>
        <w:pStyle w:val="Caption"/>
      </w:pPr>
      <w:bookmarkStart w:id="46" w:name="_Ref184261314"/>
      <w:r>
        <w:t xml:space="preserve">Table </w:t>
      </w:r>
      <w:r w:rsidR="007F4BCC">
        <w:fldChar w:fldCharType="begin"/>
      </w:r>
      <w:r w:rsidR="007F4BCC">
        <w:instrText xml:space="preserve"> SEQ Table \* ARABIC </w:instrText>
      </w:r>
      <w:r w:rsidR="007F4BCC">
        <w:fldChar w:fldCharType="separate"/>
      </w:r>
      <w:r w:rsidR="00AF5AE7">
        <w:rPr>
          <w:noProof/>
        </w:rPr>
        <w:t>19</w:t>
      </w:r>
      <w:r w:rsidR="007F4BCC">
        <w:rPr>
          <w:noProof/>
        </w:rPr>
        <w:fldChar w:fldCharType="end"/>
      </w:r>
      <w:bookmarkEnd w:id="46"/>
      <w:r>
        <w:t xml:space="preserve"> </w:t>
      </w:r>
      <w:r w:rsidRPr="00E3735D">
        <w:t xml:space="preserve">Total cost of treatment for </w:t>
      </w:r>
      <w:r w:rsidR="00594F1D">
        <w:t>Re-188 brachytherapy</w:t>
      </w:r>
      <w:r w:rsidRPr="00E3735D">
        <w:t xml:space="preserve"> and EBRT</w:t>
      </w:r>
    </w:p>
    <w:tbl>
      <w:tblPr>
        <w:tblStyle w:val="TableGrid"/>
        <w:tblW w:w="0" w:type="auto"/>
        <w:tblLook w:val="04A0" w:firstRow="1" w:lastRow="0" w:firstColumn="1" w:lastColumn="0" w:noHBand="0" w:noVBand="1"/>
      </w:tblPr>
      <w:tblGrid>
        <w:gridCol w:w="4815"/>
        <w:gridCol w:w="4201"/>
      </w:tblGrid>
      <w:tr w:rsidR="0093469B" w:rsidRPr="0093469B" w14:paraId="692255A3" w14:textId="77777777" w:rsidTr="00B22F65">
        <w:trPr>
          <w:trHeight w:val="506"/>
        </w:trPr>
        <w:tc>
          <w:tcPr>
            <w:tcW w:w="4815" w:type="dxa"/>
            <w:vAlign w:val="center"/>
          </w:tcPr>
          <w:p w14:paraId="218778D2" w14:textId="034C0970" w:rsidR="0093469B" w:rsidRPr="0093469B" w:rsidRDefault="00315B18" w:rsidP="0093469B">
            <w:pPr>
              <w:pStyle w:val="TableText"/>
              <w:rPr>
                <w:b/>
                <w:bCs/>
              </w:rPr>
            </w:pPr>
            <w:r>
              <w:rPr>
                <w:b/>
                <w:bCs/>
              </w:rPr>
              <w:t>Description</w:t>
            </w:r>
          </w:p>
        </w:tc>
        <w:tc>
          <w:tcPr>
            <w:tcW w:w="4201" w:type="dxa"/>
            <w:vAlign w:val="center"/>
          </w:tcPr>
          <w:p w14:paraId="6532CE54" w14:textId="3A6718AB" w:rsidR="0093469B" w:rsidRPr="0093469B" w:rsidRDefault="00315B18" w:rsidP="0093469B">
            <w:pPr>
              <w:pStyle w:val="TableText"/>
              <w:rPr>
                <w:b/>
                <w:bCs/>
              </w:rPr>
            </w:pPr>
            <w:r>
              <w:rPr>
                <w:b/>
                <w:bCs/>
              </w:rPr>
              <w:t>Value</w:t>
            </w:r>
          </w:p>
        </w:tc>
      </w:tr>
      <w:tr w:rsidR="00315B18" w14:paraId="0CA09CBF" w14:textId="77777777" w:rsidTr="00B22F65">
        <w:tc>
          <w:tcPr>
            <w:tcW w:w="4815" w:type="dxa"/>
          </w:tcPr>
          <w:p w14:paraId="653C4859" w14:textId="734E21E9" w:rsidR="00315B18" w:rsidRDefault="00594F1D" w:rsidP="00315B18">
            <w:pPr>
              <w:pStyle w:val="TableText"/>
            </w:pPr>
            <w:r>
              <w:t>Re-188 brachytherapy</w:t>
            </w:r>
            <w:r w:rsidR="00315B18">
              <w:t xml:space="preserve"> average cost per course of treatment</w:t>
            </w:r>
          </w:p>
        </w:tc>
        <w:tc>
          <w:tcPr>
            <w:tcW w:w="4201" w:type="dxa"/>
          </w:tcPr>
          <w:p w14:paraId="54B05B04" w14:textId="3BC48C39" w:rsidR="00315B18" w:rsidRDefault="00315B18" w:rsidP="00315B18">
            <w:pPr>
              <w:pStyle w:val="TableText"/>
            </w:pPr>
            <w:r w:rsidRPr="00986029">
              <w:t>$4,694.77</w:t>
            </w:r>
          </w:p>
        </w:tc>
      </w:tr>
      <w:tr w:rsidR="00315B18" w14:paraId="6F25F6A4" w14:textId="77777777" w:rsidTr="00B22F65">
        <w:tc>
          <w:tcPr>
            <w:tcW w:w="4815" w:type="dxa"/>
          </w:tcPr>
          <w:p w14:paraId="08A9FB45" w14:textId="6D072D3F" w:rsidR="00315B18" w:rsidRDefault="00315B18" w:rsidP="00315B18">
            <w:pPr>
              <w:pStyle w:val="TableText"/>
            </w:pPr>
            <w:r>
              <w:t>EBRT average cost per course of treatment</w:t>
            </w:r>
          </w:p>
        </w:tc>
        <w:tc>
          <w:tcPr>
            <w:tcW w:w="4201" w:type="dxa"/>
          </w:tcPr>
          <w:p w14:paraId="7C193C29" w14:textId="1D66F5C6" w:rsidR="00315B18" w:rsidRDefault="00315B18" w:rsidP="00315B18">
            <w:pPr>
              <w:pStyle w:val="TableText"/>
            </w:pPr>
            <w:r w:rsidRPr="009D6B33">
              <w:t>$5,952.53</w:t>
            </w:r>
          </w:p>
        </w:tc>
      </w:tr>
      <w:tr w:rsidR="00315B18" w14:paraId="6C39F1DA" w14:textId="77777777" w:rsidTr="00B22F65">
        <w:tc>
          <w:tcPr>
            <w:tcW w:w="4815" w:type="dxa"/>
          </w:tcPr>
          <w:p w14:paraId="1E73D443" w14:textId="2595386C" w:rsidR="00315B18" w:rsidRDefault="00315B18" w:rsidP="00315B18">
            <w:pPr>
              <w:pStyle w:val="TableText"/>
            </w:pPr>
            <w:r>
              <w:t>Average cost saved per course of treatment</w:t>
            </w:r>
          </w:p>
        </w:tc>
        <w:tc>
          <w:tcPr>
            <w:tcW w:w="4201" w:type="dxa"/>
          </w:tcPr>
          <w:p w14:paraId="5CA2CA5B" w14:textId="11EF63B5" w:rsidR="00315B18" w:rsidRDefault="00315B18" w:rsidP="00315B18">
            <w:pPr>
              <w:pStyle w:val="TableText"/>
            </w:pPr>
            <w:r w:rsidRPr="002208C8">
              <w:t>$1,257.76</w:t>
            </w:r>
          </w:p>
        </w:tc>
      </w:tr>
    </w:tbl>
    <w:p w14:paraId="6909F9E7" w14:textId="59D93EA0" w:rsidR="00462103" w:rsidRDefault="00462103" w:rsidP="00702E73">
      <w:pPr>
        <w:pStyle w:val="TableFigureFooter"/>
        <w:spacing w:after="0"/>
        <w:rPr>
          <w:rStyle w:val="IntenseEmphasis"/>
          <w:color w:val="auto"/>
        </w:rPr>
      </w:pPr>
      <w:r w:rsidRPr="00BA438C">
        <w:t>EBRT = external beam radiation therapy</w:t>
      </w:r>
      <w:r>
        <w:t xml:space="preserve">; </w:t>
      </w:r>
      <w:r w:rsidRPr="00BA438C">
        <w:t>Re-188 = Rhenium-188</w:t>
      </w:r>
    </w:p>
    <w:p w14:paraId="4B8937F9" w14:textId="1CDCB64D" w:rsidR="00E43C21" w:rsidRPr="00E43C21" w:rsidRDefault="005724E4" w:rsidP="00702E73">
      <w:pPr>
        <w:spacing w:before="240"/>
        <w:rPr>
          <w:rStyle w:val="IntenseEmphasis"/>
          <w:color w:val="auto"/>
        </w:rPr>
      </w:pPr>
      <w:r>
        <w:rPr>
          <w:rStyle w:val="IntenseEmphasis"/>
          <w:color w:val="auto"/>
        </w:rPr>
        <w:t xml:space="preserve">The results of the cost </w:t>
      </w:r>
      <w:r w:rsidR="001B1780">
        <w:rPr>
          <w:rStyle w:val="IntenseEmphasis"/>
          <w:color w:val="auto"/>
        </w:rPr>
        <w:t>minimisation</w:t>
      </w:r>
      <w:r>
        <w:rPr>
          <w:rStyle w:val="IntenseEmphasis"/>
          <w:color w:val="auto"/>
        </w:rPr>
        <w:t xml:space="preserve"> suggests that </w:t>
      </w:r>
      <w:r w:rsidR="00B17788">
        <w:rPr>
          <w:rStyle w:val="IntenseEmphasis"/>
          <w:color w:val="auto"/>
        </w:rPr>
        <w:t>Re-188 brachytherapy</w:t>
      </w:r>
      <w:r>
        <w:rPr>
          <w:rStyle w:val="IntenseEmphasis"/>
          <w:color w:val="auto"/>
        </w:rPr>
        <w:t xml:space="preserve"> would lead to a cost saving </w:t>
      </w:r>
      <w:r w:rsidR="00F93AC7">
        <w:rPr>
          <w:rStyle w:val="IntenseEmphasis"/>
          <w:color w:val="auto"/>
        </w:rPr>
        <w:t xml:space="preserve">to the health budgets </w:t>
      </w:r>
      <w:r w:rsidR="001B1780">
        <w:rPr>
          <w:rStyle w:val="IntenseEmphasis"/>
          <w:color w:val="auto"/>
        </w:rPr>
        <w:t>of over</w:t>
      </w:r>
      <w:r w:rsidR="00551558" w:rsidRPr="00D52988">
        <w:t xml:space="preserve"> </w:t>
      </w:r>
      <w:r w:rsidR="00D52988" w:rsidRPr="00D52988">
        <w:rPr>
          <w:b/>
          <w:bCs/>
        </w:rPr>
        <w:t>redacted</w:t>
      </w:r>
      <w:r w:rsidR="00551558">
        <w:t xml:space="preserve"> </w:t>
      </w:r>
      <w:r w:rsidR="001B1780">
        <w:rPr>
          <w:rStyle w:val="IntenseEmphasis"/>
          <w:color w:val="auto"/>
        </w:rPr>
        <w:t xml:space="preserve">per patient treated. </w:t>
      </w:r>
      <w:r w:rsidR="00E43C21" w:rsidRPr="00E43C21">
        <w:rPr>
          <w:rStyle w:val="IntenseEmphasis"/>
          <w:color w:val="auto"/>
        </w:rPr>
        <w:t>Due to the uncertainty in the data presented by the ADAR</w:t>
      </w:r>
      <w:r w:rsidR="000728A2">
        <w:rPr>
          <w:rStyle w:val="IntenseEmphasis"/>
          <w:color w:val="auto"/>
        </w:rPr>
        <w:t>, a</w:t>
      </w:r>
      <w:r w:rsidR="00E43C21" w:rsidRPr="00E43C21">
        <w:rPr>
          <w:rStyle w:val="IntenseEmphasis"/>
          <w:color w:val="auto"/>
        </w:rPr>
        <w:t xml:space="preserve"> sensitivity analysis was conducted during evaluation</w:t>
      </w:r>
      <w:r w:rsidR="00F93AC7">
        <w:rPr>
          <w:rStyle w:val="IntenseEmphasis"/>
          <w:color w:val="auto"/>
        </w:rPr>
        <w:t xml:space="preserve"> (</w:t>
      </w:r>
      <w:r w:rsidR="00F93AC7">
        <w:rPr>
          <w:rStyle w:val="IntenseEmphasis"/>
          <w:color w:val="auto"/>
        </w:rPr>
        <w:fldChar w:fldCharType="begin"/>
      </w:r>
      <w:r w:rsidR="00F93AC7">
        <w:rPr>
          <w:rStyle w:val="IntenseEmphasis"/>
          <w:color w:val="auto"/>
        </w:rPr>
        <w:instrText xml:space="preserve"> REF _Ref184261423 \h </w:instrText>
      </w:r>
      <w:r w:rsidR="00F93AC7">
        <w:rPr>
          <w:rStyle w:val="IntenseEmphasis"/>
          <w:color w:val="auto"/>
        </w:rPr>
      </w:r>
      <w:r w:rsidR="00F93AC7">
        <w:rPr>
          <w:rStyle w:val="IntenseEmphasis"/>
          <w:color w:val="auto"/>
        </w:rPr>
        <w:fldChar w:fldCharType="separate"/>
      </w:r>
      <w:r w:rsidR="00AF5AE7">
        <w:t xml:space="preserve">Table </w:t>
      </w:r>
      <w:r w:rsidR="00AF5AE7">
        <w:rPr>
          <w:noProof/>
        </w:rPr>
        <w:t>20</w:t>
      </w:r>
      <w:r w:rsidR="00F93AC7">
        <w:rPr>
          <w:rStyle w:val="IntenseEmphasis"/>
          <w:color w:val="auto"/>
        </w:rPr>
        <w:fldChar w:fldCharType="end"/>
      </w:r>
      <w:r w:rsidR="00F93AC7">
        <w:rPr>
          <w:rStyle w:val="IntenseEmphasis"/>
          <w:color w:val="auto"/>
        </w:rPr>
        <w:t>)</w:t>
      </w:r>
      <w:r w:rsidR="00E43C21" w:rsidRPr="00E43C21">
        <w:rPr>
          <w:rStyle w:val="IntenseEmphasis"/>
          <w:color w:val="auto"/>
        </w:rPr>
        <w:t xml:space="preserve">. </w:t>
      </w:r>
    </w:p>
    <w:p w14:paraId="3DE518BC" w14:textId="3F19E70D" w:rsidR="00E43C21" w:rsidRDefault="00E43C21" w:rsidP="00702E73">
      <w:pPr>
        <w:pStyle w:val="Caption"/>
        <w:keepLines/>
      </w:pPr>
      <w:bookmarkStart w:id="47" w:name="_Ref184261423"/>
      <w:r>
        <w:lastRenderedPageBreak/>
        <w:t xml:space="preserve">Table </w:t>
      </w:r>
      <w:r w:rsidR="007F4BCC">
        <w:fldChar w:fldCharType="begin"/>
      </w:r>
      <w:r w:rsidR="007F4BCC">
        <w:instrText xml:space="preserve"> SEQ Table \* ARABIC </w:instrText>
      </w:r>
      <w:r w:rsidR="007F4BCC">
        <w:fldChar w:fldCharType="separate"/>
      </w:r>
      <w:r w:rsidR="00AF5AE7">
        <w:rPr>
          <w:noProof/>
        </w:rPr>
        <w:t>20</w:t>
      </w:r>
      <w:r w:rsidR="007F4BCC">
        <w:rPr>
          <w:noProof/>
        </w:rPr>
        <w:fldChar w:fldCharType="end"/>
      </w:r>
      <w:bookmarkEnd w:id="47"/>
      <w:r>
        <w:t xml:space="preserve"> </w:t>
      </w:r>
      <w:r w:rsidRPr="00545611">
        <w:t>Sensitivity analysis of the economic evaluation conducted during the evaluation</w:t>
      </w:r>
    </w:p>
    <w:tbl>
      <w:tblPr>
        <w:tblStyle w:val="TableGrid"/>
        <w:tblW w:w="0" w:type="auto"/>
        <w:tblLayout w:type="fixed"/>
        <w:tblCellMar>
          <w:top w:w="28" w:type="dxa"/>
          <w:bottom w:w="28" w:type="dxa"/>
        </w:tblCellMar>
        <w:tblLook w:val="04A0" w:firstRow="1" w:lastRow="0" w:firstColumn="1" w:lastColumn="0" w:noHBand="0" w:noVBand="1"/>
      </w:tblPr>
      <w:tblGrid>
        <w:gridCol w:w="3823"/>
        <w:gridCol w:w="1842"/>
        <w:gridCol w:w="1620"/>
        <w:gridCol w:w="1731"/>
      </w:tblGrid>
      <w:tr w:rsidR="00E43C21" w:rsidRPr="00E43C21" w14:paraId="001C9885" w14:textId="77777777" w:rsidTr="00B22F65">
        <w:trPr>
          <w:trHeight w:val="687"/>
        </w:trPr>
        <w:tc>
          <w:tcPr>
            <w:tcW w:w="3823" w:type="dxa"/>
            <w:noWrap/>
            <w:vAlign w:val="center"/>
            <w:hideMark/>
          </w:tcPr>
          <w:p w14:paraId="11B6FF60" w14:textId="77777777" w:rsidR="00E43C21" w:rsidRPr="00E43C21" w:rsidRDefault="00E43C21" w:rsidP="00702E73">
            <w:pPr>
              <w:pStyle w:val="Instructionaltext"/>
              <w:keepNext/>
              <w:keepLines/>
              <w:spacing w:before="0" w:line="276" w:lineRule="auto"/>
              <w:rPr>
                <w:rFonts w:ascii="Arial Narrow" w:hAnsi="Arial Narrow" w:cstheme="minorHAnsi"/>
                <w:b/>
                <w:bCs/>
                <w:i/>
                <w:iCs/>
                <w:color w:val="auto"/>
                <w:sz w:val="20"/>
                <w:szCs w:val="20"/>
              </w:rPr>
            </w:pPr>
            <w:r w:rsidRPr="00E43C21">
              <w:rPr>
                <w:rFonts w:ascii="Arial Narrow" w:hAnsi="Arial Narrow"/>
                <w:b/>
                <w:bCs/>
                <w:color w:val="auto"/>
                <w:sz w:val="20"/>
                <w:szCs w:val="20"/>
              </w:rPr>
              <w:t>Changes made</w:t>
            </w:r>
          </w:p>
        </w:tc>
        <w:tc>
          <w:tcPr>
            <w:tcW w:w="1842" w:type="dxa"/>
            <w:vAlign w:val="center"/>
          </w:tcPr>
          <w:p w14:paraId="346FB2C2" w14:textId="5C7B7EDE" w:rsidR="00E43C21" w:rsidRPr="00E43C21" w:rsidRDefault="00E43C21" w:rsidP="00702E73">
            <w:pPr>
              <w:pStyle w:val="Instructionaltext"/>
              <w:keepNext/>
              <w:keepLines/>
              <w:spacing w:before="0" w:line="276" w:lineRule="auto"/>
              <w:rPr>
                <w:rFonts w:ascii="Arial Narrow" w:hAnsi="Arial Narrow"/>
                <w:b/>
                <w:bCs/>
                <w:color w:val="auto"/>
                <w:sz w:val="20"/>
                <w:szCs w:val="20"/>
              </w:rPr>
            </w:pPr>
            <w:r w:rsidRPr="00E43C21">
              <w:rPr>
                <w:rFonts w:ascii="Arial Narrow" w:hAnsi="Arial Narrow"/>
                <w:b/>
                <w:bCs/>
                <w:color w:val="auto"/>
                <w:sz w:val="20"/>
                <w:szCs w:val="20"/>
              </w:rPr>
              <w:t xml:space="preserve">Average cost of </w:t>
            </w:r>
            <w:r w:rsidR="00B17788">
              <w:rPr>
                <w:rFonts w:ascii="Arial Narrow" w:hAnsi="Arial Narrow"/>
                <w:b/>
                <w:bCs/>
                <w:color w:val="auto"/>
                <w:sz w:val="20"/>
                <w:szCs w:val="20"/>
              </w:rPr>
              <w:t>Re-188 brachytherapy</w:t>
            </w:r>
          </w:p>
        </w:tc>
        <w:tc>
          <w:tcPr>
            <w:tcW w:w="1620" w:type="dxa"/>
            <w:noWrap/>
            <w:vAlign w:val="center"/>
            <w:hideMark/>
          </w:tcPr>
          <w:p w14:paraId="3C298EC0" w14:textId="77777777" w:rsidR="00E43C21" w:rsidRPr="00E43C21" w:rsidRDefault="00E43C21" w:rsidP="00702E73">
            <w:pPr>
              <w:pStyle w:val="Instructionaltext"/>
              <w:keepNext/>
              <w:keepLines/>
              <w:spacing w:before="0" w:line="276" w:lineRule="auto"/>
              <w:rPr>
                <w:rFonts w:ascii="Arial Narrow" w:hAnsi="Arial Narrow" w:cstheme="minorHAnsi"/>
                <w:b/>
                <w:bCs/>
                <w:i/>
                <w:iCs/>
                <w:color w:val="auto"/>
                <w:sz w:val="20"/>
                <w:szCs w:val="20"/>
              </w:rPr>
            </w:pPr>
            <w:r w:rsidRPr="00E43C21">
              <w:rPr>
                <w:rFonts w:ascii="Arial Narrow" w:hAnsi="Arial Narrow"/>
                <w:b/>
                <w:bCs/>
                <w:color w:val="auto"/>
                <w:sz w:val="20"/>
                <w:szCs w:val="20"/>
              </w:rPr>
              <w:t>Average cost of EBRT</w:t>
            </w:r>
          </w:p>
        </w:tc>
        <w:tc>
          <w:tcPr>
            <w:tcW w:w="1731" w:type="dxa"/>
            <w:vAlign w:val="center"/>
          </w:tcPr>
          <w:p w14:paraId="21562029" w14:textId="77777777" w:rsidR="00E43C21" w:rsidRPr="00E43C21" w:rsidRDefault="00E43C21" w:rsidP="00702E73">
            <w:pPr>
              <w:pStyle w:val="Instructionaltext"/>
              <w:keepNext/>
              <w:keepLines/>
              <w:spacing w:before="0" w:line="276" w:lineRule="auto"/>
              <w:rPr>
                <w:rFonts w:ascii="Arial Narrow" w:hAnsi="Arial Narrow"/>
                <w:b/>
                <w:bCs/>
                <w:color w:val="auto"/>
                <w:sz w:val="20"/>
                <w:szCs w:val="20"/>
              </w:rPr>
            </w:pPr>
            <w:r w:rsidRPr="00E43C21">
              <w:rPr>
                <w:rFonts w:ascii="Arial Narrow" w:hAnsi="Arial Narrow"/>
                <w:b/>
                <w:bCs/>
                <w:color w:val="auto"/>
                <w:sz w:val="20"/>
                <w:szCs w:val="20"/>
              </w:rPr>
              <w:t>Difference</w:t>
            </w:r>
          </w:p>
        </w:tc>
      </w:tr>
      <w:tr w:rsidR="00D87B24" w:rsidRPr="00E43C21" w14:paraId="57DCB2D3" w14:textId="77777777" w:rsidTr="00D52988">
        <w:trPr>
          <w:trHeight w:val="57"/>
        </w:trPr>
        <w:tc>
          <w:tcPr>
            <w:tcW w:w="3823" w:type="dxa"/>
            <w:noWrap/>
            <w:vAlign w:val="center"/>
            <w:hideMark/>
          </w:tcPr>
          <w:p w14:paraId="6413CEB3" w14:textId="6CA90622" w:rsidR="00D87B24" w:rsidRPr="00E43C21" w:rsidRDefault="00D87B24" w:rsidP="00D87B24">
            <w:pPr>
              <w:pStyle w:val="Tabletext0"/>
              <w:keepNext/>
              <w:keepLines/>
              <w:jc w:val="left"/>
              <w:rPr>
                <w:rFonts w:cstheme="minorHAnsi"/>
                <w:i/>
                <w:iCs/>
              </w:rPr>
            </w:pPr>
            <w:r w:rsidRPr="00E43C21">
              <w:t xml:space="preserve">Assuming a consistent weighted cost of </w:t>
            </w:r>
            <w:r>
              <w:t>EBRT</w:t>
            </w:r>
          </w:p>
        </w:tc>
        <w:tc>
          <w:tcPr>
            <w:tcW w:w="1842" w:type="dxa"/>
          </w:tcPr>
          <w:p w14:paraId="66EDA58F" w14:textId="26CA298F" w:rsidR="00D87B24" w:rsidRPr="00D52988" w:rsidRDefault="00E43C21" w:rsidP="00D87B24">
            <w:pPr>
              <w:pStyle w:val="Instructionaltext"/>
              <w:keepNext/>
              <w:keepLines/>
              <w:spacing w:before="0" w:line="276" w:lineRule="auto"/>
              <w:rPr>
                <w:rFonts w:ascii="Arial Narrow" w:hAnsi="Arial Narrow"/>
                <w:b/>
                <w:color w:val="auto"/>
                <w:sz w:val="20"/>
              </w:rPr>
            </w:pPr>
            <w:r w:rsidRPr="00B22F65">
              <w:rPr>
                <w:rFonts w:ascii="Arial Narrow" w:hAnsi="Arial Narrow"/>
                <w:color w:val="000000" w:themeColor="text1"/>
                <w:sz w:val="20"/>
                <w:szCs w:val="20"/>
              </w:rPr>
              <w:t>$</w:t>
            </w:r>
            <w:r w:rsidR="00D87B24" w:rsidRPr="00D87B24">
              <w:rPr>
                <w:rFonts w:ascii="Arial Narrow" w:hAnsi="Arial Narrow"/>
                <w:b/>
                <w:bCs/>
                <w:color w:val="auto"/>
                <w:sz w:val="20"/>
                <w:szCs w:val="20"/>
              </w:rPr>
              <w:t>REDACTED</w:t>
            </w:r>
          </w:p>
        </w:tc>
        <w:tc>
          <w:tcPr>
            <w:tcW w:w="1620" w:type="dxa"/>
            <w:noWrap/>
            <w:hideMark/>
          </w:tcPr>
          <w:p w14:paraId="45F542D4" w14:textId="3BA055B5" w:rsidR="00D87B24" w:rsidRPr="00D52988" w:rsidRDefault="00E43C21" w:rsidP="00D87B24">
            <w:pPr>
              <w:pStyle w:val="Instructionaltext"/>
              <w:keepNext/>
              <w:keepLines/>
              <w:spacing w:before="0" w:line="276" w:lineRule="auto"/>
              <w:rPr>
                <w:rFonts w:ascii="Arial Narrow" w:hAnsi="Arial Narrow"/>
                <w:b/>
                <w:color w:val="auto"/>
                <w:sz w:val="20"/>
              </w:rPr>
            </w:pPr>
            <w:r w:rsidRPr="00B22F65">
              <w:rPr>
                <w:rFonts w:ascii="Arial Narrow" w:hAnsi="Arial Narrow"/>
                <w:color w:val="000000" w:themeColor="text1"/>
                <w:sz w:val="20"/>
                <w:szCs w:val="20"/>
              </w:rPr>
              <w:t>$</w:t>
            </w:r>
            <w:r w:rsidR="00D87B24" w:rsidRPr="00D87B24">
              <w:rPr>
                <w:rFonts w:ascii="Arial Narrow" w:hAnsi="Arial Narrow"/>
                <w:b/>
                <w:bCs/>
                <w:color w:val="auto"/>
                <w:sz w:val="20"/>
                <w:szCs w:val="20"/>
              </w:rPr>
              <w:t>REDACTED</w:t>
            </w:r>
          </w:p>
        </w:tc>
        <w:tc>
          <w:tcPr>
            <w:tcW w:w="1731" w:type="dxa"/>
          </w:tcPr>
          <w:p w14:paraId="6D119DB9" w14:textId="7E93703A" w:rsidR="00D87B24" w:rsidRPr="00D52988" w:rsidRDefault="00E43C21" w:rsidP="00D87B24">
            <w:pPr>
              <w:pStyle w:val="Instructionaltext"/>
              <w:keepNext/>
              <w:keepLines/>
              <w:spacing w:before="0" w:line="276" w:lineRule="auto"/>
              <w:rPr>
                <w:rFonts w:ascii="Arial Narrow" w:hAnsi="Arial Narrow"/>
                <w:b/>
                <w:color w:val="auto"/>
                <w:sz w:val="20"/>
              </w:rPr>
            </w:pPr>
            <w:r w:rsidRPr="00B22F65">
              <w:rPr>
                <w:rFonts w:ascii="Arial Narrow" w:hAnsi="Arial Narrow"/>
                <w:color w:val="000000" w:themeColor="text1"/>
                <w:sz w:val="20"/>
                <w:szCs w:val="20"/>
              </w:rPr>
              <w:t>$</w:t>
            </w:r>
            <w:r w:rsidR="00D87B24" w:rsidRPr="00D87B24">
              <w:rPr>
                <w:rFonts w:ascii="Arial Narrow" w:hAnsi="Arial Narrow"/>
                <w:b/>
                <w:bCs/>
                <w:color w:val="auto"/>
                <w:sz w:val="20"/>
                <w:szCs w:val="20"/>
              </w:rPr>
              <w:t>REDACTED</w:t>
            </w:r>
          </w:p>
        </w:tc>
      </w:tr>
      <w:tr w:rsidR="00D87B24" w:rsidRPr="00E43C21" w14:paraId="0D7D6209" w14:textId="77777777" w:rsidTr="00D52988">
        <w:trPr>
          <w:trHeight w:val="57"/>
        </w:trPr>
        <w:tc>
          <w:tcPr>
            <w:tcW w:w="3823" w:type="dxa"/>
            <w:noWrap/>
            <w:vAlign w:val="center"/>
          </w:tcPr>
          <w:p w14:paraId="5A05E3B1" w14:textId="2308152C" w:rsidR="00D87B24" w:rsidRPr="00E43C21" w:rsidRDefault="00D87B24" w:rsidP="00D87B24">
            <w:pPr>
              <w:pStyle w:val="Tabletext0"/>
              <w:keepNext/>
              <w:keepLines/>
              <w:jc w:val="left"/>
            </w:pPr>
            <w:r>
              <w:t xml:space="preserve">Adjustment based on RANZCR advice </w:t>
            </w:r>
            <w:r w:rsidR="00CB178E">
              <w:t xml:space="preserve">(80% </w:t>
            </w:r>
            <w:r w:rsidR="007B52DF">
              <w:t xml:space="preserve">SXRT and </w:t>
            </w:r>
            <w:r w:rsidR="00CB178E">
              <w:t>20% Electron</w:t>
            </w:r>
            <w:r>
              <w:t xml:space="preserve">( </w:t>
            </w:r>
          </w:p>
        </w:tc>
        <w:tc>
          <w:tcPr>
            <w:tcW w:w="1842" w:type="dxa"/>
          </w:tcPr>
          <w:p w14:paraId="2EFCF5B6" w14:textId="2513EEA8" w:rsidR="00D87B24" w:rsidRPr="00D52988" w:rsidRDefault="006C7E63" w:rsidP="00D87B24">
            <w:pPr>
              <w:pStyle w:val="Instructionaltext"/>
              <w:keepNext/>
              <w:keepLines/>
              <w:spacing w:before="0" w:line="276" w:lineRule="auto"/>
              <w:rPr>
                <w:rFonts w:ascii="Arial Narrow" w:hAnsi="Arial Narrow"/>
                <w:b/>
                <w:color w:val="auto"/>
                <w:sz w:val="20"/>
              </w:rPr>
            </w:pPr>
            <w:r w:rsidRPr="00B22F65">
              <w:rPr>
                <w:rFonts w:ascii="Arial Narrow" w:hAnsi="Arial Narrow"/>
                <w:color w:val="000000" w:themeColor="text1"/>
                <w:sz w:val="20"/>
                <w:szCs w:val="20"/>
              </w:rPr>
              <w:t>$</w:t>
            </w:r>
            <w:r w:rsidR="00D87B24" w:rsidRPr="00D87B24">
              <w:rPr>
                <w:rFonts w:ascii="Arial Narrow" w:hAnsi="Arial Narrow"/>
                <w:b/>
                <w:bCs/>
                <w:color w:val="auto"/>
                <w:sz w:val="20"/>
                <w:szCs w:val="20"/>
              </w:rPr>
              <w:t>REDACTED</w:t>
            </w:r>
          </w:p>
        </w:tc>
        <w:tc>
          <w:tcPr>
            <w:tcW w:w="1620" w:type="dxa"/>
            <w:noWrap/>
          </w:tcPr>
          <w:p w14:paraId="396B1CFC" w14:textId="24C2C878" w:rsidR="00D87B24" w:rsidRPr="00D52988" w:rsidRDefault="00D81B3D" w:rsidP="00D87B24">
            <w:pPr>
              <w:pStyle w:val="Instructionaltext"/>
              <w:keepNext/>
              <w:keepLines/>
              <w:spacing w:before="0" w:line="276" w:lineRule="auto"/>
              <w:rPr>
                <w:rFonts w:ascii="Arial Narrow" w:hAnsi="Arial Narrow"/>
                <w:b/>
                <w:color w:val="auto"/>
                <w:sz w:val="20"/>
              </w:rPr>
            </w:pPr>
            <w:r w:rsidRPr="00D81B3D">
              <w:rPr>
                <w:rFonts w:ascii="Arial Narrow" w:hAnsi="Arial Narrow"/>
                <w:color w:val="000000" w:themeColor="text1"/>
                <w:sz w:val="20"/>
                <w:szCs w:val="20"/>
              </w:rPr>
              <w:t>$</w:t>
            </w:r>
            <w:r w:rsidR="00D87B24" w:rsidRPr="00D87B24">
              <w:rPr>
                <w:rFonts w:ascii="Arial Narrow" w:hAnsi="Arial Narrow"/>
                <w:b/>
                <w:bCs/>
                <w:color w:val="auto"/>
                <w:sz w:val="20"/>
                <w:szCs w:val="20"/>
              </w:rPr>
              <w:t>REDACTED</w:t>
            </w:r>
          </w:p>
        </w:tc>
        <w:tc>
          <w:tcPr>
            <w:tcW w:w="1731" w:type="dxa"/>
          </w:tcPr>
          <w:p w14:paraId="5D43CF87" w14:textId="3EF2AAE9" w:rsidR="00D87B24" w:rsidRPr="00D52988" w:rsidRDefault="00DF6C81" w:rsidP="00D87B24">
            <w:pPr>
              <w:pStyle w:val="Instructionaltext"/>
              <w:keepNext/>
              <w:keepLines/>
              <w:spacing w:before="0" w:line="276" w:lineRule="auto"/>
              <w:rPr>
                <w:rFonts w:ascii="Arial Narrow" w:hAnsi="Arial Narrow"/>
                <w:b/>
                <w:color w:val="auto"/>
                <w:sz w:val="20"/>
              </w:rPr>
            </w:pPr>
            <w:r>
              <w:rPr>
                <w:rFonts w:ascii="Arial Narrow" w:hAnsi="Arial Narrow"/>
                <w:color w:val="000000" w:themeColor="text1"/>
                <w:sz w:val="20"/>
                <w:szCs w:val="20"/>
              </w:rPr>
              <w:t>$</w:t>
            </w:r>
            <w:r w:rsidR="00D87B24" w:rsidRPr="00D87B24">
              <w:rPr>
                <w:rFonts w:ascii="Arial Narrow" w:hAnsi="Arial Narrow"/>
                <w:b/>
                <w:bCs/>
                <w:color w:val="auto"/>
                <w:sz w:val="20"/>
                <w:szCs w:val="20"/>
              </w:rPr>
              <w:t>REDACTED</w:t>
            </w:r>
          </w:p>
        </w:tc>
      </w:tr>
      <w:tr w:rsidR="00D87B24" w:rsidRPr="00E43C21" w14:paraId="5369870A" w14:textId="77777777" w:rsidTr="00D52988">
        <w:trPr>
          <w:trHeight w:val="57"/>
        </w:trPr>
        <w:tc>
          <w:tcPr>
            <w:tcW w:w="3823" w:type="dxa"/>
            <w:noWrap/>
            <w:vAlign w:val="center"/>
          </w:tcPr>
          <w:p w14:paraId="48C522CA" w14:textId="34203965" w:rsidR="00D87B24" w:rsidRPr="00E43C21" w:rsidRDefault="00D87B24" w:rsidP="00D87B24">
            <w:pPr>
              <w:pStyle w:val="Instructionaltext"/>
              <w:keepNext/>
              <w:keepLines/>
              <w:spacing w:before="0" w:line="276" w:lineRule="auto"/>
              <w:rPr>
                <w:rFonts w:ascii="Arial Narrow" w:hAnsi="Arial Narrow"/>
                <w:color w:val="auto"/>
                <w:sz w:val="20"/>
                <w:szCs w:val="20"/>
              </w:rPr>
            </w:pPr>
            <w:r w:rsidRPr="00E43C21">
              <w:rPr>
                <w:rFonts w:ascii="Arial Narrow" w:hAnsi="Arial Narrow"/>
                <w:color w:val="auto"/>
                <w:sz w:val="20"/>
                <w:szCs w:val="20"/>
              </w:rPr>
              <w:t xml:space="preserve">Fractions </w:t>
            </w:r>
            <w:r w:rsidR="00D52988" w:rsidRPr="00D52988">
              <w:rPr>
                <w:rFonts w:ascii="Arial Narrow" w:eastAsia="Times New Roman" w:hAnsi="Arial Narrow" w:cs="Tahoma"/>
                <w:b/>
                <w:bCs/>
                <w:color w:val="auto"/>
                <w:sz w:val="20"/>
                <w:szCs w:val="20"/>
                <w:lang w:eastAsia="en-AU"/>
              </w:rPr>
              <w:t>redacted</w:t>
            </w:r>
            <w:r w:rsidRPr="00D52988">
              <w:rPr>
                <w:rFonts w:ascii="Arial Narrow" w:hAnsi="Arial Narrow"/>
                <w:b/>
                <w:color w:val="auto"/>
                <w:sz w:val="20"/>
              </w:rPr>
              <w:t xml:space="preserve"> </w:t>
            </w:r>
            <w:r w:rsidRPr="00E43C21">
              <w:rPr>
                <w:rFonts w:ascii="Arial Narrow" w:hAnsi="Arial Narrow"/>
                <w:color w:val="auto"/>
                <w:sz w:val="20"/>
                <w:szCs w:val="20"/>
              </w:rPr>
              <w:t>per treatment* (based on highest from advisory board)</w:t>
            </w:r>
          </w:p>
        </w:tc>
        <w:tc>
          <w:tcPr>
            <w:tcW w:w="1842" w:type="dxa"/>
          </w:tcPr>
          <w:p w14:paraId="4DD48CED" w14:textId="6A1E30C5" w:rsidR="00D87B24" w:rsidRPr="00D52988" w:rsidRDefault="00E43C21" w:rsidP="00D87B24">
            <w:pPr>
              <w:pStyle w:val="Instructionaltext"/>
              <w:keepNext/>
              <w:keepLines/>
              <w:spacing w:before="0" w:line="276" w:lineRule="auto"/>
              <w:rPr>
                <w:rFonts w:ascii="Arial Narrow" w:hAnsi="Arial Narrow"/>
                <w:b/>
                <w:color w:val="auto"/>
                <w:sz w:val="20"/>
              </w:rPr>
            </w:pPr>
            <w:r w:rsidRPr="00B22F65">
              <w:rPr>
                <w:rFonts w:ascii="Arial Narrow" w:hAnsi="Arial Narrow"/>
                <w:color w:val="000000" w:themeColor="text1"/>
                <w:sz w:val="20"/>
                <w:szCs w:val="20"/>
              </w:rPr>
              <w:t>$</w:t>
            </w:r>
            <w:r w:rsidR="00D87B24" w:rsidRPr="00D87B24">
              <w:rPr>
                <w:rFonts w:ascii="Arial Narrow" w:hAnsi="Arial Narrow"/>
                <w:b/>
                <w:bCs/>
                <w:color w:val="auto"/>
                <w:sz w:val="20"/>
                <w:szCs w:val="20"/>
              </w:rPr>
              <w:t>REDACTED</w:t>
            </w:r>
          </w:p>
        </w:tc>
        <w:tc>
          <w:tcPr>
            <w:tcW w:w="1620" w:type="dxa"/>
            <w:noWrap/>
          </w:tcPr>
          <w:p w14:paraId="6E2F4F5D" w14:textId="179D63D6" w:rsidR="00D87B24" w:rsidRPr="00D52988" w:rsidRDefault="00E43C21" w:rsidP="00D87B24">
            <w:pPr>
              <w:pStyle w:val="Instructionaltext"/>
              <w:keepNext/>
              <w:keepLines/>
              <w:spacing w:before="0" w:line="276" w:lineRule="auto"/>
              <w:rPr>
                <w:rFonts w:ascii="Arial Narrow" w:hAnsi="Arial Narrow"/>
                <w:b/>
                <w:color w:val="auto"/>
                <w:sz w:val="20"/>
              </w:rPr>
            </w:pPr>
            <w:r w:rsidRPr="00B22F65">
              <w:rPr>
                <w:rFonts w:ascii="Arial Narrow" w:hAnsi="Arial Narrow"/>
                <w:color w:val="000000" w:themeColor="text1"/>
                <w:sz w:val="20"/>
                <w:szCs w:val="20"/>
              </w:rPr>
              <w:t>$</w:t>
            </w:r>
            <w:r w:rsidR="00D87B24" w:rsidRPr="00D87B24">
              <w:rPr>
                <w:rFonts w:ascii="Arial Narrow" w:hAnsi="Arial Narrow"/>
                <w:b/>
                <w:bCs/>
                <w:color w:val="auto"/>
                <w:sz w:val="20"/>
                <w:szCs w:val="20"/>
              </w:rPr>
              <w:t>REDACTED</w:t>
            </w:r>
          </w:p>
        </w:tc>
        <w:tc>
          <w:tcPr>
            <w:tcW w:w="1731" w:type="dxa"/>
          </w:tcPr>
          <w:p w14:paraId="280498E0" w14:textId="48DF1602" w:rsidR="00D87B24" w:rsidRPr="00D52988" w:rsidRDefault="00E43C21" w:rsidP="00D87B24">
            <w:pPr>
              <w:pStyle w:val="Instructionaltext"/>
              <w:keepNext/>
              <w:keepLines/>
              <w:spacing w:before="0" w:line="276" w:lineRule="auto"/>
              <w:rPr>
                <w:rFonts w:ascii="Arial Narrow" w:hAnsi="Arial Narrow"/>
                <w:b/>
                <w:color w:val="auto"/>
                <w:sz w:val="20"/>
              </w:rPr>
            </w:pPr>
            <w:r w:rsidRPr="00B22F65">
              <w:rPr>
                <w:rFonts w:ascii="Arial Narrow" w:hAnsi="Arial Narrow"/>
                <w:color w:val="000000" w:themeColor="text1"/>
                <w:sz w:val="20"/>
                <w:szCs w:val="20"/>
              </w:rPr>
              <w:t>$</w:t>
            </w:r>
            <w:r w:rsidR="00D87B24" w:rsidRPr="00D87B24">
              <w:rPr>
                <w:rFonts w:ascii="Arial Narrow" w:hAnsi="Arial Narrow"/>
                <w:b/>
                <w:bCs/>
                <w:color w:val="auto"/>
                <w:sz w:val="20"/>
                <w:szCs w:val="20"/>
              </w:rPr>
              <w:t>REDACTED</w:t>
            </w:r>
          </w:p>
        </w:tc>
      </w:tr>
      <w:tr w:rsidR="00D87B24" w:rsidRPr="00E43C21" w14:paraId="3A342E1A" w14:textId="77777777" w:rsidTr="00D52988">
        <w:trPr>
          <w:trHeight w:val="57"/>
        </w:trPr>
        <w:tc>
          <w:tcPr>
            <w:tcW w:w="3823" w:type="dxa"/>
            <w:noWrap/>
            <w:vAlign w:val="center"/>
            <w:hideMark/>
          </w:tcPr>
          <w:p w14:paraId="126E7748" w14:textId="567AC997" w:rsidR="00D87B24" w:rsidRPr="00E43C21" w:rsidRDefault="00D87B24" w:rsidP="00D87B24">
            <w:pPr>
              <w:pStyle w:val="Instructionaltext"/>
              <w:keepNext/>
              <w:keepLines/>
              <w:spacing w:before="0" w:line="276" w:lineRule="auto"/>
              <w:rPr>
                <w:rFonts w:ascii="Arial Narrow" w:hAnsi="Arial Narrow" w:cstheme="minorHAnsi"/>
                <w:i/>
                <w:iCs/>
                <w:color w:val="auto"/>
                <w:sz w:val="20"/>
                <w:szCs w:val="20"/>
              </w:rPr>
            </w:pPr>
            <w:r w:rsidRPr="00E43C21">
              <w:rPr>
                <w:rFonts w:ascii="Arial Narrow" w:hAnsi="Arial Narrow"/>
                <w:color w:val="auto"/>
                <w:sz w:val="20"/>
                <w:szCs w:val="20"/>
              </w:rPr>
              <w:t>Fractions</w:t>
            </w:r>
            <w:r w:rsidRPr="00D52988">
              <w:rPr>
                <w:rFonts w:ascii="Arial Narrow" w:hAnsi="Arial Narrow"/>
                <w:color w:val="auto"/>
                <w:sz w:val="20"/>
                <w:szCs w:val="20"/>
              </w:rPr>
              <w:t xml:space="preserve"> </w:t>
            </w:r>
            <w:r w:rsidR="00D52988" w:rsidRPr="00D52988">
              <w:rPr>
                <w:rStyle w:val="TabletextChar0"/>
                <w:rFonts w:eastAsiaTheme="minorHAnsi"/>
                <w:b/>
                <w:bCs/>
                <w:color w:val="auto"/>
              </w:rPr>
              <w:t>redacted</w:t>
            </w:r>
            <w:r w:rsidRPr="00D52988">
              <w:rPr>
                <w:rStyle w:val="TabletextChar0"/>
                <w:rFonts w:eastAsiaTheme="minorHAnsi"/>
                <w:color w:val="auto"/>
              </w:rPr>
              <w:t xml:space="preserve"> per</w:t>
            </w:r>
            <w:r w:rsidRPr="00D52988">
              <w:rPr>
                <w:rFonts w:ascii="Arial Narrow" w:hAnsi="Arial Narrow"/>
                <w:color w:val="auto"/>
                <w:sz w:val="20"/>
                <w:szCs w:val="20"/>
              </w:rPr>
              <w:t xml:space="preserve"> </w:t>
            </w:r>
            <w:r w:rsidRPr="00E43C21">
              <w:rPr>
                <w:rFonts w:ascii="Arial Narrow" w:hAnsi="Arial Narrow"/>
                <w:color w:val="auto"/>
                <w:sz w:val="20"/>
                <w:szCs w:val="20"/>
              </w:rPr>
              <w:t>treatment*</w:t>
            </w:r>
          </w:p>
        </w:tc>
        <w:tc>
          <w:tcPr>
            <w:tcW w:w="1842" w:type="dxa"/>
          </w:tcPr>
          <w:p w14:paraId="32E2C72B" w14:textId="3CEF7055" w:rsidR="00D87B24" w:rsidRPr="00D52988" w:rsidRDefault="00E43C21" w:rsidP="00D87B24">
            <w:pPr>
              <w:pStyle w:val="Instructionaltext"/>
              <w:keepNext/>
              <w:keepLines/>
              <w:spacing w:before="0" w:line="276" w:lineRule="auto"/>
              <w:rPr>
                <w:rFonts w:ascii="Arial Narrow" w:hAnsi="Arial Narrow"/>
                <w:b/>
                <w:color w:val="auto"/>
                <w:sz w:val="20"/>
              </w:rPr>
            </w:pPr>
            <w:r w:rsidRPr="00B22F65">
              <w:rPr>
                <w:rFonts w:ascii="Arial Narrow" w:hAnsi="Arial Narrow"/>
                <w:color w:val="000000" w:themeColor="text1"/>
                <w:sz w:val="20"/>
                <w:szCs w:val="20"/>
              </w:rPr>
              <w:t>$</w:t>
            </w:r>
            <w:r w:rsidR="00D87B24" w:rsidRPr="00D87B24">
              <w:rPr>
                <w:rFonts w:ascii="Arial Narrow" w:hAnsi="Arial Narrow"/>
                <w:b/>
                <w:bCs/>
                <w:color w:val="auto"/>
                <w:sz w:val="20"/>
                <w:szCs w:val="20"/>
              </w:rPr>
              <w:t>REDACTED</w:t>
            </w:r>
          </w:p>
        </w:tc>
        <w:tc>
          <w:tcPr>
            <w:tcW w:w="1620" w:type="dxa"/>
            <w:noWrap/>
            <w:hideMark/>
          </w:tcPr>
          <w:p w14:paraId="40FF976F" w14:textId="5E77FD62" w:rsidR="00D87B24" w:rsidRPr="00D52988" w:rsidRDefault="00E43C21" w:rsidP="00D87B24">
            <w:pPr>
              <w:pStyle w:val="Instructionaltext"/>
              <w:keepNext/>
              <w:keepLines/>
              <w:spacing w:before="0" w:line="276" w:lineRule="auto"/>
              <w:rPr>
                <w:rFonts w:ascii="Arial Narrow" w:hAnsi="Arial Narrow"/>
                <w:b/>
                <w:color w:val="auto"/>
                <w:sz w:val="20"/>
              </w:rPr>
            </w:pPr>
            <w:r w:rsidRPr="00B22F65">
              <w:rPr>
                <w:rFonts w:ascii="Arial Narrow" w:hAnsi="Arial Narrow"/>
                <w:color w:val="000000" w:themeColor="text1"/>
                <w:sz w:val="20"/>
                <w:szCs w:val="20"/>
              </w:rPr>
              <w:t>$</w:t>
            </w:r>
            <w:r w:rsidR="00D87B24" w:rsidRPr="00D87B24">
              <w:rPr>
                <w:rFonts w:ascii="Arial Narrow" w:hAnsi="Arial Narrow"/>
                <w:b/>
                <w:bCs/>
                <w:color w:val="auto"/>
                <w:sz w:val="20"/>
                <w:szCs w:val="20"/>
              </w:rPr>
              <w:t>REDACTED</w:t>
            </w:r>
          </w:p>
        </w:tc>
        <w:tc>
          <w:tcPr>
            <w:tcW w:w="1731" w:type="dxa"/>
          </w:tcPr>
          <w:p w14:paraId="28615CDC" w14:textId="5D6DB6CC" w:rsidR="00D87B24" w:rsidRPr="00D52988" w:rsidRDefault="00E43C21" w:rsidP="00D87B24">
            <w:pPr>
              <w:pStyle w:val="Instructionaltext"/>
              <w:keepNext/>
              <w:keepLines/>
              <w:spacing w:before="0" w:line="276" w:lineRule="auto"/>
              <w:rPr>
                <w:rFonts w:ascii="Arial Narrow" w:hAnsi="Arial Narrow"/>
                <w:b/>
                <w:color w:val="auto"/>
                <w:sz w:val="20"/>
              </w:rPr>
            </w:pPr>
            <w:r w:rsidRPr="00B22F65">
              <w:rPr>
                <w:rFonts w:ascii="Arial Narrow" w:hAnsi="Arial Narrow"/>
                <w:color w:val="000000" w:themeColor="text1"/>
                <w:sz w:val="20"/>
                <w:szCs w:val="20"/>
              </w:rPr>
              <w:t>$</w:t>
            </w:r>
            <w:r w:rsidR="00D87B24" w:rsidRPr="00D87B24">
              <w:rPr>
                <w:rFonts w:ascii="Arial Narrow" w:hAnsi="Arial Narrow"/>
                <w:b/>
                <w:bCs/>
                <w:color w:val="auto"/>
                <w:sz w:val="20"/>
                <w:szCs w:val="20"/>
              </w:rPr>
              <w:t>REDACTED</w:t>
            </w:r>
          </w:p>
        </w:tc>
      </w:tr>
      <w:tr w:rsidR="00D87B24" w:rsidRPr="00E43C21" w14:paraId="7F2496F4" w14:textId="77777777" w:rsidTr="00D52988">
        <w:trPr>
          <w:trHeight w:val="57"/>
        </w:trPr>
        <w:tc>
          <w:tcPr>
            <w:tcW w:w="3823" w:type="dxa"/>
            <w:noWrap/>
            <w:vAlign w:val="center"/>
            <w:hideMark/>
          </w:tcPr>
          <w:p w14:paraId="7ED96E8A" w14:textId="41A8622B" w:rsidR="00D87B24" w:rsidRPr="00E43C21" w:rsidRDefault="00D87B24" w:rsidP="00D52988">
            <w:pPr>
              <w:pStyle w:val="Tabletext0"/>
              <w:rPr>
                <w:rFonts w:cstheme="minorHAnsi"/>
                <w:i/>
                <w:iCs/>
              </w:rPr>
            </w:pPr>
            <w:r w:rsidRPr="00E43C21">
              <w:t xml:space="preserve">Fractions </w:t>
            </w:r>
            <w:r w:rsidR="00D52988" w:rsidRPr="00D52988">
              <w:rPr>
                <w:b/>
                <w:bCs/>
              </w:rPr>
              <w:t>redacted</w:t>
            </w:r>
            <w:r w:rsidRPr="00E43C21">
              <w:t xml:space="preserve"> per treatment*</w:t>
            </w:r>
          </w:p>
        </w:tc>
        <w:tc>
          <w:tcPr>
            <w:tcW w:w="1842" w:type="dxa"/>
          </w:tcPr>
          <w:p w14:paraId="76728ED4" w14:textId="5985623B" w:rsidR="00D87B24" w:rsidRPr="00D52988" w:rsidRDefault="00E43C21" w:rsidP="00D87B24">
            <w:pPr>
              <w:pStyle w:val="Instructionaltext"/>
              <w:keepNext/>
              <w:keepLines/>
              <w:spacing w:before="0" w:line="276" w:lineRule="auto"/>
              <w:rPr>
                <w:rFonts w:ascii="Arial Narrow" w:hAnsi="Arial Narrow"/>
                <w:b/>
                <w:color w:val="auto"/>
                <w:sz w:val="20"/>
              </w:rPr>
            </w:pPr>
            <w:r w:rsidRPr="00B22F65">
              <w:rPr>
                <w:rFonts w:ascii="Arial Narrow" w:hAnsi="Arial Narrow"/>
                <w:color w:val="000000" w:themeColor="text1"/>
                <w:sz w:val="20"/>
                <w:szCs w:val="20"/>
              </w:rPr>
              <w:t>$</w:t>
            </w:r>
            <w:r w:rsidR="00D87B24" w:rsidRPr="00D87B24">
              <w:rPr>
                <w:rFonts w:ascii="Arial Narrow" w:hAnsi="Arial Narrow"/>
                <w:b/>
                <w:bCs/>
                <w:color w:val="auto"/>
                <w:sz w:val="20"/>
                <w:szCs w:val="20"/>
              </w:rPr>
              <w:t>REDACTED</w:t>
            </w:r>
          </w:p>
        </w:tc>
        <w:tc>
          <w:tcPr>
            <w:tcW w:w="1620" w:type="dxa"/>
            <w:noWrap/>
            <w:hideMark/>
          </w:tcPr>
          <w:p w14:paraId="23DE4E08" w14:textId="6E06A7D7" w:rsidR="00D87B24" w:rsidRPr="00D52988" w:rsidRDefault="00E43C21" w:rsidP="00D87B24">
            <w:pPr>
              <w:pStyle w:val="Instructionaltext"/>
              <w:keepNext/>
              <w:keepLines/>
              <w:spacing w:before="0" w:line="276" w:lineRule="auto"/>
              <w:rPr>
                <w:rFonts w:ascii="Arial Narrow" w:hAnsi="Arial Narrow"/>
                <w:b/>
                <w:color w:val="auto"/>
                <w:sz w:val="20"/>
              </w:rPr>
            </w:pPr>
            <w:r w:rsidRPr="00B22F65">
              <w:rPr>
                <w:rFonts w:ascii="Arial Narrow" w:hAnsi="Arial Narrow"/>
                <w:color w:val="000000" w:themeColor="text1"/>
                <w:sz w:val="20"/>
                <w:szCs w:val="20"/>
              </w:rPr>
              <w:t>$</w:t>
            </w:r>
            <w:r w:rsidR="00D87B24" w:rsidRPr="00D87B24">
              <w:rPr>
                <w:rFonts w:ascii="Arial Narrow" w:hAnsi="Arial Narrow"/>
                <w:b/>
                <w:bCs/>
                <w:color w:val="auto"/>
                <w:sz w:val="20"/>
                <w:szCs w:val="20"/>
              </w:rPr>
              <w:t>REDACTED</w:t>
            </w:r>
          </w:p>
        </w:tc>
        <w:tc>
          <w:tcPr>
            <w:tcW w:w="1731" w:type="dxa"/>
          </w:tcPr>
          <w:p w14:paraId="22645BDB" w14:textId="7DFBB068" w:rsidR="00D87B24" w:rsidRPr="00D52988" w:rsidRDefault="00E43C21" w:rsidP="00D87B24">
            <w:pPr>
              <w:pStyle w:val="Instructionaltext"/>
              <w:keepNext/>
              <w:keepLines/>
              <w:spacing w:before="0" w:line="276" w:lineRule="auto"/>
              <w:rPr>
                <w:rFonts w:ascii="Arial Narrow" w:hAnsi="Arial Narrow"/>
                <w:b/>
                <w:color w:val="auto"/>
                <w:sz w:val="20"/>
              </w:rPr>
            </w:pPr>
            <w:r w:rsidRPr="00B22F65">
              <w:rPr>
                <w:rFonts w:ascii="Arial Narrow" w:hAnsi="Arial Narrow"/>
                <w:color w:val="000000" w:themeColor="text1"/>
                <w:sz w:val="20"/>
                <w:szCs w:val="20"/>
              </w:rPr>
              <w:t>$</w:t>
            </w:r>
            <w:r w:rsidR="00D87B24" w:rsidRPr="00D87B24">
              <w:rPr>
                <w:rFonts w:ascii="Arial Narrow" w:hAnsi="Arial Narrow"/>
                <w:b/>
                <w:bCs/>
                <w:color w:val="auto"/>
                <w:sz w:val="20"/>
                <w:szCs w:val="20"/>
              </w:rPr>
              <w:t>REDACTED</w:t>
            </w:r>
          </w:p>
        </w:tc>
      </w:tr>
      <w:tr w:rsidR="00D87B24" w:rsidRPr="00E43C21" w14:paraId="60EE1EE4" w14:textId="77777777" w:rsidTr="00D52988">
        <w:trPr>
          <w:trHeight w:val="57"/>
        </w:trPr>
        <w:tc>
          <w:tcPr>
            <w:tcW w:w="3823" w:type="dxa"/>
            <w:noWrap/>
            <w:vAlign w:val="center"/>
            <w:hideMark/>
          </w:tcPr>
          <w:p w14:paraId="39C009E6" w14:textId="77777777" w:rsidR="00D87B24" w:rsidRPr="00E43C21" w:rsidRDefault="00D87B24" w:rsidP="00D87B24">
            <w:pPr>
              <w:pStyle w:val="Instructionaltext"/>
              <w:keepNext/>
              <w:keepLines/>
              <w:spacing w:before="0" w:line="276" w:lineRule="auto"/>
              <w:rPr>
                <w:rFonts w:ascii="Arial Narrow" w:hAnsi="Arial Narrow" w:cstheme="minorHAnsi"/>
                <w:i/>
                <w:iCs/>
                <w:color w:val="auto"/>
                <w:sz w:val="20"/>
                <w:szCs w:val="20"/>
              </w:rPr>
            </w:pPr>
            <w:r w:rsidRPr="00E43C21">
              <w:rPr>
                <w:rFonts w:ascii="Arial Narrow" w:hAnsi="Arial Narrow"/>
                <w:color w:val="auto"/>
                <w:sz w:val="20"/>
                <w:szCs w:val="20"/>
              </w:rPr>
              <w:t>Half carpoule wasted*</w:t>
            </w:r>
          </w:p>
        </w:tc>
        <w:tc>
          <w:tcPr>
            <w:tcW w:w="1842" w:type="dxa"/>
          </w:tcPr>
          <w:p w14:paraId="17488EC1" w14:textId="557D4C73" w:rsidR="00D87B24" w:rsidRPr="00D52988" w:rsidRDefault="00E43C21" w:rsidP="00D87B24">
            <w:pPr>
              <w:pStyle w:val="Instructionaltext"/>
              <w:keepNext/>
              <w:keepLines/>
              <w:spacing w:before="0" w:line="276" w:lineRule="auto"/>
              <w:rPr>
                <w:rFonts w:ascii="Arial Narrow" w:hAnsi="Arial Narrow"/>
                <w:b/>
                <w:color w:val="auto"/>
                <w:sz w:val="20"/>
              </w:rPr>
            </w:pPr>
            <w:r w:rsidRPr="00B22F65">
              <w:rPr>
                <w:rFonts w:ascii="Arial Narrow" w:hAnsi="Arial Narrow"/>
                <w:color w:val="000000" w:themeColor="text1"/>
                <w:sz w:val="20"/>
                <w:szCs w:val="20"/>
              </w:rPr>
              <w:t>$</w:t>
            </w:r>
            <w:r w:rsidR="00D87B24" w:rsidRPr="00D87B24">
              <w:rPr>
                <w:rFonts w:ascii="Arial Narrow" w:hAnsi="Arial Narrow"/>
                <w:b/>
                <w:bCs/>
                <w:color w:val="auto"/>
                <w:sz w:val="20"/>
                <w:szCs w:val="20"/>
              </w:rPr>
              <w:t>REDACTED</w:t>
            </w:r>
          </w:p>
        </w:tc>
        <w:tc>
          <w:tcPr>
            <w:tcW w:w="1620" w:type="dxa"/>
            <w:noWrap/>
            <w:hideMark/>
          </w:tcPr>
          <w:p w14:paraId="55993F8E" w14:textId="725135D4" w:rsidR="00D87B24" w:rsidRPr="00D52988" w:rsidRDefault="00E43C21" w:rsidP="00D87B24">
            <w:pPr>
              <w:pStyle w:val="Instructionaltext"/>
              <w:keepNext/>
              <w:keepLines/>
              <w:spacing w:before="0" w:line="276" w:lineRule="auto"/>
              <w:rPr>
                <w:rFonts w:ascii="Arial Narrow" w:hAnsi="Arial Narrow"/>
                <w:b/>
                <w:color w:val="auto"/>
                <w:sz w:val="20"/>
              </w:rPr>
            </w:pPr>
            <w:r w:rsidRPr="00B22F65">
              <w:rPr>
                <w:rFonts w:ascii="Arial Narrow" w:hAnsi="Arial Narrow"/>
                <w:color w:val="000000" w:themeColor="text1"/>
                <w:sz w:val="20"/>
                <w:szCs w:val="20"/>
              </w:rPr>
              <w:t>$</w:t>
            </w:r>
            <w:r w:rsidR="00D87B24" w:rsidRPr="00D87B24">
              <w:rPr>
                <w:rFonts w:ascii="Arial Narrow" w:hAnsi="Arial Narrow"/>
                <w:b/>
                <w:bCs/>
                <w:color w:val="auto"/>
                <w:sz w:val="20"/>
                <w:szCs w:val="20"/>
              </w:rPr>
              <w:t>REDACTED</w:t>
            </w:r>
          </w:p>
        </w:tc>
        <w:tc>
          <w:tcPr>
            <w:tcW w:w="1731" w:type="dxa"/>
          </w:tcPr>
          <w:p w14:paraId="73280253" w14:textId="42EAB9B5" w:rsidR="00D87B24" w:rsidRPr="00D52988" w:rsidRDefault="00E43C21" w:rsidP="00D87B24">
            <w:pPr>
              <w:pStyle w:val="Instructionaltext"/>
              <w:keepNext/>
              <w:keepLines/>
              <w:spacing w:before="0" w:line="276" w:lineRule="auto"/>
              <w:rPr>
                <w:rFonts w:ascii="Arial Narrow" w:hAnsi="Arial Narrow"/>
                <w:b/>
                <w:color w:val="auto"/>
                <w:sz w:val="20"/>
              </w:rPr>
            </w:pPr>
            <w:r w:rsidRPr="00B22F65">
              <w:rPr>
                <w:rFonts w:ascii="Arial Narrow" w:hAnsi="Arial Narrow"/>
                <w:color w:val="000000" w:themeColor="text1"/>
                <w:sz w:val="20"/>
                <w:szCs w:val="20"/>
              </w:rPr>
              <w:t>$</w:t>
            </w:r>
            <w:r w:rsidR="00D87B24" w:rsidRPr="00D87B24">
              <w:rPr>
                <w:rFonts w:ascii="Arial Narrow" w:hAnsi="Arial Narrow"/>
                <w:b/>
                <w:bCs/>
                <w:color w:val="auto"/>
                <w:sz w:val="20"/>
                <w:szCs w:val="20"/>
              </w:rPr>
              <w:t>REDACTED</w:t>
            </w:r>
          </w:p>
        </w:tc>
      </w:tr>
      <w:tr w:rsidR="00D87B24" w:rsidRPr="00E43C21" w14:paraId="2DF1B14E" w14:textId="77777777" w:rsidTr="00D52988">
        <w:trPr>
          <w:trHeight w:val="57"/>
        </w:trPr>
        <w:tc>
          <w:tcPr>
            <w:tcW w:w="3823" w:type="dxa"/>
            <w:noWrap/>
            <w:vAlign w:val="center"/>
            <w:hideMark/>
          </w:tcPr>
          <w:p w14:paraId="2A23EAAB" w14:textId="77777777" w:rsidR="00D87B24" w:rsidRPr="00E43C21" w:rsidRDefault="00D87B24" w:rsidP="00D87B24">
            <w:pPr>
              <w:pStyle w:val="Instructionaltext"/>
              <w:keepNext/>
              <w:keepLines/>
              <w:spacing w:before="0" w:line="276" w:lineRule="auto"/>
              <w:rPr>
                <w:rFonts w:ascii="Arial Narrow" w:hAnsi="Arial Narrow" w:cstheme="minorHAnsi"/>
                <w:i/>
                <w:iCs/>
                <w:color w:val="auto"/>
                <w:sz w:val="20"/>
                <w:szCs w:val="20"/>
              </w:rPr>
            </w:pPr>
            <w:r w:rsidRPr="00E43C21">
              <w:rPr>
                <w:rFonts w:ascii="Arial Narrow" w:hAnsi="Arial Narrow"/>
                <w:color w:val="auto"/>
                <w:sz w:val="20"/>
                <w:szCs w:val="20"/>
              </w:rPr>
              <w:t>Only one average patient per carpoule*</w:t>
            </w:r>
          </w:p>
        </w:tc>
        <w:tc>
          <w:tcPr>
            <w:tcW w:w="1842" w:type="dxa"/>
          </w:tcPr>
          <w:p w14:paraId="3EEE73CB" w14:textId="45D2541F" w:rsidR="00D87B24" w:rsidRPr="00D52988" w:rsidRDefault="00E43C21" w:rsidP="00D87B24">
            <w:pPr>
              <w:pStyle w:val="Instructionaltext"/>
              <w:keepNext/>
              <w:keepLines/>
              <w:spacing w:before="0" w:line="276" w:lineRule="auto"/>
              <w:rPr>
                <w:rFonts w:ascii="Arial Narrow" w:hAnsi="Arial Narrow"/>
                <w:b/>
                <w:color w:val="auto"/>
                <w:sz w:val="20"/>
              </w:rPr>
            </w:pPr>
            <w:r w:rsidRPr="00B22F65">
              <w:rPr>
                <w:rFonts w:ascii="Arial Narrow" w:hAnsi="Arial Narrow"/>
                <w:color w:val="000000" w:themeColor="text1"/>
                <w:sz w:val="20"/>
                <w:szCs w:val="20"/>
              </w:rPr>
              <w:t>$</w:t>
            </w:r>
            <w:r w:rsidR="00D87B24" w:rsidRPr="00D87B24">
              <w:rPr>
                <w:rFonts w:ascii="Arial Narrow" w:hAnsi="Arial Narrow"/>
                <w:b/>
                <w:bCs/>
                <w:color w:val="auto"/>
                <w:sz w:val="20"/>
                <w:szCs w:val="20"/>
              </w:rPr>
              <w:t>REDACTED</w:t>
            </w:r>
          </w:p>
        </w:tc>
        <w:tc>
          <w:tcPr>
            <w:tcW w:w="1620" w:type="dxa"/>
            <w:noWrap/>
            <w:hideMark/>
          </w:tcPr>
          <w:p w14:paraId="5CDD0C22" w14:textId="06C078C5" w:rsidR="00D87B24" w:rsidRPr="00D52988" w:rsidRDefault="00E43C21" w:rsidP="00D87B24">
            <w:pPr>
              <w:pStyle w:val="Instructionaltext"/>
              <w:keepNext/>
              <w:keepLines/>
              <w:spacing w:before="0" w:line="276" w:lineRule="auto"/>
              <w:rPr>
                <w:rFonts w:ascii="Arial Narrow" w:hAnsi="Arial Narrow"/>
                <w:b/>
                <w:color w:val="auto"/>
                <w:sz w:val="20"/>
              </w:rPr>
            </w:pPr>
            <w:r w:rsidRPr="00B22F65">
              <w:rPr>
                <w:rFonts w:ascii="Arial Narrow" w:hAnsi="Arial Narrow"/>
                <w:color w:val="000000" w:themeColor="text1"/>
                <w:sz w:val="20"/>
                <w:szCs w:val="20"/>
              </w:rPr>
              <w:t>$</w:t>
            </w:r>
            <w:r w:rsidR="00D87B24" w:rsidRPr="00D87B24">
              <w:rPr>
                <w:rFonts w:ascii="Arial Narrow" w:hAnsi="Arial Narrow"/>
                <w:b/>
                <w:bCs/>
                <w:color w:val="auto"/>
                <w:sz w:val="20"/>
                <w:szCs w:val="20"/>
              </w:rPr>
              <w:t>REDACTED</w:t>
            </w:r>
          </w:p>
        </w:tc>
        <w:tc>
          <w:tcPr>
            <w:tcW w:w="1731" w:type="dxa"/>
          </w:tcPr>
          <w:p w14:paraId="272768F1" w14:textId="30F1F996" w:rsidR="00D87B24" w:rsidRPr="00D52988" w:rsidRDefault="00E43C21" w:rsidP="00D87B24">
            <w:pPr>
              <w:pStyle w:val="Instructionaltext"/>
              <w:keepNext/>
              <w:keepLines/>
              <w:spacing w:before="0" w:line="276" w:lineRule="auto"/>
              <w:rPr>
                <w:rFonts w:ascii="Arial Narrow" w:hAnsi="Arial Narrow"/>
                <w:b/>
                <w:color w:val="auto"/>
                <w:sz w:val="20"/>
              </w:rPr>
            </w:pPr>
            <w:r w:rsidRPr="00B22F65">
              <w:rPr>
                <w:rFonts w:ascii="Arial Narrow" w:hAnsi="Arial Narrow"/>
                <w:color w:val="000000" w:themeColor="text1"/>
                <w:sz w:val="20"/>
                <w:szCs w:val="20"/>
              </w:rPr>
              <w:t>$</w:t>
            </w:r>
            <w:r w:rsidR="00D87B24" w:rsidRPr="00D87B24">
              <w:rPr>
                <w:rFonts w:ascii="Arial Narrow" w:hAnsi="Arial Narrow"/>
                <w:b/>
                <w:bCs/>
                <w:color w:val="auto"/>
                <w:sz w:val="20"/>
                <w:szCs w:val="20"/>
              </w:rPr>
              <w:t>REDACTED</w:t>
            </w:r>
          </w:p>
        </w:tc>
      </w:tr>
    </w:tbl>
    <w:p w14:paraId="16647475" w14:textId="645F7514" w:rsidR="00462103" w:rsidRPr="00B22F65" w:rsidRDefault="00735EDC" w:rsidP="00702E73">
      <w:pPr>
        <w:pStyle w:val="TableFigureFooter"/>
        <w:keepNext/>
        <w:keepLines/>
        <w:spacing w:after="0"/>
      </w:pPr>
      <w:r w:rsidRPr="00B22F65">
        <w:t xml:space="preserve">Source: </w:t>
      </w:r>
      <w:r w:rsidR="00462103" w:rsidRPr="00B22F65">
        <w:t>C</w:t>
      </w:r>
      <w:r w:rsidRPr="00B22F65">
        <w:t xml:space="preserve">alculated during evaluation. </w:t>
      </w:r>
    </w:p>
    <w:p w14:paraId="5F632AD6" w14:textId="23F6EA2A" w:rsidR="00735EDC" w:rsidRPr="00B22F65" w:rsidRDefault="00735EDC" w:rsidP="00702E73">
      <w:pPr>
        <w:pStyle w:val="TableFigureFooter"/>
        <w:keepNext/>
        <w:keepLines/>
        <w:spacing w:before="0" w:after="0"/>
      </w:pPr>
      <w:r w:rsidRPr="00B22F65">
        <w:t>EBRT</w:t>
      </w:r>
      <w:r w:rsidR="00462103" w:rsidRPr="00B22F65">
        <w:t xml:space="preserve"> </w:t>
      </w:r>
      <w:r w:rsidRPr="00B22F65">
        <w:t>= external beam radiation therapy</w:t>
      </w:r>
    </w:p>
    <w:p w14:paraId="487F5DCE" w14:textId="7ABD91AD" w:rsidR="00E43C21" w:rsidRPr="00E43C21" w:rsidRDefault="00E43C21" w:rsidP="00702E73">
      <w:pPr>
        <w:pStyle w:val="TableFigureFooter"/>
        <w:keepNext/>
        <w:keepLines/>
        <w:spacing w:before="0" w:after="0"/>
      </w:pPr>
      <w:r w:rsidRPr="00B22F65">
        <w:t>* The simplistic calculations for EBRT done during evaluation (line 1 in the table) were used for the rest of the sensitivity analysis.</w:t>
      </w:r>
    </w:p>
    <w:p w14:paraId="79D4EA1B" w14:textId="7D26031B" w:rsidR="00635DC7" w:rsidRDefault="002E571C" w:rsidP="001C3683">
      <w:r>
        <w:t>MSAC</w:t>
      </w:r>
      <w:r w:rsidR="00635DC7">
        <w:t xml:space="preserve"> noted that </w:t>
      </w:r>
      <w:r w:rsidR="00B43632">
        <w:t>due to</w:t>
      </w:r>
      <w:r w:rsidR="00635DC7">
        <w:t xml:space="preserve"> the high level of uncertainty regarding the relationship between lesion size, fractionation </w:t>
      </w:r>
      <w:r w:rsidR="00CC266C">
        <w:t>for EBRT</w:t>
      </w:r>
      <w:r w:rsidR="00EA71AE">
        <w:t xml:space="preserve">, </w:t>
      </w:r>
      <w:r w:rsidR="00CC266C">
        <w:t xml:space="preserve">batching </w:t>
      </w:r>
      <w:r w:rsidR="00635DC7">
        <w:t>for Re-188 brachytherapy</w:t>
      </w:r>
      <w:r w:rsidR="00EA71AE">
        <w:t xml:space="preserve"> and average patients per carpoule</w:t>
      </w:r>
      <w:r w:rsidR="00B43632">
        <w:t>,</w:t>
      </w:r>
      <w:r w:rsidR="00635DC7">
        <w:t xml:space="preserve"> the robustness of the economic model's results</w:t>
      </w:r>
      <w:r w:rsidR="001C3683">
        <w:t xml:space="preserve"> </w:t>
      </w:r>
      <w:r w:rsidR="006B00CD">
        <w:t>were</w:t>
      </w:r>
      <w:r w:rsidR="00B43632">
        <w:t xml:space="preserve"> </w:t>
      </w:r>
      <w:r w:rsidR="001C3683">
        <w:t>undermined</w:t>
      </w:r>
      <w:r w:rsidR="00635DC7">
        <w:t xml:space="preserve">. </w:t>
      </w:r>
      <w:r w:rsidR="006711AB">
        <w:t xml:space="preserve">The </w:t>
      </w:r>
      <w:r w:rsidR="009C201A">
        <w:t xml:space="preserve">sensitivity analysis highlighted that Re-188 brachytherapy is likely to be more </w:t>
      </w:r>
      <w:r w:rsidR="003F3E02">
        <w:t>expensive than EBRT.</w:t>
      </w:r>
      <w:r>
        <w:t xml:space="preserve"> MSAC</w:t>
      </w:r>
      <w:r w:rsidR="007A4E06">
        <w:t xml:space="preserve"> commentary considered that</w:t>
      </w:r>
      <w:r w:rsidR="00380A4D">
        <w:t xml:space="preserve"> more</w:t>
      </w:r>
      <w:r w:rsidR="00635DC7">
        <w:t xml:space="preserve"> </w:t>
      </w:r>
      <w:r w:rsidR="00305B4A">
        <w:t xml:space="preserve">clinical </w:t>
      </w:r>
      <w:r w:rsidR="00635DC7">
        <w:t>evidence</w:t>
      </w:r>
      <w:r w:rsidR="00305B4A">
        <w:t xml:space="preserve"> comparing</w:t>
      </w:r>
      <w:r w:rsidR="00635DC7">
        <w:t xml:space="preserve"> on the relationship between these two technologies is needed to ensure an accurate comparison of their total costs.</w:t>
      </w:r>
      <w:r w:rsidR="00E82457">
        <w:t xml:space="preserve"> Specifically, </w:t>
      </w:r>
      <w:r w:rsidR="00224BEC">
        <w:t>there is a need to compare the ERBT technologies with Re-188</w:t>
      </w:r>
      <w:r w:rsidR="00C039DD">
        <w:t xml:space="preserve">, where the mix of ERBT in practice is </w:t>
      </w:r>
      <w:r w:rsidR="00955DF3">
        <w:t xml:space="preserve">directly compared with </w:t>
      </w:r>
      <w:r w:rsidR="00C039DD">
        <w:t xml:space="preserve">the </w:t>
      </w:r>
      <w:r w:rsidR="00955DF3">
        <w:t xml:space="preserve">true usage of Re-188 patients where wastage and batching is taken into consideration. </w:t>
      </w:r>
      <w:r w:rsidR="00B452ED">
        <w:t xml:space="preserve"> </w:t>
      </w:r>
    </w:p>
    <w:p w14:paraId="25AE2BAC" w14:textId="7060C848" w:rsidR="00772829" w:rsidRPr="00CE28E3" w:rsidRDefault="00772829" w:rsidP="00B809FE">
      <w:pPr>
        <w:pStyle w:val="Heading2"/>
        <w:numPr>
          <w:ilvl w:val="0"/>
          <w:numId w:val="18"/>
        </w:numPr>
        <w:ind w:hanging="720"/>
      </w:pPr>
      <w:bookmarkStart w:id="48" w:name="_Toc69491426"/>
      <w:r w:rsidRPr="00CE28E3">
        <w:t>Financial/budgetary impacts</w:t>
      </w:r>
      <w:bookmarkEnd w:id="48"/>
    </w:p>
    <w:p w14:paraId="734AC530" w14:textId="7D33D15A" w:rsidR="00864F6B" w:rsidRDefault="005166F9" w:rsidP="005F3A4D">
      <w:r w:rsidRPr="005166F9">
        <w:t>A market share approach was used to estimate the uptake of the proposed technology in the ADAR. The market share was based on utilisation of the currently listed items</w:t>
      </w:r>
      <w:r w:rsidR="003D09E2">
        <w:t xml:space="preserve"> related to</w:t>
      </w:r>
      <w:r w:rsidR="00B01437">
        <w:t xml:space="preserve"> </w:t>
      </w:r>
      <w:r w:rsidR="00B01437" w:rsidRPr="00635DC7">
        <w:t>EBRT</w:t>
      </w:r>
      <w:r w:rsidR="00B01437">
        <w:t xml:space="preserve"> (</w:t>
      </w:r>
      <w:r w:rsidR="003D09E2">
        <w:t>SXRT</w:t>
      </w:r>
      <w:r w:rsidR="007C2E58">
        <w:t>, Electrons and IMRT</w:t>
      </w:r>
      <w:r w:rsidR="00B01437">
        <w:t>)</w:t>
      </w:r>
      <w:r w:rsidR="005F3A4D">
        <w:t xml:space="preserve"> and aligned with the</w:t>
      </w:r>
      <w:r w:rsidR="00B01437">
        <w:t xml:space="preserve"> </w:t>
      </w:r>
      <w:r w:rsidR="00E048E3">
        <w:t>updated</w:t>
      </w:r>
      <w:r w:rsidR="00B01437">
        <w:t xml:space="preserve"> items as a result</w:t>
      </w:r>
      <w:r w:rsidR="005F3A4D">
        <w:t xml:space="preserve"> </w:t>
      </w:r>
      <w:r w:rsidR="00E5127D">
        <w:t xml:space="preserve">of the </w:t>
      </w:r>
      <w:r w:rsidR="00D7364B">
        <w:t>MBS</w:t>
      </w:r>
      <w:r w:rsidR="0053180D">
        <w:rPr>
          <w:rStyle w:val="FootnoteReference"/>
          <w:color w:val="0070C0"/>
          <w:u w:val="single"/>
        </w:rPr>
        <w:footnoteReference w:id="23"/>
      </w:r>
      <w:r w:rsidR="009B4EEE">
        <w:t>.</w:t>
      </w:r>
      <w:r>
        <w:t xml:space="preserve"> The commentary considered this was appropriate</w:t>
      </w:r>
      <w:r w:rsidR="005F3A4D">
        <w:t xml:space="preserve">. </w:t>
      </w:r>
    </w:p>
    <w:p w14:paraId="265C275C" w14:textId="77777777" w:rsidR="00DE7AB9" w:rsidRPr="00B22F65" w:rsidRDefault="00DE7AB9" w:rsidP="00B22F65">
      <w:pPr>
        <w:pStyle w:val="Heading3"/>
      </w:pPr>
      <w:r w:rsidRPr="00B22F65">
        <w:t>Key assumptions</w:t>
      </w:r>
    </w:p>
    <w:p w14:paraId="385ECE56" w14:textId="77777777" w:rsidR="00DE7AB9" w:rsidRPr="00330A0A" w:rsidRDefault="00DE7AB9" w:rsidP="00DE7AB9">
      <w:pPr>
        <w:pStyle w:val="a-TEXT"/>
      </w:pPr>
      <w:r>
        <w:t>The following key cost assumptions/</w:t>
      </w:r>
      <w:r w:rsidRPr="00F347BD">
        <w:t>drivers</w:t>
      </w:r>
      <w:r>
        <w:t xml:space="preserve"> were used for the budgetary impact analysis:</w:t>
      </w:r>
    </w:p>
    <w:p w14:paraId="445630B2" w14:textId="4A644AF1" w:rsidR="00AA1828" w:rsidRDefault="00AA1828" w:rsidP="00702E73">
      <w:pPr>
        <w:pStyle w:val="TableText"/>
        <w:numPr>
          <w:ilvl w:val="0"/>
          <w:numId w:val="11"/>
        </w:numPr>
        <w:spacing w:before="120" w:after="120" w:line="259" w:lineRule="auto"/>
        <w:rPr>
          <w:rFonts w:ascii="Franklin Gothic Book" w:hAnsi="Franklin Gothic Book"/>
          <w:iCs/>
          <w:sz w:val="22"/>
        </w:rPr>
      </w:pPr>
      <w:r w:rsidRPr="003A74C6">
        <w:rPr>
          <w:rFonts w:ascii="Franklin Gothic Book" w:hAnsi="Franklin Gothic Book"/>
          <w:iCs/>
          <w:sz w:val="22"/>
        </w:rPr>
        <w:t>The estimates o</w:t>
      </w:r>
      <w:r>
        <w:rPr>
          <w:rFonts w:ascii="Franklin Gothic Book" w:hAnsi="Franklin Gothic Book"/>
          <w:iCs/>
          <w:sz w:val="22"/>
        </w:rPr>
        <w:t>f</w:t>
      </w:r>
      <w:r w:rsidRPr="003A74C6">
        <w:rPr>
          <w:rFonts w:ascii="Franklin Gothic Book" w:hAnsi="Franklin Gothic Book"/>
          <w:iCs/>
          <w:sz w:val="22"/>
        </w:rPr>
        <w:t xml:space="preserve"> </w:t>
      </w:r>
      <w:r w:rsidR="00870A04">
        <w:rPr>
          <w:rFonts w:ascii="Franklin Gothic Book" w:hAnsi="Franklin Gothic Book"/>
          <w:iCs/>
          <w:sz w:val="22"/>
        </w:rPr>
        <w:t xml:space="preserve">EBRT </w:t>
      </w:r>
      <w:r>
        <w:rPr>
          <w:rFonts w:ascii="Franklin Gothic Book" w:hAnsi="Franklin Gothic Book"/>
          <w:iCs/>
          <w:sz w:val="22"/>
        </w:rPr>
        <w:t xml:space="preserve">modality </w:t>
      </w:r>
      <w:r w:rsidR="00870A04">
        <w:rPr>
          <w:rFonts w:ascii="Franklin Gothic Book" w:hAnsi="Franklin Gothic Book"/>
          <w:iCs/>
          <w:sz w:val="22"/>
        </w:rPr>
        <w:t>replacement</w:t>
      </w:r>
      <w:r>
        <w:rPr>
          <w:rFonts w:ascii="Franklin Gothic Book" w:hAnsi="Franklin Gothic Book"/>
          <w:iCs/>
          <w:sz w:val="22"/>
        </w:rPr>
        <w:t xml:space="preserve"> were based on</w:t>
      </w:r>
      <w:r w:rsidR="00870A04">
        <w:rPr>
          <w:rFonts w:ascii="Franklin Gothic Book" w:hAnsi="Franklin Gothic Book"/>
          <w:iCs/>
          <w:sz w:val="22"/>
        </w:rPr>
        <w:t xml:space="preserve"> a</w:t>
      </w:r>
      <w:r>
        <w:rPr>
          <w:rFonts w:ascii="Franklin Gothic Book" w:hAnsi="Franklin Gothic Book"/>
          <w:iCs/>
          <w:sz w:val="22"/>
        </w:rPr>
        <w:t xml:space="preserve"> clinician survey and an email from</w:t>
      </w:r>
      <w:r w:rsidRPr="00D52988">
        <w:rPr>
          <w:b/>
        </w:rPr>
        <w:t xml:space="preserve"> </w:t>
      </w:r>
      <w:r w:rsidR="00D52988" w:rsidRPr="00D52988">
        <w:rPr>
          <w:rFonts w:ascii="Franklin Gothic Book" w:hAnsi="Franklin Gothic Book"/>
          <w:b/>
          <w:bCs/>
          <w:iCs/>
          <w:sz w:val="22"/>
        </w:rPr>
        <w:t>redacted</w:t>
      </w:r>
      <w:r w:rsidRPr="002872A0">
        <w:rPr>
          <w:rFonts w:ascii="Franklin Gothic Book" w:hAnsi="Franklin Gothic Book"/>
          <w:b/>
          <w:bCs/>
          <w:iCs/>
          <w:sz w:val="22"/>
        </w:rPr>
        <w:t xml:space="preserve"> </w:t>
      </w:r>
      <w:r>
        <w:rPr>
          <w:rFonts w:ascii="Franklin Gothic Book" w:hAnsi="Franklin Gothic Book"/>
          <w:iCs/>
          <w:sz w:val="22"/>
        </w:rPr>
        <w:t xml:space="preserve">with regards to their </w:t>
      </w:r>
      <w:r w:rsidR="004D6982">
        <w:rPr>
          <w:rFonts w:ascii="Franklin Gothic Book" w:hAnsi="Franklin Gothic Book"/>
          <w:iCs/>
          <w:sz w:val="22"/>
        </w:rPr>
        <w:t xml:space="preserve">NMSC </w:t>
      </w:r>
      <w:r>
        <w:rPr>
          <w:rFonts w:ascii="Franklin Gothic Book" w:hAnsi="Franklin Gothic Book"/>
          <w:iCs/>
          <w:sz w:val="22"/>
        </w:rPr>
        <w:t xml:space="preserve">case mix. </w:t>
      </w:r>
    </w:p>
    <w:p w14:paraId="43C7C74A" w14:textId="341615A0" w:rsidR="003E653E" w:rsidRDefault="00DE7AB9" w:rsidP="00702E73">
      <w:pPr>
        <w:pStyle w:val="TableText"/>
        <w:numPr>
          <w:ilvl w:val="0"/>
          <w:numId w:val="11"/>
        </w:numPr>
        <w:spacing w:before="120" w:after="120" w:line="259" w:lineRule="auto"/>
        <w:rPr>
          <w:rFonts w:ascii="Franklin Gothic Book" w:hAnsi="Franklin Gothic Book"/>
          <w:iCs/>
          <w:sz w:val="22"/>
        </w:rPr>
      </w:pPr>
      <w:r w:rsidRPr="003A74C6">
        <w:rPr>
          <w:rFonts w:ascii="Franklin Gothic Book" w:hAnsi="Franklin Gothic Book"/>
          <w:iCs/>
          <w:sz w:val="22"/>
        </w:rPr>
        <w:t>The ADAR</w:t>
      </w:r>
      <w:r w:rsidR="003E653E" w:rsidRPr="003E653E">
        <w:t xml:space="preserve"> </w:t>
      </w:r>
      <w:r w:rsidR="003E653E" w:rsidRPr="003E653E">
        <w:rPr>
          <w:rFonts w:ascii="Franklin Gothic Book" w:hAnsi="Franklin Gothic Book"/>
          <w:iCs/>
          <w:sz w:val="22"/>
        </w:rPr>
        <w:t>generated rates of replacement based on their own commercial experience</w:t>
      </w:r>
      <w:r w:rsidR="003E653E">
        <w:rPr>
          <w:rFonts w:ascii="Franklin Gothic Book" w:hAnsi="Franklin Gothic Book"/>
          <w:iCs/>
          <w:sz w:val="22"/>
        </w:rPr>
        <w:t xml:space="preserve"> without justification</w:t>
      </w:r>
    </w:p>
    <w:p w14:paraId="240010E6" w14:textId="77777777" w:rsidR="00666108" w:rsidRDefault="00632E03" w:rsidP="00702E73">
      <w:pPr>
        <w:pStyle w:val="TableText"/>
        <w:numPr>
          <w:ilvl w:val="0"/>
          <w:numId w:val="11"/>
        </w:numPr>
        <w:spacing w:before="120" w:after="120" w:line="259" w:lineRule="auto"/>
        <w:rPr>
          <w:rFonts w:ascii="Franklin Gothic Book" w:hAnsi="Franklin Gothic Book"/>
          <w:iCs/>
          <w:sz w:val="22"/>
        </w:rPr>
      </w:pPr>
      <w:r>
        <w:rPr>
          <w:rFonts w:ascii="Franklin Gothic Book" w:hAnsi="Franklin Gothic Book"/>
          <w:iCs/>
          <w:sz w:val="22"/>
        </w:rPr>
        <w:t xml:space="preserve">The ADAR estimated that </w:t>
      </w:r>
      <w:r w:rsidR="0007196B">
        <w:rPr>
          <w:rFonts w:ascii="Franklin Gothic Book" w:hAnsi="Franklin Gothic Book"/>
          <w:iCs/>
          <w:sz w:val="22"/>
        </w:rPr>
        <w:t xml:space="preserve">there would be an overall </w:t>
      </w:r>
      <w:r w:rsidR="00D37E92">
        <w:rPr>
          <w:rFonts w:ascii="Franklin Gothic Book" w:hAnsi="Franklin Gothic Book"/>
          <w:iCs/>
          <w:sz w:val="22"/>
        </w:rPr>
        <w:t xml:space="preserve">growth in the market over the </w:t>
      </w:r>
      <w:r w:rsidR="00666108">
        <w:rPr>
          <w:rFonts w:ascii="Franklin Gothic Book" w:hAnsi="Franklin Gothic Book"/>
          <w:iCs/>
          <w:sz w:val="22"/>
        </w:rPr>
        <w:t xml:space="preserve">forward estimates, based on the growth in usage of IMRT in the past 5 years. </w:t>
      </w:r>
    </w:p>
    <w:p w14:paraId="33778FEF" w14:textId="768E98BE" w:rsidR="00D9405D" w:rsidRDefault="00D9405D" w:rsidP="00702E73">
      <w:pPr>
        <w:pStyle w:val="TableText"/>
        <w:numPr>
          <w:ilvl w:val="0"/>
          <w:numId w:val="11"/>
        </w:numPr>
        <w:spacing w:before="120" w:after="120" w:line="259" w:lineRule="auto"/>
        <w:rPr>
          <w:rFonts w:ascii="Franklin Gothic Book" w:hAnsi="Franklin Gothic Book"/>
          <w:iCs/>
          <w:sz w:val="22"/>
        </w:rPr>
      </w:pPr>
      <w:r>
        <w:rPr>
          <w:rFonts w:ascii="Franklin Gothic Book" w:hAnsi="Franklin Gothic Book"/>
          <w:iCs/>
          <w:sz w:val="22"/>
        </w:rPr>
        <w:t xml:space="preserve">The ADAR assumed 22 fractions per patient on average for </w:t>
      </w:r>
      <w:r w:rsidR="00D830A7">
        <w:rPr>
          <w:rFonts w:ascii="Franklin Gothic Book" w:hAnsi="Franklin Gothic Book"/>
          <w:iCs/>
          <w:sz w:val="22"/>
        </w:rPr>
        <w:t>EBRT</w:t>
      </w:r>
      <w:r>
        <w:rPr>
          <w:rFonts w:ascii="Franklin Gothic Book" w:hAnsi="Franklin Gothic Book"/>
          <w:iCs/>
          <w:sz w:val="22"/>
        </w:rPr>
        <w:t xml:space="preserve">. </w:t>
      </w:r>
    </w:p>
    <w:p w14:paraId="1C99C99F" w14:textId="342F5B9A" w:rsidR="0021261D" w:rsidRPr="00945937" w:rsidRDefault="0021261D" w:rsidP="0021261D">
      <w:pPr>
        <w:rPr>
          <w:rFonts w:asciiTheme="minorHAnsi" w:hAnsiTheme="minorHAnsi"/>
        </w:rPr>
      </w:pPr>
      <w:r w:rsidRPr="00945937">
        <w:rPr>
          <w:rStyle w:val="IntenseEmphasis"/>
          <w:color w:val="auto"/>
        </w:rPr>
        <w:lastRenderedPageBreak/>
        <w:t xml:space="preserve">The ADAR </w:t>
      </w:r>
      <w:r w:rsidR="00006ADD">
        <w:rPr>
          <w:rStyle w:val="IntenseEmphasis"/>
          <w:color w:val="auto"/>
        </w:rPr>
        <w:t xml:space="preserve">used the </w:t>
      </w:r>
      <w:r w:rsidR="0049513C">
        <w:rPr>
          <w:rStyle w:val="IntenseEmphasis"/>
          <w:color w:val="auto"/>
        </w:rPr>
        <w:t>full fee in the financial analysis</w:t>
      </w:r>
      <w:r w:rsidR="00BE017C">
        <w:rPr>
          <w:rStyle w:val="IntenseEmphasis"/>
          <w:color w:val="auto"/>
        </w:rPr>
        <w:t>,</w:t>
      </w:r>
      <w:r w:rsidR="0049513C">
        <w:rPr>
          <w:rStyle w:val="IntenseEmphasis"/>
          <w:color w:val="auto"/>
        </w:rPr>
        <w:t xml:space="preserve"> so </w:t>
      </w:r>
      <w:r w:rsidRPr="00945937">
        <w:rPr>
          <w:rStyle w:val="IntenseEmphasis"/>
          <w:color w:val="auto"/>
        </w:rPr>
        <w:t xml:space="preserve">did not account for the greatest permissible gap (GPG) or an </w:t>
      </w:r>
      <w:r w:rsidR="00945937" w:rsidRPr="00945937">
        <w:rPr>
          <w:rStyle w:val="IntenseEmphasis"/>
          <w:color w:val="auto"/>
        </w:rPr>
        <w:t>85% benefit fee</w:t>
      </w:r>
      <w:r w:rsidRPr="00945937">
        <w:rPr>
          <w:rStyle w:val="IntenseEmphasis"/>
          <w:color w:val="auto"/>
        </w:rPr>
        <w:t xml:space="preserve"> when calculating the MBS costs.</w:t>
      </w:r>
      <w:r w:rsidR="00E70DAF">
        <w:rPr>
          <w:rStyle w:val="IntenseEmphasis"/>
          <w:color w:val="auto"/>
        </w:rPr>
        <w:t xml:space="preserve"> </w:t>
      </w:r>
      <w:r w:rsidR="005E6D6E">
        <w:rPr>
          <w:rStyle w:val="IntenseEmphasis"/>
          <w:color w:val="auto"/>
        </w:rPr>
        <w:t xml:space="preserve">The commentary </w:t>
      </w:r>
      <w:r w:rsidR="00D12AD5">
        <w:rPr>
          <w:rStyle w:val="IntenseEmphasis"/>
          <w:color w:val="auto"/>
        </w:rPr>
        <w:t>specified a new base case where the 85% benefit is used in the financial model.</w:t>
      </w:r>
    </w:p>
    <w:p w14:paraId="298A5FF1" w14:textId="77777777" w:rsidR="00DE7AB9" w:rsidRPr="00B22F65" w:rsidRDefault="00DE7AB9" w:rsidP="00B22F65">
      <w:pPr>
        <w:pStyle w:val="Heading3"/>
      </w:pPr>
      <w:r w:rsidRPr="00B22F65">
        <w:t>Results</w:t>
      </w:r>
    </w:p>
    <w:p w14:paraId="3C8F5CF2" w14:textId="2AAAEA70" w:rsidR="00DE7AB9" w:rsidRDefault="00DE7AB9" w:rsidP="00E4758D">
      <w:pPr>
        <w:pStyle w:val="a-TEXT"/>
      </w:pPr>
      <w:r w:rsidRPr="00187ACB">
        <w:t xml:space="preserve">The financial implications to the </w:t>
      </w:r>
      <w:r>
        <w:t xml:space="preserve">MBS </w:t>
      </w:r>
      <w:r w:rsidRPr="00187ACB">
        <w:t>resulting from the proposed listing of</w:t>
      </w:r>
      <w:r w:rsidR="00205D35">
        <w:t xml:space="preserve"> </w:t>
      </w:r>
      <w:r w:rsidR="00205D35" w:rsidRPr="00205D35">
        <w:t>Epidermal radioisotope therapy</w:t>
      </w:r>
      <w:r w:rsidR="004F0BAC" w:rsidRPr="004F0BAC">
        <w:t>, using rhenium-188 paste</w:t>
      </w:r>
      <w:r w:rsidR="004F0BAC">
        <w:t xml:space="preserve"> are </w:t>
      </w:r>
      <w:r w:rsidR="002A3E0F">
        <w:t xml:space="preserve">summarised </w:t>
      </w:r>
      <w:r w:rsidR="002A3E0F" w:rsidRPr="00187ACB">
        <w:t>in</w:t>
      </w:r>
      <w:r w:rsidR="00293698">
        <w:t xml:space="preserve"> </w:t>
      </w:r>
      <w:r w:rsidR="00293698">
        <w:fldChar w:fldCharType="begin"/>
      </w:r>
      <w:r w:rsidR="00293698">
        <w:instrText xml:space="preserve"> REF _Ref69726382 \h </w:instrText>
      </w:r>
      <w:r w:rsidR="00293698">
        <w:fldChar w:fldCharType="separate"/>
      </w:r>
      <w:r w:rsidR="00AF5AE7" w:rsidRPr="00CE28E3">
        <w:t>Table</w:t>
      </w:r>
      <w:r w:rsidR="00AF5AE7">
        <w:t> </w:t>
      </w:r>
      <w:r w:rsidR="00AF5AE7">
        <w:rPr>
          <w:noProof/>
        </w:rPr>
        <w:t>21</w:t>
      </w:r>
      <w:r w:rsidR="00293698">
        <w:fldChar w:fldCharType="end"/>
      </w:r>
      <w:r>
        <w:t xml:space="preserve">. It was estimated that the </w:t>
      </w:r>
      <w:r w:rsidR="00E4758D">
        <w:t xml:space="preserve">addition of </w:t>
      </w:r>
      <w:r>
        <w:t xml:space="preserve">MBS items </w:t>
      </w:r>
      <w:r w:rsidR="00E4758D">
        <w:t xml:space="preserve">for </w:t>
      </w:r>
      <w:r w:rsidR="00B17788">
        <w:t>Re-188 brachytherapy</w:t>
      </w:r>
      <w:r w:rsidR="00E4758D">
        <w:t xml:space="preserve"> </w:t>
      </w:r>
      <w:r>
        <w:t xml:space="preserve">would lead to a cost </w:t>
      </w:r>
      <w:r w:rsidR="00EF1D60">
        <w:t xml:space="preserve">saving </w:t>
      </w:r>
      <w:r>
        <w:t xml:space="preserve">of just </w:t>
      </w:r>
      <w:r w:rsidR="00EF1D60">
        <w:t>over</w:t>
      </w:r>
      <w:r>
        <w:t xml:space="preserve"> </w:t>
      </w:r>
      <w:r w:rsidR="00D52988" w:rsidRPr="00D52988">
        <w:rPr>
          <w:b/>
          <w:bCs/>
        </w:rPr>
        <w:t>redacted</w:t>
      </w:r>
      <w:r w:rsidR="00D87B24">
        <w:t xml:space="preserve"> </w:t>
      </w:r>
      <w:r>
        <w:t>in the first year of listing,</w:t>
      </w:r>
      <w:r w:rsidR="006D1C20">
        <w:t xml:space="preserve"> </w:t>
      </w:r>
      <w:r w:rsidR="007D2FC5">
        <w:t xml:space="preserve">with </w:t>
      </w:r>
      <w:r>
        <w:t xml:space="preserve">an estimated cost </w:t>
      </w:r>
      <w:r w:rsidR="00287CD7">
        <w:t xml:space="preserve">saving </w:t>
      </w:r>
      <w:r>
        <w:t xml:space="preserve">of </w:t>
      </w:r>
      <w:r w:rsidR="00D52988" w:rsidRPr="00D52988">
        <w:rPr>
          <w:b/>
          <w:bCs/>
        </w:rPr>
        <w:t>redacted</w:t>
      </w:r>
      <w:r w:rsidR="00D87B24">
        <w:t xml:space="preserve"> </w:t>
      </w:r>
      <w:r>
        <w:t>over the first six years of listing.</w:t>
      </w:r>
    </w:p>
    <w:p w14:paraId="33FCA9D4" w14:textId="4FA80C94" w:rsidR="00D428B9" w:rsidRPr="00CE28E3" w:rsidRDefault="00D428B9" w:rsidP="00215AFB">
      <w:pPr>
        <w:pStyle w:val="Caption"/>
      </w:pPr>
      <w:bookmarkStart w:id="49" w:name="_Ref69726382"/>
      <w:r w:rsidRPr="00CE28E3">
        <w:t>Table</w:t>
      </w:r>
      <w:r w:rsidR="003571C2">
        <w:t> </w:t>
      </w:r>
      <w:r w:rsidR="007F4BCC">
        <w:fldChar w:fldCharType="begin"/>
      </w:r>
      <w:r w:rsidR="007F4BCC">
        <w:instrText xml:space="preserve"> SEQ Table \* ARABIC </w:instrText>
      </w:r>
      <w:r w:rsidR="007F4BCC">
        <w:fldChar w:fldCharType="separate"/>
      </w:r>
      <w:r w:rsidR="00AF5AE7">
        <w:rPr>
          <w:noProof/>
        </w:rPr>
        <w:t>21</w:t>
      </w:r>
      <w:r w:rsidR="007F4BCC">
        <w:rPr>
          <w:noProof/>
        </w:rPr>
        <w:fldChar w:fldCharType="end"/>
      </w:r>
      <w:bookmarkEnd w:id="49"/>
      <w:r w:rsidRPr="00CE28E3">
        <w:tab/>
        <w:t>Net financial implications of</w:t>
      </w:r>
      <w:r w:rsidR="0011429D">
        <w:t xml:space="preserve"> </w:t>
      </w:r>
      <w:r w:rsidR="00B17788">
        <w:t>Re-188 brachytherapy</w:t>
      </w:r>
      <w:r w:rsidRPr="00CE28E3">
        <w:t xml:space="preserve"> to the</w:t>
      </w:r>
      <w:r w:rsidR="006E4AFA">
        <w:t xml:space="preserve"> </w:t>
      </w:r>
      <w:r w:rsidR="0011429D">
        <w:t>MBS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3"/>
        <w:gridCol w:w="1123"/>
        <w:gridCol w:w="1124"/>
        <w:gridCol w:w="1124"/>
        <w:gridCol w:w="1124"/>
        <w:gridCol w:w="1124"/>
        <w:gridCol w:w="1185"/>
      </w:tblGrid>
      <w:tr w:rsidR="00A27723" w:rsidRPr="0011429D" w14:paraId="10C955A8" w14:textId="77777777" w:rsidTr="1E8B3177">
        <w:trPr>
          <w:trHeight w:val="458"/>
          <w:tblHeader/>
        </w:trPr>
        <w:tc>
          <w:tcPr>
            <w:tcW w:w="2263" w:type="dxa"/>
            <w:tcMar>
              <w:top w:w="0" w:type="dxa"/>
              <w:left w:w="108" w:type="dxa"/>
              <w:bottom w:w="0" w:type="dxa"/>
              <w:right w:w="108" w:type="dxa"/>
            </w:tcMar>
            <w:vAlign w:val="center"/>
          </w:tcPr>
          <w:p w14:paraId="7F0BEFFF" w14:textId="130CD43F" w:rsidR="00D428B9" w:rsidRPr="00B22F65" w:rsidRDefault="00211DC3" w:rsidP="00B22F65">
            <w:pPr>
              <w:pStyle w:val="Tabletext0"/>
              <w:jc w:val="left"/>
              <w:rPr>
                <w:b/>
                <w:bCs/>
              </w:rPr>
            </w:pPr>
            <w:bookmarkStart w:id="50" w:name="Title_Table12" w:colFirst="0" w:colLast="0"/>
            <w:bookmarkStart w:id="51" w:name="_Hlk68276802"/>
            <w:r w:rsidRPr="00B22F65">
              <w:rPr>
                <w:b/>
                <w:bCs/>
              </w:rPr>
              <w:t>Parameter</w:t>
            </w:r>
            <w:r w:rsidR="001531D6" w:rsidRPr="00B22F65">
              <w:rPr>
                <w:b/>
                <w:bCs/>
              </w:rPr>
              <w:t xml:space="preserve"> </w:t>
            </w:r>
          </w:p>
        </w:tc>
        <w:tc>
          <w:tcPr>
            <w:tcW w:w="1123" w:type="dxa"/>
            <w:tcMar>
              <w:top w:w="0" w:type="dxa"/>
              <w:left w:w="108" w:type="dxa"/>
              <w:bottom w:w="0" w:type="dxa"/>
              <w:right w:w="108" w:type="dxa"/>
            </w:tcMar>
            <w:vAlign w:val="center"/>
            <w:hideMark/>
          </w:tcPr>
          <w:p w14:paraId="0802FC81" w14:textId="25D183CD" w:rsidR="00D428B9" w:rsidRPr="00B22F65" w:rsidRDefault="00D428B9" w:rsidP="00B22F65">
            <w:pPr>
              <w:pStyle w:val="Tabletext0"/>
              <w:jc w:val="left"/>
              <w:rPr>
                <w:b/>
                <w:bCs/>
              </w:rPr>
            </w:pPr>
            <w:r w:rsidRPr="00B22F65">
              <w:rPr>
                <w:b/>
                <w:bCs/>
              </w:rPr>
              <w:t xml:space="preserve">Year </w:t>
            </w:r>
            <w:r w:rsidR="00D77B20" w:rsidRPr="00B22F65">
              <w:rPr>
                <w:b/>
                <w:bCs/>
              </w:rPr>
              <w:t>20</w:t>
            </w:r>
            <w:r w:rsidR="0011429D" w:rsidRPr="00B22F65">
              <w:rPr>
                <w:b/>
                <w:bCs/>
              </w:rPr>
              <w:t>25</w:t>
            </w:r>
          </w:p>
        </w:tc>
        <w:tc>
          <w:tcPr>
            <w:tcW w:w="1124" w:type="dxa"/>
            <w:tcMar>
              <w:top w:w="0" w:type="dxa"/>
              <w:left w:w="108" w:type="dxa"/>
              <w:bottom w:w="0" w:type="dxa"/>
              <w:right w:w="108" w:type="dxa"/>
            </w:tcMar>
            <w:vAlign w:val="center"/>
            <w:hideMark/>
          </w:tcPr>
          <w:p w14:paraId="759DA5DF" w14:textId="3131E92B" w:rsidR="00D428B9" w:rsidRPr="00B22F65" w:rsidRDefault="00D428B9" w:rsidP="00B22F65">
            <w:pPr>
              <w:pStyle w:val="Tabletext0"/>
              <w:jc w:val="left"/>
              <w:rPr>
                <w:b/>
                <w:bCs/>
              </w:rPr>
            </w:pPr>
            <w:r w:rsidRPr="00B22F65">
              <w:rPr>
                <w:b/>
                <w:bCs/>
              </w:rPr>
              <w:t xml:space="preserve">Year </w:t>
            </w:r>
            <w:r w:rsidR="00D77B20" w:rsidRPr="00B22F65">
              <w:rPr>
                <w:b/>
                <w:bCs/>
              </w:rPr>
              <w:t>20</w:t>
            </w:r>
            <w:r w:rsidR="0011429D" w:rsidRPr="00B22F65">
              <w:rPr>
                <w:b/>
                <w:bCs/>
              </w:rPr>
              <w:t>26</w:t>
            </w:r>
          </w:p>
        </w:tc>
        <w:tc>
          <w:tcPr>
            <w:tcW w:w="1124" w:type="dxa"/>
            <w:tcMar>
              <w:top w:w="0" w:type="dxa"/>
              <w:left w:w="108" w:type="dxa"/>
              <w:bottom w:w="0" w:type="dxa"/>
              <w:right w:w="108" w:type="dxa"/>
            </w:tcMar>
            <w:vAlign w:val="center"/>
            <w:hideMark/>
          </w:tcPr>
          <w:p w14:paraId="3BF14104" w14:textId="3799B968" w:rsidR="00D428B9" w:rsidRPr="00B22F65" w:rsidRDefault="00D428B9" w:rsidP="00B22F65">
            <w:pPr>
              <w:pStyle w:val="Tabletext0"/>
              <w:jc w:val="left"/>
              <w:rPr>
                <w:b/>
                <w:bCs/>
              </w:rPr>
            </w:pPr>
            <w:r w:rsidRPr="00B22F65">
              <w:rPr>
                <w:b/>
                <w:bCs/>
              </w:rPr>
              <w:t xml:space="preserve">Year </w:t>
            </w:r>
            <w:r w:rsidR="00D77B20" w:rsidRPr="00B22F65">
              <w:rPr>
                <w:b/>
                <w:bCs/>
              </w:rPr>
              <w:t>20</w:t>
            </w:r>
            <w:r w:rsidR="0011429D" w:rsidRPr="00B22F65">
              <w:rPr>
                <w:b/>
                <w:bCs/>
              </w:rPr>
              <w:t>27</w:t>
            </w:r>
          </w:p>
        </w:tc>
        <w:tc>
          <w:tcPr>
            <w:tcW w:w="1124" w:type="dxa"/>
            <w:tcMar>
              <w:top w:w="0" w:type="dxa"/>
              <w:left w:w="108" w:type="dxa"/>
              <w:bottom w:w="0" w:type="dxa"/>
              <w:right w:w="108" w:type="dxa"/>
            </w:tcMar>
            <w:vAlign w:val="center"/>
            <w:hideMark/>
          </w:tcPr>
          <w:p w14:paraId="31580A99" w14:textId="6EC4BAED" w:rsidR="00D428B9" w:rsidRPr="00B22F65" w:rsidRDefault="00D428B9" w:rsidP="00B22F65">
            <w:pPr>
              <w:pStyle w:val="Tabletext0"/>
              <w:jc w:val="left"/>
              <w:rPr>
                <w:b/>
                <w:bCs/>
              </w:rPr>
            </w:pPr>
            <w:r w:rsidRPr="00B22F65">
              <w:rPr>
                <w:b/>
                <w:bCs/>
              </w:rPr>
              <w:t xml:space="preserve">Year </w:t>
            </w:r>
            <w:r w:rsidR="00D77B20" w:rsidRPr="00B22F65">
              <w:rPr>
                <w:b/>
                <w:bCs/>
              </w:rPr>
              <w:t>20</w:t>
            </w:r>
            <w:r w:rsidR="0011429D" w:rsidRPr="00B22F65">
              <w:rPr>
                <w:b/>
                <w:bCs/>
              </w:rPr>
              <w:t>28</w:t>
            </w:r>
          </w:p>
        </w:tc>
        <w:tc>
          <w:tcPr>
            <w:tcW w:w="1124" w:type="dxa"/>
            <w:tcMar>
              <w:top w:w="0" w:type="dxa"/>
              <w:left w:w="108" w:type="dxa"/>
              <w:bottom w:w="0" w:type="dxa"/>
              <w:right w:w="108" w:type="dxa"/>
            </w:tcMar>
            <w:vAlign w:val="center"/>
            <w:hideMark/>
          </w:tcPr>
          <w:p w14:paraId="199B68C0" w14:textId="00293331" w:rsidR="00D428B9" w:rsidRPr="00B22F65" w:rsidRDefault="00D428B9" w:rsidP="00B22F65">
            <w:pPr>
              <w:pStyle w:val="Tabletext0"/>
              <w:jc w:val="left"/>
              <w:rPr>
                <w:b/>
                <w:bCs/>
              </w:rPr>
            </w:pPr>
            <w:r w:rsidRPr="00B22F65">
              <w:rPr>
                <w:b/>
                <w:bCs/>
              </w:rPr>
              <w:t xml:space="preserve">Year </w:t>
            </w:r>
            <w:r w:rsidR="00D77B20" w:rsidRPr="00B22F65">
              <w:rPr>
                <w:b/>
                <w:bCs/>
              </w:rPr>
              <w:t>20</w:t>
            </w:r>
            <w:r w:rsidR="0011429D" w:rsidRPr="00B22F65">
              <w:rPr>
                <w:b/>
                <w:bCs/>
              </w:rPr>
              <w:t>29</w:t>
            </w:r>
          </w:p>
        </w:tc>
        <w:tc>
          <w:tcPr>
            <w:tcW w:w="1185" w:type="dxa"/>
            <w:tcMar>
              <w:top w:w="0" w:type="dxa"/>
              <w:left w:w="108" w:type="dxa"/>
              <w:bottom w:w="0" w:type="dxa"/>
              <w:right w:w="108" w:type="dxa"/>
            </w:tcMar>
            <w:vAlign w:val="center"/>
            <w:hideMark/>
          </w:tcPr>
          <w:p w14:paraId="7A0E4711" w14:textId="1CDA8C0B" w:rsidR="00D428B9" w:rsidRPr="00B22F65" w:rsidRDefault="00D428B9" w:rsidP="00B22F65">
            <w:pPr>
              <w:pStyle w:val="Tabletext0"/>
              <w:jc w:val="left"/>
              <w:rPr>
                <w:b/>
                <w:bCs/>
              </w:rPr>
            </w:pPr>
            <w:r w:rsidRPr="00B22F65">
              <w:rPr>
                <w:b/>
                <w:bCs/>
              </w:rPr>
              <w:t xml:space="preserve">Year </w:t>
            </w:r>
            <w:r w:rsidR="00D77B20" w:rsidRPr="00B22F65">
              <w:rPr>
                <w:b/>
                <w:bCs/>
              </w:rPr>
              <w:t>20</w:t>
            </w:r>
            <w:r w:rsidR="0011429D" w:rsidRPr="00B22F65">
              <w:rPr>
                <w:b/>
                <w:bCs/>
              </w:rPr>
              <w:t>30</w:t>
            </w:r>
          </w:p>
        </w:tc>
      </w:tr>
      <w:bookmarkEnd w:id="50"/>
      <w:tr w:rsidR="0011429D" w:rsidRPr="0011429D" w14:paraId="5778418C" w14:textId="77777777" w:rsidTr="1E8B3177">
        <w:tc>
          <w:tcPr>
            <w:tcW w:w="9067" w:type="dxa"/>
            <w:gridSpan w:val="7"/>
            <w:tcMar>
              <w:top w:w="0" w:type="dxa"/>
              <w:left w:w="108" w:type="dxa"/>
              <w:bottom w:w="0" w:type="dxa"/>
              <w:right w:w="108" w:type="dxa"/>
            </w:tcMar>
            <w:vAlign w:val="center"/>
            <w:hideMark/>
          </w:tcPr>
          <w:p w14:paraId="16E7D8E3" w14:textId="77777777" w:rsidR="00D428B9" w:rsidRPr="00B22F65" w:rsidRDefault="00D428B9" w:rsidP="00B22F65">
            <w:pPr>
              <w:pStyle w:val="Tabletext0"/>
              <w:jc w:val="left"/>
              <w:rPr>
                <w:b/>
                <w:bCs/>
              </w:rPr>
            </w:pPr>
            <w:r w:rsidRPr="00B22F65">
              <w:rPr>
                <w:b/>
                <w:bCs/>
              </w:rPr>
              <w:t>Estimated use and cost of the proposed health technology</w:t>
            </w:r>
          </w:p>
        </w:tc>
      </w:tr>
      <w:tr w:rsidR="00D87B24" w:rsidRPr="0011429D" w14:paraId="16C50CDA" w14:textId="77777777" w:rsidTr="002005AD">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7783D5" w14:textId="66D0879E" w:rsidR="00D87B24" w:rsidRPr="0011429D" w:rsidRDefault="00D87B24" w:rsidP="00D87B24">
            <w:pPr>
              <w:pStyle w:val="Tabletext0"/>
              <w:jc w:val="left"/>
            </w:pPr>
            <w:r w:rsidRPr="0011429D">
              <w:t xml:space="preserve">Number of people eligible for </w:t>
            </w:r>
            <w:r>
              <w:t>Re-188 brachytherapy</w:t>
            </w: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095266" w14:textId="36ADD158" w:rsidR="00D87B24" w:rsidRPr="00D52988" w:rsidRDefault="00D462BA" w:rsidP="00D87B24">
            <w:pPr>
              <w:pStyle w:val="Tabletext0"/>
              <w:jc w:val="left"/>
              <w:rPr>
                <w:sz w:val="18"/>
              </w:rPr>
            </w:pPr>
            <w:r w:rsidRPr="0011429D">
              <w:t xml:space="preserve">16,801 </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AB12F5" w14:textId="600F1C81" w:rsidR="00D87B24" w:rsidRPr="00D52988" w:rsidRDefault="00D462BA" w:rsidP="00D87B24">
            <w:pPr>
              <w:pStyle w:val="Tabletext0"/>
              <w:jc w:val="left"/>
              <w:rPr>
                <w:sz w:val="18"/>
              </w:rPr>
            </w:pPr>
            <w:r w:rsidRPr="0011429D">
              <w:t xml:space="preserve">16,381 </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031D3F" w14:textId="5369769D" w:rsidR="00D87B24" w:rsidRPr="00D52988" w:rsidRDefault="00D462BA" w:rsidP="00D87B24">
            <w:pPr>
              <w:pStyle w:val="Tabletext0"/>
              <w:jc w:val="left"/>
              <w:rPr>
                <w:sz w:val="18"/>
              </w:rPr>
            </w:pPr>
            <w:r w:rsidRPr="0011429D">
              <w:t xml:space="preserve">16,073 </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859E00" w14:textId="418B294E" w:rsidR="00D87B24" w:rsidRPr="00D52988" w:rsidRDefault="00D462BA" w:rsidP="00D87B24">
            <w:pPr>
              <w:pStyle w:val="Tabletext0"/>
              <w:jc w:val="left"/>
              <w:rPr>
                <w:sz w:val="18"/>
              </w:rPr>
            </w:pPr>
            <w:r w:rsidRPr="0011429D">
              <w:t xml:space="preserve">15,867 </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B54F8" w14:textId="12BC76F8" w:rsidR="00D87B24" w:rsidRPr="00D52988" w:rsidRDefault="00D462BA" w:rsidP="00D87B24">
            <w:pPr>
              <w:pStyle w:val="Tabletext0"/>
              <w:jc w:val="left"/>
              <w:rPr>
                <w:sz w:val="18"/>
              </w:rPr>
            </w:pPr>
            <w:r w:rsidRPr="0011429D">
              <w:t xml:space="preserve">15,759 </w:t>
            </w:r>
          </w:p>
        </w:tc>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C7884F" w14:textId="632CD591" w:rsidR="00D87B24" w:rsidRPr="00D52988" w:rsidRDefault="00D462BA" w:rsidP="00D87B24">
            <w:pPr>
              <w:pStyle w:val="Tabletext0"/>
              <w:jc w:val="left"/>
              <w:rPr>
                <w:sz w:val="18"/>
              </w:rPr>
            </w:pPr>
            <w:r w:rsidRPr="0011429D">
              <w:t xml:space="preserve">15,742 </w:t>
            </w:r>
          </w:p>
        </w:tc>
      </w:tr>
      <w:tr w:rsidR="00D87B24" w:rsidRPr="0011429D" w14:paraId="755DEAF4" w14:textId="77777777" w:rsidTr="00D52988">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8ACBFB" w14:textId="4D33D884" w:rsidR="00D87B24" w:rsidRPr="0011429D" w:rsidRDefault="00D87B24" w:rsidP="00D87B24">
            <w:pPr>
              <w:pStyle w:val="Tabletext0"/>
              <w:jc w:val="left"/>
            </w:pPr>
            <w:r w:rsidRPr="0011429D">
              <w:t xml:space="preserve">Number of people who receive </w:t>
            </w:r>
            <w:r>
              <w:t>Re-188 brachytherapy</w:t>
            </w: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02C49" w14:textId="162B86DB" w:rsidR="00D87B24" w:rsidRPr="00D52988" w:rsidRDefault="00D87B24" w:rsidP="00D87B24">
            <w:pPr>
              <w:pStyle w:val="Tabletext0"/>
              <w:jc w:val="left"/>
              <w:rPr>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FA6A9" w14:textId="1EE12B3E" w:rsidR="00D87B24" w:rsidRPr="00D52988" w:rsidRDefault="00D87B24" w:rsidP="00D87B24">
            <w:pPr>
              <w:pStyle w:val="Tabletext0"/>
              <w:jc w:val="left"/>
              <w:rPr>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99FCD" w14:textId="3F44BF64" w:rsidR="00D87B24" w:rsidRPr="00D52988" w:rsidRDefault="00D87B24" w:rsidP="00D87B24">
            <w:pPr>
              <w:pStyle w:val="Tabletext0"/>
              <w:jc w:val="left"/>
              <w:rPr>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43F6F" w14:textId="4B6F3F50" w:rsidR="00D87B24" w:rsidRPr="00D52988" w:rsidRDefault="00D87B24" w:rsidP="00D87B24">
            <w:pPr>
              <w:pStyle w:val="Tabletext0"/>
              <w:jc w:val="left"/>
              <w:rPr>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2557F" w14:textId="05DCADB1" w:rsidR="00D87B24" w:rsidRPr="00D52988" w:rsidRDefault="00D87B24" w:rsidP="00D87B24">
            <w:pPr>
              <w:pStyle w:val="Tabletext0"/>
              <w:jc w:val="left"/>
              <w:rPr>
                <w:sz w:val="18"/>
              </w:rPr>
            </w:pPr>
            <w:r w:rsidRPr="00D87B24">
              <w:rPr>
                <w:b/>
                <w:bCs/>
                <w:sz w:val="18"/>
                <w:szCs w:val="18"/>
              </w:rPr>
              <w:t>REDACTED</w:t>
            </w:r>
          </w:p>
        </w:tc>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6D09E" w14:textId="7E0019AB" w:rsidR="00D87B24" w:rsidRPr="00D52988" w:rsidRDefault="00D87B24" w:rsidP="00D87B24">
            <w:pPr>
              <w:pStyle w:val="Tabletext0"/>
              <w:jc w:val="left"/>
              <w:rPr>
                <w:sz w:val="18"/>
              </w:rPr>
            </w:pPr>
            <w:r w:rsidRPr="00D87B24">
              <w:rPr>
                <w:b/>
                <w:bCs/>
                <w:sz w:val="18"/>
                <w:szCs w:val="18"/>
              </w:rPr>
              <w:t>REDACTED</w:t>
            </w:r>
          </w:p>
        </w:tc>
      </w:tr>
      <w:tr w:rsidR="00D87B24" w:rsidRPr="0011429D" w14:paraId="55A6176D" w14:textId="77777777" w:rsidTr="00D52988">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0B7D44" w14:textId="5C00FC6E" w:rsidR="00D87B24" w:rsidRPr="0011429D" w:rsidRDefault="00D87B24" w:rsidP="00D87B24">
            <w:pPr>
              <w:pStyle w:val="Tabletext0"/>
              <w:jc w:val="left"/>
            </w:pPr>
            <w:r w:rsidRPr="0011429D">
              <w:t xml:space="preserve">Number of services of </w:t>
            </w:r>
            <w:r>
              <w:t>Re-188 brachytherapy</w:t>
            </w: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15F76" w14:textId="64E5A211" w:rsidR="00D87B24" w:rsidRPr="00D52988" w:rsidRDefault="00D87B24" w:rsidP="00D87B24">
            <w:pPr>
              <w:pStyle w:val="Tabletext0"/>
              <w:jc w:val="left"/>
              <w:rPr>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0FD5" w14:textId="58874436" w:rsidR="00D87B24" w:rsidRPr="00D52988" w:rsidRDefault="00D87B24" w:rsidP="00D87B24">
            <w:pPr>
              <w:pStyle w:val="Tabletext0"/>
              <w:jc w:val="left"/>
              <w:rPr>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0950" w14:textId="5850A3E2" w:rsidR="00D87B24" w:rsidRPr="00D52988" w:rsidRDefault="00D87B24" w:rsidP="00D87B24">
            <w:pPr>
              <w:pStyle w:val="Tabletext0"/>
              <w:jc w:val="left"/>
              <w:rPr>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61EF9" w14:textId="28ABEDE5" w:rsidR="00D87B24" w:rsidRPr="00D52988" w:rsidRDefault="00D87B24" w:rsidP="00D87B24">
            <w:pPr>
              <w:pStyle w:val="Tabletext0"/>
              <w:jc w:val="left"/>
              <w:rPr>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F194A" w14:textId="66D22708" w:rsidR="00D87B24" w:rsidRPr="00D52988" w:rsidRDefault="00D87B24" w:rsidP="00D87B24">
            <w:pPr>
              <w:pStyle w:val="Tabletext0"/>
              <w:jc w:val="left"/>
              <w:rPr>
                <w:sz w:val="18"/>
              </w:rPr>
            </w:pPr>
            <w:r w:rsidRPr="00D87B24">
              <w:rPr>
                <w:b/>
                <w:bCs/>
                <w:sz w:val="18"/>
                <w:szCs w:val="18"/>
              </w:rPr>
              <w:t>REDACTED</w:t>
            </w:r>
          </w:p>
        </w:tc>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9F5C3" w14:textId="27304AA1" w:rsidR="00D87B24" w:rsidRPr="00D52988" w:rsidRDefault="00D87B24" w:rsidP="00D87B24">
            <w:pPr>
              <w:pStyle w:val="Tabletext0"/>
              <w:jc w:val="left"/>
              <w:rPr>
                <w:sz w:val="18"/>
              </w:rPr>
            </w:pPr>
            <w:r w:rsidRPr="00D87B24">
              <w:rPr>
                <w:b/>
                <w:bCs/>
                <w:sz w:val="18"/>
                <w:szCs w:val="18"/>
              </w:rPr>
              <w:t>REDACTED</w:t>
            </w:r>
          </w:p>
        </w:tc>
      </w:tr>
      <w:tr w:rsidR="00D87B24" w:rsidRPr="0011429D" w14:paraId="17BAD6C0" w14:textId="77777777" w:rsidTr="00D52988">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DD856A" w14:textId="2DEE8D48" w:rsidR="00D87B24" w:rsidRPr="0011429D" w:rsidRDefault="00D87B24" w:rsidP="00D87B24">
            <w:pPr>
              <w:pStyle w:val="Tabletext0"/>
              <w:jc w:val="left"/>
            </w:pPr>
            <w:r>
              <w:t>Cost to the MBS [85% benefit] (with appropriate copayments excluded)</w:t>
            </w: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42506" w14:textId="02ABCB79" w:rsidR="00D87B24" w:rsidRPr="00D52988" w:rsidRDefault="00D87B24" w:rsidP="00D87B24">
            <w:pPr>
              <w:pStyle w:val="Tabletext0"/>
              <w:jc w:val="left"/>
              <w:rPr>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D3823" w14:textId="13A9914A" w:rsidR="00D87B24" w:rsidRPr="00D52988" w:rsidRDefault="00D87B24" w:rsidP="00D87B24">
            <w:pPr>
              <w:pStyle w:val="Tabletext0"/>
              <w:jc w:val="center"/>
              <w:rPr>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F7234" w14:textId="6B377D6E" w:rsidR="00D87B24" w:rsidRPr="00D52988" w:rsidRDefault="00D87B24" w:rsidP="00D87B24">
            <w:pPr>
              <w:pStyle w:val="Tabletext0"/>
              <w:jc w:val="left"/>
              <w:rPr>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D0669" w14:textId="4AD3C29F" w:rsidR="00D87B24" w:rsidRPr="00D52988" w:rsidRDefault="00D87B24" w:rsidP="00D87B24">
            <w:pPr>
              <w:pStyle w:val="Tabletext0"/>
              <w:jc w:val="left"/>
              <w:rPr>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DBF5" w14:textId="38DE29B3" w:rsidR="00D87B24" w:rsidRPr="00D52988" w:rsidRDefault="00D87B24" w:rsidP="00D87B24">
            <w:pPr>
              <w:pStyle w:val="Tabletext0"/>
              <w:jc w:val="left"/>
              <w:rPr>
                <w:sz w:val="18"/>
              </w:rPr>
            </w:pPr>
            <w:r w:rsidRPr="00D87B24">
              <w:rPr>
                <w:b/>
                <w:bCs/>
                <w:sz w:val="18"/>
                <w:szCs w:val="18"/>
              </w:rPr>
              <w:t>REDACTED</w:t>
            </w:r>
          </w:p>
        </w:tc>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242D5" w14:textId="3DF28CFF" w:rsidR="00D87B24" w:rsidRPr="00D52988" w:rsidRDefault="00D87B24" w:rsidP="00D87B24">
            <w:pPr>
              <w:pStyle w:val="Tabletext0"/>
              <w:jc w:val="left"/>
              <w:rPr>
                <w:sz w:val="18"/>
              </w:rPr>
            </w:pPr>
            <w:r w:rsidRPr="00D87B24">
              <w:rPr>
                <w:b/>
                <w:bCs/>
                <w:sz w:val="18"/>
                <w:szCs w:val="18"/>
              </w:rPr>
              <w:t>REDACTED</w:t>
            </w:r>
          </w:p>
        </w:tc>
      </w:tr>
      <w:tr w:rsidR="0011429D" w:rsidRPr="0011429D" w14:paraId="5BC9C961" w14:textId="77777777" w:rsidTr="1E8B3177">
        <w:tc>
          <w:tcPr>
            <w:tcW w:w="9067" w:type="dxa"/>
            <w:gridSpan w:val="7"/>
            <w:tcMar>
              <w:top w:w="0" w:type="dxa"/>
              <w:left w:w="108" w:type="dxa"/>
              <w:bottom w:w="0" w:type="dxa"/>
              <w:right w:w="108" w:type="dxa"/>
            </w:tcMar>
            <w:vAlign w:val="center"/>
            <w:hideMark/>
          </w:tcPr>
          <w:p w14:paraId="75CD307B" w14:textId="77777777" w:rsidR="00FF1EE8" w:rsidRPr="00B22F65" w:rsidRDefault="00FF1EE8" w:rsidP="00B22F65">
            <w:pPr>
              <w:pStyle w:val="Tabletext0"/>
              <w:jc w:val="left"/>
              <w:rPr>
                <w:b/>
                <w:bCs/>
              </w:rPr>
            </w:pPr>
            <w:r w:rsidRPr="00B22F65">
              <w:rPr>
                <w:b/>
                <w:bCs/>
              </w:rPr>
              <w:t>Change in use and cost of other health technologies</w:t>
            </w:r>
          </w:p>
        </w:tc>
      </w:tr>
      <w:tr w:rsidR="00D87B24" w:rsidRPr="0011429D" w14:paraId="141B431A" w14:textId="77777777" w:rsidTr="00D52988">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3F8140" w14:textId="29A4E0C8" w:rsidR="00D87B24" w:rsidRPr="0011429D" w:rsidRDefault="00D87B24" w:rsidP="00D87B24">
            <w:pPr>
              <w:pStyle w:val="Tabletext0"/>
              <w:jc w:val="left"/>
            </w:pPr>
            <w:r w:rsidRPr="0011429D">
              <w:t>Change in use of number of services of EBRT</w:t>
            </w: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6D7D" w14:textId="1D17EBBB" w:rsidR="00D87B24" w:rsidRPr="00D52988" w:rsidRDefault="00D87B24" w:rsidP="00D87B24">
            <w:pPr>
              <w:pStyle w:val="Tabletext0"/>
              <w:jc w:val="left"/>
              <w:rPr>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B03D6" w14:textId="39BB1749" w:rsidR="00D87B24" w:rsidRPr="00D52988" w:rsidRDefault="00D87B24" w:rsidP="00D87B24">
            <w:pPr>
              <w:pStyle w:val="Tabletext0"/>
              <w:jc w:val="left"/>
              <w:rPr>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F281E" w14:textId="597927C1" w:rsidR="00D87B24" w:rsidRPr="00D52988" w:rsidRDefault="00D87B24" w:rsidP="00D87B24">
            <w:pPr>
              <w:pStyle w:val="Tabletext0"/>
              <w:jc w:val="left"/>
              <w:rPr>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2FF03" w14:textId="17F707F5" w:rsidR="00D87B24" w:rsidRPr="00D52988" w:rsidRDefault="00D87B24" w:rsidP="00D87B24">
            <w:pPr>
              <w:pStyle w:val="Tabletext0"/>
              <w:jc w:val="left"/>
              <w:rPr>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DD028" w14:textId="7AF90A9B" w:rsidR="00D87B24" w:rsidRPr="00D52988" w:rsidRDefault="00D87B24" w:rsidP="00D87B24">
            <w:pPr>
              <w:pStyle w:val="Tabletext0"/>
              <w:jc w:val="left"/>
              <w:rPr>
                <w:sz w:val="18"/>
              </w:rPr>
            </w:pPr>
            <w:r w:rsidRPr="00D87B24">
              <w:rPr>
                <w:b/>
                <w:bCs/>
                <w:sz w:val="18"/>
                <w:szCs w:val="18"/>
              </w:rPr>
              <w:t>REDACTED</w:t>
            </w:r>
          </w:p>
        </w:tc>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785F7" w14:textId="3F18DCE3" w:rsidR="00D87B24" w:rsidRPr="00D52988" w:rsidRDefault="00D87B24" w:rsidP="00D87B24">
            <w:pPr>
              <w:pStyle w:val="Tabletext0"/>
              <w:jc w:val="left"/>
              <w:rPr>
                <w:sz w:val="18"/>
              </w:rPr>
            </w:pPr>
            <w:r w:rsidRPr="00D87B24">
              <w:rPr>
                <w:b/>
                <w:bCs/>
                <w:sz w:val="18"/>
                <w:szCs w:val="18"/>
              </w:rPr>
              <w:t>REDACTED</w:t>
            </w:r>
          </w:p>
        </w:tc>
      </w:tr>
      <w:tr w:rsidR="00D87B24" w:rsidRPr="0011429D" w14:paraId="7537920A" w14:textId="77777777" w:rsidTr="00D52988">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267375" w14:textId="0AFFB8EB" w:rsidR="00D87B24" w:rsidRPr="0011429D" w:rsidRDefault="00D87B24" w:rsidP="00D87B24">
            <w:pPr>
              <w:pStyle w:val="Tabletext0"/>
              <w:jc w:val="left"/>
            </w:pPr>
            <w:r w:rsidRPr="0011429D">
              <w:t>Net change in costs to the MBS (with appropriate copayments excluded)</w:t>
            </w: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8437E" w14:textId="37DEBE9E" w:rsidR="00D87B24" w:rsidRPr="00D52988" w:rsidRDefault="00D87B24" w:rsidP="00D87B24">
            <w:pPr>
              <w:pStyle w:val="Tabletext0"/>
              <w:jc w:val="left"/>
              <w:rPr>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21981" w14:textId="7743782E" w:rsidR="00D87B24" w:rsidRPr="00D52988" w:rsidRDefault="00D87B24" w:rsidP="00D87B24">
            <w:pPr>
              <w:pStyle w:val="Tabletext0"/>
              <w:jc w:val="left"/>
              <w:rPr>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56CE" w14:textId="7266732B" w:rsidR="00D87B24" w:rsidRPr="00D52988" w:rsidRDefault="00D87B24" w:rsidP="00D87B24">
            <w:pPr>
              <w:pStyle w:val="Tabletext0"/>
              <w:jc w:val="left"/>
              <w:rPr>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4213C" w14:textId="5F5D3F91" w:rsidR="00D87B24" w:rsidRPr="00D52988" w:rsidRDefault="00D87B24" w:rsidP="00D87B24">
            <w:pPr>
              <w:pStyle w:val="Tabletext0"/>
              <w:jc w:val="left"/>
              <w:rPr>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BD324" w14:textId="175C7CC3" w:rsidR="00D87B24" w:rsidRPr="00D52988" w:rsidRDefault="00D87B24" w:rsidP="00D87B24">
            <w:pPr>
              <w:pStyle w:val="Tabletext0"/>
              <w:jc w:val="left"/>
              <w:rPr>
                <w:sz w:val="18"/>
              </w:rPr>
            </w:pPr>
            <w:r w:rsidRPr="00D87B24">
              <w:rPr>
                <w:b/>
                <w:bCs/>
                <w:sz w:val="18"/>
                <w:szCs w:val="18"/>
              </w:rPr>
              <w:t>REDACTED</w:t>
            </w:r>
          </w:p>
        </w:tc>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FC579" w14:textId="522B0B92" w:rsidR="00D87B24" w:rsidRPr="00D52988" w:rsidRDefault="00D87B24" w:rsidP="00D87B24">
            <w:pPr>
              <w:pStyle w:val="Tabletext0"/>
              <w:jc w:val="left"/>
              <w:rPr>
                <w:sz w:val="18"/>
              </w:rPr>
            </w:pPr>
            <w:r w:rsidRPr="00D87B24">
              <w:rPr>
                <w:b/>
                <w:bCs/>
                <w:sz w:val="18"/>
                <w:szCs w:val="18"/>
              </w:rPr>
              <w:t>REDACTED</w:t>
            </w:r>
          </w:p>
        </w:tc>
      </w:tr>
      <w:tr w:rsidR="00D87B24" w:rsidRPr="0011429D" w14:paraId="1D7F897A" w14:textId="77777777" w:rsidTr="00D52988">
        <w:trPr>
          <w:trHeight w:val="509"/>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EA76BA" w14:textId="27F60719" w:rsidR="00D87B24" w:rsidRPr="0011429D" w:rsidRDefault="00D87B24" w:rsidP="00D87B24">
            <w:pPr>
              <w:pStyle w:val="Tabletext0"/>
              <w:jc w:val="left"/>
            </w:pPr>
            <w:r w:rsidRPr="0011429D">
              <w:t xml:space="preserve">Net financial impact to the </w:t>
            </w:r>
            <w:r>
              <w:t>MBS</w:t>
            </w: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9A965" w14:textId="5867CBDC" w:rsidR="00D87B24" w:rsidRPr="00D52988" w:rsidRDefault="00D87B24" w:rsidP="00D87B24">
            <w:pPr>
              <w:pStyle w:val="Tabletext0"/>
              <w:jc w:val="left"/>
              <w:rPr>
                <w:i/>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449DB" w14:textId="21049F60" w:rsidR="00D87B24" w:rsidRPr="00D52988" w:rsidRDefault="00D87B24" w:rsidP="00D87B24">
            <w:pPr>
              <w:pStyle w:val="Tabletext0"/>
              <w:jc w:val="left"/>
              <w:rPr>
                <w:i/>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218F3" w14:textId="4962E14B" w:rsidR="00D87B24" w:rsidRPr="00D52988" w:rsidRDefault="00D87B24" w:rsidP="00D87B24">
            <w:pPr>
              <w:pStyle w:val="Tabletext0"/>
              <w:jc w:val="left"/>
              <w:rPr>
                <w:i/>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3D334" w14:textId="7169D5A8" w:rsidR="00D87B24" w:rsidRPr="00D52988" w:rsidRDefault="00D87B24" w:rsidP="00D87B24">
            <w:pPr>
              <w:pStyle w:val="Tabletext0"/>
              <w:jc w:val="left"/>
              <w:rPr>
                <w:i/>
                <w:sz w:val="18"/>
              </w:rPr>
            </w:pPr>
            <w:r w:rsidRPr="00D87B24">
              <w:rPr>
                <w:b/>
                <w:bCs/>
                <w:sz w:val="18"/>
                <w:szCs w:val="18"/>
              </w:rPr>
              <w:t>REDACTED</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A632F" w14:textId="04367EF4" w:rsidR="00D87B24" w:rsidRPr="00D52988" w:rsidRDefault="00D87B24" w:rsidP="00D87B24">
            <w:pPr>
              <w:pStyle w:val="Tabletext0"/>
              <w:jc w:val="left"/>
              <w:rPr>
                <w:i/>
                <w:sz w:val="18"/>
              </w:rPr>
            </w:pPr>
            <w:r w:rsidRPr="00D87B24">
              <w:rPr>
                <w:b/>
                <w:bCs/>
                <w:sz w:val="18"/>
                <w:szCs w:val="18"/>
              </w:rPr>
              <w:t>REDACTED</w:t>
            </w:r>
          </w:p>
        </w:tc>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BCE21" w14:textId="39B0FFED" w:rsidR="00D87B24" w:rsidRPr="00D52988" w:rsidRDefault="00D87B24" w:rsidP="00D87B24">
            <w:pPr>
              <w:pStyle w:val="Tabletext0"/>
              <w:jc w:val="left"/>
              <w:rPr>
                <w:i/>
                <w:sz w:val="18"/>
              </w:rPr>
            </w:pPr>
            <w:r w:rsidRPr="00D87B24">
              <w:rPr>
                <w:b/>
                <w:bCs/>
                <w:sz w:val="18"/>
                <w:szCs w:val="18"/>
              </w:rPr>
              <w:t>REDACTED</w:t>
            </w:r>
          </w:p>
        </w:tc>
      </w:tr>
    </w:tbl>
    <w:p w14:paraId="7B44059D" w14:textId="754B78A8" w:rsidR="00624B01" w:rsidRPr="00BA438C" w:rsidRDefault="00624B01" w:rsidP="00624B01">
      <w:pPr>
        <w:pStyle w:val="TableFigureFooter"/>
        <w:spacing w:after="0"/>
      </w:pPr>
      <w:bookmarkStart w:id="52" w:name="_Hlk68276814"/>
      <w:bookmarkEnd w:id="51"/>
      <w:r w:rsidRPr="00BA438C">
        <w:t xml:space="preserve">Source: </w:t>
      </w:r>
      <w:r w:rsidRPr="00E9060E">
        <w:rPr>
          <w:i/>
          <w:iCs/>
        </w:rPr>
        <w:t>Calculated during evaluation</w:t>
      </w:r>
      <w:r w:rsidR="00E70DAF">
        <w:rPr>
          <w:i/>
          <w:iCs/>
        </w:rPr>
        <w:t xml:space="preserve"> using the 85% benefit</w:t>
      </w:r>
      <w:r w:rsidRPr="00E9060E">
        <w:rPr>
          <w:i/>
          <w:iCs/>
        </w:rPr>
        <w:t>.</w:t>
      </w:r>
      <w:r w:rsidRPr="00BA438C">
        <w:t xml:space="preserve"> </w:t>
      </w:r>
    </w:p>
    <w:p w14:paraId="758DE6A5" w14:textId="7FD68112" w:rsidR="00831B70" w:rsidRPr="00BA438C" w:rsidRDefault="00831B70" w:rsidP="00B22F65">
      <w:pPr>
        <w:pStyle w:val="TableFigureFooter"/>
        <w:spacing w:before="0" w:after="0"/>
      </w:pPr>
      <w:r w:rsidRPr="00BA438C">
        <w:t>EBRT = external beam radiation therapy</w:t>
      </w:r>
      <w:r>
        <w:t xml:space="preserve">; </w:t>
      </w:r>
      <w:r w:rsidRPr="00BA438C">
        <w:t>Re-188 = Rhenium-188</w:t>
      </w:r>
    </w:p>
    <w:bookmarkEnd w:id="52"/>
    <w:p w14:paraId="0ED07240" w14:textId="782CFC41" w:rsidR="00330D1A" w:rsidRDefault="00F55466" w:rsidP="00B25AB2">
      <w:r>
        <w:t>T</w:t>
      </w:r>
      <w:r w:rsidR="006D0EC2">
        <w:t xml:space="preserve">he average cost of the </w:t>
      </w:r>
      <w:r w:rsidR="00B17788">
        <w:t>Re-188 brachytherapy</w:t>
      </w:r>
      <w:r w:rsidR="006D0EC2">
        <w:t xml:space="preserve"> per patient per course </w:t>
      </w:r>
      <w:r w:rsidR="003F392B">
        <w:t>i</w:t>
      </w:r>
      <w:r w:rsidR="00C94F72">
        <w:t>s</w:t>
      </w:r>
      <w:r w:rsidR="006D0EC2">
        <w:t xml:space="preserve">: </w:t>
      </w:r>
      <w:r w:rsidR="00D52988" w:rsidRPr="00D52988">
        <w:rPr>
          <w:b/>
          <w:bCs/>
        </w:rPr>
        <w:t>redacted</w:t>
      </w:r>
      <w:r w:rsidR="00D87B24">
        <w:t xml:space="preserve"> </w:t>
      </w:r>
      <w:r w:rsidR="00726BDC">
        <w:t>(ex</w:t>
      </w:r>
      <w:r w:rsidR="00CF698A">
        <w:t>cluding</w:t>
      </w:r>
      <w:r w:rsidR="00726BDC">
        <w:t xml:space="preserve"> co</w:t>
      </w:r>
      <w:r w:rsidR="00831B70">
        <w:t>-</w:t>
      </w:r>
      <w:r w:rsidR="00726BDC">
        <w:t xml:space="preserve">pay), </w:t>
      </w:r>
      <w:r w:rsidR="006D0EC2">
        <w:t xml:space="preserve">The out-of-pocket </w:t>
      </w:r>
      <w:r w:rsidR="00C83D84">
        <w:t xml:space="preserve">cost </w:t>
      </w:r>
      <w:r w:rsidR="00726BDC">
        <w:t xml:space="preserve">or cost to the </w:t>
      </w:r>
      <w:r w:rsidR="00B25AB2">
        <w:t xml:space="preserve">hospital budgets </w:t>
      </w:r>
      <w:r w:rsidR="001673DB">
        <w:t xml:space="preserve">has the potential </w:t>
      </w:r>
      <w:r w:rsidR="00B25AB2">
        <w:t>to be substantial, but difficult to estimate.</w:t>
      </w:r>
      <w:r w:rsidR="00AB200B">
        <w:t xml:space="preserve"> If no </w:t>
      </w:r>
      <w:r w:rsidR="00A96537">
        <w:t xml:space="preserve">batching is achieved and the </w:t>
      </w:r>
      <w:r w:rsidR="001673DB">
        <w:t xml:space="preserve">only </w:t>
      </w:r>
      <w:r w:rsidR="00A96537">
        <w:t xml:space="preserve">patient has a small </w:t>
      </w:r>
      <w:r w:rsidR="00E40553">
        <w:t xml:space="preserve">lesion </w:t>
      </w:r>
      <w:r w:rsidR="007F7B30">
        <w:t>t</w:t>
      </w:r>
      <w:r w:rsidR="00E40553">
        <w:t>his</w:t>
      </w:r>
      <w:r w:rsidR="00CF698A">
        <w:t xml:space="preserve"> cost will likely be absorbed by State Health governments – if the treatment is carried out in a public hospital – or by patients – if it is carried out in a private setting. </w:t>
      </w:r>
      <w:r w:rsidR="00AC53F0">
        <w:t>As mentioned above, t</w:t>
      </w:r>
      <w:r w:rsidR="000E6509">
        <w:t>he ADAR has not covered the batching of lesion treatments, the wastage of the Re-188 compound</w:t>
      </w:r>
      <w:r w:rsidR="00AC53F0">
        <w:t>.</w:t>
      </w:r>
      <w:r w:rsidR="00330D1A">
        <w:t xml:space="preserve"> </w:t>
      </w:r>
    </w:p>
    <w:p w14:paraId="41801722" w14:textId="498F97FA" w:rsidR="000E6509" w:rsidRDefault="00330D1A" w:rsidP="00B25AB2">
      <w:r>
        <w:t xml:space="preserve">The commentary considered that there was substantial uncertainty in the financial estimates presented by the ADAR and tested these uncertainties. </w:t>
      </w:r>
      <w:r w:rsidR="00F535A1">
        <w:fldChar w:fldCharType="begin"/>
      </w:r>
      <w:r w:rsidR="00F535A1">
        <w:instrText xml:space="preserve"> REF _Ref187253936 \h </w:instrText>
      </w:r>
      <w:r w:rsidR="00F535A1">
        <w:fldChar w:fldCharType="separate"/>
      </w:r>
      <w:r w:rsidR="00AF5AE7">
        <w:t xml:space="preserve">Table </w:t>
      </w:r>
      <w:r w:rsidR="00AF5AE7">
        <w:rPr>
          <w:noProof/>
        </w:rPr>
        <w:t>22</w:t>
      </w:r>
      <w:r w:rsidR="00F535A1">
        <w:fldChar w:fldCharType="end"/>
      </w:r>
      <w:r w:rsidR="00F535A1">
        <w:t xml:space="preserve"> presents the sensitivity analysis that would affect </w:t>
      </w:r>
      <w:r w:rsidR="00AF27BA">
        <w:t xml:space="preserve">the MBS budgets and </w:t>
      </w:r>
      <w:r w:rsidR="00AF27BA">
        <w:fldChar w:fldCharType="begin"/>
      </w:r>
      <w:r w:rsidR="00AF27BA">
        <w:instrText xml:space="preserve"> REF _Ref187253975 \h </w:instrText>
      </w:r>
      <w:r w:rsidR="00AF27BA">
        <w:fldChar w:fldCharType="separate"/>
      </w:r>
      <w:r w:rsidR="00AF5AE7">
        <w:t xml:space="preserve">Table </w:t>
      </w:r>
      <w:r w:rsidR="00AF5AE7">
        <w:rPr>
          <w:noProof/>
        </w:rPr>
        <w:t>23</w:t>
      </w:r>
      <w:r w:rsidR="00AF27BA">
        <w:fldChar w:fldCharType="end"/>
      </w:r>
      <w:r w:rsidR="00AF27BA">
        <w:t xml:space="preserve"> presents sensitivity analysis on how </w:t>
      </w:r>
      <w:r w:rsidR="009E1674">
        <w:t>the cost of wastage and reduced batching would affect other combined health budgets.</w:t>
      </w:r>
      <w:r w:rsidR="00EE5E96" w:rsidRPr="00EE5E96">
        <w:rPr>
          <w:rFonts w:ascii="Segoe UI" w:eastAsia="Times New Roman" w:hAnsi="Segoe UI" w:cs="Segoe UI"/>
          <w:sz w:val="18"/>
          <w:szCs w:val="18"/>
          <w:lang w:eastAsia="en-AU"/>
        </w:rPr>
        <w:t xml:space="preserve"> </w:t>
      </w:r>
    </w:p>
    <w:p w14:paraId="47B9B24E" w14:textId="78B3DF41" w:rsidR="00B25AB2" w:rsidRDefault="00B25AB2" w:rsidP="00B25AB2">
      <w:pPr>
        <w:pStyle w:val="Caption"/>
      </w:pPr>
      <w:bookmarkStart w:id="53" w:name="_Ref187253936"/>
      <w:r>
        <w:lastRenderedPageBreak/>
        <w:t xml:space="preserve">Table </w:t>
      </w:r>
      <w:r w:rsidR="007F4BCC">
        <w:fldChar w:fldCharType="begin"/>
      </w:r>
      <w:r w:rsidR="007F4BCC">
        <w:instrText xml:space="preserve"> SEQ Table \* ARABIC </w:instrText>
      </w:r>
      <w:r w:rsidR="007F4BCC">
        <w:fldChar w:fldCharType="separate"/>
      </w:r>
      <w:r w:rsidR="00AF5AE7">
        <w:rPr>
          <w:noProof/>
        </w:rPr>
        <w:t>22</w:t>
      </w:r>
      <w:r w:rsidR="007F4BCC">
        <w:rPr>
          <w:noProof/>
        </w:rPr>
        <w:fldChar w:fldCharType="end"/>
      </w:r>
      <w:bookmarkEnd w:id="53"/>
      <w:r>
        <w:t xml:space="preserve"> </w:t>
      </w:r>
      <w:r w:rsidR="00644A20" w:rsidRPr="00644A20">
        <w:t>Results of sensitivity analysis for net budget impact</w:t>
      </w:r>
      <w:r w:rsidR="00B03DFC">
        <w:t xml:space="preserve"> to </w:t>
      </w:r>
      <w:r w:rsidR="00497F07">
        <w:t>MBS</w:t>
      </w:r>
    </w:p>
    <w:tbl>
      <w:tblPr>
        <w:tblStyle w:val="TableGrid"/>
        <w:tblW w:w="0" w:type="auto"/>
        <w:tblLook w:val="04A0" w:firstRow="1" w:lastRow="0" w:firstColumn="1" w:lastColumn="0" w:noHBand="0" w:noVBand="1"/>
      </w:tblPr>
      <w:tblGrid>
        <w:gridCol w:w="1735"/>
        <w:gridCol w:w="1236"/>
        <w:gridCol w:w="1218"/>
        <w:gridCol w:w="1206"/>
        <w:gridCol w:w="1207"/>
        <w:gridCol w:w="1207"/>
        <w:gridCol w:w="1207"/>
      </w:tblGrid>
      <w:tr w:rsidR="00A62E9A" w:rsidRPr="00166BBD" w14:paraId="50C527D1" w14:textId="672B1ED1" w:rsidTr="00D52988">
        <w:trPr>
          <w:trHeight w:val="620"/>
        </w:trPr>
        <w:tc>
          <w:tcPr>
            <w:tcW w:w="1735" w:type="dxa"/>
            <w:noWrap/>
            <w:vAlign w:val="center"/>
            <w:hideMark/>
          </w:tcPr>
          <w:p w14:paraId="39FA43B0" w14:textId="77777777" w:rsidR="000E0FB5" w:rsidRPr="00166BBD" w:rsidRDefault="000E0FB5" w:rsidP="00B22F65">
            <w:pPr>
              <w:pStyle w:val="Tabletext0"/>
              <w:jc w:val="left"/>
              <w:rPr>
                <w:rFonts w:cstheme="minorHAnsi"/>
                <w:b/>
                <w:bCs/>
                <w:i/>
                <w:iCs/>
              </w:rPr>
            </w:pPr>
            <w:r w:rsidRPr="00166BBD">
              <w:rPr>
                <w:b/>
                <w:bCs/>
              </w:rPr>
              <w:t>Changes made</w:t>
            </w:r>
          </w:p>
        </w:tc>
        <w:tc>
          <w:tcPr>
            <w:tcW w:w="1236" w:type="dxa"/>
            <w:vAlign w:val="center"/>
          </w:tcPr>
          <w:p w14:paraId="51037940" w14:textId="6D4AD96F" w:rsidR="000E0FB5" w:rsidRPr="00166BBD" w:rsidRDefault="000E0FB5" w:rsidP="00B22F65">
            <w:pPr>
              <w:pStyle w:val="Tabletext0"/>
              <w:jc w:val="left"/>
              <w:rPr>
                <w:b/>
                <w:bCs/>
              </w:rPr>
            </w:pPr>
            <w:r w:rsidRPr="00166BBD">
              <w:rPr>
                <w:b/>
                <w:bCs/>
              </w:rPr>
              <w:t>Year 2025</w:t>
            </w:r>
          </w:p>
        </w:tc>
        <w:tc>
          <w:tcPr>
            <w:tcW w:w="1218" w:type="dxa"/>
            <w:noWrap/>
            <w:vAlign w:val="center"/>
            <w:hideMark/>
          </w:tcPr>
          <w:p w14:paraId="0D4F5C94" w14:textId="530731EE" w:rsidR="000E0FB5" w:rsidRPr="00166BBD" w:rsidRDefault="000E0FB5" w:rsidP="00B22F65">
            <w:pPr>
              <w:pStyle w:val="Tabletext0"/>
              <w:jc w:val="left"/>
              <w:rPr>
                <w:rFonts w:cstheme="minorHAnsi"/>
                <w:b/>
                <w:bCs/>
                <w:i/>
                <w:iCs/>
              </w:rPr>
            </w:pPr>
            <w:r w:rsidRPr="00166BBD">
              <w:rPr>
                <w:b/>
                <w:bCs/>
              </w:rPr>
              <w:t>Year 2026</w:t>
            </w:r>
          </w:p>
        </w:tc>
        <w:tc>
          <w:tcPr>
            <w:tcW w:w="1206" w:type="dxa"/>
            <w:vAlign w:val="center"/>
          </w:tcPr>
          <w:p w14:paraId="389F4274" w14:textId="40E02917" w:rsidR="000E0FB5" w:rsidRPr="00166BBD" w:rsidRDefault="000E0FB5" w:rsidP="00B22F65">
            <w:pPr>
              <w:pStyle w:val="Tabletext0"/>
              <w:jc w:val="left"/>
              <w:rPr>
                <w:b/>
                <w:bCs/>
              </w:rPr>
            </w:pPr>
            <w:r w:rsidRPr="00166BBD">
              <w:rPr>
                <w:b/>
                <w:bCs/>
              </w:rPr>
              <w:t>Year 2027</w:t>
            </w:r>
          </w:p>
        </w:tc>
        <w:tc>
          <w:tcPr>
            <w:tcW w:w="1207" w:type="dxa"/>
            <w:vAlign w:val="center"/>
          </w:tcPr>
          <w:p w14:paraId="78D7B3A9" w14:textId="729528A6" w:rsidR="000E0FB5" w:rsidRPr="00166BBD" w:rsidRDefault="000E0FB5" w:rsidP="00B22F65">
            <w:pPr>
              <w:pStyle w:val="Tabletext0"/>
              <w:jc w:val="left"/>
              <w:rPr>
                <w:b/>
                <w:bCs/>
              </w:rPr>
            </w:pPr>
            <w:r w:rsidRPr="00166BBD">
              <w:rPr>
                <w:b/>
                <w:bCs/>
              </w:rPr>
              <w:t>Year 2028</w:t>
            </w:r>
          </w:p>
        </w:tc>
        <w:tc>
          <w:tcPr>
            <w:tcW w:w="1207" w:type="dxa"/>
            <w:vAlign w:val="center"/>
          </w:tcPr>
          <w:p w14:paraId="62A0FFD5" w14:textId="5F456B94" w:rsidR="000E0FB5" w:rsidRPr="00166BBD" w:rsidRDefault="000E0FB5" w:rsidP="00B22F65">
            <w:pPr>
              <w:pStyle w:val="Tabletext0"/>
              <w:jc w:val="left"/>
              <w:rPr>
                <w:b/>
                <w:bCs/>
              </w:rPr>
            </w:pPr>
            <w:r w:rsidRPr="00166BBD">
              <w:rPr>
                <w:b/>
                <w:bCs/>
              </w:rPr>
              <w:t>Year 2029</w:t>
            </w:r>
          </w:p>
        </w:tc>
        <w:tc>
          <w:tcPr>
            <w:tcW w:w="1207" w:type="dxa"/>
            <w:vAlign w:val="center"/>
          </w:tcPr>
          <w:p w14:paraId="7C4A234B" w14:textId="053CEF9A" w:rsidR="000E0FB5" w:rsidRPr="00166BBD" w:rsidRDefault="000E0FB5" w:rsidP="00B22F65">
            <w:pPr>
              <w:pStyle w:val="Tabletext0"/>
              <w:jc w:val="left"/>
              <w:rPr>
                <w:b/>
                <w:bCs/>
              </w:rPr>
            </w:pPr>
            <w:r w:rsidRPr="00166BBD">
              <w:rPr>
                <w:b/>
                <w:bCs/>
              </w:rPr>
              <w:t>Year 2030</w:t>
            </w:r>
          </w:p>
        </w:tc>
      </w:tr>
      <w:tr w:rsidR="00D87B24" w:rsidRPr="00E43C21" w14:paraId="6FADDD0E" w14:textId="79CE03DF" w:rsidTr="0073158E">
        <w:trPr>
          <w:trHeight w:val="57"/>
        </w:trPr>
        <w:tc>
          <w:tcPr>
            <w:tcW w:w="1735" w:type="dxa"/>
            <w:noWrap/>
            <w:vAlign w:val="center"/>
            <w:hideMark/>
          </w:tcPr>
          <w:p w14:paraId="6C90338D" w14:textId="64DC3A43" w:rsidR="00D87B24" w:rsidRPr="009B4EEE" w:rsidRDefault="00D87B24" w:rsidP="00D87B24">
            <w:pPr>
              <w:pStyle w:val="Tabletext0"/>
              <w:jc w:val="left"/>
              <w:rPr>
                <w:i/>
                <w:iCs/>
              </w:rPr>
            </w:pPr>
            <w:r w:rsidRPr="1E8B3177">
              <w:rPr>
                <w:i/>
                <w:iCs/>
              </w:rPr>
              <w:t>Base case</w:t>
            </w:r>
          </w:p>
          <w:p w14:paraId="3695684D" w14:textId="10F8B768" w:rsidR="00D87B24" w:rsidRPr="0025076B" w:rsidRDefault="00FF6C1D" w:rsidP="00D87B24">
            <w:pPr>
              <w:pStyle w:val="Tabletext0"/>
              <w:jc w:val="left"/>
              <w:rPr>
                <w:rFonts w:cstheme="minorHAnsi"/>
              </w:rPr>
            </w:pPr>
            <w:r w:rsidRPr="0025076B">
              <w:t>(22</w:t>
            </w:r>
            <w:r w:rsidR="00D87B24" w:rsidRPr="00D52988">
              <w:rPr>
                <w:b/>
              </w:rPr>
              <w:t xml:space="preserve"> </w:t>
            </w:r>
            <w:r w:rsidR="00D87B24" w:rsidRPr="0025076B">
              <w:t>fractions per treatment)</w:t>
            </w:r>
          </w:p>
        </w:tc>
        <w:tc>
          <w:tcPr>
            <w:tcW w:w="1236" w:type="dxa"/>
            <w:vAlign w:val="center"/>
          </w:tcPr>
          <w:p w14:paraId="1CCF109D" w14:textId="7C712086" w:rsidR="00D87B24" w:rsidRPr="00166BBD" w:rsidRDefault="00D87B24" w:rsidP="00D87B24">
            <w:pPr>
              <w:pStyle w:val="Tabletext0"/>
              <w:jc w:val="left"/>
            </w:pPr>
            <w:r w:rsidRPr="002872A0">
              <w:rPr>
                <w:b/>
                <w:bCs/>
              </w:rPr>
              <w:t>REDACTED</w:t>
            </w:r>
          </w:p>
        </w:tc>
        <w:tc>
          <w:tcPr>
            <w:tcW w:w="1218" w:type="dxa"/>
            <w:noWrap/>
            <w:vAlign w:val="center"/>
            <w:hideMark/>
          </w:tcPr>
          <w:p w14:paraId="4EBD2B2E" w14:textId="1AF9B4F6" w:rsidR="00D87B24" w:rsidRPr="00166BBD" w:rsidRDefault="00D87B24" w:rsidP="00D87B24">
            <w:pPr>
              <w:pStyle w:val="Tabletext0"/>
              <w:jc w:val="left"/>
              <w:rPr>
                <w:rFonts w:cstheme="minorHAnsi"/>
                <w:i/>
                <w:iCs/>
              </w:rPr>
            </w:pPr>
            <w:r w:rsidRPr="00711A91">
              <w:rPr>
                <w:b/>
                <w:bCs/>
              </w:rPr>
              <w:t>REDACTED</w:t>
            </w:r>
          </w:p>
        </w:tc>
        <w:tc>
          <w:tcPr>
            <w:tcW w:w="1206" w:type="dxa"/>
            <w:vAlign w:val="center"/>
          </w:tcPr>
          <w:p w14:paraId="4A2E5CE0" w14:textId="789FF3A4" w:rsidR="00D87B24" w:rsidRPr="00166BBD" w:rsidRDefault="00D87B24" w:rsidP="00D87B24">
            <w:pPr>
              <w:pStyle w:val="Tabletext0"/>
              <w:jc w:val="left"/>
            </w:pPr>
            <w:r w:rsidRPr="00711A91">
              <w:rPr>
                <w:b/>
                <w:bCs/>
              </w:rPr>
              <w:t>REDACTED</w:t>
            </w:r>
          </w:p>
        </w:tc>
        <w:tc>
          <w:tcPr>
            <w:tcW w:w="1207" w:type="dxa"/>
            <w:vAlign w:val="center"/>
          </w:tcPr>
          <w:p w14:paraId="0C8668C9" w14:textId="2B52D636" w:rsidR="00D87B24" w:rsidRPr="00166BBD" w:rsidRDefault="00D87B24" w:rsidP="00D87B24">
            <w:pPr>
              <w:pStyle w:val="Tabletext0"/>
              <w:jc w:val="left"/>
            </w:pPr>
            <w:r w:rsidRPr="00711A91">
              <w:rPr>
                <w:b/>
                <w:bCs/>
              </w:rPr>
              <w:t>REDACTED</w:t>
            </w:r>
          </w:p>
        </w:tc>
        <w:tc>
          <w:tcPr>
            <w:tcW w:w="1207" w:type="dxa"/>
            <w:vAlign w:val="center"/>
          </w:tcPr>
          <w:p w14:paraId="2BD90335" w14:textId="23F0A45E" w:rsidR="00D87B24" w:rsidRPr="00166BBD" w:rsidRDefault="00D87B24" w:rsidP="00D87B24">
            <w:pPr>
              <w:pStyle w:val="Tabletext0"/>
              <w:jc w:val="left"/>
            </w:pPr>
            <w:r w:rsidRPr="00711A91">
              <w:rPr>
                <w:b/>
                <w:bCs/>
              </w:rPr>
              <w:t>REDACTED</w:t>
            </w:r>
          </w:p>
        </w:tc>
        <w:tc>
          <w:tcPr>
            <w:tcW w:w="1207" w:type="dxa"/>
            <w:vAlign w:val="center"/>
          </w:tcPr>
          <w:p w14:paraId="6F778835" w14:textId="61DE8050" w:rsidR="00D87B24" w:rsidRPr="00166BBD" w:rsidRDefault="00D87B24" w:rsidP="00D87B24">
            <w:pPr>
              <w:pStyle w:val="Tabletext0"/>
              <w:jc w:val="left"/>
            </w:pPr>
            <w:r w:rsidRPr="00711A91">
              <w:rPr>
                <w:b/>
                <w:bCs/>
              </w:rPr>
              <w:t>REDACTED</w:t>
            </w:r>
          </w:p>
        </w:tc>
      </w:tr>
      <w:tr w:rsidR="00D87B24" w:rsidRPr="00E43C21" w14:paraId="27296384" w14:textId="3EB518A8" w:rsidTr="00D52988">
        <w:trPr>
          <w:trHeight w:val="57"/>
        </w:trPr>
        <w:tc>
          <w:tcPr>
            <w:tcW w:w="1735" w:type="dxa"/>
            <w:noWrap/>
            <w:vAlign w:val="center"/>
          </w:tcPr>
          <w:p w14:paraId="7C066090" w14:textId="5DA19E54" w:rsidR="00D87B24" w:rsidRPr="00166BBD" w:rsidRDefault="00D87B24" w:rsidP="00D87B24">
            <w:pPr>
              <w:pStyle w:val="Tabletext0"/>
              <w:jc w:val="left"/>
            </w:pPr>
            <w:r w:rsidRPr="00166BBD">
              <w:t xml:space="preserve">Fractions </w:t>
            </w:r>
            <w:r w:rsidR="00D52988" w:rsidRPr="00D52988">
              <w:rPr>
                <w:b/>
                <w:bCs/>
              </w:rPr>
              <w:t>redacted</w:t>
            </w:r>
            <w:r w:rsidRPr="00166BBD">
              <w:t xml:space="preserve"> per </w:t>
            </w:r>
            <w:r>
              <w:t>treatment</w:t>
            </w:r>
          </w:p>
        </w:tc>
        <w:tc>
          <w:tcPr>
            <w:tcW w:w="1236" w:type="dxa"/>
          </w:tcPr>
          <w:p w14:paraId="1BB36588" w14:textId="1A8F1D9C" w:rsidR="00D87B24" w:rsidRPr="00166BBD" w:rsidRDefault="00D87B24" w:rsidP="00D87B24">
            <w:pPr>
              <w:pStyle w:val="Tabletext0"/>
              <w:jc w:val="left"/>
            </w:pPr>
            <w:r w:rsidRPr="002B2C3A">
              <w:rPr>
                <w:b/>
                <w:bCs/>
              </w:rPr>
              <w:t>REDACTED</w:t>
            </w:r>
          </w:p>
        </w:tc>
        <w:tc>
          <w:tcPr>
            <w:tcW w:w="1218" w:type="dxa"/>
            <w:noWrap/>
          </w:tcPr>
          <w:p w14:paraId="4C4AD791" w14:textId="7F6FA22A" w:rsidR="00D87B24" w:rsidRPr="00166BBD" w:rsidRDefault="00D87B24" w:rsidP="00D87B24">
            <w:pPr>
              <w:pStyle w:val="Tabletext0"/>
              <w:jc w:val="left"/>
              <w:rPr>
                <w:rStyle w:val="IntenseEmphasis"/>
                <w:i/>
                <w:iCs/>
                <w:color w:val="auto"/>
              </w:rPr>
            </w:pPr>
            <w:r w:rsidRPr="00711A91">
              <w:rPr>
                <w:b/>
                <w:bCs/>
              </w:rPr>
              <w:t>REDACTED</w:t>
            </w:r>
          </w:p>
        </w:tc>
        <w:tc>
          <w:tcPr>
            <w:tcW w:w="1206" w:type="dxa"/>
          </w:tcPr>
          <w:p w14:paraId="6E3CA240" w14:textId="78AD23CF" w:rsidR="00D87B24" w:rsidRPr="00166BBD" w:rsidRDefault="00D87B24" w:rsidP="00D87B24">
            <w:pPr>
              <w:pStyle w:val="Tabletext0"/>
              <w:jc w:val="left"/>
            </w:pPr>
            <w:r w:rsidRPr="00711A91">
              <w:rPr>
                <w:b/>
                <w:bCs/>
              </w:rPr>
              <w:t>REDACTED</w:t>
            </w:r>
          </w:p>
        </w:tc>
        <w:tc>
          <w:tcPr>
            <w:tcW w:w="1207" w:type="dxa"/>
          </w:tcPr>
          <w:p w14:paraId="2AE1E0A8" w14:textId="2543B476" w:rsidR="00D87B24" w:rsidRPr="00166BBD" w:rsidRDefault="00D87B24" w:rsidP="00D87B24">
            <w:pPr>
              <w:pStyle w:val="Tabletext0"/>
              <w:jc w:val="left"/>
            </w:pPr>
            <w:r w:rsidRPr="00711A91">
              <w:rPr>
                <w:b/>
                <w:bCs/>
              </w:rPr>
              <w:t>REDACTED</w:t>
            </w:r>
          </w:p>
        </w:tc>
        <w:tc>
          <w:tcPr>
            <w:tcW w:w="1207" w:type="dxa"/>
          </w:tcPr>
          <w:p w14:paraId="47FEB220" w14:textId="316EDAE0" w:rsidR="00D87B24" w:rsidRPr="00166BBD" w:rsidRDefault="00D87B24" w:rsidP="00D87B24">
            <w:pPr>
              <w:pStyle w:val="Tabletext0"/>
              <w:jc w:val="left"/>
            </w:pPr>
            <w:r w:rsidRPr="00711A91">
              <w:rPr>
                <w:b/>
                <w:bCs/>
              </w:rPr>
              <w:t>REDACTED</w:t>
            </w:r>
          </w:p>
        </w:tc>
        <w:tc>
          <w:tcPr>
            <w:tcW w:w="1207" w:type="dxa"/>
          </w:tcPr>
          <w:p w14:paraId="447FC637" w14:textId="04CF8C36" w:rsidR="00D87B24" w:rsidRPr="00166BBD" w:rsidRDefault="00D87B24" w:rsidP="00D87B24">
            <w:pPr>
              <w:pStyle w:val="Tabletext0"/>
              <w:jc w:val="left"/>
            </w:pPr>
            <w:r w:rsidRPr="00711A91">
              <w:rPr>
                <w:b/>
                <w:bCs/>
              </w:rPr>
              <w:t>REDACTED</w:t>
            </w:r>
          </w:p>
        </w:tc>
      </w:tr>
      <w:tr w:rsidR="00D87B24" w:rsidRPr="00E43C21" w14:paraId="0B3A481E" w14:textId="02CDE1E8" w:rsidTr="00D52988">
        <w:trPr>
          <w:trHeight w:val="57"/>
        </w:trPr>
        <w:tc>
          <w:tcPr>
            <w:tcW w:w="1735" w:type="dxa"/>
            <w:noWrap/>
            <w:vAlign w:val="center"/>
            <w:hideMark/>
          </w:tcPr>
          <w:p w14:paraId="79DB98F0" w14:textId="724F498C" w:rsidR="00D87B24" w:rsidRPr="00166BBD" w:rsidRDefault="00D87B24" w:rsidP="00D87B24">
            <w:pPr>
              <w:pStyle w:val="Tabletext0"/>
              <w:jc w:val="left"/>
              <w:rPr>
                <w:rFonts w:cstheme="minorHAnsi"/>
                <w:i/>
                <w:iCs/>
              </w:rPr>
            </w:pPr>
            <w:r w:rsidRPr="00166BBD">
              <w:t xml:space="preserve">Fractions </w:t>
            </w:r>
            <w:r w:rsidR="00D52988" w:rsidRPr="00D52988">
              <w:rPr>
                <w:b/>
                <w:bCs/>
              </w:rPr>
              <w:t>redacted</w:t>
            </w:r>
            <w:r w:rsidRPr="00166BBD">
              <w:t xml:space="preserve"> per treatment</w:t>
            </w:r>
          </w:p>
        </w:tc>
        <w:tc>
          <w:tcPr>
            <w:tcW w:w="1236" w:type="dxa"/>
          </w:tcPr>
          <w:p w14:paraId="78873528" w14:textId="7A81B2E0" w:rsidR="00D87B24" w:rsidRPr="00166BBD" w:rsidRDefault="00D87B24" w:rsidP="00D87B24">
            <w:pPr>
              <w:pStyle w:val="Tabletext0"/>
              <w:jc w:val="left"/>
            </w:pPr>
            <w:r w:rsidRPr="002B2C3A">
              <w:rPr>
                <w:b/>
                <w:bCs/>
              </w:rPr>
              <w:t>REDACTED</w:t>
            </w:r>
          </w:p>
        </w:tc>
        <w:tc>
          <w:tcPr>
            <w:tcW w:w="1218" w:type="dxa"/>
            <w:noWrap/>
          </w:tcPr>
          <w:p w14:paraId="760F370A" w14:textId="5CB827A5" w:rsidR="00D87B24" w:rsidRPr="00166BBD" w:rsidRDefault="00D87B24" w:rsidP="00D87B24">
            <w:pPr>
              <w:pStyle w:val="Tabletext0"/>
              <w:jc w:val="left"/>
              <w:rPr>
                <w:rFonts w:cstheme="minorHAnsi"/>
                <w:i/>
                <w:iCs/>
              </w:rPr>
            </w:pPr>
            <w:r w:rsidRPr="00711A91">
              <w:rPr>
                <w:b/>
                <w:bCs/>
              </w:rPr>
              <w:t>REDACTED</w:t>
            </w:r>
          </w:p>
        </w:tc>
        <w:tc>
          <w:tcPr>
            <w:tcW w:w="1206" w:type="dxa"/>
          </w:tcPr>
          <w:p w14:paraId="40BF700C" w14:textId="1FD5D0EA" w:rsidR="00D87B24" w:rsidRPr="00166BBD" w:rsidRDefault="00D87B24" w:rsidP="00D87B24">
            <w:pPr>
              <w:pStyle w:val="Tabletext0"/>
              <w:jc w:val="left"/>
            </w:pPr>
            <w:r w:rsidRPr="00711A91">
              <w:rPr>
                <w:b/>
                <w:bCs/>
              </w:rPr>
              <w:t>REDACTED</w:t>
            </w:r>
          </w:p>
        </w:tc>
        <w:tc>
          <w:tcPr>
            <w:tcW w:w="1207" w:type="dxa"/>
          </w:tcPr>
          <w:p w14:paraId="1CCDF782" w14:textId="68BC7107" w:rsidR="00D87B24" w:rsidRPr="00166BBD" w:rsidRDefault="00D87B24" w:rsidP="00D87B24">
            <w:pPr>
              <w:pStyle w:val="Tabletext0"/>
              <w:jc w:val="left"/>
            </w:pPr>
            <w:r w:rsidRPr="00711A91">
              <w:rPr>
                <w:b/>
                <w:bCs/>
              </w:rPr>
              <w:t>REDACTED</w:t>
            </w:r>
          </w:p>
        </w:tc>
        <w:tc>
          <w:tcPr>
            <w:tcW w:w="1207" w:type="dxa"/>
          </w:tcPr>
          <w:p w14:paraId="3D931BB1" w14:textId="20491973" w:rsidR="00D87B24" w:rsidRPr="00166BBD" w:rsidRDefault="00D87B24" w:rsidP="00D87B24">
            <w:pPr>
              <w:pStyle w:val="Tabletext0"/>
              <w:jc w:val="left"/>
            </w:pPr>
            <w:r w:rsidRPr="00711A91">
              <w:rPr>
                <w:b/>
                <w:bCs/>
              </w:rPr>
              <w:t>REDACTED</w:t>
            </w:r>
          </w:p>
        </w:tc>
        <w:tc>
          <w:tcPr>
            <w:tcW w:w="1207" w:type="dxa"/>
          </w:tcPr>
          <w:p w14:paraId="2F602DCA" w14:textId="2F620694" w:rsidR="00D87B24" w:rsidRPr="00166BBD" w:rsidRDefault="00D87B24" w:rsidP="00D87B24">
            <w:pPr>
              <w:pStyle w:val="Tabletext0"/>
              <w:jc w:val="left"/>
            </w:pPr>
            <w:r w:rsidRPr="00711A91">
              <w:rPr>
                <w:b/>
                <w:bCs/>
              </w:rPr>
              <w:t>REDACTED</w:t>
            </w:r>
          </w:p>
        </w:tc>
      </w:tr>
      <w:tr w:rsidR="00D87B24" w:rsidRPr="00E43C21" w14:paraId="783C13CE" w14:textId="50E528D4" w:rsidTr="00D52988">
        <w:trPr>
          <w:trHeight w:val="57"/>
        </w:trPr>
        <w:tc>
          <w:tcPr>
            <w:tcW w:w="1735" w:type="dxa"/>
            <w:noWrap/>
            <w:vAlign w:val="center"/>
            <w:hideMark/>
          </w:tcPr>
          <w:p w14:paraId="55ED4C83" w14:textId="3E22C1C6" w:rsidR="00D87B24" w:rsidRPr="00166BBD" w:rsidRDefault="00D87B24" w:rsidP="00D87B24">
            <w:pPr>
              <w:pStyle w:val="Tabletext0"/>
              <w:jc w:val="left"/>
              <w:rPr>
                <w:rFonts w:cstheme="minorHAnsi"/>
                <w:i/>
                <w:iCs/>
              </w:rPr>
            </w:pPr>
            <w:r w:rsidRPr="00166BBD">
              <w:t xml:space="preserve">Fractions </w:t>
            </w:r>
            <w:r w:rsidR="00D52988" w:rsidRPr="00D52988">
              <w:rPr>
                <w:b/>
                <w:bCs/>
              </w:rPr>
              <w:t>redacted</w:t>
            </w:r>
            <w:r w:rsidRPr="00166BBD">
              <w:t xml:space="preserve"> per treatment</w:t>
            </w:r>
          </w:p>
        </w:tc>
        <w:tc>
          <w:tcPr>
            <w:tcW w:w="1236" w:type="dxa"/>
          </w:tcPr>
          <w:p w14:paraId="0B9D1E7A" w14:textId="32F3B385" w:rsidR="00D87B24" w:rsidRPr="00166BBD" w:rsidRDefault="00D87B24" w:rsidP="00D87B24">
            <w:pPr>
              <w:pStyle w:val="Tabletext0"/>
              <w:jc w:val="left"/>
            </w:pPr>
            <w:r w:rsidRPr="002B2C3A">
              <w:rPr>
                <w:b/>
                <w:bCs/>
              </w:rPr>
              <w:t>REDACTED</w:t>
            </w:r>
          </w:p>
        </w:tc>
        <w:tc>
          <w:tcPr>
            <w:tcW w:w="1218" w:type="dxa"/>
            <w:noWrap/>
          </w:tcPr>
          <w:p w14:paraId="25A6DC7A" w14:textId="4A3ACF28" w:rsidR="00D87B24" w:rsidRPr="00166BBD" w:rsidRDefault="00D87B24" w:rsidP="00D87B24">
            <w:pPr>
              <w:pStyle w:val="Tabletext0"/>
              <w:jc w:val="left"/>
              <w:rPr>
                <w:rFonts w:cstheme="minorHAnsi"/>
                <w:i/>
                <w:iCs/>
              </w:rPr>
            </w:pPr>
            <w:r w:rsidRPr="00711A91">
              <w:rPr>
                <w:b/>
                <w:bCs/>
              </w:rPr>
              <w:t>REDACTED</w:t>
            </w:r>
          </w:p>
        </w:tc>
        <w:tc>
          <w:tcPr>
            <w:tcW w:w="1206" w:type="dxa"/>
          </w:tcPr>
          <w:p w14:paraId="0D6509F7" w14:textId="4D2A0334" w:rsidR="00D87B24" w:rsidRPr="00166BBD" w:rsidRDefault="00D87B24" w:rsidP="00D87B24">
            <w:pPr>
              <w:pStyle w:val="Tabletext0"/>
              <w:jc w:val="left"/>
            </w:pPr>
            <w:r w:rsidRPr="00711A91">
              <w:rPr>
                <w:b/>
                <w:bCs/>
              </w:rPr>
              <w:t>REDACTED</w:t>
            </w:r>
          </w:p>
        </w:tc>
        <w:tc>
          <w:tcPr>
            <w:tcW w:w="1207" w:type="dxa"/>
          </w:tcPr>
          <w:p w14:paraId="14DF6263" w14:textId="5FC9BB47" w:rsidR="00D87B24" w:rsidRPr="00166BBD" w:rsidRDefault="00D87B24" w:rsidP="00D87B24">
            <w:pPr>
              <w:pStyle w:val="Tabletext0"/>
              <w:jc w:val="left"/>
            </w:pPr>
            <w:r w:rsidRPr="00711A91">
              <w:rPr>
                <w:b/>
                <w:bCs/>
              </w:rPr>
              <w:t>REDACTED</w:t>
            </w:r>
          </w:p>
        </w:tc>
        <w:tc>
          <w:tcPr>
            <w:tcW w:w="1207" w:type="dxa"/>
          </w:tcPr>
          <w:p w14:paraId="71ACF8AF" w14:textId="59228761" w:rsidR="00D87B24" w:rsidRPr="00166BBD" w:rsidRDefault="00D87B24" w:rsidP="00D87B24">
            <w:pPr>
              <w:pStyle w:val="Tabletext0"/>
              <w:jc w:val="left"/>
            </w:pPr>
            <w:r w:rsidRPr="00711A91">
              <w:rPr>
                <w:b/>
                <w:bCs/>
              </w:rPr>
              <w:t>REDACTED</w:t>
            </w:r>
          </w:p>
        </w:tc>
        <w:tc>
          <w:tcPr>
            <w:tcW w:w="1207" w:type="dxa"/>
          </w:tcPr>
          <w:p w14:paraId="025C2E34" w14:textId="1CB0865B" w:rsidR="00D87B24" w:rsidRPr="00166BBD" w:rsidRDefault="00D87B24" w:rsidP="00D87B24">
            <w:pPr>
              <w:pStyle w:val="Tabletext0"/>
              <w:jc w:val="left"/>
            </w:pPr>
            <w:r w:rsidRPr="00711A91">
              <w:rPr>
                <w:b/>
                <w:bCs/>
              </w:rPr>
              <w:t>REDACTED</w:t>
            </w:r>
          </w:p>
        </w:tc>
      </w:tr>
    </w:tbl>
    <w:p w14:paraId="3873E654" w14:textId="4432C4AD" w:rsidR="00B25AB2" w:rsidRDefault="001D6F43" w:rsidP="00702E73">
      <w:pPr>
        <w:pStyle w:val="TableFigureFooter"/>
        <w:spacing w:after="0"/>
      </w:pPr>
      <w:r>
        <w:t xml:space="preserve">Source: </w:t>
      </w:r>
      <w:r w:rsidRPr="1E8B3177">
        <w:rPr>
          <w:i/>
          <w:iCs/>
        </w:rPr>
        <w:t>Calculated during evaluation</w:t>
      </w:r>
      <w:r w:rsidR="00C73550" w:rsidRPr="1E8B3177">
        <w:rPr>
          <w:i/>
          <w:iCs/>
        </w:rPr>
        <w:t xml:space="preserve"> using the 85% benefit</w:t>
      </w:r>
      <w:r w:rsidRPr="1E8B3177">
        <w:rPr>
          <w:i/>
          <w:iCs/>
        </w:rPr>
        <w:t xml:space="preserve">. </w:t>
      </w:r>
    </w:p>
    <w:p w14:paraId="43D358EA" w14:textId="4AA939B5" w:rsidR="00157972" w:rsidRDefault="00157972" w:rsidP="00157972">
      <w:pPr>
        <w:pStyle w:val="Caption"/>
      </w:pPr>
      <w:bookmarkStart w:id="54" w:name="_Ref187253975"/>
      <w:r>
        <w:t xml:space="preserve">Table </w:t>
      </w:r>
      <w:r w:rsidR="007F4BCC">
        <w:fldChar w:fldCharType="begin"/>
      </w:r>
      <w:r w:rsidR="007F4BCC">
        <w:instrText xml:space="preserve"> SEQ Table \* ARABIC </w:instrText>
      </w:r>
      <w:r w:rsidR="007F4BCC">
        <w:fldChar w:fldCharType="separate"/>
      </w:r>
      <w:r w:rsidR="00AF5AE7">
        <w:rPr>
          <w:noProof/>
        </w:rPr>
        <w:t>23</w:t>
      </w:r>
      <w:r w:rsidR="007F4BCC">
        <w:rPr>
          <w:noProof/>
        </w:rPr>
        <w:fldChar w:fldCharType="end"/>
      </w:r>
      <w:bookmarkEnd w:id="54"/>
      <w:r>
        <w:t xml:space="preserve"> </w:t>
      </w:r>
      <w:r w:rsidRPr="00644A20">
        <w:t>Results of sensitivity analysis for net budget impact</w:t>
      </w:r>
      <w:r>
        <w:t xml:space="preserve"> to all health budgets</w:t>
      </w:r>
    </w:p>
    <w:tbl>
      <w:tblPr>
        <w:tblStyle w:val="TableGrid"/>
        <w:tblW w:w="0" w:type="auto"/>
        <w:tblLook w:val="04A0" w:firstRow="1" w:lastRow="0" w:firstColumn="1" w:lastColumn="0" w:noHBand="0" w:noVBand="1"/>
      </w:tblPr>
      <w:tblGrid>
        <w:gridCol w:w="1413"/>
        <w:gridCol w:w="1680"/>
        <w:gridCol w:w="1267"/>
        <w:gridCol w:w="1164"/>
        <w:gridCol w:w="1164"/>
        <w:gridCol w:w="1164"/>
        <w:gridCol w:w="1164"/>
      </w:tblGrid>
      <w:tr w:rsidR="00157972" w:rsidRPr="00166BBD" w14:paraId="167D02E8" w14:textId="77777777" w:rsidTr="00D52988">
        <w:trPr>
          <w:trHeight w:val="620"/>
        </w:trPr>
        <w:tc>
          <w:tcPr>
            <w:tcW w:w="1413" w:type="dxa"/>
            <w:noWrap/>
            <w:vAlign w:val="center"/>
            <w:hideMark/>
          </w:tcPr>
          <w:p w14:paraId="1E06F22C" w14:textId="77777777" w:rsidR="00157972" w:rsidRPr="00166BBD" w:rsidRDefault="00157972">
            <w:pPr>
              <w:pStyle w:val="Tabletext0"/>
              <w:jc w:val="left"/>
              <w:rPr>
                <w:rFonts w:cstheme="minorHAnsi"/>
                <w:b/>
                <w:bCs/>
                <w:i/>
                <w:iCs/>
              </w:rPr>
            </w:pPr>
            <w:r w:rsidRPr="00166BBD">
              <w:rPr>
                <w:b/>
                <w:bCs/>
              </w:rPr>
              <w:t>Changes made</w:t>
            </w:r>
          </w:p>
        </w:tc>
        <w:tc>
          <w:tcPr>
            <w:tcW w:w="1680" w:type="dxa"/>
            <w:vAlign w:val="center"/>
          </w:tcPr>
          <w:p w14:paraId="0B854606" w14:textId="77777777" w:rsidR="00157972" w:rsidRPr="00166BBD" w:rsidRDefault="00157972">
            <w:pPr>
              <w:pStyle w:val="Tabletext0"/>
              <w:jc w:val="left"/>
              <w:rPr>
                <w:b/>
                <w:bCs/>
              </w:rPr>
            </w:pPr>
            <w:r w:rsidRPr="00166BBD">
              <w:rPr>
                <w:b/>
                <w:bCs/>
              </w:rPr>
              <w:t>Year 2025</w:t>
            </w:r>
          </w:p>
        </w:tc>
        <w:tc>
          <w:tcPr>
            <w:tcW w:w="1267" w:type="dxa"/>
            <w:noWrap/>
            <w:vAlign w:val="center"/>
            <w:hideMark/>
          </w:tcPr>
          <w:p w14:paraId="12DC04F6" w14:textId="77777777" w:rsidR="00157972" w:rsidRPr="00166BBD" w:rsidRDefault="00157972">
            <w:pPr>
              <w:pStyle w:val="Tabletext0"/>
              <w:jc w:val="left"/>
              <w:rPr>
                <w:rFonts w:cstheme="minorHAnsi"/>
                <w:b/>
                <w:bCs/>
                <w:i/>
                <w:iCs/>
              </w:rPr>
            </w:pPr>
            <w:r w:rsidRPr="00166BBD">
              <w:rPr>
                <w:b/>
                <w:bCs/>
              </w:rPr>
              <w:t>Year 2026</w:t>
            </w:r>
          </w:p>
        </w:tc>
        <w:tc>
          <w:tcPr>
            <w:tcW w:w="1164" w:type="dxa"/>
            <w:vAlign w:val="center"/>
          </w:tcPr>
          <w:p w14:paraId="1DB70E5C" w14:textId="77777777" w:rsidR="00157972" w:rsidRPr="00166BBD" w:rsidRDefault="00157972">
            <w:pPr>
              <w:pStyle w:val="Tabletext0"/>
              <w:jc w:val="left"/>
              <w:rPr>
                <w:b/>
                <w:bCs/>
              </w:rPr>
            </w:pPr>
            <w:r w:rsidRPr="00166BBD">
              <w:rPr>
                <w:b/>
                <w:bCs/>
              </w:rPr>
              <w:t>Year 2027</w:t>
            </w:r>
          </w:p>
        </w:tc>
        <w:tc>
          <w:tcPr>
            <w:tcW w:w="1164" w:type="dxa"/>
            <w:vAlign w:val="center"/>
          </w:tcPr>
          <w:p w14:paraId="12AEB3B8" w14:textId="77777777" w:rsidR="00157972" w:rsidRPr="00166BBD" w:rsidRDefault="00157972">
            <w:pPr>
              <w:pStyle w:val="Tabletext0"/>
              <w:jc w:val="left"/>
              <w:rPr>
                <w:b/>
                <w:bCs/>
              </w:rPr>
            </w:pPr>
            <w:r w:rsidRPr="00166BBD">
              <w:rPr>
                <w:b/>
                <w:bCs/>
              </w:rPr>
              <w:t>Year 2028</w:t>
            </w:r>
          </w:p>
        </w:tc>
        <w:tc>
          <w:tcPr>
            <w:tcW w:w="1164" w:type="dxa"/>
            <w:vAlign w:val="center"/>
          </w:tcPr>
          <w:p w14:paraId="53315A95" w14:textId="77777777" w:rsidR="00157972" w:rsidRPr="00166BBD" w:rsidRDefault="00157972">
            <w:pPr>
              <w:pStyle w:val="Tabletext0"/>
              <w:jc w:val="left"/>
              <w:rPr>
                <w:b/>
                <w:bCs/>
              </w:rPr>
            </w:pPr>
            <w:r w:rsidRPr="00166BBD">
              <w:rPr>
                <w:b/>
                <w:bCs/>
              </w:rPr>
              <w:t>Year 2029</w:t>
            </w:r>
          </w:p>
        </w:tc>
        <w:tc>
          <w:tcPr>
            <w:tcW w:w="1164" w:type="dxa"/>
            <w:vAlign w:val="center"/>
          </w:tcPr>
          <w:p w14:paraId="276CDD92" w14:textId="77777777" w:rsidR="00157972" w:rsidRPr="00166BBD" w:rsidRDefault="00157972">
            <w:pPr>
              <w:pStyle w:val="Tabletext0"/>
              <w:jc w:val="left"/>
              <w:rPr>
                <w:b/>
                <w:bCs/>
              </w:rPr>
            </w:pPr>
            <w:r w:rsidRPr="00166BBD">
              <w:rPr>
                <w:b/>
                <w:bCs/>
              </w:rPr>
              <w:t>Year 2030</w:t>
            </w:r>
          </w:p>
        </w:tc>
      </w:tr>
      <w:tr w:rsidR="00D87B24" w:rsidRPr="00E43C21" w14:paraId="4C9F0CDB" w14:textId="77777777" w:rsidTr="00052C74">
        <w:trPr>
          <w:trHeight w:val="57"/>
        </w:trPr>
        <w:tc>
          <w:tcPr>
            <w:tcW w:w="1413" w:type="dxa"/>
            <w:noWrap/>
            <w:vAlign w:val="center"/>
            <w:hideMark/>
          </w:tcPr>
          <w:p w14:paraId="54E54217" w14:textId="12CB0726" w:rsidR="00D87B24" w:rsidRPr="001C2F1A" w:rsidRDefault="00D87B24" w:rsidP="00D87B24">
            <w:pPr>
              <w:pStyle w:val="Tabletext0"/>
              <w:jc w:val="left"/>
              <w:rPr>
                <w:rFonts w:cstheme="minorHAnsi"/>
                <w:i/>
                <w:iCs/>
              </w:rPr>
            </w:pPr>
            <w:r w:rsidRPr="0025076B">
              <w:rPr>
                <w:i/>
                <w:iCs/>
              </w:rPr>
              <w:t>Modified Base case</w:t>
            </w:r>
          </w:p>
        </w:tc>
        <w:tc>
          <w:tcPr>
            <w:tcW w:w="1680" w:type="dxa"/>
          </w:tcPr>
          <w:p w14:paraId="7A2554F4" w14:textId="74EC6274" w:rsidR="00D87B24" w:rsidRPr="00166BBD" w:rsidRDefault="00052C74" w:rsidP="00052C74">
            <w:pPr>
              <w:pStyle w:val="Tabletext0"/>
              <w:jc w:val="center"/>
            </w:pPr>
            <w:r w:rsidRPr="008D476F">
              <w:rPr>
                <w:b/>
                <w:bCs/>
              </w:rPr>
              <w:t>REDACTED</w:t>
            </w:r>
          </w:p>
        </w:tc>
        <w:tc>
          <w:tcPr>
            <w:tcW w:w="1267" w:type="dxa"/>
            <w:noWrap/>
            <w:hideMark/>
          </w:tcPr>
          <w:p w14:paraId="0539045D" w14:textId="33A9C327" w:rsidR="00D87B24" w:rsidRPr="00166BBD" w:rsidRDefault="00D87B24" w:rsidP="00052C74">
            <w:pPr>
              <w:pStyle w:val="Tabletext0"/>
              <w:jc w:val="center"/>
              <w:rPr>
                <w:rFonts w:cstheme="minorHAnsi"/>
                <w:i/>
                <w:iCs/>
              </w:rPr>
            </w:pPr>
            <w:r w:rsidRPr="008D476F">
              <w:rPr>
                <w:b/>
                <w:bCs/>
              </w:rPr>
              <w:t>REDACTED</w:t>
            </w:r>
          </w:p>
        </w:tc>
        <w:tc>
          <w:tcPr>
            <w:tcW w:w="1164" w:type="dxa"/>
          </w:tcPr>
          <w:p w14:paraId="776910AA" w14:textId="36921275" w:rsidR="00D87B24" w:rsidRPr="00166BBD" w:rsidRDefault="00052C74" w:rsidP="00052C74">
            <w:pPr>
              <w:pStyle w:val="Tabletext0"/>
              <w:jc w:val="center"/>
            </w:pPr>
            <w:r w:rsidRPr="00052C74">
              <w:rPr>
                <w:b/>
                <w:bCs/>
              </w:rPr>
              <w:t>REDACTED</w:t>
            </w:r>
          </w:p>
        </w:tc>
        <w:tc>
          <w:tcPr>
            <w:tcW w:w="1164" w:type="dxa"/>
          </w:tcPr>
          <w:p w14:paraId="14B14265" w14:textId="15BDDCBD" w:rsidR="00D87B24" w:rsidRPr="00166BBD" w:rsidRDefault="00052C74" w:rsidP="00052C74">
            <w:pPr>
              <w:pStyle w:val="Tabletext0"/>
              <w:jc w:val="center"/>
            </w:pPr>
            <w:r w:rsidRPr="00052C74">
              <w:rPr>
                <w:b/>
                <w:bCs/>
              </w:rPr>
              <w:t>REDACTED</w:t>
            </w:r>
          </w:p>
        </w:tc>
        <w:tc>
          <w:tcPr>
            <w:tcW w:w="1164" w:type="dxa"/>
          </w:tcPr>
          <w:p w14:paraId="6F4CE140" w14:textId="72B6CABC" w:rsidR="00D87B24" w:rsidRPr="00166BBD" w:rsidRDefault="00052C74" w:rsidP="00052C74">
            <w:pPr>
              <w:pStyle w:val="Tabletext0"/>
              <w:jc w:val="center"/>
            </w:pPr>
            <w:r>
              <w:rPr>
                <w:b/>
                <w:bCs/>
              </w:rPr>
              <w:t>REDACTED</w:t>
            </w:r>
          </w:p>
        </w:tc>
        <w:tc>
          <w:tcPr>
            <w:tcW w:w="1164" w:type="dxa"/>
          </w:tcPr>
          <w:p w14:paraId="736A35CE" w14:textId="503536F8" w:rsidR="00D87B24" w:rsidRPr="00166BBD" w:rsidRDefault="00052C74" w:rsidP="00052C74">
            <w:pPr>
              <w:pStyle w:val="Tabletext0"/>
              <w:jc w:val="center"/>
            </w:pPr>
            <w:r>
              <w:rPr>
                <w:b/>
                <w:bCs/>
              </w:rPr>
              <w:t>REDACTED</w:t>
            </w:r>
          </w:p>
        </w:tc>
      </w:tr>
      <w:tr w:rsidR="00D87B24" w:rsidRPr="00E43C21" w14:paraId="1AAF3BC8" w14:textId="77777777" w:rsidTr="00052C74">
        <w:trPr>
          <w:trHeight w:val="57"/>
        </w:trPr>
        <w:tc>
          <w:tcPr>
            <w:tcW w:w="1413" w:type="dxa"/>
            <w:noWrap/>
            <w:vAlign w:val="center"/>
            <w:hideMark/>
          </w:tcPr>
          <w:p w14:paraId="46A67360" w14:textId="77777777" w:rsidR="00D87B24" w:rsidRPr="00166BBD" w:rsidRDefault="00D87B24" w:rsidP="00D87B24">
            <w:pPr>
              <w:pStyle w:val="Tabletext0"/>
              <w:jc w:val="left"/>
              <w:rPr>
                <w:rFonts w:cstheme="minorHAnsi"/>
                <w:i/>
                <w:iCs/>
              </w:rPr>
            </w:pPr>
            <w:r w:rsidRPr="00166BBD">
              <w:t>4 patients per carpoule</w:t>
            </w:r>
          </w:p>
        </w:tc>
        <w:tc>
          <w:tcPr>
            <w:tcW w:w="1680" w:type="dxa"/>
          </w:tcPr>
          <w:p w14:paraId="7AA50B21" w14:textId="74CF46DD" w:rsidR="00D87B24" w:rsidRPr="00166BBD" w:rsidRDefault="00052C74" w:rsidP="00052C74">
            <w:pPr>
              <w:pStyle w:val="Tabletext0"/>
              <w:jc w:val="center"/>
            </w:pPr>
            <w:r>
              <w:rPr>
                <w:b/>
                <w:bCs/>
              </w:rPr>
              <w:t>REDACTED</w:t>
            </w:r>
          </w:p>
        </w:tc>
        <w:tc>
          <w:tcPr>
            <w:tcW w:w="1267" w:type="dxa"/>
            <w:noWrap/>
          </w:tcPr>
          <w:p w14:paraId="28A8E85A" w14:textId="4B6441B6" w:rsidR="00D87B24" w:rsidRPr="00166BBD" w:rsidRDefault="00052C74" w:rsidP="00052C74">
            <w:pPr>
              <w:pStyle w:val="Tabletext0"/>
              <w:jc w:val="center"/>
              <w:rPr>
                <w:rFonts w:cstheme="minorHAnsi"/>
                <w:i/>
                <w:iCs/>
              </w:rPr>
            </w:pPr>
            <w:r>
              <w:rPr>
                <w:b/>
                <w:bCs/>
              </w:rPr>
              <w:t>REDACTED</w:t>
            </w:r>
          </w:p>
        </w:tc>
        <w:tc>
          <w:tcPr>
            <w:tcW w:w="1164" w:type="dxa"/>
          </w:tcPr>
          <w:p w14:paraId="72E685CE" w14:textId="11AABE7A" w:rsidR="00D87B24" w:rsidRPr="00166BBD" w:rsidRDefault="00D87B24" w:rsidP="00052C74">
            <w:pPr>
              <w:pStyle w:val="Tabletext0"/>
              <w:jc w:val="center"/>
            </w:pPr>
            <w:r w:rsidRPr="008D476F">
              <w:rPr>
                <w:b/>
                <w:bCs/>
              </w:rPr>
              <w:t>REDACTED</w:t>
            </w:r>
          </w:p>
        </w:tc>
        <w:tc>
          <w:tcPr>
            <w:tcW w:w="1164" w:type="dxa"/>
          </w:tcPr>
          <w:p w14:paraId="10A82A1F" w14:textId="5E5A1307" w:rsidR="00D87B24" w:rsidRPr="00166BBD" w:rsidRDefault="00D87B24" w:rsidP="00052C74">
            <w:pPr>
              <w:pStyle w:val="Tabletext0"/>
              <w:jc w:val="center"/>
            </w:pPr>
            <w:r w:rsidRPr="008D476F">
              <w:rPr>
                <w:b/>
                <w:bCs/>
              </w:rPr>
              <w:t>REDACTED</w:t>
            </w:r>
          </w:p>
        </w:tc>
        <w:tc>
          <w:tcPr>
            <w:tcW w:w="1164" w:type="dxa"/>
          </w:tcPr>
          <w:p w14:paraId="1E64AB86" w14:textId="4098E309" w:rsidR="00D87B24" w:rsidRPr="00166BBD" w:rsidRDefault="00D87B24" w:rsidP="00052C74">
            <w:pPr>
              <w:pStyle w:val="Tabletext0"/>
              <w:jc w:val="center"/>
            </w:pPr>
            <w:r w:rsidRPr="008D476F">
              <w:rPr>
                <w:b/>
                <w:bCs/>
              </w:rPr>
              <w:t>REDACTED</w:t>
            </w:r>
          </w:p>
        </w:tc>
        <w:tc>
          <w:tcPr>
            <w:tcW w:w="1164" w:type="dxa"/>
          </w:tcPr>
          <w:p w14:paraId="1714F95E" w14:textId="444AB4E6" w:rsidR="00D87B24" w:rsidRPr="00166BBD" w:rsidRDefault="00D87B24" w:rsidP="00052C74">
            <w:pPr>
              <w:pStyle w:val="Tabletext0"/>
              <w:jc w:val="center"/>
            </w:pPr>
            <w:r w:rsidRPr="008D476F">
              <w:rPr>
                <w:b/>
                <w:bCs/>
              </w:rPr>
              <w:t>REDACTED</w:t>
            </w:r>
          </w:p>
        </w:tc>
      </w:tr>
      <w:tr w:rsidR="00D87B24" w:rsidRPr="00E43C21" w14:paraId="1AEE0AE2" w14:textId="77777777" w:rsidTr="00052C74">
        <w:trPr>
          <w:trHeight w:val="57"/>
        </w:trPr>
        <w:tc>
          <w:tcPr>
            <w:tcW w:w="1413" w:type="dxa"/>
            <w:noWrap/>
            <w:vAlign w:val="center"/>
            <w:hideMark/>
          </w:tcPr>
          <w:p w14:paraId="4F9516B6" w14:textId="77777777" w:rsidR="00D87B24" w:rsidRPr="00166BBD" w:rsidRDefault="00D87B24" w:rsidP="00D87B24">
            <w:pPr>
              <w:pStyle w:val="Tabletext0"/>
              <w:jc w:val="left"/>
              <w:rPr>
                <w:rFonts w:cstheme="minorHAnsi"/>
                <w:i/>
                <w:iCs/>
              </w:rPr>
            </w:pPr>
            <w:r w:rsidRPr="00166BBD">
              <w:t>Only one average patient per carpoule</w:t>
            </w:r>
          </w:p>
        </w:tc>
        <w:tc>
          <w:tcPr>
            <w:tcW w:w="1680" w:type="dxa"/>
          </w:tcPr>
          <w:p w14:paraId="259520A8" w14:textId="010AB33A" w:rsidR="00D87B24" w:rsidRPr="001C2F1A" w:rsidRDefault="00D87B24" w:rsidP="00052C74">
            <w:pPr>
              <w:pStyle w:val="Tabletext0"/>
              <w:jc w:val="center"/>
            </w:pPr>
            <w:r w:rsidRPr="00C475DB">
              <w:rPr>
                <w:b/>
                <w:bCs/>
              </w:rPr>
              <w:t>REDACTED</w:t>
            </w:r>
          </w:p>
        </w:tc>
        <w:tc>
          <w:tcPr>
            <w:tcW w:w="1267" w:type="dxa"/>
            <w:noWrap/>
          </w:tcPr>
          <w:p w14:paraId="65128D05" w14:textId="128A591E" w:rsidR="00D87B24" w:rsidRPr="0025076B" w:rsidRDefault="00D87B24" w:rsidP="00052C74">
            <w:pPr>
              <w:pStyle w:val="Tabletext0"/>
              <w:jc w:val="center"/>
            </w:pPr>
            <w:r w:rsidRPr="008D476F">
              <w:rPr>
                <w:b/>
                <w:bCs/>
              </w:rPr>
              <w:t>REDACTED</w:t>
            </w:r>
          </w:p>
        </w:tc>
        <w:tc>
          <w:tcPr>
            <w:tcW w:w="1164" w:type="dxa"/>
          </w:tcPr>
          <w:p w14:paraId="13B8D74E" w14:textId="60898B58" w:rsidR="00D87B24" w:rsidRPr="001C2F1A" w:rsidRDefault="00D87B24" w:rsidP="00052C74">
            <w:pPr>
              <w:pStyle w:val="Tabletext0"/>
              <w:jc w:val="center"/>
            </w:pPr>
            <w:r w:rsidRPr="008D476F">
              <w:rPr>
                <w:b/>
                <w:bCs/>
              </w:rPr>
              <w:t>REDACTED</w:t>
            </w:r>
          </w:p>
        </w:tc>
        <w:tc>
          <w:tcPr>
            <w:tcW w:w="1164" w:type="dxa"/>
          </w:tcPr>
          <w:p w14:paraId="352880B0" w14:textId="17B3A432" w:rsidR="00D87B24" w:rsidRPr="001C2F1A" w:rsidRDefault="00D87B24" w:rsidP="00052C74">
            <w:pPr>
              <w:pStyle w:val="Tabletext0"/>
              <w:jc w:val="center"/>
            </w:pPr>
            <w:r w:rsidRPr="008D476F">
              <w:rPr>
                <w:b/>
                <w:bCs/>
              </w:rPr>
              <w:t>REDACTED</w:t>
            </w:r>
          </w:p>
        </w:tc>
        <w:tc>
          <w:tcPr>
            <w:tcW w:w="1164" w:type="dxa"/>
          </w:tcPr>
          <w:p w14:paraId="6DDDA000" w14:textId="61AEDFA3" w:rsidR="00D87B24" w:rsidRPr="001C2F1A" w:rsidRDefault="00D87B24" w:rsidP="00052C74">
            <w:pPr>
              <w:pStyle w:val="Tabletext0"/>
              <w:jc w:val="center"/>
            </w:pPr>
            <w:r w:rsidRPr="008D476F">
              <w:rPr>
                <w:b/>
                <w:bCs/>
              </w:rPr>
              <w:t>REDACTED</w:t>
            </w:r>
          </w:p>
        </w:tc>
        <w:tc>
          <w:tcPr>
            <w:tcW w:w="1164" w:type="dxa"/>
          </w:tcPr>
          <w:p w14:paraId="6A500573" w14:textId="0CC66961" w:rsidR="00D87B24" w:rsidRPr="001C2F1A" w:rsidRDefault="00D87B24" w:rsidP="00052C74">
            <w:pPr>
              <w:pStyle w:val="Tabletext0"/>
              <w:jc w:val="center"/>
            </w:pPr>
            <w:r w:rsidRPr="008D476F">
              <w:rPr>
                <w:b/>
                <w:bCs/>
              </w:rPr>
              <w:t>REDACTED</w:t>
            </w:r>
          </w:p>
        </w:tc>
      </w:tr>
    </w:tbl>
    <w:p w14:paraId="40E37802" w14:textId="69DCF2D2" w:rsidR="00157972" w:rsidRPr="00BA438C" w:rsidRDefault="00C73550" w:rsidP="00702E73">
      <w:pPr>
        <w:pStyle w:val="TableFigureFooter"/>
        <w:spacing w:after="0"/>
      </w:pPr>
      <w:r>
        <w:t xml:space="preserve">Source: </w:t>
      </w:r>
      <w:r w:rsidRPr="1E8B3177">
        <w:rPr>
          <w:i/>
          <w:iCs/>
        </w:rPr>
        <w:t xml:space="preserve">Calculated during evaluation using the 85% benefit. </w:t>
      </w:r>
    </w:p>
    <w:p w14:paraId="07CBC6EB" w14:textId="5E30C3C9" w:rsidR="00166BBD" w:rsidRDefault="0027586E" w:rsidP="00702E73">
      <w:pPr>
        <w:pStyle w:val="a-TEXT"/>
        <w:spacing w:before="240"/>
      </w:pPr>
      <w:bookmarkStart w:id="55" w:name="_Toc69491427"/>
      <w:r>
        <w:t xml:space="preserve">The ADAR’s base case provides estimated that </w:t>
      </w:r>
      <w:r w:rsidR="00B17788">
        <w:t>Re-188 brachytherapy</w:t>
      </w:r>
      <w:r>
        <w:t xml:space="preserve"> will save the MBS</w:t>
      </w:r>
      <w:r w:rsidR="00943733">
        <w:t xml:space="preserve"> </w:t>
      </w:r>
      <w:r>
        <w:t xml:space="preserve">an estimated </w:t>
      </w:r>
      <w:r w:rsidR="00D52988" w:rsidRPr="00D52988">
        <w:rPr>
          <w:b/>
          <w:bCs/>
        </w:rPr>
        <w:t>redacted</w:t>
      </w:r>
      <w:r w:rsidR="00D52988">
        <w:rPr>
          <w:b/>
          <w:bCs/>
        </w:rPr>
        <w:t xml:space="preserve"> </w:t>
      </w:r>
      <w:r w:rsidR="00470B44">
        <w:t xml:space="preserve">over six years. However, </w:t>
      </w:r>
      <w:r w:rsidR="00C26F86">
        <w:t xml:space="preserve">the commentary </w:t>
      </w:r>
      <w:r w:rsidR="00404561" w:rsidRPr="00404561">
        <w:t>considered this estimate was not robust. Sensitivity analysis demonstrated that</w:t>
      </w:r>
      <w:r w:rsidR="00F43F6C">
        <w:t xml:space="preserve"> with reasonable modification of the input data </w:t>
      </w:r>
      <w:r w:rsidR="00404561" w:rsidRPr="00404561">
        <w:t xml:space="preserve">listing the MBS items </w:t>
      </w:r>
      <w:r w:rsidR="00BE522D">
        <w:t xml:space="preserve">demonstrated a </w:t>
      </w:r>
      <w:r w:rsidR="008861A4">
        <w:t>financial budget impact (to</w:t>
      </w:r>
      <w:r w:rsidR="005917F3" w:rsidRPr="005917F3">
        <w:t xml:space="preserve"> combined MBS, State, and territory health budgets</w:t>
      </w:r>
      <w:r w:rsidR="005917F3">
        <w:t>)</w:t>
      </w:r>
      <w:r w:rsidR="008861A4">
        <w:t xml:space="preserve"> that </w:t>
      </w:r>
      <w:r w:rsidR="00BE522D">
        <w:t>range</w:t>
      </w:r>
      <w:r w:rsidR="008861A4">
        <w:t>d</w:t>
      </w:r>
      <w:r w:rsidR="00BE522D">
        <w:t xml:space="preserve"> </w:t>
      </w:r>
      <w:r w:rsidR="004C4C75">
        <w:t xml:space="preserve">from a 6 year cost saving </w:t>
      </w:r>
      <w:r w:rsidR="00BE522D">
        <w:t xml:space="preserve">of </w:t>
      </w:r>
      <w:r w:rsidR="00D52988" w:rsidRPr="00D52988">
        <w:rPr>
          <w:b/>
          <w:bCs/>
        </w:rPr>
        <w:t>redacted</w:t>
      </w:r>
      <w:r w:rsidR="002E36F6">
        <w:t xml:space="preserve"> </w:t>
      </w:r>
      <w:r w:rsidR="002F7420">
        <w:t xml:space="preserve">(if </w:t>
      </w:r>
      <w:r w:rsidR="00D52988" w:rsidRPr="00D52988">
        <w:rPr>
          <w:b/>
          <w:bCs/>
        </w:rPr>
        <w:t>redacted</w:t>
      </w:r>
      <w:r w:rsidR="00E65ABF">
        <w:t xml:space="preserve"> fractions of the comparator treatment was needed) </w:t>
      </w:r>
      <w:r w:rsidR="002E36F6">
        <w:t xml:space="preserve">to a cost of </w:t>
      </w:r>
      <w:r w:rsidR="00D52988" w:rsidRPr="00D52988">
        <w:rPr>
          <w:b/>
          <w:bCs/>
        </w:rPr>
        <w:t>redacted</w:t>
      </w:r>
      <w:r w:rsidR="002F7420">
        <w:t xml:space="preserve"> (if only one carpoule per patient was used)</w:t>
      </w:r>
      <w:r w:rsidR="00404561" w:rsidRPr="00404561">
        <w:t xml:space="preserve">. This was based on varying the number of </w:t>
      </w:r>
      <w:r w:rsidR="00404561">
        <w:t xml:space="preserve">fractions used in the comparator treatment and </w:t>
      </w:r>
      <w:r w:rsidR="00BD3B50">
        <w:t>the amount of wastage of Re-188</w:t>
      </w:r>
      <w:r w:rsidR="00404561">
        <w:t>.</w:t>
      </w:r>
      <w:r>
        <w:t xml:space="preserve"> </w:t>
      </w:r>
    </w:p>
    <w:p w14:paraId="7838A9FF" w14:textId="3708FFCE" w:rsidR="00772829" w:rsidRPr="00CE28E3" w:rsidRDefault="00772829" w:rsidP="00B809FE">
      <w:pPr>
        <w:pStyle w:val="Heading2"/>
        <w:numPr>
          <w:ilvl w:val="0"/>
          <w:numId w:val="18"/>
        </w:numPr>
        <w:ind w:hanging="720"/>
      </w:pPr>
      <w:r w:rsidRPr="00CE28E3">
        <w:t xml:space="preserve">Other relevant </w:t>
      </w:r>
      <w:bookmarkEnd w:id="55"/>
      <w:r w:rsidR="00FA5766">
        <w:t>information</w:t>
      </w:r>
    </w:p>
    <w:p w14:paraId="4D2A98E1" w14:textId="3ED15E30" w:rsidR="00E365A4" w:rsidRDefault="00B17788" w:rsidP="00B22F65">
      <w:pPr>
        <w:pStyle w:val="a-TEXT"/>
      </w:pPr>
      <w:r>
        <w:t xml:space="preserve">The </w:t>
      </w:r>
      <w:r w:rsidR="00B03E07">
        <w:t xml:space="preserve">previous </w:t>
      </w:r>
      <w:r w:rsidR="00846CDC">
        <w:t xml:space="preserve">PSD </w:t>
      </w:r>
      <w:r w:rsidR="00594F1D">
        <w:t xml:space="preserve">requested that </w:t>
      </w:r>
      <w:r w:rsidR="00844BFB">
        <w:t xml:space="preserve">any </w:t>
      </w:r>
      <w:r w:rsidR="00DE7E4D">
        <w:t xml:space="preserve">resubmission of the </w:t>
      </w:r>
      <w:r w:rsidR="00594F1D">
        <w:t>Re-188 brachytherapy</w:t>
      </w:r>
      <w:r w:rsidR="00DE7E4D">
        <w:t xml:space="preserve"> application should present additional research into patient preferences for the treatment. </w:t>
      </w:r>
      <w:r w:rsidR="00B839EB">
        <w:t xml:space="preserve">The ADAR </w:t>
      </w:r>
      <w:r w:rsidR="008469BA">
        <w:t xml:space="preserve">presented </w:t>
      </w:r>
      <w:r w:rsidR="007870EF">
        <w:t xml:space="preserve">a </w:t>
      </w:r>
      <w:r w:rsidR="00433355">
        <w:t xml:space="preserve">brief </w:t>
      </w:r>
      <w:r w:rsidR="007870EF">
        <w:t xml:space="preserve">narrative </w:t>
      </w:r>
      <w:r w:rsidR="00941694">
        <w:t xml:space="preserve">literature </w:t>
      </w:r>
      <w:r w:rsidR="007870EF">
        <w:t>review</w:t>
      </w:r>
      <w:r w:rsidR="00941694">
        <w:t xml:space="preserve"> </w:t>
      </w:r>
      <w:r w:rsidR="000065DF">
        <w:t xml:space="preserve">of </w:t>
      </w:r>
      <w:r w:rsidR="00433355">
        <w:t xml:space="preserve">seven studies </w:t>
      </w:r>
      <w:r w:rsidR="00941694">
        <w:t>on</w:t>
      </w:r>
      <w:r w:rsidR="007870EF">
        <w:t xml:space="preserve"> </w:t>
      </w:r>
      <w:r w:rsidR="008469BA">
        <w:t>patient</w:t>
      </w:r>
      <w:r w:rsidR="00DE7E4D">
        <w:t xml:space="preserve"> reported outcomes regarding </w:t>
      </w:r>
      <w:r w:rsidR="00D97507">
        <w:t>Keratinocyte cancers (</w:t>
      </w:r>
      <w:r w:rsidR="00DE7E4D">
        <w:t>KC</w:t>
      </w:r>
      <w:r w:rsidR="00D97507">
        <w:t xml:space="preserve">) and </w:t>
      </w:r>
      <w:r w:rsidR="00DE7E4D">
        <w:t>NMSC therapies</w:t>
      </w:r>
      <w:r w:rsidR="00E365A4">
        <w:t xml:space="preserve"> </w:t>
      </w:r>
      <w:r w:rsidR="00146EB8">
        <w:t>(</w:t>
      </w:r>
      <w:r>
        <w:fldChar w:fldCharType="begin"/>
      </w:r>
      <w:r>
        <w:instrText xml:space="preserve"> REF _Ref187260568 \h </w:instrText>
      </w:r>
      <w:r>
        <w:fldChar w:fldCharType="separate"/>
      </w:r>
      <w:r w:rsidR="00AF5AE7">
        <w:t xml:space="preserve">Table </w:t>
      </w:r>
      <w:r w:rsidR="00AF5AE7">
        <w:rPr>
          <w:noProof/>
        </w:rPr>
        <w:t>24</w:t>
      </w:r>
      <w:r>
        <w:fldChar w:fldCharType="end"/>
      </w:r>
      <w:r w:rsidR="00146EB8">
        <w:t xml:space="preserve">). </w:t>
      </w:r>
      <w:r w:rsidR="00B03E07">
        <w:t>The commentary considered this</w:t>
      </w:r>
      <w:r w:rsidR="00146EB8">
        <w:t xml:space="preserve"> was not relevant to the current ADAR as the wrong comparator was used.</w:t>
      </w:r>
    </w:p>
    <w:p w14:paraId="2514C77A" w14:textId="4115FE01" w:rsidR="00146EB8" w:rsidRDefault="00146EB8" w:rsidP="00702E73">
      <w:pPr>
        <w:pStyle w:val="Caption"/>
        <w:keepLines/>
      </w:pPr>
      <w:bookmarkStart w:id="56" w:name="_Ref187260568"/>
      <w:r>
        <w:lastRenderedPageBreak/>
        <w:t xml:space="preserve">Table </w:t>
      </w:r>
      <w:r w:rsidR="007F4BCC">
        <w:fldChar w:fldCharType="begin"/>
      </w:r>
      <w:r w:rsidR="007F4BCC">
        <w:instrText xml:space="preserve"> SEQ Table \* ARABIC </w:instrText>
      </w:r>
      <w:r w:rsidR="007F4BCC">
        <w:fldChar w:fldCharType="separate"/>
      </w:r>
      <w:r w:rsidR="00AF5AE7">
        <w:rPr>
          <w:noProof/>
        </w:rPr>
        <w:t>24</w:t>
      </w:r>
      <w:r w:rsidR="007F4BCC">
        <w:rPr>
          <w:noProof/>
        </w:rPr>
        <w:fldChar w:fldCharType="end"/>
      </w:r>
      <w:bookmarkEnd w:id="56"/>
      <w:r>
        <w:t xml:space="preserve"> Publications used in the narrative literature presented in the ADAR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647"/>
        <w:gridCol w:w="2409"/>
        <w:gridCol w:w="1700"/>
        <w:gridCol w:w="1845"/>
        <w:gridCol w:w="1365"/>
      </w:tblGrid>
      <w:tr w:rsidR="00146EB8" w:rsidRPr="00DA417D" w14:paraId="188750D1" w14:textId="77777777" w:rsidTr="0025076B">
        <w:trPr>
          <w:trHeight w:val="300"/>
        </w:trPr>
        <w:tc>
          <w:tcPr>
            <w:tcW w:w="582" w:type="pct"/>
            <w:noWrap/>
            <w:vAlign w:val="center"/>
            <w:hideMark/>
          </w:tcPr>
          <w:p w14:paraId="70297BE2" w14:textId="77777777" w:rsidR="00146EB8" w:rsidRPr="00DA417D" w:rsidRDefault="00146EB8" w:rsidP="00702E73">
            <w:pPr>
              <w:keepNext/>
              <w:keepLines/>
              <w:spacing w:before="0" w:after="0" w:line="240" w:lineRule="auto"/>
              <w:rPr>
                <w:rFonts w:ascii="Arial Narrow" w:eastAsia="Times New Roman" w:hAnsi="Arial Narrow" w:cs="Times New Roman"/>
                <w:b/>
                <w:bCs/>
                <w:color w:val="000000"/>
                <w:sz w:val="20"/>
                <w:szCs w:val="20"/>
                <w:lang w:eastAsia="en-AU"/>
              </w:rPr>
            </w:pPr>
            <w:r w:rsidRPr="00DA417D">
              <w:rPr>
                <w:rFonts w:ascii="Arial Narrow" w:eastAsia="Times New Roman" w:hAnsi="Arial Narrow" w:cs="Times New Roman"/>
                <w:b/>
                <w:bCs/>
                <w:color w:val="000000"/>
                <w:sz w:val="20"/>
                <w:szCs w:val="20"/>
                <w:lang w:eastAsia="en-AU"/>
              </w:rPr>
              <w:t>Study</w:t>
            </w:r>
          </w:p>
        </w:tc>
        <w:tc>
          <w:tcPr>
            <w:tcW w:w="359" w:type="pct"/>
            <w:noWrap/>
            <w:vAlign w:val="center"/>
            <w:hideMark/>
          </w:tcPr>
          <w:p w14:paraId="02828644" w14:textId="77777777" w:rsidR="00146EB8" w:rsidRPr="00DA417D" w:rsidRDefault="00146EB8" w:rsidP="00702E73">
            <w:pPr>
              <w:keepNext/>
              <w:keepLines/>
              <w:spacing w:before="0" w:after="0" w:line="240" w:lineRule="auto"/>
              <w:jc w:val="center"/>
              <w:rPr>
                <w:rFonts w:ascii="Arial Narrow" w:eastAsia="Times New Roman" w:hAnsi="Arial Narrow" w:cs="Times New Roman"/>
                <w:b/>
                <w:bCs/>
                <w:color w:val="000000"/>
                <w:sz w:val="20"/>
                <w:szCs w:val="20"/>
                <w:lang w:eastAsia="en-AU"/>
              </w:rPr>
            </w:pPr>
            <w:r w:rsidRPr="00DA417D">
              <w:rPr>
                <w:rFonts w:ascii="Arial Narrow" w:eastAsia="Times New Roman" w:hAnsi="Arial Narrow" w:cs="Times New Roman"/>
                <w:b/>
                <w:bCs/>
                <w:color w:val="000000"/>
                <w:sz w:val="20"/>
                <w:szCs w:val="20"/>
                <w:lang w:eastAsia="en-AU"/>
              </w:rPr>
              <w:t xml:space="preserve">N </w:t>
            </w:r>
          </w:p>
        </w:tc>
        <w:tc>
          <w:tcPr>
            <w:tcW w:w="1336" w:type="pct"/>
            <w:noWrap/>
            <w:vAlign w:val="center"/>
            <w:hideMark/>
          </w:tcPr>
          <w:p w14:paraId="6465873D" w14:textId="77777777" w:rsidR="00146EB8" w:rsidRPr="00DA417D" w:rsidRDefault="00146EB8" w:rsidP="00702E73">
            <w:pPr>
              <w:keepNext/>
              <w:keepLines/>
              <w:spacing w:before="0" w:after="0" w:line="240" w:lineRule="auto"/>
              <w:jc w:val="center"/>
              <w:rPr>
                <w:rFonts w:ascii="Arial Narrow" w:eastAsia="Times New Roman" w:hAnsi="Arial Narrow" w:cs="Times New Roman"/>
                <w:b/>
                <w:bCs/>
                <w:color w:val="000000"/>
                <w:sz w:val="20"/>
                <w:szCs w:val="20"/>
                <w:lang w:eastAsia="en-AU"/>
              </w:rPr>
            </w:pPr>
            <w:r w:rsidRPr="00DA417D">
              <w:rPr>
                <w:rFonts w:ascii="Arial Narrow" w:eastAsia="Times New Roman" w:hAnsi="Arial Narrow" w:cs="Times New Roman"/>
                <w:b/>
                <w:bCs/>
                <w:color w:val="000000"/>
                <w:sz w:val="20"/>
                <w:szCs w:val="20"/>
                <w:lang w:eastAsia="en-AU"/>
              </w:rPr>
              <w:t>Intervention</w:t>
            </w:r>
          </w:p>
        </w:tc>
        <w:tc>
          <w:tcPr>
            <w:tcW w:w="943" w:type="pct"/>
            <w:noWrap/>
            <w:vAlign w:val="center"/>
            <w:hideMark/>
          </w:tcPr>
          <w:p w14:paraId="26021345" w14:textId="77777777" w:rsidR="00146EB8" w:rsidRPr="00DA417D" w:rsidRDefault="00146EB8" w:rsidP="00702E73">
            <w:pPr>
              <w:keepNext/>
              <w:keepLines/>
              <w:spacing w:before="0" w:after="0" w:line="240" w:lineRule="auto"/>
              <w:jc w:val="center"/>
              <w:rPr>
                <w:rFonts w:ascii="Arial Narrow" w:eastAsia="Times New Roman" w:hAnsi="Arial Narrow" w:cs="Times New Roman"/>
                <w:b/>
                <w:bCs/>
                <w:color w:val="000000"/>
                <w:sz w:val="20"/>
                <w:szCs w:val="20"/>
                <w:lang w:eastAsia="en-AU"/>
              </w:rPr>
            </w:pPr>
            <w:r w:rsidRPr="00DA417D">
              <w:rPr>
                <w:rFonts w:ascii="Arial Narrow" w:eastAsia="Times New Roman" w:hAnsi="Arial Narrow" w:cs="Times New Roman"/>
                <w:b/>
                <w:bCs/>
                <w:color w:val="000000"/>
                <w:sz w:val="20"/>
                <w:szCs w:val="20"/>
                <w:lang w:eastAsia="en-AU"/>
              </w:rPr>
              <w:t>Condition</w:t>
            </w:r>
          </w:p>
        </w:tc>
        <w:tc>
          <w:tcPr>
            <w:tcW w:w="1023" w:type="pct"/>
            <w:noWrap/>
            <w:vAlign w:val="center"/>
            <w:hideMark/>
          </w:tcPr>
          <w:p w14:paraId="38A9FBF5" w14:textId="77777777" w:rsidR="00146EB8" w:rsidRPr="00DA417D" w:rsidRDefault="00146EB8" w:rsidP="00702E73">
            <w:pPr>
              <w:keepNext/>
              <w:keepLines/>
              <w:spacing w:before="0" w:after="0" w:line="240" w:lineRule="auto"/>
              <w:jc w:val="center"/>
              <w:rPr>
                <w:rFonts w:ascii="Arial Narrow" w:eastAsia="Times New Roman" w:hAnsi="Arial Narrow" w:cs="Times New Roman"/>
                <w:b/>
                <w:bCs/>
                <w:color w:val="000000"/>
                <w:sz w:val="20"/>
                <w:szCs w:val="20"/>
                <w:lang w:eastAsia="en-AU"/>
              </w:rPr>
            </w:pPr>
            <w:r w:rsidRPr="00DA417D">
              <w:rPr>
                <w:rFonts w:ascii="Arial Narrow" w:eastAsia="Times New Roman" w:hAnsi="Arial Narrow" w:cs="Times New Roman"/>
                <w:b/>
                <w:bCs/>
                <w:color w:val="000000"/>
                <w:sz w:val="20"/>
                <w:szCs w:val="20"/>
                <w:lang w:eastAsia="en-AU"/>
              </w:rPr>
              <w:t>Year of Study</w:t>
            </w:r>
          </w:p>
        </w:tc>
        <w:tc>
          <w:tcPr>
            <w:tcW w:w="757" w:type="pct"/>
            <w:noWrap/>
            <w:vAlign w:val="center"/>
            <w:hideMark/>
          </w:tcPr>
          <w:p w14:paraId="6C33C130" w14:textId="77777777" w:rsidR="00146EB8" w:rsidRPr="00DA417D" w:rsidRDefault="00146EB8" w:rsidP="00702E73">
            <w:pPr>
              <w:keepNext/>
              <w:keepLines/>
              <w:spacing w:before="0" w:after="0" w:line="240" w:lineRule="auto"/>
              <w:jc w:val="center"/>
              <w:rPr>
                <w:rFonts w:ascii="Arial Narrow" w:eastAsia="Times New Roman" w:hAnsi="Arial Narrow" w:cs="Times New Roman"/>
                <w:b/>
                <w:bCs/>
                <w:color w:val="000000"/>
                <w:sz w:val="20"/>
                <w:szCs w:val="20"/>
                <w:lang w:eastAsia="en-AU"/>
              </w:rPr>
            </w:pPr>
            <w:r w:rsidRPr="00DA417D">
              <w:rPr>
                <w:rFonts w:ascii="Arial Narrow" w:eastAsia="Times New Roman" w:hAnsi="Arial Narrow" w:cs="Times New Roman"/>
                <w:b/>
                <w:bCs/>
                <w:color w:val="000000"/>
                <w:sz w:val="20"/>
                <w:szCs w:val="20"/>
                <w:lang w:eastAsia="en-AU"/>
              </w:rPr>
              <w:t>Study design</w:t>
            </w:r>
          </w:p>
        </w:tc>
      </w:tr>
      <w:tr w:rsidR="00146EB8" w:rsidRPr="00DA417D" w14:paraId="3514D3A1" w14:textId="77777777" w:rsidTr="0025076B">
        <w:trPr>
          <w:trHeight w:val="345"/>
        </w:trPr>
        <w:tc>
          <w:tcPr>
            <w:tcW w:w="582" w:type="pct"/>
            <w:noWrap/>
            <w:vAlign w:val="center"/>
            <w:hideMark/>
          </w:tcPr>
          <w:p w14:paraId="1A341781" w14:textId="77777777" w:rsidR="00146EB8" w:rsidRPr="00DA417D" w:rsidRDefault="00146EB8" w:rsidP="00702E73">
            <w:pPr>
              <w:keepNext/>
              <w:keepLines/>
              <w:spacing w:before="0" w:after="0" w:line="240" w:lineRule="auto"/>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val="en-US" w:eastAsia="en-AU"/>
              </w:rPr>
              <w:t>Alam, M., et al. (2011)</w:t>
            </w:r>
          </w:p>
        </w:tc>
        <w:tc>
          <w:tcPr>
            <w:tcW w:w="359" w:type="pct"/>
            <w:noWrap/>
            <w:vAlign w:val="center"/>
            <w:hideMark/>
          </w:tcPr>
          <w:p w14:paraId="5B765E78" w14:textId="77777777" w:rsidR="00146EB8" w:rsidRPr="00DA417D" w:rsidRDefault="00146EB8" w:rsidP="00702E73">
            <w:pPr>
              <w:keepNext/>
              <w:keepLines/>
              <w:spacing w:before="0" w:after="0" w:line="240" w:lineRule="auto"/>
              <w:jc w:val="center"/>
              <w:rPr>
                <w:rFonts w:ascii="Arial Narrow" w:eastAsia="Times New Roman" w:hAnsi="Arial Narrow" w:cs="Segoe UI"/>
                <w:color w:val="212121"/>
                <w:sz w:val="20"/>
                <w:szCs w:val="20"/>
                <w:lang w:eastAsia="en-AU"/>
              </w:rPr>
            </w:pPr>
            <w:r w:rsidRPr="00DA417D">
              <w:rPr>
                <w:rFonts w:ascii="Arial Narrow" w:eastAsia="Times New Roman" w:hAnsi="Arial Narrow" w:cs="Segoe UI"/>
                <w:color w:val="212121"/>
                <w:sz w:val="20"/>
                <w:szCs w:val="20"/>
                <w:lang w:eastAsia="en-AU"/>
              </w:rPr>
              <w:t>982</w:t>
            </w:r>
          </w:p>
        </w:tc>
        <w:tc>
          <w:tcPr>
            <w:tcW w:w="1336" w:type="pct"/>
            <w:noWrap/>
            <w:vAlign w:val="center"/>
            <w:hideMark/>
          </w:tcPr>
          <w:p w14:paraId="6712FAAE"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eastAsia="en-AU"/>
              </w:rPr>
              <w:t>Mohs micrographic surgery</w:t>
            </w:r>
          </w:p>
        </w:tc>
        <w:tc>
          <w:tcPr>
            <w:tcW w:w="943" w:type="pct"/>
            <w:noWrap/>
            <w:vAlign w:val="center"/>
            <w:hideMark/>
          </w:tcPr>
          <w:p w14:paraId="5E27E44A" w14:textId="77777777" w:rsidR="00146EB8" w:rsidRPr="00DA417D" w:rsidRDefault="00146EB8" w:rsidP="00702E73">
            <w:pPr>
              <w:keepNext/>
              <w:keepLines/>
              <w:spacing w:before="0" w:after="0" w:line="240" w:lineRule="auto"/>
              <w:jc w:val="center"/>
              <w:rPr>
                <w:rFonts w:ascii="Arial Narrow" w:eastAsia="Times New Roman" w:hAnsi="Arial Narrow" w:cs="Segoe UI"/>
                <w:color w:val="212121"/>
                <w:sz w:val="20"/>
                <w:szCs w:val="20"/>
                <w:lang w:eastAsia="en-AU"/>
              </w:rPr>
            </w:pPr>
            <w:r w:rsidRPr="00DA417D">
              <w:rPr>
                <w:rFonts w:ascii="Arial Narrow" w:eastAsia="Times New Roman" w:hAnsi="Arial Narrow" w:cs="Segoe UI"/>
                <w:color w:val="212121"/>
                <w:sz w:val="20"/>
                <w:szCs w:val="20"/>
                <w:lang w:eastAsia="en-AU"/>
              </w:rPr>
              <w:t>NMSC</w:t>
            </w:r>
          </w:p>
        </w:tc>
        <w:tc>
          <w:tcPr>
            <w:tcW w:w="1023" w:type="pct"/>
            <w:noWrap/>
            <w:vAlign w:val="center"/>
            <w:hideMark/>
          </w:tcPr>
          <w:p w14:paraId="3B6DC71F"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eastAsia="en-AU"/>
              </w:rPr>
              <w:t>2005</w:t>
            </w:r>
          </w:p>
        </w:tc>
        <w:tc>
          <w:tcPr>
            <w:tcW w:w="757" w:type="pct"/>
            <w:noWrap/>
            <w:vAlign w:val="center"/>
            <w:hideMark/>
          </w:tcPr>
          <w:p w14:paraId="7D7CBABD"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eastAsia="en-AU"/>
              </w:rPr>
              <w:t>Prospective cohort</w:t>
            </w:r>
          </w:p>
        </w:tc>
      </w:tr>
      <w:tr w:rsidR="00146EB8" w:rsidRPr="00DA417D" w14:paraId="0912DAA8" w14:textId="77777777" w:rsidTr="0025076B">
        <w:trPr>
          <w:trHeight w:val="345"/>
        </w:trPr>
        <w:tc>
          <w:tcPr>
            <w:tcW w:w="582" w:type="pct"/>
            <w:noWrap/>
            <w:vAlign w:val="center"/>
            <w:hideMark/>
          </w:tcPr>
          <w:p w14:paraId="7B07A1C6" w14:textId="77777777" w:rsidR="00146EB8" w:rsidRPr="00DA417D" w:rsidRDefault="00146EB8" w:rsidP="00702E73">
            <w:pPr>
              <w:keepNext/>
              <w:keepLines/>
              <w:spacing w:before="0" w:after="0" w:line="240" w:lineRule="auto"/>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val="en-US" w:eastAsia="en-AU"/>
              </w:rPr>
              <w:t>D’Hondt, V., et al. (2023)</w:t>
            </w:r>
          </w:p>
        </w:tc>
        <w:tc>
          <w:tcPr>
            <w:tcW w:w="359" w:type="pct"/>
            <w:noWrap/>
            <w:vAlign w:val="center"/>
            <w:hideMark/>
          </w:tcPr>
          <w:p w14:paraId="6ED62469" w14:textId="77777777" w:rsidR="00146EB8" w:rsidRPr="00DA417D" w:rsidRDefault="00146EB8" w:rsidP="00702E73">
            <w:pPr>
              <w:keepNext/>
              <w:keepLines/>
              <w:spacing w:before="0" w:after="0" w:line="240" w:lineRule="auto"/>
              <w:jc w:val="center"/>
              <w:rPr>
                <w:rFonts w:ascii="Arial Narrow" w:eastAsia="Times New Roman" w:hAnsi="Arial Narrow" w:cs="Segoe UI"/>
                <w:color w:val="212121"/>
                <w:sz w:val="20"/>
                <w:szCs w:val="20"/>
                <w:lang w:eastAsia="en-AU"/>
              </w:rPr>
            </w:pPr>
            <w:r w:rsidRPr="00DA417D">
              <w:rPr>
                <w:rFonts w:ascii="Arial Narrow" w:eastAsia="Times New Roman" w:hAnsi="Arial Narrow" w:cs="Segoe UI"/>
                <w:color w:val="212121"/>
                <w:sz w:val="20"/>
                <w:szCs w:val="20"/>
                <w:lang w:eastAsia="en-AU"/>
              </w:rPr>
              <w:t>217</w:t>
            </w:r>
          </w:p>
        </w:tc>
        <w:tc>
          <w:tcPr>
            <w:tcW w:w="1336" w:type="pct"/>
            <w:noWrap/>
            <w:vAlign w:val="center"/>
            <w:hideMark/>
          </w:tcPr>
          <w:p w14:paraId="283FB72C"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eastAsia="en-AU"/>
              </w:rPr>
              <w:t>Mohs Micrographic Surgery</w:t>
            </w:r>
          </w:p>
        </w:tc>
        <w:tc>
          <w:tcPr>
            <w:tcW w:w="943" w:type="pct"/>
            <w:noWrap/>
            <w:vAlign w:val="center"/>
            <w:hideMark/>
          </w:tcPr>
          <w:p w14:paraId="2F62E389" w14:textId="77777777" w:rsidR="00146EB8" w:rsidRPr="00DA417D" w:rsidRDefault="00146EB8" w:rsidP="00702E73">
            <w:pPr>
              <w:keepNext/>
              <w:keepLines/>
              <w:spacing w:before="0" w:after="0" w:line="240" w:lineRule="auto"/>
              <w:jc w:val="center"/>
              <w:rPr>
                <w:rFonts w:ascii="Arial Narrow" w:eastAsia="Times New Roman" w:hAnsi="Arial Narrow" w:cs="Segoe UI"/>
                <w:color w:val="212121"/>
                <w:sz w:val="20"/>
                <w:szCs w:val="20"/>
                <w:lang w:eastAsia="en-AU"/>
              </w:rPr>
            </w:pPr>
            <w:r w:rsidRPr="00DA417D">
              <w:rPr>
                <w:rFonts w:ascii="Arial Narrow" w:eastAsia="Times New Roman" w:hAnsi="Arial Narrow" w:cs="Segoe UI"/>
                <w:color w:val="212121"/>
                <w:sz w:val="20"/>
                <w:szCs w:val="20"/>
                <w:lang w:eastAsia="en-AU"/>
              </w:rPr>
              <w:t>facial NMSC</w:t>
            </w:r>
          </w:p>
        </w:tc>
        <w:tc>
          <w:tcPr>
            <w:tcW w:w="1023" w:type="pct"/>
            <w:noWrap/>
            <w:vAlign w:val="center"/>
            <w:hideMark/>
          </w:tcPr>
          <w:p w14:paraId="7FBFBC5B"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eastAsia="en-AU"/>
              </w:rPr>
              <w:t>2020 - 2021</w:t>
            </w:r>
          </w:p>
        </w:tc>
        <w:tc>
          <w:tcPr>
            <w:tcW w:w="757" w:type="pct"/>
            <w:noWrap/>
            <w:vAlign w:val="center"/>
            <w:hideMark/>
          </w:tcPr>
          <w:p w14:paraId="79A9FB19"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eastAsia="en-AU"/>
              </w:rPr>
              <w:t>Prospective cohort</w:t>
            </w:r>
          </w:p>
        </w:tc>
      </w:tr>
      <w:tr w:rsidR="00146EB8" w:rsidRPr="00DA417D" w14:paraId="6E9006B1" w14:textId="77777777" w:rsidTr="0025076B">
        <w:trPr>
          <w:trHeight w:val="315"/>
        </w:trPr>
        <w:tc>
          <w:tcPr>
            <w:tcW w:w="582" w:type="pct"/>
            <w:noWrap/>
            <w:vAlign w:val="center"/>
            <w:hideMark/>
          </w:tcPr>
          <w:p w14:paraId="335B1A27" w14:textId="77777777" w:rsidR="00146EB8" w:rsidRPr="00DA417D" w:rsidRDefault="00146EB8" w:rsidP="00702E73">
            <w:pPr>
              <w:keepNext/>
              <w:keepLines/>
              <w:spacing w:before="0" w:after="0" w:line="240" w:lineRule="auto"/>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val="en-US" w:eastAsia="en-AU"/>
              </w:rPr>
              <w:t>Dirr, M. A., et al. (2023)</w:t>
            </w:r>
          </w:p>
        </w:tc>
        <w:tc>
          <w:tcPr>
            <w:tcW w:w="359" w:type="pct"/>
            <w:noWrap/>
            <w:vAlign w:val="center"/>
            <w:hideMark/>
          </w:tcPr>
          <w:p w14:paraId="490709B5"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eastAsia="en-AU"/>
              </w:rPr>
              <w:t>259</w:t>
            </w:r>
          </w:p>
        </w:tc>
        <w:tc>
          <w:tcPr>
            <w:tcW w:w="1336" w:type="pct"/>
            <w:noWrap/>
            <w:vAlign w:val="center"/>
            <w:hideMark/>
          </w:tcPr>
          <w:p w14:paraId="2E0C3FCB"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000000"/>
                <w:sz w:val="20"/>
                <w:szCs w:val="20"/>
                <w:lang w:eastAsia="en-AU"/>
              </w:rPr>
            </w:pPr>
            <w:r>
              <w:rPr>
                <w:rFonts w:ascii="Arial Narrow" w:eastAsia="Times New Roman" w:hAnsi="Arial Narrow" w:cs="Times New Roman"/>
                <w:color w:val="000000"/>
                <w:sz w:val="20"/>
                <w:szCs w:val="20"/>
                <w:lang w:eastAsia="en-AU"/>
              </w:rPr>
              <w:t>A</w:t>
            </w:r>
            <w:r w:rsidRPr="00DA417D">
              <w:rPr>
                <w:rFonts w:ascii="Arial Narrow" w:eastAsia="Times New Roman" w:hAnsi="Arial Narrow" w:cs="Times New Roman"/>
                <w:color w:val="000000"/>
                <w:sz w:val="20"/>
                <w:szCs w:val="20"/>
                <w:lang w:eastAsia="en-AU"/>
              </w:rPr>
              <w:t>naesthetic injection preceding each Mohs Micrographic Surgery stage</w:t>
            </w:r>
          </w:p>
        </w:tc>
        <w:tc>
          <w:tcPr>
            <w:tcW w:w="943" w:type="pct"/>
            <w:noWrap/>
            <w:vAlign w:val="center"/>
            <w:hideMark/>
          </w:tcPr>
          <w:p w14:paraId="26F81CD3"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eastAsia="en-AU"/>
              </w:rPr>
              <w:t>Facial surgery</w:t>
            </w:r>
          </w:p>
        </w:tc>
        <w:tc>
          <w:tcPr>
            <w:tcW w:w="1023" w:type="pct"/>
            <w:noWrap/>
            <w:vAlign w:val="center"/>
            <w:hideMark/>
          </w:tcPr>
          <w:p w14:paraId="17768879"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eastAsia="en-AU"/>
              </w:rPr>
              <w:t>NR</w:t>
            </w:r>
          </w:p>
        </w:tc>
        <w:tc>
          <w:tcPr>
            <w:tcW w:w="757" w:type="pct"/>
            <w:noWrap/>
            <w:vAlign w:val="center"/>
            <w:hideMark/>
          </w:tcPr>
          <w:p w14:paraId="395E37D0"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eastAsia="en-AU"/>
              </w:rPr>
              <w:t>Prospective cohort</w:t>
            </w:r>
          </w:p>
        </w:tc>
      </w:tr>
      <w:tr w:rsidR="00146EB8" w:rsidRPr="00DA417D" w14:paraId="46E9E29D" w14:textId="77777777" w:rsidTr="0025076B">
        <w:trPr>
          <w:trHeight w:val="345"/>
        </w:trPr>
        <w:tc>
          <w:tcPr>
            <w:tcW w:w="582" w:type="pct"/>
            <w:noWrap/>
            <w:vAlign w:val="center"/>
            <w:hideMark/>
          </w:tcPr>
          <w:p w14:paraId="265DB63A" w14:textId="77777777" w:rsidR="00146EB8" w:rsidRPr="00DA417D" w:rsidRDefault="00146EB8" w:rsidP="00702E73">
            <w:pPr>
              <w:keepNext/>
              <w:keepLines/>
              <w:spacing w:before="0" w:after="0" w:line="240" w:lineRule="auto"/>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val="en-US" w:eastAsia="en-AU"/>
              </w:rPr>
              <w:t>Krönert, M., et al. (2024)</w:t>
            </w:r>
          </w:p>
        </w:tc>
        <w:tc>
          <w:tcPr>
            <w:tcW w:w="359" w:type="pct"/>
            <w:noWrap/>
            <w:vAlign w:val="center"/>
            <w:hideMark/>
          </w:tcPr>
          <w:p w14:paraId="7424A7B5"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eastAsia="en-AU"/>
              </w:rPr>
              <w:t>19</w:t>
            </w:r>
          </w:p>
        </w:tc>
        <w:tc>
          <w:tcPr>
            <w:tcW w:w="1336" w:type="pct"/>
            <w:noWrap/>
            <w:vAlign w:val="center"/>
            <w:hideMark/>
          </w:tcPr>
          <w:p w14:paraId="3D42C663" w14:textId="68346AA8" w:rsidR="00146EB8" w:rsidRPr="00DA417D" w:rsidRDefault="00026758" w:rsidP="00702E73">
            <w:pPr>
              <w:keepNext/>
              <w:keepLines/>
              <w:spacing w:before="0" w:after="0" w:line="240" w:lineRule="auto"/>
              <w:jc w:val="center"/>
              <w:rPr>
                <w:rFonts w:ascii="Arial Narrow" w:eastAsia="Times New Roman" w:hAnsi="Arial Narrow" w:cs="Arial"/>
                <w:color w:val="222222"/>
                <w:sz w:val="20"/>
                <w:szCs w:val="20"/>
                <w:lang w:eastAsia="en-AU"/>
              </w:rPr>
            </w:pPr>
            <w:r>
              <w:rPr>
                <w:rFonts w:ascii="Arial Narrow" w:eastAsia="Times New Roman" w:hAnsi="Arial Narrow" w:cs="Arial"/>
                <w:color w:val="222222"/>
                <w:sz w:val="20"/>
                <w:szCs w:val="20"/>
                <w:lang w:eastAsia="en-AU"/>
              </w:rPr>
              <w:t>Re-188 brachytherapy</w:t>
            </w:r>
            <w:r w:rsidR="00146EB8" w:rsidRPr="00DA417D">
              <w:rPr>
                <w:rFonts w:ascii="Arial Narrow" w:eastAsia="Times New Roman" w:hAnsi="Arial Narrow" w:cs="Arial"/>
                <w:color w:val="222222"/>
                <w:sz w:val="20"/>
                <w:szCs w:val="20"/>
                <w:lang w:eastAsia="en-AU"/>
              </w:rPr>
              <w:t xml:space="preserve"> (16 with surgery before or after </w:t>
            </w:r>
            <w:r>
              <w:rPr>
                <w:rFonts w:ascii="Arial Narrow" w:eastAsia="Times New Roman" w:hAnsi="Arial Narrow" w:cs="Arial"/>
                <w:color w:val="222222"/>
                <w:sz w:val="20"/>
                <w:szCs w:val="20"/>
                <w:lang w:eastAsia="en-AU"/>
              </w:rPr>
              <w:t>Re-188 brachytherapy</w:t>
            </w:r>
            <w:r w:rsidR="00146EB8" w:rsidRPr="00DA417D">
              <w:rPr>
                <w:rFonts w:ascii="Arial Narrow" w:eastAsia="Times New Roman" w:hAnsi="Arial Narrow" w:cs="Arial"/>
                <w:color w:val="222222"/>
                <w:sz w:val="20"/>
                <w:szCs w:val="20"/>
                <w:lang w:eastAsia="en-AU"/>
              </w:rPr>
              <w:t>)</w:t>
            </w:r>
          </w:p>
        </w:tc>
        <w:tc>
          <w:tcPr>
            <w:tcW w:w="943" w:type="pct"/>
            <w:noWrap/>
            <w:vAlign w:val="center"/>
            <w:hideMark/>
          </w:tcPr>
          <w:p w14:paraId="45C192B7" w14:textId="77777777" w:rsidR="00146EB8" w:rsidRPr="00DA417D" w:rsidRDefault="00146EB8" w:rsidP="00702E73">
            <w:pPr>
              <w:keepNext/>
              <w:keepLines/>
              <w:spacing w:before="0" w:after="0" w:line="240" w:lineRule="auto"/>
              <w:jc w:val="center"/>
              <w:rPr>
                <w:rFonts w:ascii="Arial Narrow" w:eastAsia="Times New Roman" w:hAnsi="Arial Narrow" w:cs="Segoe UI"/>
                <w:color w:val="212121"/>
                <w:sz w:val="20"/>
                <w:szCs w:val="20"/>
                <w:lang w:eastAsia="en-AU"/>
              </w:rPr>
            </w:pPr>
            <w:r w:rsidRPr="00DA417D">
              <w:rPr>
                <w:rFonts w:ascii="Arial Narrow" w:eastAsia="Times New Roman" w:hAnsi="Arial Narrow" w:cs="Segoe UI"/>
                <w:color w:val="212121"/>
                <w:sz w:val="20"/>
                <w:szCs w:val="20"/>
                <w:lang w:eastAsia="en-AU"/>
              </w:rPr>
              <w:t>NMSC</w:t>
            </w:r>
          </w:p>
        </w:tc>
        <w:tc>
          <w:tcPr>
            <w:tcW w:w="1023" w:type="pct"/>
            <w:noWrap/>
            <w:vAlign w:val="center"/>
            <w:hideMark/>
          </w:tcPr>
          <w:p w14:paraId="2E264CA6"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eastAsia="en-AU"/>
              </w:rPr>
              <w:t>2020 - 2023</w:t>
            </w:r>
          </w:p>
        </w:tc>
        <w:tc>
          <w:tcPr>
            <w:tcW w:w="757" w:type="pct"/>
            <w:noWrap/>
            <w:vAlign w:val="center"/>
            <w:hideMark/>
          </w:tcPr>
          <w:p w14:paraId="0E5751CD"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eastAsia="en-AU"/>
              </w:rPr>
              <w:t>Prospective cohort</w:t>
            </w:r>
          </w:p>
        </w:tc>
      </w:tr>
      <w:tr w:rsidR="00146EB8" w:rsidRPr="00DA417D" w14:paraId="0C78196C" w14:textId="77777777" w:rsidTr="0025076B">
        <w:trPr>
          <w:trHeight w:val="345"/>
        </w:trPr>
        <w:tc>
          <w:tcPr>
            <w:tcW w:w="582" w:type="pct"/>
            <w:noWrap/>
            <w:vAlign w:val="center"/>
            <w:hideMark/>
          </w:tcPr>
          <w:p w14:paraId="15A78345" w14:textId="77777777" w:rsidR="00146EB8" w:rsidRPr="00DA417D" w:rsidRDefault="00146EB8" w:rsidP="00702E73">
            <w:pPr>
              <w:keepNext/>
              <w:keepLines/>
              <w:spacing w:before="0" w:after="0" w:line="240" w:lineRule="auto"/>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val="en-US" w:eastAsia="en-AU"/>
              </w:rPr>
              <w:t>Lee, E. B., et al. (2021)</w:t>
            </w:r>
          </w:p>
        </w:tc>
        <w:tc>
          <w:tcPr>
            <w:tcW w:w="359" w:type="pct"/>
            <w:noWrap/>
            <w:vAlign w:val="center"/>
            <w:hideMark/>
          </w:tcPr>
          <w:p w14:paraId="5663A690"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eastAsia="en-AU"/>
              </w:rPr>
              <w:t>226</w:t>
            </w:r>
          </w:p>
        </w:tc>
        <w:tc>
          <w:tcPr>
            <w:tcW w:w="1336" w:type="pct"/>
            <w:noWrap/>
            <w:vAlign w:val="center"/>
            <w:hideMark/>
          </w:tcPr>
          <w:p w14:paraId="47F9BA81"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eastAsia="en-AU"/>
              </w:rPr>
              <w:t>Mohs Micrographic Surgery</w:t>
            </w:r>
          </w:p>
        </w:tc>
        <w:tc>
          <w:tcPr>
            <w:tcW w:w="943" w:type="pct"/>
            <w:noWrap/>
            <w:vAlign w:val="center"/>
            <w:hideMark/>
          </w:tcPr>
          <w:p w14:paraId="5274B8AF" w14:textId="77777777" w:rsidR="00146EB8" w:rsidRPr="00DA417D" w:rsidRDefault="00146EB8" w:rsidP="00702E73">
            <w:pPr>
              <w:keepNext/>
              <w:keepLines/>
              <w:spacing w:before="0" w:after="0" w:line="240" w:lineRule="auto"/>
              <w:jc w:val="center"/>
              <w:rPr>
                <w:rFonts w:ascii="Arial Narrow" w:eastAsia="Times New Roman" w:hAnsi="Arial Narrow" w:cs="Segoe UI"/>
                <w:color w:val="212121"/>
                <w:sz w:val="20"/>
                <w:szCs w:val="20"/>
                <w:lang w:eastAsia="en-AU"/>
              </w:rPr>
            </w:pPr>
            <w:r w:rsidRPr="00DA417D">
              <w:rPr>
                <w:rFonts w:ascii="Arial Narrow" w:eastAsia="Times New Roman" w:hAnsi="Arial Narrow" w:cs="Segoe UI"/>
                <w:color w:val="212121"/>
                <w:sz w:val="20"/>
                <w:szCs w:val="20"/>
                <w:lang w:eastAsia="en-AU"/>
              </w:rPr>
              <w:t>NMSC</w:t>
            </w:r>
          </w:p>
        </w:tc>
        <w:tc>
          <w:tcPr>
            <w:tcW w:w="1023" w:type="pct"/>
            <w:noWrap/>
            <w:vAlign w:val="center"/>
            <w:hideMark/>
          </w:tcPr>
          <w:p w14:paraId="62DDF8E6"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eastAsia="en-AU"/>
              </w:rPr>
              <w:t>NR</w:t>
            </w:r>
          </w:p>
        </w:tc>
        <w:tc>
          <w:tcPr>
            <w:tcW w:w="757" w:type="pct"/>
            <w:noWrap/>
            <w:vAlign w:val="center"/>
            <w:hideMark/>
          </w:tcPr>
          <w:p w14:paraId="78A27BE6"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eastAsia="en-AU"/>
              </w:rPr>
              <w:t>Prospective cohort</w:t>
            </w:r>
          </w:p>
        </w:tc>
      </w:tr>
      <w:tr w:rsidR="00146EB8" w:rsidRPr="00DA417D" w14:paraId="30F29D1C" w14:textId="77777777" w:rsidTr="0025076B">
        <w:trPr>
          <w:trHeight w:val="360"/>
        </w:trPr>
        <w:tc>
          <w:tcPr>
            <w:tcW w:w="582" w:type="pct"/>
            <w:noWrap/>
            <w:vAlign w:val="center"/>
            <w:hideMark/>
          </w:tcPr>
          <w:p w14:paraId="7674093E" w14:textId="77777777" w:rsidR="00146EB8" w:rsidRPr="00DA417D" w:rsidRDefault="00146EB8" w:rsidP="00702E73">
            <w:pPr>
              <w:keepNext/>
              <w:keepLines/>
              <w:spacing w:before="0" w:after="0" w:line="240" w:lineRule="auto"/>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val="en-US" w:eastAsia="en-AU"/>
              </w:rPr>
              <w:t>Nierich, J., et al. (2024)</w:t>
            </w:r>
          </w:p>
        </w:tc>
        <w:tc>
          <w:tcPr>
            <w:tcW w:w="359" w:type="pct"/>
            <w:noWrap/>
            <w:vAlign w:val="center"/>
            <w:hideMark/>
          </w:tcPr>
          <w:p w14:paraId="5C937486"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1B1B1B"/>
                <w:sz w:val="20"/>
                <w:szCs w:val="20"/>
                <w:lang w:eastAsia="en-AU"/>
              </w:rPr>
            </w:pPr>
            <w:r w:rsidRPr="00DA417D">
              <w:rPr>
                <w:rFonts w:ascii="Arial Narrow" w:eastAsia="Times New Roman" w:hAnsi="Arial Narrow" w:cs="Times New Roman"/>
                <w:color w:val="1B1B1B"/>
                <w:sz w:val="20"/>
                <w:szCs w:val="20"/>
                <w:lang w:eastAsia="en-AU"/>
              </w:rPr>
              <w:t>122</w:t>
            </w:r>
          </w:p>
        </w:tc>
        <w:tc>
          <w:tcPr>
            <w:tcW w:w="1336" w:type="pct"/>
            <w:noWrap/>
            <w:vAlign w:val="center"/>
            <w:hideMark/>
          </w:tcPr>
          <w:p w14:paraId="1FEA3331"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1B1B1B"/>
                <w:sz w:val="20"/>
                <w:szCs w:val="20"/>
                <w:lang w:eastAsia="en-AU"/>
              </w:rPr>
            </w:pPr>
            <w:r w:rsidRPr="00DA417D">
              <w:rPr>
                <w:rFonts w:ascii="Arial Narrow" w:eastAsia="Times New Roman" w:hAnsi="Arial Narrow" w:cs="Times New Roman"/>
                <w:color w:val="1B1B1B"/>
                <w:sz w:val="20"/>
                <w:szCs w:val="20"/>
                <w:lang w:eastAsia="en-AU"/>
              </w:rPr>
              <w:t>facial reconstruction</w:t>
            </w:r>
          </w:p>
        </w:tc>
        <w:tc>
          <w:tcPr>
            <w:tcW w:w="943" w:type="pct"/>
            <w:noWrap/>
            <w:vAlign w:val="center"/>
            <w:hideMark/>
          </w:tcPr>
          <w:p w14:paraId="76BA9199"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1B1B1B"/>
                <w:sz w:val="20"/>
                <w:szCs w:val="20"/>
                <w:lang w:eastAsia="en-AU"/>
              </w:rPr>
            </w:pPr>
            <w:r w:rsidRPr="00DA417D">
              <w:rPr>
                <w:rFonts w:ascii="Arial Narrow" w:eastAsia="Times New Roman" w:hAnsi="Arial Narrow" w:cs="Times New Roman"/>
                <w:color w:val="1B1B1B"/>
                <w:sz w:val="20"/>
                <w:szCs w:val="20"/>
                <w:lang w:eastAsia="en-AU"/>
              </w:rPr>
              <w:t>after Mohs micrographic surgery for NMSC</w:t>
            </w:r>
          </w:p>
        </w:tc>
        <w:tc>
          <w:tcPr>
            <w:tcW w:w="1023" w:type="pct"/>
            <w:noWrap/>
            <w:vAlign w:val="center"/>
            <w:hideMark/>
          </w:tcPr>
          <w:p w14:paraId="6E70A0A0"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1B1B1B"/>
                <w:sz w:val="20"/>
                <w:szCs w:val="20"/>
                <w:lang w:eastAsia="en-AU"/>
              </w:rPr>
            </w:pPr>
            <w:r w:rsidRPr="00DA417D">
              <w:rPr>
                <w:rFonts w:ascii="Arial Narrow" w:eastAsia="Times New Roman" w:hAnsi="Arial Narrow" w:cs="Times New Roman"/>
                <w:color w:val="1B1B1B"/>
                <w:sz w:val="20"/>
                <w:szCs w:val="20"/>
                <w:lang w:eastAsia="en-AU"/>
              </w:rPr>
              <w:t>Surgery 2006 - 2011 - questionnaire at 10 year follow up</w:t>
            </w:r>
          </w:p>
        </w:tc>
        <w:tc>
          <w:tcPr>
            <w:tcW w:w="757" w:type="pct"/>
            <w:noWrap/>
            <w:vAlign w:val="center"/>
            <w:hideMark/>
          </w:tcPr>
          <w:p w14:paraId="71CF18AD"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eastAsia="en-AU"/>
              </w:rPr>
              <w:t>Prospective cohort</w:t>
            </w:r>
          </w:p>
        </w:tc>
      </w:tr>
      <w:tr w:rsidR="00146EB8" w:rsidRPr="00DA417D" w14:paraId="40DDE0C7" w14:textId="77777777" w:rsidTr="0025076B">
        <w:trPr>
          <w:trHeight w:val="345"/>
        </w:trPr>
        <w:tc>
          <w:tcPr>
            <w:tcW w:w="582" w:type="pct"/>
            <w:noWrap/>
            <w:vAlign w:val="center"/>
            <w:hideMark/>
          </w:tcPr>
          <w:p w14:paraId="6682032D" w14:textId="77777777" w:rsidR="00146EB8" w:rsidRPr="00DA417D" w:rsidRDefault="00146EB8" w:rsidP="00702E73">
            <w:pPr>
              <w:keepNext/>
              <w:keepLines/>
              <w:spacing w:before="0" w:after="0" w:line="240" w:lineRule="auto"/>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val="en-US" w:eastAsia="en-AU"/>
              </w:rPr>
              <w:t>Tietze, J. K., et al. (2023)</w:t>
            </w:r>
          </w:p>
        </w:tc>
        <w:tc>
          <w:tcPr>
            <w:tcW w:w="359" w:type="pct"/>
            <w:noWrap/>
            <w:vAlign w:val="center"/>
            <w:hideMark/>
          </w:tcPr>
          <w:p w14:paraId="24C0C48B"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eastAsia="en-AU"/>
              </w:rPr>
              <w:t>22</w:t>
            </w:r>
          </w:p>
        </w:tc>
        <w:tc>
          <w:tcPr>
            <w:tcW w:w="1336" w:type="pct"/>
            <w:noWrap/>
            <w:vAlign w:val="center"/>
            <w:hideMark/>
          </w:tcPr>
          <w:p w14:paraId="1240D141" w14:textId="3DEC905D" w:rsidR="00146EB8" w:rsidRPr="00DA417D" w:rsidRDefault="00026758" w:rsidP="00702E73">
            <w:pPr>
              <w:keepNext/>
              <w:keepLines/>
              <w:spacing w:before="0" w:after="0" w:line="240" w:lineRule="auto"/>
              <w:jc w:val="center"/>
              <w:rPr>
                <w:rFonts w:ascii="Arial Narrow" w:eastAsia="Times New Roman" w:hAnsi="Arial Narrow" w:cs="Times New Roman"/>
                <w:color w:val="000000"/>
                <w:sz w:val="20"/>
                <w:szCs w:val="20"/>
                <w:lang w:eastAsia="en-AU"/>
              </w:rPr>
            </w:pPr>
            <w:r>
              <w:rPr>
                <w:rFonts w:ascii="Arial Narrow" w:eastAsia="Times New Roman" w:hAnsi="Arial Narrow" w:cs="Times New Roman"/>
                <w:color w:val="000000"/>
                <w:sz w:val="20"/>
                <w:szCs w:val="20"/>
                <w:lang w:eastAsia="en-AU"/>
              </w:rPr>
              <w:t>Re-188 brachytherapy</w:t>
            </w:r>
          </w:p>
        </w:tc>
        <w:tc>
          <w:tcPr>
            <w:tcW w:w="943" w:type="pct"/>
            <w:noWrap/>
            <w:vAlign w:val="center"/>
            <w:hideMark/>
          </w:tcPr>
          <w:p w14:paraId="5BA86C66" w14:textId="77777777" w:rsidR="00146EB8" w:rsidRPr="00DA417D" w:rsidRDefault="00146EB8" w:rsidP="00702E73">
            <w:pPr>
              <w:keepNext/>
              <w:keepLines/>
              <w:spacing w:before="0" w:after="0" w:line="240" w:lineRule="auto"/>
              <w:jc w:val="center"/>
              <w:rPr>
                <w:rFonts w:ascii="Arial Narrow" w:eastAsia="Times New Roman" w:hAnsi="Arial Narrow" w:cs="Segoe UI"/>
                <w:color w:val="212121"/>
                <w:sz w:val="20"/>
                <w:szCs w:val="20"/>
                <w:lang w:eastAsia="en-AU"/>
              </w:rPr>
            </w:pPr>
            <w:r w:rsidRPr="00DA417D">
              <w:rPr>
                <w:rFonts w:ascii="Arial Narrow" w:eastAsia="Times New Roman" w:hAnsi="Arial Narrow" w:cs="Segoe UI"/>
                <w:color w:val="212121"/>
                <w:sz w:val="20"/>
                <w:szCs w:val="20"/>
                <w:lang w:eastAsia="en-AU"/>
              </w:rPr>
              <w:t>NMSC</w:t>
            </w:r>
          </w:p>
        </w:tc>
        <w:tc>
          <w:tcPr>
            <w:tcW w:w="1023" w:type="pct"/>
            <w:noWrap/>
            <w:vAlign w:val="center"/>
            <w:hideMark/>
          </w:tcPr>
          <w:p w14:paraId="67537153"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eastAsia="en-AU"/>
              </w:rPr>
              <w:t>2020 -2021 - 12 month follow up</w:t>
            </w:r>
          </w:p>
        </w:tc>
        <w:tc>
          <w:tcPr>
            <w:tcW w:w="757" w:type="pct"/>
            <w:noWrap/>
            <w:vAlign w:val="center"/>
            <w:hideMark/>
          </w:tcPr>
          <w:p w14:paraId="072F690E" w14:textId="77777777" w:rsidR="00146EB8" w:rsidRPr="00DA417D" w:rsidRDefault="00146EB8" w:rsidP="00702E73">
            <w:pPr>
              <w:keepNext/>
              <w:keepLines/>
              <w:spacing w:before="0" w:after="0" w:line="240" w:lineRule="auto"/>
              <w:jc w:val="center"/>
              <w:rPr>
                <w:rFonts w:ascii="Arial Narrow" w:eastAsia="Times New Roman" w:hAnsi="Arial Narrow" w:cs="Times New Roman"/>
                <w:color w:val="000000"/>
                <w:sz w:val="20"/>
                <w:szCs w:val="20"/>
                <w:lang w:eastAsia="en-AU"/>
              </w:rPr>
            </w:pPr>
            <w:r w:rsidRPr="00DA417D">
              <w:rPr>
                <w:rFonts w:ascii="Arial Narrow" w:eastAsia="Times New Roman" w:hAnsi="Arial Narrow" w:cs="Times New Roman"/>
                <w:color w:val="000000"/>
                <w:sz w:val="20"/>
                <w:szCs w:val="20"/>
                <w:lang w:eastAsia="en-AU"/>
              </w:rPr>
              <w:t>Prospective cohort</w:t>
            </w:r>
          </w:p>
        </w:tc>
      </w:tr>
    </w:tbl>
    <w:p w14:paraId="7C25ED39" w14:textId="376B17C0" w:rsidR="0018182E" w:rsidRDefault="00146EB8" w:rsidP="00702E73">
      <w:pPr>
        <w:pStyle w:val="TableFigureFooter"/>
        <w:keepNext/>
        <w:keepLines/>
      </w:pPr>
      <w:r>
        <w:t>Source: compiled during evaluation</w:t>
      </w:r>
      <w:r w:rsidR="002F6093">
        <w:t>. NMSC = non-melonoma skin cancer</w:t>
      </w:r>
      <w:r w:rsidR="0057606C">
        <w:t xml:space="preserve">; </w:t>
      </w:r>
      <w:r w:rsidR="00026758">
        <w:t>Re-188 brachytherapy</w:t>
      </w:r>
      <w:r w:rsidR="0057606C">
        <w:t xml:space="preserve"> =</w:t>
      </w:r>
      <w:r w:rsidR="0057606C" w:rsidRPr="0057606C">
        <w:t xml:space="preserve"> Rhenium Skin Cancer Therapy</w:t>
      </w:r>
      <w:r w:rsidR="0057606C">
        <w:t xml:space="preserve">. </w:t>
      </w:r>
    </w:p>
    <w:p w14:paraId="5F32A87D" w14:textId="58DA7F53" w:rsidR="00DE7E4D" w:rsidRDefault="00F816EA" w:rsidP="00594F1D">
      <w:pPr>
        <w:pStyle w:val="BodyText"/>
        <w:spacing w:before="240"/>
        <w:ind w:right="740"/>
      </w:pPr>
      <w:r>
        <w:t xml:space="preserve">In </w:t>
      </w:r>
      <w:r w:rsidR="002764CE">
        <w:t>s</w:t>
      </w:r>
      <w:r>
        <w:t xml:space="preserve">ummary, </w:t>
      </w:r>
      <w:r w:rsidR="00E72EA3">
        <w:t xml:space="preserve">patients thought that </w:t>
      </w:r>
      <w:r w:rsidR="00B10DCA">
        <w:t xml:space="preserve">though </w:t>
      </w:r>
      <w:r w:rsidRPr="00F816EA">
        <w:t>Mohs surgery</w:t>
      </w:r>
      <w:r w:rsidR="00B10DCA">
        <w:t xml:space="preserve"> was</w:t>
      </w:r>
      <w:r w:rsidRPr="00F816EA">
        <w:t xml:space="preserve"> highly successful,</w:t>
      </w:r>
      <w:r w:rsidR="00B10DCA">
        <w:t xml:space="preserve"> it</w:t>
      </w:r>
      <w:r w:rsidRPr="00F816EA">
        <w:t xml:space="preserve"> is often lengthy, painful, and can lead to disfigurement, particularly in sensitive areas like the ears or nose.</w:t>
      </w:r>
      <w:r w:rsidR="003F755D">
        <w:t xml:space="preserve"> </w:t>
      </w:r>
      <w:r w:rsidR="00771EDB">
        <w:rPr>
          <w:rStyle w:val="FootnoteReference"/>
        </w:rPr>
        <w:footnoteReference w:id="24"/>
      </w:r>
      <w:r w:rsidR="00771EDB" w:rsidRPr="0025076B">
        <w:rPr>
          <w:vertAlign w:val="superscript"/>
        </w:rPr>
        <w:t xml:space="preserve">, </w:t>
      </w:r>
      <w:r w:rsidR="00771EDB">
        <w:rPr>
          <w:rStyle w:val="FootnoteReference"/>
        </w:rPr>
        <w:footnoteReference w:id="25"/>
      </w:r>
      <w:r w:rsidRPr="00F816EA">
        <w:t xml:space="preserve"> Patients may delay surgery due to fear of pain and complications, resulting in prolonged periods of reduced quality of life.</w:t>
      </w:r>
      <w:r w:rsidR="005E325B">
        <w:t xml:space="preserve"> </w:t>
      </w:r>
      <w:r w:rsidR="0016641F">
        <w:rPr>
          <w:rStyle w:val="FootnoteReference"/>
        </w:rPr>
        <w:footnoteReference w:id="26"/>
      </w:r>
      <w:r w:rsidR="0016641F" w:rsidRPr="0025076B">
        <w:rPr>
          <w:vertAlign w:val="superscript"/>
        </w:rPr>
        <w:t xml:space="preserve">, </w:t>
      </w:r>
      <w:r w:rsidR="00722757">
        <w:rPr>
          <w:rStyle w:val="FootnoteReference"/>
        </w:rPr>
        <w:footnoteReference w:id="27"/>
      </w:r>
      <w:r w:rsidRPr="00F816EA">
        <w:t xml:space="preserve">Conversely, </w:t>
      </w:r>
      <w:r w:rsidR="001C3FC4" w:rsidRPr="00F816EA">
        <w:t>R</w:t>
      </w:r>
      <w:r w:rsidR="001C3FC4">
        <w:t>e</w:t>
      </w:r>
      <w:r w:rsidRPr="00F816EA">
        <w:t xml:space="preserve">-188 brachytherapy is perceived as less painful with better aesthetic outcomes. In a survey of patients who underwent both treatments, </w:t>
      </w:r>
      <w:r w:rsidR="003F3437" w:rsidRPr="00F816EA">
        <w:t>R</w:t>
      </w:r>
      <w:r w:rsidR="003F3437">
        <w:t>e</w:t>
      </w:r>
      <w:r w:rsidRPr="00F816EA">
        <w:t xml:space="preserve">-188 brachytherapy was preferred for its lower pain levels and fewer complications. While both procedures received high aesthetic ratings from patients, dermatologists favored the outcomes of </w:t>
      </w:r>
      <w:r w:rsidR="001C3FC4" w:rsidRPr="00F816EA">
        <w:t>R</w:t>
      </w:r>
      <w:r w:rsidR="001C3FC4">
        <w:t>e</w:t>
      </w:r>
      <w:r w:rsidRPr="00F816EA">
        <w:t xml:space="preserve">-188 brachytherapy. When considering future treatments, a significant portion of patients preferred </w:t>
      </w:r>
      <w:r w:rsidR="001C3FC4" w:rsidRPr="00F816EA">
        <w:t>R</w:t>
      </w:r>
      <w:r w:rsidR="001C3FC4">
        <w:t>e</w:t>
      </w:r>
      <w:r w:rsidRPr="00F816EA">
        <w:t xml:space="preserve">-188 </w:t>
      </w:r>
      <w:r w:rsidR="00C21864">
        <w:t xml:space="preserve">(44%) </w:t>
      </w:r>
      <w:r w:rsidRPr="00F816EA">
        <w:t>brachytherapy over surgery</w:t>
      </w:r>
      <w:r w:rsidR="00C21864">
        <w:t xml:space="preserve"> (19%)</w:t>
      </w:r>
      <w:r w:rsidRPr="00F816EA">
        <w:t>.</w:t>
      </w:r>
      <w:r w:rsidR="00C21864">
        <w:t xml:space="preserve"> </w:t>
      </w:r>
      <w:r w:rsidR="00C21864">
        <w:rPr>
          <w:rStyle w:val="FootnoteReference"/>
        </w:rPr>
        <w:footnoteReference w:id="28"/>
      </w:r>
    </w:p>
    <w:p w14:paraId="332F7617" w14:textId="35BA1417" w:rsidR="003E3CE1" w:rsidRDefault="00AC2D7E" w:rsidP="00FA7CFE">
      <w:pPr>
        <w:pStyle w:val="BodyText"/>
        <w:spacing w:before="240"/>
        <w:ind w:right="740"/>
      </w:pPr>
      <w:r>
        <w:t xml:space="preserve">In </w:t>
      </w:r>
      <w:r w:rsidR="002764CE">
        <w:t>a</w:t>
      </w:r>
      <w:r>
        <w:t xml:space="preserve">ddition, </w:t>
      </w:r>
      <w:r w:rsidR="002764CE">
        <w:t>a</w:t>
      </w:r>
      <w:r w:rsidRPr="00AC2D7E">
        <w:t xml:space="preserve"> national NMSC survey by Omnipoll</w:t>
      </w:r>
      <w:r w:rsidR="00087BC6">
        <w:t xml:space="preserve"> (conducted between </w:t>
      </w:r>
      <w:r w:rsidR="00087BC6" w:rsidRPr="00087BC6">
        <w:t>November 17-22, 2022</w:t>
      </w:r>
      <w:r w:rsidR="00087BC6">
        <w:t>)</w:t>
      </w:r>
      <w:r w:rsidRPr="00AC2D7E">
        <w:t xml:space="preserve">, </w:t>
      </w:r>
      <w:r w:rsidR="00CC4051">
        <w:t xml:space="preserve">was presented. It is unclear if this study was commissioned by the </w:t>
      </w:r>
      <w:r w:rsidR="002E571C">
        <w:t>applicant</w:t>
      </w:r>
      <w:r w:rsidR="00CC4051">
        <w:t xml:space="preserve">. The </w:t>
      </w:r>
      <w:r w:rsidR="00100CA1">
        <w:t>survey</w:t>
      </w:r>
      <w:r w:rsidR="00100CA1" w:rsidRPr="00AC2D7E">
        <w:t xml:space="preserve"> </w:t>
      </w:r>
      <w:r w:rsidRPr="00AC2D7E">
        <w:t xml:space="preserve">included over 1,200 respondents aged 18 and above, revealed that nearly 90% of respondents considered a quick and easy procedure to be very important or extremely important. This indicates that patients are not in favor of a lengthy course of conventional radiation therapy. Additionally, most respondents rated a painless, nonsurgical procedure, good aesthetic results, successful tumor removal, and fast recovery as very or </w:t>
      </w:r>
      <w:r w:rsidRPr="00AC2D7E">
        <w:lastRenderedPageBreak/>
        <w:t xml:space="preserve">extremely important. </w:t>
      </w:r>
      <w:r w:rsidR="009503B9">
        <w:t>The ADAR stated that t</w:t>
      </w:r>
      <w:r w:rsidRPr="00AC2D7E">
        <w:t>hese findings suggest broad support for Re-188 brachytherapy treatment if it were indicated.</w:t>
      </w:r>
    </w:p>
    <w:p w14:paraId="33E8A7A5" w14:textId="77777777" w:rsidR="00DE7E4D" w:rsidRDefault="00DE7E4D" w:rsidP="0025076B">
      <w:pPr>
        <w:pStyle w:val="Heading3"/>
      </w:pPr>
      <w:r>
        <w:t>Rhenium-SCT patient advisory board</w:t>
      </w:r>
    </w:p>
    <w:p w14:paraId="6ED324CC" w14:textId="6E0E8CA7" w:rsidR="006E636B" w:rsidRDefault="00487495" w:rsidP="0025076B">
      <w:r>
        <w:t>In 2024, a consumer advisory board was formed with patient advocates from the Melanoma and Skin Cancer Advocacy Network (MSCAN) to investigate patient preferences for Re-188 brachytherapy. Six participants with skin cancer experience shared their treatment journeys and discussed the importance of broad access to Re-188 brachytherapy, touching on their experiences with skin cancer diagnosis and treatments, desired attributes in new treatments, current burdens with skin cancer treatment, and the impact of having access to Re-188 brachytherapy.</w:t>
      </w:r>
    </w:p>
    <w:p w14:paraId="5A242BA1" w14:textId="3CC4F819" w:rsidR="00487495" w:rsidRDefault="00487495" w:rsidP="0025076B">
      <w:r>
        <w:t xml:space="preserve">Participants generally described Re-188 brachytherapy as painless and preferable to other treatments like surgery, radiation, or chemotherapy, due to better aesthetic outcomes and fewer painful procedures and clinic visits. They supported reimbursement for Re-188 brachytherapy to ensure equitable access, expressing concerns about costs without reimbursement, especially for multiple lesions. They also </w:t>
      </w:r>
      <w:r w:rsidR="00051A94">
        <w:t>favoured</w:t>
      </w:r>
      <w:r>
        <w:t xml:space="preserve"> shorter treatment durations to manage personal and professional commitments and reduce associated costs.</w:t>
      </w:r>
    </w:p>
    <w:p w14:paraId="3A569778" w14:textId="77777777" w:rsidR="00487495" w:rsidRDefault="00487495" w:rsidP="0025076B">
      <w:r>
        <w:t>A follow-up questionnaire completed by additional patients revealed a range of experiences with treatments including excision, surgery, cryotherapy, Re-188 brachytherapy, topical creams, and immunotherapy. Participants highlighted the advantages of Re-188 brachytherapy over other methods in terms of pain, aesthetics, and convenience.</w:t>
      </w:r>
    </w:p>
    <w:p w14:paraId="7F9135D9" w14:textId="243F7894" w:rsidR="00A27723" w:rsidRPr="00A27723" w:rsidRDefault="000E0B57" w:rsidP="0025076B">
      <w:r>
        <w:t>M</w:t>
      </w:r>
      <w:r w:rsidR="00A27723" w:rsidRPr="00A27723">
        <w:t>ost participants highlighted efficacy, wait time, downtime, and cosmesis as crucial factors when choosing treatments for KC/NMSC. Cost, pain, and non-invasive options were also important. Those with experience in conventional radiation therapy appreciated its effectiveness but cited negatives like long treatment times, side effects, fatigue, discomfort, radiation burns, ongoing complications, and income loss due to the procedure's length and recovery time.</w:t>
      </w:r>
    </w:p>
    <w:p w14:paraId="00CBCD15" w14:textId="3386C17F" w:rsidR="00A27723" w:rsidRPr="00A27723" w:rsidRDefault="00A27723" w:rsidP="0025076B">
      <w:r w:rsidRPr="00A27723">
        <w:t xml:space="preserve">Conversely, participants with experience in Re-188 brachytherapy had positive views, praising its quick, nonsurgical nature, minimal downtime, </w:t>
      </w:r>
      <w:r w:rsidR="00FA7CFE" w:rsidRPr="00A27723">
        <w:t>favourable</w:t>
      </w:r>
      <w:r w:rsidRPr="00A27723">
        <w:t xml:space="preserve"> toxicity profile, and better functional and cosmetic outcomes. They also noted reduced risks of secondary infections and extended hospital stays compared to surgical procedures.</w:t>
      </w:r>
    </w:p>
    <w:p w14:paraId="78FBE125" w14:textId="435B60F7" w:rsidR="005063AA" w:rsidRDefault="00A27723" w:rsidP="005063AA">
      <w:r w:rsidRPr="00A27723">
        <w:t>Given a choice, most participants would have preferred Re-188 brachytherapy for past NMSC lesions. However, they expressed concerns about cost and availability, especially for rural and remote patients. If listed on the MBS, most indicated a strong preference for Re-188 brachytherapy over conventional radiation therapy, if suitable for their lesion.</w:t>
      </w:r>
      <w:r w:rsidR="005063AA">
        <w:br w:type="page"/>
      </w:r>
    </w:p>
    <w:p w14:paraId="121EF3DC" w14:textId="77777777" w:rsidR="00B809FE" w:rsidRPr="00B809FE" w:rsidRDefault="00B809FE" w:rsidP="00B809FE">
      <w:pPr>
        <w:pStyle w:val="Heading2"/>
        <w:numPr>
          <w:ilvl w:val="0"/>
          <w:numId w:val="18"/>
        </w:numPr>
        <w:ind w:hanging="720"/>
      </w:pPr>
      <w:bookmarkStart w:id="57" w:name="_Toc145678765"/>
      <w:bookmarkStart w:id="58" w:name="_Toc150172410"/>
      <w:bookmarkStart w:id="59" w:name="_Toc153462785"/>
      <w:r w:rsidRPr="003A793E">
        <w:lastRenderedPageBreak/>
        <w:t>Key issues from ESC to MSAC</w:t>
      </w:r>
    </w:p>
    <w:bookmarkEnd w:id="57"/>
    <w:bookmarkEnd w:id="58"/>
    <w:bookmarkEnd w:id="59"/>
    <w:p w14:paraId="3D86C246" w14:textId="77777777" w:rsidR="00AE5472" w:rsidRDefault="00AE5472" w:rsidP="00AE5472">
      <w:pPr>
        <w:pStyle w:val="BoxName0"/>
      </w:pPr>
      <w:r w:rsidRPr="00C749CB">
        <w:t>Main issues for MSAC consideration</w:t>
      </w:r>
    </w:p>
    <w:p w14:paraId="75D7C0DB" w14:textId="77777777" w:rsidR="00AE5472" w:rsidRDefault="00AE5472" w:rsidP="00AE5472">
      <w:pPr>
        <w:pStyle w:val="BoxName0"/>
      </w:pPr>
      <w:r>
        <w:t>Clinical issues:</w:t>
      </w:r>
    </w:p>
    <w:p w14:paraId="710E920F" w14:textId="77777777" w:rsidR="00AE5472" w:rsidRPr="00870323" w:rsidRDefault="00AE5472" w:rsidP="00AE5472">
      <w:pPr>
        <w:pStyle w:val="BoxBullet"/>
        <w:rPr>
          <w:b/>
          <w:bCs/>
        </w:rPr>
      </w:pPr>
      <w:r>
        <w:t xml:space="preserve">ESC considered that the evidence presented does not support the claim of non-inferior safety and clinical effectiveness of Rhenium Skin Cancer Therapy (Re-188 brachytherapy) compared with EBRT. Heterogeneity in the demographics, tumour staging and lack of standard comparator treatment made statistical comparison difficult and the clinical claim uncertain. </w:t>
      </w:r>
    </w:p>
    <w:p w14:paraId="57063711" w14:textId="77777777" w:rsidR="00AE5472" w:rsidRPr="006C4EAF" w:rsidRDefault="00AE5472" w:rsidP="00AE5472">
      <w:pPr>
        <w:pStyle w:val="BoxBullet"/>
        <w:rPr>
          <w:b/>
          <w:bCs/>
        </w:rPr>
      </w:pPr>
      <w:r>
        <w:t xml:space="preserve">The proposed MBS item for the agent appears appropriate to address the issue of carpoule sharing to maximise use across patients with smaller lesions. However, greater clarification is required regarding how the fees were derived for the proposed planning and delivery items.  In addition, it is unclear whether the proposed planning item includes a mark-up of the tumour(s) prior to Re-188 brachytherapy by the referring doctor. </w:t>
      </w:r>
    </w:p>
    <w:p w14:paraId="247B7D7D" w14:textId="77777777" w:rsidR="00AE5472" w:rsidRPr="00FF7826" w:rsidRDefault="00AE5472" w:rsidP="00AE5472">
      <w:pPr>
        <w:pStyle w:val="BoxBullet"/>
        <w:rPr>
          <w:b/>
          <w:bCs/>
        </w:rPr>
      </w:pPr>
      <w:r>
        <w:t xml:space="preserve">The Faculty of Radiation Oncology of the Royal Australian &amp; NZ College of Radiologists (RANZCR) advised that the majority of BCC/SCC lesions suitable for Re-188 are appropriate for treatment with superficial radiation therapy (SXRT) using a kilovoltage machine. Hence ESC considered that kilovoltage EBRT, rather than megavoltage EBRT as presented in the ADAR, should be the main comparator. </w:t>
      </w:r>
    </w:p>
    <w:p w14:paraId="3089F6FB" w14:textId="77777777" w:rsidR="00AE5472" w:rsidRPr="005D3B4F" w:rsidRDefault="00AE5472" w:rsidP="00AE5472">
      <w:pPr>
        <w:pStyle w:val="BoxBullet"/>
        <w:rPr>
          <w:b/>
          <w:bCs/>
        </w:rPr>
      </w:pPr>
      <w:r>
        <w:t>The eligible population has been expanded by the applicant to include patients with “safety concerns,” and clarification is required to better define this term, to ensure Re-188 brachytherapy is targeted to those with the highest clinical need for the service, and to reduce use outside the proposed MBS indication.</w:t>
      </w:r>
    </w:p>
    <w:p w14:paraId="37D4DB78" w14:textId="77777777" w:rsidR="00AE5472" w:rsidRPr="00194327" w:rsidRDefault="00AE5472" w:rsidP="00AE5472">
      <w:pPr>
        <w:pStyle w:val="BoxBullet"/>
        <w:rPr>
          <w:b/>
          <w:bCs/>
        </w:rPr>
      </w:pPr>
      <w:r>
        <w:t>ESC noted that the additional benefits of Re-188 brachytherapy related to receiving treatment at a single visit versus multiple visits over a period of weeks were not considered and may potentially underestimate the QoL associated with the intervention.</w:t>
      </w:r>
    </w:p>
    <w:p w14:paraId="7BF44DBA" w14:textId="77777777" w:rsidR="00AE5472" w:rsidRPr="006C4EAF" w:rsidRDefault="00AE5472" w:rsidP="00AE5472">
      <w:pPr>
        <w:pStyle w:val="BoxBullet"/>
      </w:pPr>
      <w:r w:rsidRPr="006C4EAF">
        <w:t>ESC noted that it was unclear which centres would be able to provide RSCT. ESC also considered that given Rhenium 188 has</w:t>
      </w:r>
      <w:r>
        <w:t xml:space="preserve"> a </w:t>
      </w:r>
      <w:r w:rsidRPr="006C4EAF">
        <w:t xml:space="preserve">short half-life of 17 hours, this is likely to </w:t>
      </w:r>
      <w:r>
        <w:t>limit the geographic location of centres to those with sufficient proximity to the source of the Re-188 product and would likely have access implications for patients living in regional or remote areas.</w:t>
      </w:r>
    </w:p>
    <w:p w14:paraId="6656CF2E" w14:textId="77777777" w:rsidR="00AE5472" w:rsidRDefault="00AE5472" w:rsidP="00AE5472">
      <w:pPr>
        <w:pStyle w:val="BoxHeading"/>
      </w:pPr>
      <w:r>
        <w:t>Economic issues:</w:t>
      </w:r>
    </w:p>
    <w:p w14:paraId="2B57063B" w14:textId="77777777" w:rsidR="00AE5472" w:rsidRDefault="00AE5472" w:rsidP="00AE5472">
      <w:pPr>
        <w:pStyle w:val="BoxBullet"/>
      </w:pPr>
      <w:r>
        <w:t xml:space="preserve">ESC advised the lack of evidence to support the clinical claim made the cost-minimisation approach inappropriate. </w:t>
      </w:r>
    </w:p>
    <w:p w14:paraId="4496DC33" w14:textId="77777777" w:rsidR="00AE5472" w:rsidRDefault="00AE5472" w:rsidP="00AE5472">
      <w:pPr>
        <w:pStyle w:val="BoxBullet"/>
      </w:pPr>
      <w:r>
        <w:t xml:space="preserve">ESC considered the </w:t>
      </w:r>
      <w:r w:rsidRPr="00C133E3">
        <w:t xml:space="preserve">cost-saving </w:t>
      </w:r>
      <w:r>
        <w:t>estimates uncertain</w:t>
      </w:r>
      <w:r w:rsidRPr="00C133E3">
        <w:t xml:space="preserve"> due to </w:t>
      </w:r>
      <w:r>
        <w:t>the lack of evidence underpinning the</w:t>
      </w:r>
      <w:r w:rsidRPr="00C133E3">
        <w:t xml:space="preserve"> assumptions of clinical equivalence</w:t>
      </w:r>
      <w:r>
        <w:t xml:space="preserve"> and uncertainty regarding the modality of the comparator EBRT.</w:t>
      </w:r>
      <w:r w:rsidRPr="00C133E3">
        <w:t xml:space="preserve"> </w:t>
      </w:r>
      <w:r>
        <w:t>ESC considered that</w:t>
      </w:r>
      <w:r w:rsidRPr="00C133E3">
        <w:t xml:space="preserve"> Re-188 may be more costly under different assumptions</w:t>
      </w:r>
      <w:r>
        <w:t>,</w:t>
      </w:r>
      <w:r w:rsidRPr="00C133E3">
        <w:t xml:space="preserve"> </w:t>
      </w:r>
      <w:r>
        <w:t>in terms of</w:t>
      </w:r>
      <w:r w:rsidRPr="00C133E3">
        <w:t xml:space="preserve"> the proportion of patients using each modality, </w:t>
      </w:r>
      <w:r>
        <w:t xml:space="preserve">the number of </w:t>
      </w:r>
      <w:r w:rsidRPr="00C133E3">
        <w:t>EBRT fraction</w:t>
      </w:r>
      <w:r>
        <w:t>s</w:t>
      </w:r>
      <w:r w:rsidRPr="00C133E3">
        <w:t>, and Re-188 batching</w:t>
      </w:r>
      <w:r>
        <w:t>. ESC noted the cost per fraction for kilovoltage EBRT is significantly less than for the megavoltage EBRT comparator used in the economic evaluation. On that basis ESC noted that the cost-effectiveness claims of Re-188 brachytherapy over EBRT have likely been overestimated.</w:t>
      </w:r>
    </w:p>
    <w:p w14:paraId="6A8A7767" w14:textId="77777777" w:rsidR="00AE5472" w:rsidRDefault="00AE5472" w:rsidP="00AE5472">
      <w:pPr>
        <w:pStyle w:val="BoxHeading"/>
      </w:pPr>
      <w:r>
        <w:t>Financial issues:</w:t>
      </w:r>
    </w:p>
    <w:p w14:paraId="5D139351" w14:textId="77777777" w:rsidR="00AE5472" w:rsidRDefault="00AE5472" w:rsidP="00AE5472">
      <w:pPr>
        <w:pStyle w:val="BoxBullet"/>
      </w:pPr>
      <w:r>
        <w:t xml:space="preserve">The ADAR lacks justification for uptake rate estimates, potentially underestimating the adoption of Re-188 brachytherapy. Additional factors such as travel costs, patient preference for Re-188 brachytherapy, and perceived productivity benefits may increase uptake. </w:t>
      </w:r>
    </w:p>
    <w:p w14:paraId="53076FA7" w14:textId="77777777" w:rsidR="00AE5472" w:rsidRDefault="00AE5472" w:rsidP="00AE5472">
      <w:pPr>
        <w:pStyle w:val="BoxBullet"/>
      </w:pPr>
      <w:r>
        <w:lastRenderedPageBreak/>
        <w:t>The costs applied in the calculations may underestimate the cost to all health budgets, as batching would need to be 100% efficient to achieve the proposed costs in clinical practice. The excluded costs are also unclear.</w:t>
      </w:r>
    </w:p>
    <w:p w14:paraId="183359A6" w14:textId="2D6D87DB" w:rsidR="00AE5472" w:rsidRPr="00B809FE" w:rsidRDefault="00AE5472" w:rsidP="00B809FE">
      <w:pPr>
        <w:pStyle w:val="BoxBullet"/>
        <w:rPr>
          <w:b/>
          <w:bCs/>
        </w:rPr>
      </w:pPr>
      <w:r>
        <w:t>The management of batching and wastage issues would likely be handled by the private clinics (so that health budgets are not affected). However, ESC considered there was a risk of costs being passed to patients. It is unclear how batching and wastage would be addressed in public hospitals.</w:t>
      </w:r>
    </w:p>
    <w:p w14:paraId="0502EFC1" w14:textId="77777777" w:rsidR="00AE5472" w:rsidRDefault="00AE5472" w:rsidP="00AE5472">
      <w:pPr>
        <w:rPr>
          <w:rStyle w:val="Strong"/>
        </w:rPr>
      </w:pPr>
      <w:r w:rsidRPr="00194327">
        <w:rPr>
          <w:rStyle w:val="Strong"/>
        </w:rPr>
        <w:t>ESC discussion</w:t>
      </w:r>
    </w:p>
    <w:p w14:paraId="5CB4664D" w14:textId="77777777" w:rsidR="00AE5472" w:rsidRPr="00413999" w:rsidRDefault="00AE5472" w:rsidP="00AE5472">
      <w:r>
        <w:t>ESC noted that this was a resubmission from Oncobeta Therapeutics requesting public funding for Re-188 brachytherapy as an alternative to radiation therapy (RT) for treatment of patients with non-melanoma skin cancer (NMSC) that is not suitable for surgery or when the patient is not suitable for surgery.</w:t>
      </w:r>
    </w:p>
    <w:p w14:paraId="0FC571BD" w14:textId="77777777" w:rsidR="00AE5472" w:rsidRPr="00413999" w:rsidRDefault="00AE5472" w:rsidP="00AE5472">
      <w:r>
        <w:t>ESC noted that MSAC considered this application at its July 2023 meeting. MSAC did not support public funding at the time, advising that a resubmission should address several issues pertaining to the evidence base, EBRT modality for comparator and costs, eligible population, patient preference, wastage, proposed MBS items (descriptors and fees) and radiation safety (including disposal).</w:t>
      </w:r>
    </w:p>
    <w:p w14:paraId="24A92A5E" w14:textId="77777777" w:rsidR="00AE5472" w:rsidRPr="00413999" w:rsidRDefault="00AE5472" w:rsidP="00AE5472">
      <w:r>
        <w:t>ESC noted the consultation feedback stated that patients prefer Re-188 brachytherapy over other treatments as Re-188 brachytherapy may be more convenient (single visit versus multiple visits for EBRT). Feedback from Private Healthcare Australia was also supportive, stating that the proposed treatment is appropriate for difficult lesion locations or lesions that are difficult to treat surgically or with conventional radiotherapy. However, feedback noted the limited evidence and high out-of-pocket costs for Re-188 brachytherapy. Feedback from the Royal Australian and New Zealand College of Radiologists (RANZCR) was not supportive. It stated that the dosage can exceed safe levels, and that the cost of this treatment is high for superficial NMSC, and high compared to other treatments overall. RANZCR also stated that Re-188 brachytherapy can only be provided in nuclear medicine facilities, so may not be easily available in rural and remote areas, and there is insufficient evidence for safety and effectiveness.</w:t>
      </w:r>
    </w:p>
    <w:p w14:paraId="08CB0F4D" w14:textId="77777777" w:rsidR="00AE5472" w:rsidRDefault="00AE5472" w:rsidP="00AE5472">
      <w:r>
        <w:t>ESC noted that the resubmission expanded the population to patients unsuitable for surgery due to clinician concerns for patient safety, not just lesion location that was confirmed as the main population criteria by PASC in December 2021. ESC considered that whilst this expanded population may be clinically appropriate it was difficult to define and estimate the population, which raised concerns regarding the potential for use of the technology outside the intended population. Regarding the proposed population, ESC queried whether patients with multiple lesions who would normally receive field therapy would</w:t>
      </w:r>
      <w:r w:rsidDel="00F84BE7">
        <w:t xml:space="preserve"> </w:t>
      </w:r>
      <w:r>
        <w:t xml:space="preserve">be suitable for Re-188 brachytherapy and suggested that advice on this be sought from RANZCR. </w:t>
      </w:r>
    </w:p>
    <w:p w14:paraId="7116A475" w14:textId="77777777" w:rsidR="00AE5472" w:rsidRDefault="00AE5472" w:rsidP="00AE5472">
      <w:pPr>
        <w:pStyle w:val="NormalBeforeBullet0"/>
      </w:pPr>
      <w:r>
        <w:t xml:space="preserve">ESC noted that the proposed clinical management algorithm suggests Re-188 brachytherapy as an alternative therapy to external beam RT (EBRT), not as an additional line of therapy. </w:t>
      </w:r>
    </w:p>
    <w:p w14:paraId="0CB01225" w14:textId="77777777" w:rsidR="00AE5472" w:rsidRDefault="00AE5472" w:rsidP="00AE5472">
      <w:r>
        <w:t xml:space="preserve">ESC noted that 3 new MBS items have been proposed for this service. The first item relates to planning and is based on existing </w:t>
      </w:r>
      <w:hyperlink r:id="rId14">
        <w:r w:rsidRPr="007A398B">
          <w:rPr>
            <w:rStyle w:val="Hyperlink"/>
          </w:rPr>
          <w:t>MBS item 15950</w:t>
        </w:r>
      </w:hyperlink>
      <w:r>
        <w:t xml:space="preserve"> (proposed with the same fee of $203.70) for single complexity single-field radiation therapy. This item includes set-up, tumour demarcation, transcription and measurement of the treatment surface area, and dosimetry planning. ESC questioned whether a visit to a referring practitioner is also required for mark-up of the lesion and, if so, this should be included in the economic evaluation. In addition, ESC queried whether this first item would only be used once per use of the second and third items.</w:t>
      </w:r>
    </w:p>
    <w:p w14:paraId="59B4CFCF" w14:textId="6D59AA42" w:rsidR="00AE5472" w:rsidRDefault="00AE5472" w:rsidP="00AE5472">
      <w:r>
        <w:t xml:space="preserve">The second MBS item is for the agent and is adjusted to enable multiple lesions per treatment session. The fee ($393.90) is based upon the use of an aliquot of the carpoule of Re-188 </w:t>
      </w:r>
      <w:r>
        <w:lastRenderedPageBreak/>
        <w:t>resin/paste for each 0.5cm2 treatment area. The total cost of the carpoule (approximately</w:t>
      </w:r>
      <w:r w:rsidR="00EE5E96">
        <w:t xml:space="preserve"> </w:t>
      </w:r>
      <w:r w:rsidR="00D52988" w:rsidRPr="00D52988">
        <w:rPr>
          <w:b/>
          <w:bCs/>
        </w:rPr>
        <w:t>redacted</w:t>
      </w:r>
      <w:r>
        <w:t xml:space="preserve">), which can treat a total surface area of </w:t>
      </w:r>
      <w:r w:rsidR="00D52988" w:rsidRPr="00D52988">
        <w:rPr>
          <w:b/>
          <w:bCs/>
        </w:rPr>
        <w:t>redacted</w:t>
      </w:r>
      <w:r w:rsidR="00BF1E48">
        <w:t> </w:t>
      </w:r>
      <w:r>
        <w:t>cm</w:t>
      </w:r>
      <w:r w:rsidRPr="000D617E">
        <w:rPr>
          <w:vertAlign w:val="superscript"/>
        </w:rPr>
        <w:t>2</w:t>
      </w:r>
      <w:r>
        <w:t xml:space="preserve"> would be distributed across multiple patients according to the surface area of their lesions. ESC noted that, due to the 17-hour half-life for Re-188, timely batching of patients is required to address wastage. The pre-ESC response from the applicant noted that at private Australian clinics currently treating patients with Re-188 brachytherapy, there is an average of 65% carpoule utilisation, with </w:t>
      </w:r>
      <w:r w:rsidDel="007F647E">
        <w:t>an</w:t>
      </w:r>
      <w:r>
        <w:t xml:space="preserve"> average of 4 patients treated per session</w:t>
      </w:r>
    </w:p>
    <w:p w14:paraId="08952526" w14:textId="77777777" w:rsidR="00AE5472" w:rsidRDefault="00AE5472" w:rsidP="00AE5472">
      <w:r>
        <w:t xml:space="preserve">The third MBS item is for delivery, estimated to last 80 minutes. The fee ($1,733.77 in the ADAR, although this was proposed to be reduced to </w:t>
      </w:r>
      <w:r w:rsidRPr="00475960">
        <w:t xml:space="preserve">$592.92 </w:t>
      </w:r>
      <w:r>
        <w:t xml:space="preserve">in the pre-ESC response but the impact of this change in the proposed fee has not been evaluated) is based on 4 times the fee for </w:t>
      </w:r>
      <w:hyperlink r:id="rId15">
        <w:r w:rsidRPr="007A398B">
          <w:rPr>
            <w:rStyle w:val="Hyperlink"/>
          </w:rPr>
          <w:t>MBS item 15982</w:t>
        </w:r>
      </w:hyperlink>
      <w:r>
        <w:t xml:space="preserve"> for brachytherapy (estimated to last 20 minutes) and includes the services of radiation therapists, medical physicists and a radiation oncologist (who are required to administer Re-188 brachytherapy), plus nurse time and single-use consumables (including for disposal). ESC considered the basis for the proposed fee to be unclear.</w:t>
      </w:r>
    </w:p>
    <w:p w14:paraId="5CBEDA53" w14:textId="77777777" w:rsidR="00AE5472" w:rsidRDefault="00AE5472" w:rsidP="00AE5472">
      <w:r>
        <w:t xml:space="preserve">ESC noted that, while the applicant-developed assessment report (ADAR) provided additional information on batching and minimising wastage, considerable uncertainty remained, including </w:t>
      </w:r>
      <w:r w:rsidRPr="0036471B">
        <w:t xml:space="preserve">who </w:t>
      </w:r>
      <w:r>
        <w:t xml:space="preserve">will </w:t>
      </w:r>
      <w:r w:rsidRPr="0036471B">
        <w:t>fund wastage or disposal</w:t>
      </w:r>
      <w:r>
        <w:t xml:space="preserve"> and the average use per carpoule. ESC noted that batching r</w:t>
      </w:r>
      <w:r w:rsidRPr="0036471B">
        <w:t xml:space="preserve">elies on facilities booking </w:t>
      </w:r>
      <w:r>
        <w:t xml:space="preserve">an </w:t>
      </w:r>
      <w:r w:rsidRPr="0036471B">
        <w:t xml:space="preserve">adequate </w:t>
      </w:r>
      <w:r>
        <w:t xml:space="preserve">number of </w:t>
      </w:r>
      <w:r w:rsidRPr="0036471B">
        <w:t>patients</w:t>
      </w:r>
      <w:r>
        <w:t>. ESC also considered that batching may i</w:t>
      </w:r>
      <w:r w:rsidRPr="0036471B">
        <w:t>mpact on wait times</w:t>
      </w:r>
      <w:r>
        <w:t xml:space="preserve"> for therapy, and there was a risk of patients not attending their appointment (due to </w:t>
      </w:r>
      <w:r w:rsidRPr="0036471B">
        <w:t>frail</w:t>
      </w:r>
      <w:r>
        <w:t>ty, forgetting</w:t>
      </w:r>
      <w:r w:rsidRPr="0036471B">
        <w:t xml:space="preserve"> </w:t>
      </w:r>
      <w:r>
        <w:t xml:space="preserve">to attend </w:t>
      </w:r>
      <w:r w:rsidRPr="0036471B">
        <w:t xml:space="preserve">or </w:t>
      </w:r>
      <w:r>
        <w:t>being unable to make it), which would result in wastage despite the best efforts of the treating clinic. ESC considered that costs from batching or wastage issues will be incurred by the providers.</w:t>
      </w:r>
    </w:p>
    <w:p w14:paraId="20CA92D9" w14:textId="77777777" w:rsidR="00AE5472" w:rsidRPr="00413999" w:rsidRDefault="00AE5472" w:rsidP="00AE5472">
      <w:r>
        <w:t>ESC noted that no studies have been published directly comparing Re-188 brachytherapy and EBRT, and the application does not include either a direct or indirect comparison of the modalities. ESC noted that the resubmission includes a new single-arm study for Re-188 brachytherapy (EPIC study) that includes 24 months of follow-up from 7 international sites, including 4 in Australia, and data from a 12-month interim analysis of response rates, patient-reported outcomes, and patient and clinician assessments of cosmetic outcome.</w:t>
      </w:r>
      <w:r w:rsidRPr="0002069A">
        <w:t xml:space="preserve"> </w:t>
      </w:r>
    </w:p>
    <w:p w14:paraId="16704981" w14:textId="4109D462" w:rsidR="00AE5472" w:rsidRDefault="00AE5472" w:rsidP="00AE5472">
      <w:r>
        <w:t xml:space="preserve">ESC noted the clinical claim of non-inferior safety and effectiveness compared with conventional EBRT. However, ESC noted that the main comparator modality of EBRT used in the ADAR was megavoltage, based on the applicant’s clinical advisory board advice. However, ESC considered that this was not consistent with advice from RANZCR which stated that the </w:t>
      </w:r>
      <w:r w:rsidRPr="009C527C">
        <w:rPr>
          <w:lang w:val="en-US"/>
        </w:rPr>
        <w:t xml:space="preserve">main </w:t>
      </w:r>
      <w:r>
        <w:rPr>
          <w:lang w:val="en-US"/>
        </w:rPr>
        <w:t>comparative modality in Australian practice was</w:t>
      </w:r>
      <w:r w:rsidRPr="009C527C">
        <w:rPr>
          <w:lang w:val="en-US"/>
        </w:rPr>
        <w:t xml:space="preserve"> superficial radiation therapy (</w:t>
      </w:r>
      <w:r>
        <w:rPr>
          <w:lang w:val="en-US"/>
        </w:rPr>
        <w:t>SX</w:t>
      </w:r>
      <w:r w:rsidRPr="009C527C">
        <w:rPr>
          <w:lang w:val="en-US"/>
        </w:rPr>
        <w:t>RT) using a kilovoltage machine</w:t>
      </w:r>
      <w:r>
        <w:rPr>
          <w:lang w:val="en-US"/>
        </w:rPr>
        <w:t xml:space="preserve">. </w:t>
      </w:r>
      <w:r>
        <w:t xml:space="preserve">ESC also noted that kilovoltage EBRT is significantly less expensive than megavoltage EBRT. ESC advised that the comparator modality and number of required fractions are fundamental points of uncertainty. </w:t>
      </w:r>
      <w:r w:rsidRPr="002F1BB3">
        <w:t xml:space="preserve"> </w:t>
      </w:r>
      <w:r>
        <w:t>ESC noted the studies in the evidence base used an inconsistent approach to RT, and the expert opinion provided in the ADAR to clarify the current approach to RT (including type and cycles) in the modelling is inconsistent with advice from RANZCR. On this, ESC noted that there are differing opinions within the clinical community on the most appropriate comparator. The pre-ESC response suggested that estimates could be potentially improved by incorporating data from Services Australia following HW061 registration of kilovoltage treatment machines alongside new Medicare billing codes (which were being sought). ESC noted that EBRT usage data supplied by the applicant from</w:t>
      </w:r>
      <w:r w:rsidRPr="00D52988">
        <w:rPr>
          <w:b/>
        </w:rPr>
        <w:t xml:space="preserve"> </w:t>
      </w:r>
      <w:r w:rsidR="00D52988" w:rsidRPr="00D52988">
        <w:rPr>
          <w:b/>
          <w:bCs/>
        </w:rPr>
        <w:t>redacted</w:t>
      </w:r>
      <w:r>
        <w:t xml:space="preserve"> could not be verified. ESC considered that additional information from RANZCR and formal consultation feedback from </w:t>
      </w:r>
      <w:r w:rsidR="00D52988" w:rsidRPr="00D52988">
        <w:rPr>
          <w:b/>
          <w:bCs/>
        </w:rPr>
        <w:t>redacted</w:t>
      </w:r>
      <w:r w:rsidRPr="00D52988">
        <w:rPr>
          <w:b/>
        </w:rPr>
        <w:t xml:space="preserve"> </w:t>
      </w:r>
      <w:r>
        <w:t xml:space="preserve">with additional details regarding the modalities, fractions of EBRT, </w:t>
      </w:r>
      <w:r w:rsidRPr="00491B94">
        <w:t>treatment intent (curative vs. palliative), completion rates and geographic distribution</w:t>
      </w:r>
      <w:r>
        <w:t xml:space="preserve"> could be useful to inform decision making and address the uncertainty around the EBRT usage assumptions.</w:t>
      </w:r>
    </w:p>
    <w:p w14:paraId="6CC095F4" w14:textId="77777777" w:rsidR="00AE5472" w:rsidRPr="00413999" w:rsidRDefault="00AE5472" w:rsidP="00AE5472">
      <w:r>
        <w:lastRenderedPageBreak/>
        <w:t>ESC noted that comparative safety was based on a comparison of the proportion of lesions with a Grade 1–3 adverse event following treatment with either Re-188 brachytherapy or EBRT. However, ESC noted that Grade 3+ toxicities occurred in a higher proportion of patients in the Re-188 brachytherapy studies compared to the EBRT studies, ESC noted that there were other important limitations of the comparative assessment.  There was heterogeneity between the studies’ results, varying sample sizes across all studies, and very small sample sizes for the EBRT studies. There was also</w:t>
      </w:r>
      <w:r w:rsidDel="00275DFA">
        <w:t xml:space="preserve"> </w:t>
      </w:r>
      <w:r>
        <w:t>lack of uniformity in the timepoint at which study participants were assessed for adverse events following treatment. ESC considered that these limitations made it difficult to draw conclusions with regards to comparative safety.</w:t>
      </w:r>
    </w:p>
    <w:p w14:paraId="3345A568" w14:textId="77777777" w:rsidR="00AE5472" w:rsidRDefault="00AE5472" w:rsidP="00AE5472">
      <w:r>
        <w:t>Regarding tumour response, ESC noted that overall response rates were similar for Re-188 brachytherapy and EBRT, and rates of relapse were low. However, ESC considered</w:t>
      </w:r>
      <w:r w:rsidRPr="00F97627">
        <w:t xml:space="preserve"> that the evidence presented in the ADAR was inadequate to accurately assess the comparative effectiveness</w:t>
      </w:r>
      <w:r>
        <w:t>,</w:t>
      </w:r>
      <w:r w:rsidRPr="00F97627">
        <w:t xml:space="preserve"> due to all studies being single arm cohort studies</w:t>
      </w:r>
      <w:r>
        <w:t>, of fair to poor quality, with considerable heterogeneity between the different treatment studies. Due to these factors a formal statistical comparison could not be conducted.</w:t>
      </w:r>
    </w:p>
    <w:p w14:paraId="11E752B0" w14:textId="77777777" w:rsidR="00AE5472" w:rsidRDefault="00AE5472" w:rsidP="00AE5472">
      <w:r>
        <w:t>ESC noted that the evidence for cosmesis (which is an important patient consideration) was limited by considerable heterogeneity in the outcome measures between studies, and lack of uniformity in the follow-up periods across studies. This made it difficult to draw conclusions around the comparison of Re-188 brachytherapy to EBRT for this outcome.</w:t>
      </w:r>
    </w:p>
    <w:p w14:paraId="725BDD7C" w14:textId="77777777" w:rsidR="00AE5472" w:rsidRDefault="00AE5472" w:rsidP="00AE5472">
      <w:r>
        <w:t xml:space="preserve">ESC noted that patient-reported outcomes were considered in terms of patient preference and quality of life. For patient preference, ESC noted that this was informed by a survey of a small patient advisory board comprising 6 patients (3 had previous Re-188 brachytherapy exposure). Participants were broadly supportive of reimbursement of Re-188 brachytherapy for equitable access. Participants generally preferred a short duration of treatment to better manage work and family commitments, and to mitigate the compounding costs associated with treatment, travel and time off work. </w:t>
      </w:r>
    </w:p>
    <w:p w14:paraId="494CDD0D" w14:textId="77777777" w:rsidR="00AE5472" w:rsidRDefault="00AE5472" w:rsidP="00AE5472">
      <w:r>
        <w:t>ESC noted that QoL was reported using the Skin Cancer Index, which is a validated disease-specific QoL instrument with 3 distinct subscales: emotion, social, and appearance. At 12 months, patients in the EPIC study reported continuing improvements over baseline and 6-month QoL scores. Parallel outcomes could not be found in EBRT studies. ESC considered that the conclusion of non-inferiority with regards to QoL was likely conservative given the single-visit nature of Re-188 brachytherapy.</w:t>
      </w:r>
    </w:p>
    <w:p w14:paraId="24C91111" w14:textId="05B63BFF" w:rsidR="00AE5472" w:rsidRDefault="00AE5472" w:rsidP="00AE5472">
      <w:r>
        <w:t>ESC considered that there is still uncertainty around the cost of the comparator,</w:t>
      </w:r>
      <w:r w:rsidDel="00AF4A53">
        <w:t xml:space="preserve"> </w:t>
      </w:r>
      <w:r>
        <w:t xml:space="preserve">the size of the proposed population and uptake rates, which MSAC had identified during its previous consideration of this application. ESC considered that the proportion of patients receiving different EBRT modalities is uncertain, and that the varying estimates of EBRT modality use impact the weighted average cost. Additionally, the data provided by </w:t>
      </w:r>
      <w:r w:rsidR="00D52988" w:rsidRPr="00D52988">
        <w:rPr>
          <w:b/>
          <w:bCs/>
        </w:rPr>
        <w:t>redacted</w:t>
      </w:r>
      <w:r>
        <w:t xml:space="preserve"> did not account for how BCC/SCC cancer cases compare to the general population receiving EBRT.</w:t>
      </w:r>
    </w:p>
    <w:p w14:paraId="50A08EBE" w14:textId="188D4114" w:rsidR="00AE5472" w:rsidRDefault="00AE5472" w:rsidP="00AE5472">
      <w:r>
        <w:t xml:space="preserve">Regarding the ADAR’s reliance on data from </w:t>
      </w:r>
      <w:r w:rsidR="00D52988" w:rsidRPr="00D52988">
        <w:rPr>
          <w:b/>
          <w:bCs/>
        </w:rPr>
        <w:t>redacted</w:t>
      </w:r>
      <w:r>
        <w:t xml:space="preserve"> (and anecdotal/informal evidence), ESC noted that the pre-ESC response stated that the applicant was unable to obtain requested information from Services Australia regarding radiotherapy usage patterns, stating that Services Australia ‘cannot provide information relating to diagnostics or ICD-10 codes for MBS item numbers’. </w:t>
      </w:r>
    </w:p>
    <w:p w14:paraId="3A90F97F" w14:textId="6C607DC4" w:rsidR="00AE5472" w:rsidRDefault="00AE5472" w:rsidP="00AE5472">
      <w:r>
        <w:t xml:space="preserve">ESC noted that the economic evaluation was a cost-minimisation approach (CMA) based on the assumption of equivalence between Re-188 brachytherapy and EBRT. </w:t>
      </w:r>
      <w:r w:rsidDel="00546D6E">
        <w:t xml:space="preserve">ESC noted that no model was developed for the economic evaluation – only a direct comparison </w:t>
      </w:r>
      <w:r>
        <w:t xml:space="preserve">of MBS costs </w:t>
      </w:r>
      <w:r w:rsidDel="00546D6E">
        <w:t>was presented</w:t>
      </w:r>
      <w:r>
        <w:t xml:space="preserve">. ESC noted that the MSAC Guidelines recommended a </w:t>
      </w:r>
      <w:r w:rsidRPr="0066790E">
        <w:t xml:space="preserve">health care system perspective, </w:t>
      </w:r>
      <w:r w:rsidRPr="0066790E">
        <w:lastRenderedPageBreak/>
        <w:t xml:space="preserve">which includes health and health-related resource use (costs and cost offsets), and health-related outcomes. </w:t>
      </w:r>
      <w:r>
        <w:t xml:space="preserve">ESC considered that assuming </w:t>
      </w:r>
      <w:r w:rsidRPr="00CA2B57">
        <w:t>identical costs</w:t>
      </w:r>
      <w:r>
        <w:t xml:space="preserve"> for </w:t>
      </w:r>
      <w:r w:rsidRPr="00CA2B57">
        <w:t>some therapies risks underestimating differences, masking</w:t>
      </w:r>
      <w:r>
        <w:t xml:space="preserve"> true </w:t>
      </w:r>
      <w:r w:rsidRPr="00CA2B57">
        <w:t>resource use, leading to misleading conclusions in the analysis</w:t>
      </w:r>
      <w:r>
        <w:t>.</w:t>
      </w:r>
      <w:r w:rsidRPr="00CA2B57">
        <w:rPr>
          <w:rFonts w:ascii="Arial" w:hAnsi="Arial" w:cs="Arial"/>
        </w:rPr>
        <w:t>​</w:t>
      </w:r>
      <w:r>
        <w:t xml:space="preserve"> Additionally, ESC considered that the potential for wastage was not considered and may underestimate total costs.</w:t>
      </w:r>
    </w:p>
    <w:p w14:paraId="66C05B3F" w14:textId="16F385ED" w:rsidR="00AE5472" w:rsidRDefault="00AE5472" w:rsidP="00AE5472">
      <w:r>
        <w:t xml:space="preserve">ESC noted the cost-minimisation approach estimated the average cost of Re-188 brachytherapy is $4,694.77/patient, the average cost of EBRT is $5,952.33/patient, and the average cost saving per course of treatment is $1,257.76 ESC noted that the ADAR claimed no other costs or cost offsets, but ESC considered that a more transparent breakdown of all cost components may be necessary, including the costs of managing adverse events (especially Grade 3 and 4 events). </w:t>
      </w:r>
      <w:r w:rsidRPr="00DB0C57">
        <w:t xml:space="preserve">ESC noted that if batching is not achieved and inefficiencies arise due to uncertainties around carpoule usage, additional costs, and feasibility in the Australian setting, the cost of </w:t>
      </w:r>
      <w:r>
        <w:t>Re-188 brachytherapy</w:t>
      </w:r>
      <w:r w:rsidRPr="00DB0C57">
        <w:t xml:space="preserve"> could increase to $</w:t>
      </w:r>
      <w:r w:rsidR="00D52988" w:rsidRPr="00D52988">
        <w:rPr>
          <w:b/>
          <w:bCs/>
        </w:rPr>
        <w:t>redacted</w:t>
      </w:r>
      <w:r w:rsidRPr="00DB0C57">
        <w:t xml:space="preserve"> per patient</w:t>
      </w:r>
      <w:r>
        <w:t xml:space="preserve">. Sensitivity analyses from the commentary showed that changes in the number of fractions used per treatment and the carpoule usage each impacted the cost difference between Re-188 brachytherapy and EBRT. ESC noted that the sensitivity analyses indicated that Re-188 brachytherapy is cost-saving for EBRT fractions greater than 10 within the assessed range (9–30), although greater transparency is needed for the calculations. ESC considered that a sensitivity analysis using the number of fractions per treatment from the </w:t>
      </w:r>
      <w:r w:rsidR="00D52988" w:rsidRPr="00D52988">
        <w:rPr>
          <w:b/>
          <w:bCs/>
        </w:rPr>
        <w:t>redacted</w:t>
      </w:r>
      <w:r w:rsidRPr="00D52988">
        <w:rPr>
          <w:b/>
        </w:rPr>
        <w:t xml:space="preserve"> </w:t>
      </w:r>
      <w:r>
        <w:t xml:space="preserve">data (18), and </w:t>
      </w:r>
      <w:r w:rsidRPr="00341DD5">
        <w:t>a sensitivity analysis on the percentage utilisation of the carpoule would be useful for MSAC decision-making.</w:t>
      </w:r>
    </w:p>
    <w:p w14:paraId="7C795F1E" w14:textId="77777777" w:rsidR="00AE5472" w:rsidRDefault="00AE5472" w:rsidP="00AE5472">
      <w:r>
        <w:t xml:space="preserve">ESC considered that the </w:t>
      </w:r>
      <w:r w:rsidRPr="00C133E3">
        <w:t xml:space="preserve">conclusion that Re-188 (RSTC) </w:t>
      </w:r>
      <w:r>
        <w:t>was</w:t>
      </w:r>
      <w:r w:rsidRPr="00C133E3">
        <w:t xml:space="preserve"> cost-saving compared to EBRT </w:t>
      </w:r>
      <w:r>
        <w:t>was</w:t>
      </w:r>
      <w:r w:rsidRPr="00C133E3">
        <w:t xml:space="preserve"> un</w:t>
      </w:r>
      <w:r>
        <w:t>certain</w:t>
      </w:r>
      <w:r w:rsidRPr="00C133E3">
        <w:t xml:space="preserve"> due to </w:t>
      </w:r>
      <w:r>
        <w:t>lack of evidence underpinning the</w:t>
      </w:r>
      <w:r w:rsidRPr="00C133E3">
        <w:t xml:space="preserve"> assumptions of clinical equivalence</w:t>
      </w:r>
      <w:r>
        <w:t xml:space="preserve"> and the costing of megavoltage rather than kilovoltage EBRT.</w:t>
      </w:r>
      <w:r w:rsidRPr="00C133E3">
        <w:t xml:space="preserve"> </w:t>
      </w:r>
      <w:r>
        <w:t>ESC considered that</w:t>
      </w:r>
      <w:r w:rsidRPr="00C133E3">
        <w:t xml:space="preserve"> Re-188 may </w:t>
      </w:r>
      <w:r>
        <w:t xml:space="preserve">also </w:t>
      </w:r>
      <w:r w:rsidRPr="00C133E3">
        <w:t xml:space="preserve">be more costly under different assumptions regarding the proportion of patients using each </w:t>
      </w:r>
      <w:r>
        <w:t xml:space="preserve">EBRT </w:t>
      </w:r>
      <w:r w:rsidRPr="00C133E3">
        <w:t>modality</w:t>
      </w:r>
      <w:r>
        <w:t xml:space="preserve">, the number of </w:t>
      </w:r>
      <w:r w:rsidRPr="00C133E3">
        <w:t>EBRT fraction</w:t>
      </w:r>
      <w:r>
        <w:t>s required</w:t>
      </w:r>
      <w:r w:rsidRPr="00C133E3">
        <w:t>, and Re-188 batching.</w:t>
      </w:r>
      <w:r w:rsidRPr="00C133E3">
        <w:rPr>
          <w:rFonts w:ascii="Arial" w:hAnsi="Arial" w:cs="Arial"/>
        </w:rPr>
        <w:t>​</w:t>
      </w:r>
    </w:p>
    <w:p w14:paraId="5742FCEE" w14:textId="77777777" w:rsidR="00AE5472" w:rsidRDefault="00AE5472" w:rsidP="00AE5472">
      <w:pPr>
        <w:pStyle w:val="NormalBeforeBullet0"/>
      </w:pPr>
      <w:r>
        <w:t>A market-share approach was used to estimate the financial impact, which ESC considered to be appropriate. ESC noted the following key assumptions and drivers of rates and growth:</w:t>
      </w:r>
    </w:p>
    <w:p w14:paraId="3FEE1A31" w14:textId="2FD02312" w:rsidR="00AE5472" w:rsidRPr="006C4EAF" w:rsidRDefault="00AE5472" w:rsidP="00AE5472">
      <w:pPr>
        <w:pStyle w:val="Bullet"/>
        <w:spacing w:before="0"/>
        <w:ind w:left="426"/>
        <w:rPr>
          <w:rFonts w:ascii="Franklin Gothic Book" w:hAnsi="Franklin Gothic Book"/>
        </w:rPr>
      </w:pPr>
      <w:r w:rsidRPr="006C4EAF">
        <w:rPr>
          <w:rFonts w:ascii="Franklin Gothic Book" w:hAnsi="Franklin Gothic Book"/>
        </w:rPr>
        <w:t xml:space="preserve">EBRT replacement estimates were based on a clinical survey and a </w:t>
      </w:r>
      <w:r w:rsidR="00D52988" w:rsidRPr="00D52988">
        <w:rPr>
          <w:rFonts w:ascii="Franklin Gothic Book" w:hAnsi="Franklin Gothic Book"/>
          <w:b/>
          <w:bCs/>
        </w:rPr>
        <w:t>redacted</w:t>
      </w:r>
      <w:r w:rsidRPr="006C4EAF">
        <w:rPr>
          <w:rFonts w:ascii="Franklin Gothic Book" w:hAnsi="Franklin Gothic Book"/>
        </w:rPr>
        <w:t xml:space="preserve"> email on NMSC case mix.</w:t>
      </w:r>
    </w:p>
    <w:p w14:paraId="2C6F9A93" w14:textId="77777777" w:rsidR="00AE5472" w:rsidRPr="006C4EAF" w:rsidRDefault="00AE5472" w:rsidP="00AE5472">
      <w:pPr>
        <w:pStyle w:val="Bullet"/>
        <w:numPr>
          <w:ilvl w:val="0"/>
          <w:numId w:val="14"/>
        </w:numPr>
        <w:spacing w:before="0"/>
        <w:rPr>
          <w:rFonts w:ascii="Franklin Gothic Book" w:hAnsi="Franklin Gothic Book"/>
        </w:rPr>
      </w:pPr>
      <w:r w:rsidRPr="006C4EAF">
        <w:rPr>
          <w:rFonts w:ascii="Franklin Gothic Book" w:hAnsi="Franklin Gothic Book"/>
        </w:rPr>
        <w:t>The</w:t>
      </w:r>
      <w:r>
        <w:rPr>
          <w:rFonts w:ascii="Franklin Gothic Book" w:hAnsi="Franklin Gothic Book"/>
        </w:rPr>
        <w:t xml:space="preserve"> rate of</w:t>
      </w:r>
      <w:r w:rsidRPr="006C4EAF">
        <w:rPr>
          <w:rFonts w:ascii="Franklin Gothic Book" w:hAnsi="Franklin Gothic Book"/>
        </w:rPr>
        <w:t xml:space="preserve"> </w:t>
      </w:r>
      <w:r w:rsidRPr="003E653E">
        <w:rPr>
          <w:rFonts w:ascii="Franklin Gothic Book" w:hAnsi="Franklin Gothic Book"/>
          <w:iCs/>
        </w:rPr>
        <w:t>replacement</w:t>
      </w:r>
      <w:r>
        <w:rPr>
          <w:rFonts w:ascii="Franklin Gothic Book" w:hAnsi="Franklin Gothic Book"/>
          <w:iCs/>
        </w:rPr>
        <w:t xml:space="preserve"> of EBRT was</w:t>
      </w:r>
      <w:r w:rsidRPr="003E653E">
        <w:rPr>
          <w:rFonts w:ascii="Franklin Gothic Book" w:hAnsi="Franklin Gothic Book"/>
          <w:iCs/>
        </w:rPr>
        <w:t xml:space="preserve"> based on </w:t>
      </w:r>
      <w:r>
        <w:rPr>
          <w:rFonts w:ascii="Franklin Gothic Book" w:hAnsi="Franklin Gothic Book"/>
          <w:iCs/>
        </w:rPr>
        <w:t>applicant assumption without justification.</w:t>
      </w:r>
      <w:r w:rsidRPr="00443099" w:rsidDel="0066790E">
        <w:rPr>
          <w:rFonts w:ascii="Franklin Gothic Book" w:hAnsi="Franklin Gothic Book"/>
        </w:rPr>
        <w:t xml:space="preserve"> </w:t>
      </w:r>
      <w:r w:rsidRPr="006C4EAF">
        <w:rPr>
          <w:rFonts w:ascii="Franklin Gothic Book" w:hAnsi="Franklin Gothic Book"/>
        </w:rPr>
        <w:t xml:space="preserve">The ADAR projected market growth based on usage trends for </w:t>
      </w:r>
      <w:r w:rsidRPr="00443099">
        <w:rPr>
          <w:rFonts w:ascii="Franklin Gothic Book" w:hAnsi="Franklin Gothic Book"/>
        </w:rPr>
        <w:t>intensity-modulated</w:t>
      </w:r>
      <w:r w:rsidRPr="006C4EAF">
        <w:rPr>
          <w:rFonts w:ascii="Franklin Gothic Book" w:hAnsi="Franklin Gothic Book"/>
        </w:rPr>
        <w:t xml:space="preserve"> radiation therapy over the past 5 years.</w:t>
      </w:r>
    </w:p>
    <w:p w14:paraId="5089CBE6" w14:textId="77777777" w:rsidR="00AE5472" w:rsidRDefault="00AE5472" w:rsidP="00AE5472">
      <w:pPr>
        <w:pStyle w:val="BulletLast"/>
        <w:numPr>
          <w:ilvl w:val="0"/>
          <w:numId w:val="14"/>
        </w:numPr>
      </w:pPr>
      <w:r w:rsidRPr="009C08E9">
        <w:t>The ADAR assumed an average of 22 EBRT fractions per patient</w:t>
      </w:r>
      <w:r>
        <w:t xml:space="preserve">. </w:t>
      </w:r>
      <w:r w:rsidRPr="009C08E9">
        <w:t>ESC noted that the range of fractions per patients from the advisory board of skin specialist radiation oncologists was 9–30.</w:t>
      </w:r>
    </w:p>
    <w:p w14:paraId="51600FDE" w14:textId="102D6D84" w:rsidR="00AE5472" w:rsidRPr="00102407" w:rsidRDefault="00AE5472" w:rsidP="00AE5472">
      <w:r>
        <w:t>ESC noted that the assumptions for the uptake rate estimates were not justified and considered that they may underestimate the uptake of Re-188 brachytherapy. ESC advised that further details regarding how the uptake rates were calculated</w:t>
      </w:r>
      <w:r w:rsidDel="003F18DB">
        <w:t xml:space="preserve"> </w:t>
      </w:r>
      <w:r>
        <w:t>based on</w:t>
      </w:r>
      <w:r w:rsidRPr="00D52988">
        <w:rPr>
          <w:b/>
        </w:rPr>
        <w:t xml:space="preserve"> </w:t>
      </w:r>
      <w:r w:rsidR="00D52988" w:rsidRPr="00D52988">
        <w:rPr>
          <w:b/>
          <w:bCs/>
        </w:rPr>
        <w:t>redacted</w:t>
      </w:r>
      <w:r w:rsidRPr="00D52988">
        <w:rPr>
          <w:b/>
        </w:rPr>
        <w:t xml:space="preserve"> </w:t>
      </w:r>
      <w:r>
        <w:t>data and expert input from skin specialist radiation oncologists may be useful for MSAC decision-making.</w:t>
      </w:r>
    </w:p>
    <w:p w14:paraId="6D4DA544" w14:textId="31096518" w:rsidR="00AE5472" w:rsidRDefault="00AE5472" w:rsidP="00AE5472">
      <w:r>
        <w:t xml:space="preserve">ESC noted that the cost to the MBS (85% benefit) for Re-188 brachytherapy is estimated at </w:t>
      </w:r>
      <w:r w:rsidR="00D52988" w:rsidRPr="00D52988">
        <w:rPr>
          <w:b/>
          <w:bCs/>
        </w:rPr>
        <w:t>redacted</w:t>
      </w:r>
      <w:r>
        <w:t xml:space="preserve"> in year 1 to </w:t>
      </w:r>
      <w:r w:rsidR="00D52988" w:rsidRPr="00D52988">
        <w:rPr>
          <w:b/>
          <w:bCs/>
        </w:rPr>
        <w:t>redacted</w:t>
      </w:r>
      <w:r>
        <w:t xml:space="preserve"> in year 6. The net financial impact to the MBS is estimated to be a cost saving of </w:t>
      </w:r>
      <w:r w:rsidR="00D52988" w:rsidRPr="00D52988">
        <w:rPr>
          <w:b/>
          <w:bCs/>
        </w:rPr>
        <w:t>redacted</w:t>
      </w:r>
      <w:r>
        <w:t xml:space="preserve"> in year 1, increasing to a saving of </w:t>
      </w:r>
      <w:r w:rsidR="00D52988" w:rsidRPr="00D52988">
        <w:rPr>
          <w:b/>
          <w:bCs/>
        </w:rPr>
        <w:t>redacted</w:t>
      </w:r>
      <w:r>
        <w:t xml:space="preserve"> in year 6. In addition to calculating EBRT costs on a megavoltage basis rather than a kilovoltage basis, ESC noted that the estimated cost savings are influenced by the number of fractions per treatment and batching; decreasing both the number of fractions per treatment and the number of patients per carpoule reduces the cost savings to the point where Re-188 brachytherapy becomes more costly than EBRT.</w:t>
      </w:r>
    </w:p>
    <w:p w14:paraId="56CA17F0" w14:textId="77777777" w:rsidR="00AE5472" w:rsidRPr="005957D3" w:rsidRDefault="00AE5472" w:rsidP="00AE5472">
      <w:r>
        <w:lastRenderedPageBreak/>
        <w:t xml:space="preserve">ESC considered that the value of a single visit for Re-188 brachytherapy vs multiple visits for EBRT, including the impact of a single visit on QoL, was potentially underestimated. ESC noted that patients in the survey preferred the single visit aspect of Re-188 brachytherapy. ESC also considered that Re-188 brachytherapy provided a significant benefit for rural patients, as some rural patients may decline treatment if multiple trips are required for treatment (as is the case of EBRT), with the travel impacting and causing significant costs to patients and their families. ESC therefore considered that there are potential cost savings for state-funded patient travel budgets, but these have not been included in the costings. ESC considered that additional </w:t>
      </w:r>
      <w:r w:rsidRPr="00A41DC4">
        <w:t>comparative evidence on both the usage patterns and total costs</w:t>
      </w:r>
      <w:r>
        <w:t xml:space="preserve"> for both Re-188 brachytherapy</w:t>
      </w:r>
      <w:r w:rsidRPr="00A41DC4">
        <w:t xml:space="preserve"> and EBRT</w:t>
      </w:r>
      <w:r>
        <w:t xml:space="preserve"> may be useful for decision making.  </w:t>
      </w:r>
    </w:p>
    <w:p w14:paraId="2205444E" w14:textId="77777777" w:rsidR="00AE5472" w:rsidRDefault="00AE5472" w:rsidP="00AE5472">
      <w:r>
        <w:t xml:space="preserve">ESC noted that the half-life of Rhenium 188 was approximately 17 hours. This suggested that the production of Rhenium 188 and its transport would need to be close to the radiopharmaceutical production centres. This may restrict the geographic availability of Rhenium 188. ESC considered that the short half-life, the need to batch patients and the structure of the MBS items could also create an incentive for service providers to provide Rhenium 188 to a larger number of patients with smaller lesions. </w:t>
      </w:r>
    </w:p>
    <w:p w14:paraId="3F1A3050" w14:textId="77777777" w:rsidR="00AE5472" w:rsidRPr="009C08E9" w:rsidRDefault="00AE5472" w:rsidP="00AE5472">
      <w:r>
        <w:t xml:space="preserve">ESC acknowledged the difficulty in identifying relevant studies but considered that issues previously identified by MSAC regarding the lack of good quality comparative evidence remained unresolved. ESC considered the evidence presented in the current ADAR is insufficient to support the clinical claim and more clinical evidence </w:t>
      </w:r>
      <w:r w:rsidRPr="00892BD7">
        <w:t xml:space="preserve">comparing the relationship between </w:t>
      </w:r>
      <w:r>
        <w:t>Re-188 brachytherapy and EBRT</w:t>
      </w:r>
      <w:r w:rsidRPr="00892BD7">
        <w:t xml:space="preserve"> is needed to accurately compare their total costs. </w:t>
      </w:r>
      <w:r>
        <w:t>Additionally, confirmation of the</w:t>
      </w:r>
      <w:r w:rsidRPr="00892BD7">
        <w:t xml:space="preserve"> </w:t>
      </w:r>
      <w:r>
        <w:t>EBR</w:t>
      </w:r>
      <w:r w:rsidRPr="00892BD7">
        <w:t xml:space="preserve">T </w:t>
      </w:r>
      <w:r>
        <w:t>modalities and the likely proportion of patients receiving each EBRT modality</w:t>
      </w:r>
      <w:r w:rsidRPr="00892BD7">
        <w:t xml:space="preserve"> </w:t>
      </w:r>
      <w:r>
        <w:t xml:space="preserve">should be compared </w:t>
      </w:r>
      <w:r w:rsidRPr="00892BD7">
        <w:t xml:space="preserve">with </w:t>
      </w:r>
      <w:r>
        <w:t xml:space="preserve">the true usage of </w:t>
      </w:r>
      <w:r w:rsidRPr="00892BD7">
        <w:t>Re-188</w:t>
      </w:r>
      <w:r>
        <w:t xml:space="preserve">, taking into consideration </w:t>
      </w:r>
      <w:r w:rsidRPr="00892BD7">
        <w:t>wastage and batching</w:t>
      </w:r>
      <w:r>
        <w:t>.</w:t>
      </w:r>
    </w:p>
    <w:p w14:paraId="1AC1A5E2" w14:textId="77777777" w:rsidR="00B809FE" w:rsidRPr="00B809FE" w:rsidRDefault="00B809FE" w:rsidP="00B809FE">
      <w:pPr>
        <w:pStyle w:val="Heading2"/>
        <w:numPr>
          <w:ilvl w:val="0"/>
          <w:numId w:val="18"/>
        </w:numPr>
        <w:ind w:hanging="720"/>
      </w:pPr>
      <w:bookmarkStart w:id="60" w:name="_Hlk193984667"/>
      <w:r w:rsidRPr="003A793E">
        <w:t>Applicant comments on MSAC’s Public Summary Document</w:t>
      </w:r>
    </w:p>
    <w:p w14:paraId="77706084" w14:textId="3993251F" w:rsidR="00E646EE" w:rsidRPr="004E1F6D" w:rsidRDefault="00E646EE" w:rsidP="00E646EE">
      <w:r w:rsidRPr="004E1F6D">
        <w:t>The applicant appreciates MSAC's acknowledgment of the clinical benefits associated with Rhenium-188 brachytherapy (Re-188) for the treatment of</w:t>
      </w:r>
      <w:r>
        <w:t xml:space="preserve"> </w:t>
      </w:r>
      <w:r w:rsidRPr="004E1F6D">
        <w:t>non-melanoma skin cancer (NMSC)</w:t>
      </w:r>
      <w:r>
        <w:t xml:space="preserve"> in indicated patients.</w:t>
      </w:r>
      <w:r w:rsidRPr="004E1F6D">
        <w:t xml:space="preserve"> </w:t>
      </w:r>
      <w:r>
        <w:t xml:space="preserve">Furthermore, </w:t>
      </w:r>
      <w:r w:rsidRPr="004E1F6D">
        <w:t xml:space="preserve">MSAC's recognition </w:t>
      </w:r>
      <w:r>
        <w:t xml:space="preserve">of </w:t>
      </w:r>
      <w:r w:rsidRPr="004E1F6D">
        <w:t>non-inferior effectiveness for certain patient populations and lesions</w:t>
      </w:r>
      <w:r>
        <w:t xml:space="preserve"> is underscored by the support for public funding by key referring and treating clinical colleges</w:t>
      </w:r>
      <w:r w:rsidRPr="004E1F6D">
        <w:t>. MSAC has explicitly highlighted patient preference benefits, noting the convenience and improved quality of life associated with the single-session treatment approach of Re-188</w:t>
      </w:r>
      <w:r>
        <w:t>.</w:t>
      </w:r>
      <w:r w:rsidR="000604B3">
        <w:t xml:space="preserve"> </w:t>
      </w:r>
      <w:r w:rsidRPr="004E1F6D">
        <w:t xml:space="preserve">The applicant welcomes continued collaboration with the Department to resolve </w:t>
      </w:r>
      <w:r>
        <w:t>any questions</w:t>
      </w:r>
      <w:r w:rsidRPr="004E1F6D">
        <w:t xml:space="preserve"> </w:t>
      </w:r>
      <w:r>
        <w:t>pertaining</w:t>
      </w:r>
      <w:r w:rsidRPr="004E1F6D">
        <w:t xml:space="preserve"> to batching, </w:t>
      </w:r>
      <w:r>
        <w:t>referral pathways</w:t>
      </w:r>
      <w:r w:rsidRPr="004E1F6D">
        <w:t>, and rural patient access</w:t>
      </w:r>
      <w:r>
        <w:t xml:space="preserve">, highlighting successful implementation across Europe and Africa. </w:t>
      </w:r>
      <w:r w:rsidRPr="004E1F6D">
        <w:t xml:space="preserve">Given MSAC's acceptance of the planning component of the proposed MBS item structure, the applicant is committed to addressing outstanding economic modelling questions to resolve remaining </w:t>
      </w:r>
      <w:r>
        <w:t>queries</w:t>
      </w:r>
      <w:r w:rsidRPr="004E1F6D">
        <w:t xml:space="preserve"> around </w:t>
      </w:r>
      <w:r>
        <w:t>the additional</w:t>
      </w:r>
      <w:r w:rsidRPr="004E1F6D">
        <w:t xml:space="preserve"> items.</w:t>
      </w:r>
      <w:r w:rsidR="000604B3">
        <w:t xml:space="preserve"> </w:t>
      </w:r>
      <w:r w:rsidRPr="004E1F6D">
        <w:t xml:space="preserve">The applicant </w:t>
      </w:r>
      <w:r>
        <w:t>is grateful to</w:t>
      </w:r>
      <w:r w:rsidRPr="004E1F6D">
        <w:t xml:space="preserve"> MSAC, clinical stakeholders, patient advocacy groups, and the Department for their ongoing engagement, guidance, and support throughout this application process. We remain fully committed to working collaboratively to facilitate timely, publicly funded access to Re-188 brachytherapy for Australian patients.</w:t>
      </w:r>
    </w:p>
    <w:p w14:paraId="7AAB3FB3" w14:textId="77777777" w:rsidR="00B809FE" w:rsidRPr="00B809FE" w:rsidRDefault="00B809FE" w:rsidP="00B809FE">
      <w:pPr>
        <w:pStyle w:val="Heading2"/>
        <w:numPr>
          <w:ilvl w:val="0"/>
          <w:numId w:val="18"/>
        </w:numPr>
        <w:ind w:hanging="720"/>
      </w:pPr>
      <w:r w:rsidRPr="003A793E">
        <w:t>Further information on MSAC</w:t>
      </w:r>
    </w:p>
    <w:p w14:paraId="66DCBE8B" w14:textId="7651260A" w:rsidR="00AE5472" w:rsidRPr="00B809FE" w:rsidRDefault="00B809FE" w:rsidP="00B809FE">
      <w:pPr>
        <w:pStyle w:val="BodyText"/>
        <w:rPr>
          <w:b/>
          <w:bCs/>
          <w:i/>
          <w:iCs/>
        </w:rPr>
      </w:pPr>
      <w:r w:rsidRPr="00F309FA">
        <w:rPr>
          <w:bCs/>
          <w:iCs/>
        </w:rPr>
        <w:t xml:space="preserve">MSAC Terms of Reference and other information are available on the MSAC Website: </w:t>
      </w:r>
      <w:hyperlink r:id="rId16" w:tooltip="Link to the MSAC website" w:history="1">
        <w:r w:rsidRPr="000D2098">
          <w:rPr>
            <w:rStyle w:val="Hyperlink"/>
            <w:iCs/>
            <w:color w:val="007BB8"/>
          </w:rPr>
          <w:t>visit the MSAC website</w:t>
        </w:r>
      </w:hyperlink>
      <w:bookmarkEnd w:id="60"/>
    </w:p>
    <w:sectPr w:rsidR="00AE5472" w:rsidRPr="00B809FE" w:rsidSect="00784341">
      <w:headerReference w:type="even" r:id="rId17"/>
      <w:headerReference w:type="default" r:id="rId18"/>
      <w:footerReference w:type="even" r:id="rId19"/>
      <w:footerReference w:type="default" r:id="rId20"/>
      <w:headerReference w:type="first" r:id="rId21"/>
      <w:footerReference w:type="first" r:id="rId22"/>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73CCC" w14:textId="77777777" w:rsidR="007F3A07" w:rsidRDefault="007F3A07" w:rsidP="00B62DF2">
      <w:pPr>
        <w:spacing w:after="0" w:line="240" w:lineRule="auto"/>
      </w:pPr>
      <w:r>
        <w:separator/>
      </w:r>
    </w:p>
  </w:endnote>
  <w:endnote w:type="continuationSeparator" w:id="0">
    <w:p w14:paraId="01B64CBD" w14:textId="77777777" w:rsidR="007F3A07" w:rsidRDefault="007F3A07" w:rsidP="00B62DF2">
      <w:pPr>
        <w:spacing w:after="0" w:line="240" w:lineRule="auto"/>
      </w:pPr>
      <w:r>
        <w:continuationSeparator/>
      </w:r>
    </w:p>
  </w:endnote>
  <w:endnote w:type="continuationNotice" w:id="1">
    <w:p w14:paraId="2F3DEB5E" w14:textId="77777777" w:rsidR="007F3A07" w:rsidRDefault="007F3A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5460831"/>
      <w:docPartObj>
        <w:docPartGallery w:val="Page Numbers (Bottom of Page)"/>
        <w:docPartUnique/>
      </w:docPartObj>
    </w:sdtPr>
    <w:sdtEndPr>
      <w:rPr>
        <w:noProof/>
      </w:rPr>
    </w:sdtEndPr>
    <w:sdtContent>
      <w:p w14:paraId="6E76D499" w14:textId="5A036106" w:rsidR="005947B5" w:rsidRDefault="005947B5" w:rsidP="00D929CC">
        <w:pPr>
          <w:pStyle w:val="Footer"/>
          <w:jc w:val="right"/>
        </w:pPr>
        <w:r>
          <w:fldChar w:fldCharType="begin"/>
        </w:r>
        <w:r>
          <w:instrText xml:space="preserve"> PAGE   \* MERGEFORMAT </w:instrText>
        </w:r>
        <w:r>
          <w:fldChar w:fldCharType="separate"/>
        </w:r>
        <w:r w:rsidR="00120BD3">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4847"/>
      <w:docPartObj>
        <w:docPartGallery w:val="Page Numbers (Bottom of Page)"/>
        <w:docPartUnique/>
      </w:docPartObj>
    </w:sdtPr>
    <w:sdtEndPr>
      <w:rPr>
        <w:noProof/>
      </w:rPr>
    </w:sdtEndPr>
    <w:sdtContent>
      <w:p w14:paraId="6BE9385A" w14:textId="1EF702C2" w:rsidR="005947B5" w:rsidRDefault="005947B5" w:rsidP="00052DD3">
        <w:pPr>
          <w:pStyle w:val="Footer"/>
          <w:jc w:val="right"/>
        </w:pPr>
        <w:r>
          <w:fldChar w:fldCharType="begin"/>
        </w:r>
        <w:r>
          <w:instrText xml:space="preserve"> PAGE   \* MERGEFORMAT </w:instrText>
        </w:r>
        <w:r>
          <w:fldChar w:fldCharType="separate"/>
        </w:r>
        <w:r w:rsidR="00120BD3">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73A2A" w14:textId="77777777" w:rsidR="00C06916" w:rsidRDefault="00C06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FFBA4" w14:textId="77777777" w:rsidR="007F3A07" w:rsidRDefault="007F3A07" w:rsidP="00B62DF2">
      <w:pPr>
        <w:spacing w:after="0" w:line="240" w:lineRule="auto"/>
      </w:pPr>
      <w:r>
        <w:separator/>
      </w:r>
    </w:p>
  </w:footnote>
  <w:footnote w:type="continuationSeparator" w:id="0">
    <w:p w14:paraId="4A6631A6" w14:textId="77777777" w:rsidR="007F3A07" w:rsidRDefault="007F3A07" w:rsidP="00B62DF2">
      <w:pPr>
        <w:spacing w:after="0" w:line="240" w:lineRule="auto"/>
      </w:pPr>
      <w:r>
        <w:continuationSeparator/>
      </w:r>
    </w:p>
  </w:footnote>
  <w:footnote w:type="continuationNotice" w:id="1">
    <w:p w14:paraId="7D1A049E" w14:textId="77777777" w:rsidR="007F3A07" w:rsidRDefault="007F3A07">
      <w:pPr>
        <w:spacing w:before="0" w:after="0" w:line="240" w:lineRule="auto"/>
      </w:pPr>
    </w:p>
  </w:footnote>
  <w:footnote w:id="2">
    <w:p w14:paraId="0851E7A5" w14:textId="78F768FC" w:rsidR="00B35ED2" w:rsidRDefault="00B35ED2">
      <w:pPr>
        <w:pStyle w:val="FootnoteText"/>
      </w:pPr>
      <w:r>
        <w:rPr>
          <w:rStyle w:val="FootnoteReference"/>
        </w:rPr>
        <w:footnoteRef/>
      </w:r>
      <w:r>
        <w:t xml:space="preserve"> </w:t>
      </w:r>
      <w:r w:rsidR="00EE0881" w:rsidRPr="00EE0881">
        <w:t>https://www.msac.gov.au/applications/1657</w:t>
      </w:r>
    </w:p>
  </w:footnote>
  <w:footnote w:id="3">
    <w:p w14:paraId="248D73E8" w14:textId="74F52559" w:rsidR="001E0ED3" w:rsidRPr="00FA7CFE" w:rsidRDefault="001E0ED3">
      <w:pPr>
        <w:pStyle w:val="FootnoteText"/>
        <w:rPr>
          <w:rFonts w:ascii="Arial Narrow" w:hAnsi="Arial Narrow"/>
        </w:rPr>
      </w:pPr>
      <w:r w:rsidRPr="00FA7CFE">
        <w:rPr>
          <w:rStyle w:val="FootnoteReference"/>
          <w:rFonts w:ascii="Arial Narrow" w:hAnsi="Arial Narrow"/>
        </w:rPr>
        <w:footnoteRef/>
      </w:r>
      <w:r w:rsidRPr="00FA7CFE">
        <w:rPr>
          <w:rFonts w:ascii="Arial Narrow" w:hAnsi="Arial Narrow"/>
        </w:rPr>
        <w:t xml:space="preserve"> Stang A. Critical evaluation of the Newcastle-Ottawa scale for the assessment of the quality of nonrandomized studies in meta-analyses. Eur J Epidemiol. 2010 Sep;25(9):603-5. doi: 10.1007/s10654-010-9491-z. Epub 2010 Jul 22. PMID: 20652370.</w:t>
      </w:r>
    </w:p>
  </w:footnote>
  <w:footnote w:id="4">
    <w:p w14:paraId="725A1576" w14:textId="0A8AA80B" w:rsidR="00302E97" w:rsidRPr="00FA7CFE" w:rsidRDefault="00302E97">
      <w:pPr>
        <w:pStyle w:val="FootnoteText"/>
        <w:rPr>
          <w:rFonts w:ascii="Arial Narrow" w:hAnsi="Arial Narrow"/>
        </w:rPr>
      </w:pPr>
      <w:r w:rsidRPr="00FA7CFE">
        <w:rPr>
          <w:rStyle w:val="FootnoteReference"/>
          <w:rFonts w:ascii="Arial Narrow" w:hAnsi="Arial Narrow"/>
        </w:rPr>
        <w:footnoteRef/>
      </w:r>
      <w:r w:rsidRPr="00FA7CFE">
        <w:rPr>
          <w:rFonts w:ascii="Arial Narrow" w:hAnsi="Arial Narrow"/>
        </w:rPr>
        <w:t xml:space="preserve"> Baxi, S., et al. (2024). "Effectiveness and Patient Experiences of Rhenium Skin Cancer Therapy for Nonmelanoma Skin Cancer: Interim Results from the EPIC-Skin Study." J Nucl Med 65(9): 1450-1455.</w:t>
      </w:r>
    </w:p>
  </w:footnote>
  <w:footnote w:id="5">
    <w:p w14:paraId="685BE00C" w14:textId="56A2A95C" w:rsidR="00302E97" w:rsidRDefault="00302E97">
      <w:pPr>
        <w:pStyle w:val="FootnoteText"/>
      </w:pPr>
      <w:r w:rsidRPr="00FA7CFE">
        <w:rPr>
          <w:rStyle w:val="FootnoteReference"/>
          <w:rFonts w:ascii="Arial Narrow" w:hAnsi="Arial Narrow"/>
        </w:rPr>
        <w:footnoteRef/>
      </w:r>
      <w:r w:rsidRPr="00FA7CFE">
        <w:rPr>
          <w:rFonts w:ascii="Arial Narrow" w:hAnsi="Arial Narrow"/>
        </w:rPr>
        <w:t xml:space="preserve"> L. Vetrone, et al. (2024). Efficacy, Safety and Cosmetic in an Elderly Population after 188Rhenium Brachytherapy in NMSC: Long Term Follow Up Data. EANM24. Hamburg.</w:t>
      </w:r>
    </w:p>
  </w:footnote>
  <w:footnote w:id="6">
    <w:p w14:paraId="16F6C294" w14:textId="5C147111" w:rsidR="00302E97" w:rsidRPr="00D61F27" w:rsidRDefault="00302E97" w:rsidP="00D61F27">
      <w:pPr>
        <w:pStyle w:val="FootnoteText"/>
        <w:spacing w:before="0" w:after="60"/>
        <w:rPr>
          <w:rFonts w:ascii="Arial Narrow" w:hAnsi="Arial Narrow"/>
        </w:rPr>
      </w:pPr>
      <w:r w:rsidRPr="00D61F27">
        <w:rPr>
          <w:rStyle w:val="FootnoteReference"/>
          <w:rFonts w:ascii="Arial Narrow" w:hAnsi="Arial Narrow"/>
        </w:rPr>
        <w:footnoteRef/>
      </w:r>
      <w:r w:rsidRPr="00D61F27">
        <w:rPr>
          <w:rFonts w:ascii="Arial Narrow" w:hAnsi="Arial Narrow"/>
        </w:rPr>
        <w:t xml:space="preserve"> Tietze, J. K., et al. (2023). "Topical 188Re Ionizing Radiation Therapy Exerts High Efficacy in Curing Nonmelanoma Skin Cancer." Clin Nucl Med 48(10): 869-876.</w:t>
      </w:r>
    </w:p>
  </w:footnote>
  <w:footnote w:id="7">
    <w:p w14:paraId="511B64BF" w14:textId="29E2C984" w:rsidR="004841F1" w:rsidRPr="00D61F27" w:rsidRDefault="004841F1" w:rsidP="00D61F27">
      <w:pPr>
        <w:pStyle w:val="FootnoteText"/>
        <w:spacing w:before="0" w:after="60"/>
        <w:rPr>
          <w:rFonts w:ascii="Arial Narrow" w:hAnsi="Arial Narrow"/>
        </w:rPr>
      </w:pPr>
      <w:r w:rsidRPr="00D61F27">
        <w:rPr>
          <w:rStyle w:val="FootnoteReference"/>
          <w:rFonts w:ascii="Arial Narrow" w:hAnsi="Arial Narrow"/>
        </w:rPr>
        <w:footnoteRef/>
      </w:r>
      <w:r w:rsidRPr="00D61F27">
        <w:rPr>
          <w:rFonts w:ascii="Arial Narrow" w:hAnsi="Arial Narrow"/>
        </w:rPr>
        <w:t xml:space="preserve"> Castellucci P et al. (2021) "High dose brachytherapy with non sealed (188)Re (rhenium) resin in patients with non- melanoma skin cancers (NMSCs): single center preliminary results."</w:t>
      </w:r>
      <w:r w:rsidRPr="00D61F27">
        <w:rPr>
          <w:rFonts w:ascii="Arial Narrow" w:hAnsi="Arial Narrow"/>
          <w:spacing w:val="40"/>
        </w:rPr>
        <w:t xml:space="preserve"> </w:t>
      </w:r>
      <w:r w:rsidRPr="00D61F27">
        <w:rPr>
          <w:rFonts w:ascii="Arial Narrow" w:hAnsi="Arial Narrow"/>
        </w:rPr>
        <w:t>Eur J Nucl Med Mol Imaging 48 (5):1511-1521.</w:t>
      </w:r>
    </w:p>
  </w:footnote>
  <w:footnote w:id="8">
    <w:p w14:paraId="73EF9920" w14:textId="4CFCBAF8" w:rsidR="004841F1" w:rsidRDefault="004841F1" w:rsidP="00D61F27">
      <w:pPr>
        <w:pStyle w:val="FootnoteText"/>
        <w:spacing w:before="0" w:after="60"/>
      </w:pPr>
      <w:r w:rsidRPr="00D61F27">
        <w:rPr>
          <w:rStyle w:val="FootnoteReference"/>
          <w:rFonts w:ascii="Arial Narrow" w:hAnsi="Arial Narrow"/>
        </w:rPr>
        <w:footnoteRef/>
      </w:r>
      <w:r w:rsidRPr="00D61F27">
        <w:rPr>
          <w:rFonts w:ascii="Arial Narrow" w:hAnsi="Arial Narrow"/>
        </w:rPr>
        <w:t xml:space="preserve"> Cipriani</w:t>
      </w:r>
      <w:r w:rsidRPr="00D61F27">
        <w:rPr>
          <w:rFonts w:ascii="Arial Narrow" w:hAnsi="Arial Narrow"/>
          <w:spacing w:val="-3"/>
        </w:rPr>
        <w:t xml:space="preserve"> </w:t>
      </w:r>
      <w:r w:rsidRPr="00D61F27">
        <w:rPr>
          <w:rFonts w:ascii="Arial Narrow" w:hAnsi="Arial Narrow"/>
        </w:rPr>
        <w:t>C</w:t>
      </w:r>
      <w:r w:rsidRPr="00D61F27">
        <w:rPr>
          <w:rFonts w:ascii="Arial Narrow" w:hAnsi="Arial Narrow"/>
          <w:spacing w:val="-1"/>
        </w:rPr>
        <w:t xml:space="preserve"> </w:t>
      </w:r>
      <w:r w:rsidRPr="00D61F27">
        <w:rPr>
          <w:rFonts w:ascii="Arial Narrow" w:hAnsi="Arial Narrow"/>
        </w:rPr>
        <w:t>et</w:t>
      </w:r>
      <w:r w:rsidRPr="00D61F27">
        <w:rPr>
          <w:rFonts w:ascii="Arial Narrow" w:hAnsi="Arial Narrow"/>
          <w:spacing w:val="-3"/>
        </w:rPr>
        <w:t xml:space="preserve"> </w:t>
      </w:r>
      <w:r w:rsidRPr="00D61F27">
        <w:rPr>
          <w:rFonts w:ascii="Arial Narrow" w:hAnsi="Arial Narrow"/>
        </w:rPr>
        <w:t>al.</w:t>
      </w:r>
      <w:r w:rsidRPr="00D61F27">
        <w:rPr>
          <w:rFonts w:ascii="Arial Narrow" w:hAnsi="Arial Narrow"/>
          <w:spacing w:val="-2"/>
        </w:rPr>
        <w:t xml:space="preserve"> </w:t>
      </w:r>
      <w:r w:rsidRPr="00D61F27">
        <w:rPr>
          <w:rFonts w:ascii="Arial Narrow" w:hAnsi="Arial Narrow"/>
        </w:rPr>
        <w:t>(2020)</w:t>
      </w:r>
      <w:r w:rsidRPr="00D61F27">
        <w:rPr>
          <w:rFonts w:ascii="Arial Narrow" w:hAnsi="Arial Narrow"/>
          <w:spacing w:val="-3"/>
        </w:rPr>
        <w:t xml:space="preserve"> </w:t>
      </w:r>
      <w:r w:rsidRPr="00D61F27">
        <w:rPr>
          <w:rFonts w:ascii="Arial Narrow" w:hAnsi="Arial Narrow"/>
        </w:rPr>
        <w:t>"Personalized</w:t>
      </w:r>
      <w:r w:rsidRPr="00D61F27">
        <w:rPr>
          <w:rFonts w:ascii="Arial Narrow" w:hAnsi="Arial Narrow"/>
          <w:spacing w:val="-3"/>
        </w:rPr>
        <w:t xml:space="preserve"> </w:t>
      </w:r>
      <w:r w:rsidRPr="00D61F27">
        <w:rPr>
          <w:rFonts w:ascii="Arial Narrow" w:hAnsi="Arial Narrow"/>
        </w:rPr>
        <w:t>irradiation</w:t>
      </w:r>
      <w:r w:rsidRPr="00D61F27">
        <w:rPr>
          <w:rFonts w:ascii="Arial Narrow" w:hAnsi="Arial Narrow"/>
          <w:spacing w:val="-3"/>
        </w:rPr>
        <w:t xml:space="preserve"> </w:t>
      </w:r>
      <w:r w:rsidRPr="00D61F27">
        <w:rPr>
          <w:rFonts w:ascii="Arial Narrow" w:hAnsi="Arial Narrow"/>
        </w:rPr>
        <w:t>therapy</w:t>
      </w:r>
      <w:r w:rsidRPr="00D61F27">
        <w:rPr>
          <w:rFonts w:ascii="Arial Narrow" w:hAnsi="Arial Narrow"/>
          <w:spacing w:val="-2"/>
        </w:rPr>
        <w:t xml:space="preserve"> </w:t>
      </w:r>
      <w:r w:rsidRPr="00D61F27">
        <w:rPr>
          <w:rFonts w:ascii="Arial Narrow" w:hAnsi="Arial Narrow"/>
        </w:rPr>
        <w:t>for</w:t>
      </w:r>
      <w:r w:rsidRPr="00D61F27">
        <w:rPr>
          <w:rFonts w:ascii="Arial Narrow" w:hAnsi="Arial Narrow"/>
          <w:spacing w:val="-3"/>
        </w:rPr>
        <w:t xml:space="preserve"> </w:t>
      </w:r>
      <w:r w:rsidRPr="00D61F27">
        <w:rPr>
          <w:rFonts w:ascii="Arial Narrow" w:hAnsi="Arial Narrow"/>
        </w:rPr>
        <w:t>NMSC</w:t>
      </w:r>
      <w:r w:rsidRPr="00D61F27">
        <w:rPr>
          <w:rFonts w:ascii="Arial Narrow" w:hAnsi="Arial Narrow"/>
          <w:spacing w:val="-1"/>
        </w:rPr>
        <w:t xml:space="preserve"> </w:t>
      </w:r>
      <w:r w:rsidRPr="00D61F27">
        <w:rPr>
          <w:rFonts w:ascii="Arial Narrow" w:hAnsi="Arial Narrow"/>
        </w:rPr>
        <w:t>by</w:t>
      </w:r>
      <w:r w:rsidRPr="00D61F27">
        <w:rPr>
          <w:rFonts w:ascii="Arial Narrow" w:hAnsi="Arial Narrow"/>
          <w:spacing w:val="-2"/>
        </w:rPr>
        <w:t xml:space="preserve"> </w:t>
      </w:r>
      <w:r w:rsidRPr="00D61F27">
        <w:rPr>
          <w:rFonts w:ascii="Arial Narrow" w:hAnsi="Arial Narrow"/>
        </w:rPr>
        <w:t>rhenium-188</w:t>
      </w:r>
      <w:r w:rsidRPr="00D61F27">
        <w:rPr>
          <w:rFonts w:ascii="Arial Narrow" w:hAnsi="Arial Narrow"/>
          <w:spacing w:val="-3"/>
        </w:rPr>
        <w:t xml:space="preserve"> </w:t>
      </w:r>
      <w:r w:rsidRPr="00D61F27">
        <w:rPr>
          <w:rFonts w:ascii="Arial Narrow" w:hAnsi="Arial Narrow"/>
        </w:rPr>
        <w:t>skin</w:t>
      </w:r>
      <w:r w:rsidRPr="00D61F27">
        <w:rPr>
          <w:rFonts w:ascii="Arial Narrow" w:hAnsi="Arial Narrow"/>
          <w:spacing w:val="-3"/>
        </w:rPr>
        <w:t xml:space="preserve"> </w:t>
      </w:r>
      <w:r w:rsidRPr="00D61F27">
        <w:rPr>
          <w:rFonts w:ascii="Arial Narrow" w:hAnsi="Arial Narrow"/>
        </w:rPr>
        <w:t>cancer</w:t>
      </w:r>
      <w:r w:rsidRPr="00D61F27">
        <w:rPr>
          <w:rFonts w:ascii="Arial Narrow" w:hAnsi="Arial Narrow"/>
          <w:spacing w:val="-3"/>
        </w:rPr>
        <w:t xml:space="preserve"> </w:t>
      </w:r>
      <w:r w:rsidRPr="00D61F27">
        <w:rPr>
          <w:rFonts w:ascii="Arial Narrow" w:hAnsi="Arial Narrow"/>
        </w:rPr>
        <w:t>therapy:</w:t>
      </w:r>
      <w:r w:rsidRPr="00D61F27">
        <w:rPr>
          <w:rFonts w:ascii="Arial Narrow" w:hAnsi="Arial Narrow"/>
          <w:spacing w:val="-2"/>
        </w:rPr>
        <w:t xml:space="preserve"> </w:t>
      </w:r>
      <w:r w:rsidRPr="00D61F27">
        <w:rPr>
          <w:rFonts w:ascii="Arial Narrow" w:hAnsi="Arial Narrow"/>
        </w:rPr>
        <w:t>a</w:t>
      </w:r>
      <w:r w:rsidRPr="00D61F27">
        <w:rPr>
          <w:rFonts w:ascii="Arial Narrow" w:hAnsi="Arial Narrow"/>
          <w:spacing w:val="-3"/>
        </w:rPr>
        <w:t xml:space="preserve"> </w:t>
      </w:r>
      <w:r w:rsidRPr="00D61F27">
        <w:rPr>
          <w:rFonts w:ascii="Arial Narrow" w:hAnsi="Arial Narrow"/>
        </w:rPr>
        <w:t>long-term retrospective study."</w:t>
      </w:r>
      <w:r w:rsidRPr="00D61F27">
        <w:rPr>
          <w:rFonts w:ascii="Arial Narrow" w:hAnsi="Arial Narrow"/>
          <w:spacing w:val="40"/>
        </w:rPr>
        <w:t xml:space="preserve"> </w:t>
      </w:r>
      <w:r w:rsidRPr="00D61F27">
        <w:rPr>
          <w:rFonts w:ascii="Arial Narrow" w:hAnsi="Arial Narrow"/>
        </w:rPr>
        <w:t>Journal of Dermatological Treatment:1-7.</w:t>
      </w:r>
    </w:p>
  </w:footnote>
  <w:footnote w:id="9">
    <w:p w14:paraId="7DC4E66C" w14:textId="715A6F4C" w:rsidR="00B40B84" w:rsidRPr="00D61F27" w:rsidRDefault="00B40B84" w:rsidP="00D61F27">
      <w:pPr>
        <w:pStyle w:val="FootnoteText"/>
        <w:spacing w:before="0" w:after="60"/>
        <w:rPr>
          <w:rFonts w:ascii="Arial Narrow" w:hAnsi="Arial Narrow"/>
        </w:rPr>
      </w:pPr>
      <w:r w:rsidRPr="00D61F27">
        <w:rPr>
          <w:rStyle w:val="FootnoteReference"/>
          <w:rFonts w:ascii="Arial Narrow" w:hAnsi="Arial Narrow"/>
        </w:rPr>
        <w:footnoteRef/>
      </w:r>
      <w:r w:rsidRPr="00D61F27">
        <w:rPr>
          <w:rFonts w:ascii="Arial Narrow" w:hAnsi="Arial Narrow"/>
        </w:rPr>
        <w:t xml:space="preserve"> Caccialanza, M., et al. (2009). "Radiotherapy of carcinomas of the skin overlying the cartilage of the nose: our experience in 671 lesions." </w:t>
      </w:r>
      <w:r w:rsidRPr="00D61F27">
        <w:rPr>
          <w:rFonts w:ascii="Arial Narrow" w:hAnsi="Arial Narrow"/>
          <w:u w:val="single"/>
        </w:rPr>
        <w:t>J Eur Acad Dermatol Venereol</w:t>
      </w:r>
      <w:r w:rsidRPr="00D61F27">
        <w:rPr>
          <w:rFonts w:ascii="Arial Narrow" w:hAnsi="Arial Narrow"/>
        </w:rPr>
        <w:t xml:space="preserve"> 23(9): 1044-1049.</w:t>
      </w:r>
    </w:p>
  </w:footnote>
  <w:footnote w:id="10">
    <w:p w14:paraId="3ABB6FA3" w14:textId="08B23B77" w:rsidR="00BB2837" w:rsidRPr="00D61F27" w:rsidRDefault="00BB2837" w:rsidP="00D61F27">
      <w:pPr>
        <w:pStyle w:val="FootnoteText"/>
        <w:spacing w:before="0" w:after="60"/>
        <w:rPr>
          <w:rFonts w:ascii="Arial Narrow" w:hAnsi="Arial Narrow"/>
        </w:rPr>
      </w:pPr>
      <w:r w:rsidRPr="00D61F27">
        <w:rPr>
          <w:rStyle w:val="FootnoteReference"/>
          <w:rFonts w:ascii="Arial Narrow" w:hAnsi="Arial Narrow"/>
        </w:rPr>
        <w:footnoteRef/>
      </w:r>
      <w:r w:rsidRPr="00D61F27">
        <w:rPr>
          <w:rFonts w:ascii="Arial Narrow" w:hAnsi="Arial Narrow"/>
        </w:rPr>
        <w:t xml:space="preserve"> Ferro, M., et al. (2015). "Short-course radiotherapy in elderly patients with early stage non-melanoma skin cancer: a phase II study." </w:t>
      </w:r>
      <w:r w:rsidRPr="00D61F27">
        <w:rPr>
          <w:rFonts w:ascii="Arial Narrow" w:hAnsi="Arial Narrow"/>
          <w:u w:val="single"/>
        </w:rPr>
        <w:t>Cancer Invest</w:t>
      </w:r>
      <w:r w:rsidRPr="00D61F27">
        <w:rPr>
          <w:rFonts w:ascii="Arial Narrow" w:hAnsi="Arial Narrow"/>
        </w:rPr>
        <w:t xml:space="preserve"> 33(2): 34-38.</w:t>
      </w:r>
    </w:p>
  </w:footnote>
  <w:footnote w:id="11">
    <w:p w14:paraId="59371B05" w14:textId="08E69C86" w:rsidR="00C16185" w:rsidRDefault="00C16185" w:rsidP="00D61F27">
      <w:pPr>
        <w:pStyle w:val="FootnoteText"/>
        <w:spacing w:before="0" w:after="60"/>
      </w:pPr>
      <w:r w:rsidRPr="00D61F27">
        <w:rPr>
          <w:rStyle w:val="FootnoteReference"/>
          <w:rFonts w:ascii="Arial Narrow" w:hAnsi="Arial Narrow"/>
        </w:rPr>
        <w:footnoteRef/>
      </w:r>
      <w:r w:rsidRPr="00D61F27">
        <w:rPr>
          <w:rFonts w:ascii="Arial Narrow" w:hAnsi="Arial Narrow"/>
        </w:rPr>
        <w:t xml:space="preserve"> Grossi Marconi, D., et al. (2016). "Head and Neck Non-Melanoma Skin Cancer Treated By Superficial X-Ray Therapy: An Analysis of 1021 Cases." </w:t>
      </w:r>
      <w:r w:rsidRPr="00D61F27">
        <w:rPr>
          <w:rFonts w:ascii="Arial Narrow" w:hAnsi="Arial Narrow"/>
          <w:u w:val="single"/>
        </w:rPr>
        <w:t>PLoS One</w:t>
      </w:r>
      <w:r w:rsidRPr="00D61F27">
        <w:rPr>
          <w:rFonts w:ascii="Arial Narrow" w:hAnsi="Arial Narrow"/>
        </w:rPr>
        <w:t xml:space="preserve"> 11(7): e0156544.</w:t>
      </w:r>
    </w:p>
  </w:footnote>
  <w:footnote w:id="12">
    <w:p w14:paraId="1455AA2A" w14:textId="620D99B9" w:rsidR="00786C80" w:rsidRPr="00FA7CFE" w:rsidRDefault="00786C80" w:rsidP="00FA7CFE">
      <w:pPr>
        <w:pStyle w:val="FootnoteText"/>
        <w:spacing w:before="0" w:after="60"/>
        <w:rPr>
          <w:rFonts w:ascii="Arial Narrow" w:hAnsi="Arial Narrow"/>
        </w:rPr>
      </w:pPr>
      <w:r w:rsidRPr="00FA7CFE">
        <w:rPr>
          <w:rStyle w:val="FootnoteReference"/>
          <w:rFonts w:ascii="Arial Narrow" w:hAnsi="Arial Narrow"/>
        </w:rPr>
        <w:footnoteRef/>
      </w:r>
      <w:r w:rsidRPr="00FA7CFE">
        <w:rPr>
          <w:rFonts w:ascii="Arial Narrow" w:hAnsi="Arial Narrow"/>
        </w:rPr>
        <w:t xml:space="preserve"> Schulte, K. W., et al. (2005). "Soft x-ray therapy for cutaneous basal cell and squamous cell carcinomas." </w:t>
      </w:r>
      <w:r w:rsidRPr="00FA7CFE">
        <w:rPr>
          <w:rFonts w:ascii="Arial Narrow" w:hAnsi="Arial Narrow"/>
          <w:u w:val="single"/>
        </w:rPr>
        <w:t>J Am Acad Dermatol</w:t>
      </w:r>
      <w:r w:rsidRPr="00FA7CFE">
        <w:rPr>
          <w:rFonts w:ascii="Arial Narrow" w:hAnsi="Arial Narrow"/>
        </w:rPr>
        <w:t xml:space="preserve"> 53(6): 993-1001.</w:t>
      </w:r>
    </w:p>
  </w:footnote>
  <w:footnote w:id="13">
    <w:p w14:paraId="27CEA5B9" w14:textId="5B8A13C1" w:rsidR="007F24C1" w:rsidRPr="00FA7CFE" w:rsidRDefault="007F24C1" w:rsidP="00FA7CFE">
      <w:pPr>
        <w:pStyle w:val="FootnoteText"/>
        <w:spacing w:before="0" w:after="60"/>
        <w:rPr>
          <w:rFonts w:ascii="Arial Narrow" w:hAnsi="Arial Narrow"/>
        </w:rPr>
      </w:pPr>
      <w:r w:rsidRPr="00FA7CFE">
        <w:rPr>
          <w:rStyle w:val="FootnoteReference"/>
          <w:rFonts w:ascii="Arial Narrow" w:hAnsi="Arial Narrow"/>
        </w:rPr>
        <w:footnoteRef/>
      </w:r>
      <w:r w:rsidRPr="00FA7CFE">
        <w:rPr>
          <w:rFonts w:ascii="Arial Narrow" w:hAnsi="Arial Narrow"/>
        </w:rPr>
        <w:t xml:space="preserve"> Tighe, D., et al. (2021). "Lesion-based radiotherapy for non-melanoma skin cancer of the lower legs with a focus on radiation-induced ulcers." </w:t>
      </w:r>
      <w:r w:rsidRPr="00FA7CFE">
        <w:rPr>
          <w:rFonts w:ascii="Arial Narrow" w:hAnsi="Arial Narrow"/>
          <w:u w:val="single"/>
        </w:rPr>
        <w:t>Int J Radiol Radiat Ther</w:t>
      </w:r>
      <w:r w:rsidRPr="00FA7CFE">
        <w:rPr>
          <w:rFonts w:ascii="Arial Narrow" w:hAnsi="Arial Narrow"/>
        </w:rPr>
        <w:t xml:space="preserve"> 8(2): 44-54.</w:t>
      </w:r>
    </w:p>
  </w:footnote>
  <w:footnote w:id="14">
    <w:p w14:paraId="6B1536A7" w14:textId="250A889B" w:rsidR="00DB6A2B" w:rsidRPr="00FA7CFE" w:rsidRDefault="00DB6A2B" w:rsidP="00FA7CFE">
      <w:pPr>
        <w:pStyle w:val="FootnoteText"/>
        <w:spacing w:before="0" w:after="60"/>
        <w:rPr>
          <w:rFonts w:ascii="Arial Narrow" w:hAnsi="Arial Narrow"/>
        </w:rPr>
      </w:pPr>
      <w:r w:rsidRPr="00FA7CFE">
        <w:rPr>
          <w:rStyle w:val="FootnoteReference"/>
          <w:rFonts w:ascii="Arial Narrow" w:hAnsi="Arial Narrow"/>
        </w:rPr>
        <w:footnoteRef/>
      </w:r>
      <w:r w:rsidRPr="00FA7CFE">
        <w:rPr>
          <w:rFonts w:ascii="Arial Narrow" w:hAnsi="Arial Narrow"/>
        </w:rPr>
        <w:t xml:space="preserve"> Patel, R., et al. (2017). "Comparison of electronic brachytherapy and Mohs micrographic surgery for the treatment of early-stage non-melanoma skin cancer: a matched pair cohort study." </w:t>
      </w:r>
      <w:r w:rsidRPr="00FA7CFE">
        <w:rPr>
          <w:rFonts w:ascii="Arial Narrow" w:hAnsi="Arial Narrow"/>
          <w:u w:val="single"/>
        </w:rPr>
        <w:t>Journal of contemporary brachytherapy</w:t>
      </w:r>
      <w:r w:rsidRPr="00FA7CFE">
        <w:rPr>
          <w:rFonts w:ascii="Arial Narrow" w:hAnsi="Arial Narrow"/>
        </w:rPr>
        <w:t xml:space="preserve"> 9(4): 338-344.</w:t>
      </w:r>
    </w:p>
  </w:footnote>
  <w:footnote w:id="15">
    <w:p w14:paraId="0A3E5D5A" w14:textId="77777777" w:rsidR="00C137B5" w:rsidRDefault="00C137B5" w:rsidP="00FA7CFE">
      <w:pPr>
        <w:pStyle w:val="FootnoteText"/>
        <w:spacing w:before="0" w:after="60"/>
      </w:pPr>
      <w:r w:rsidRPr="00FA7CFE">
        <w:rPr>
          <w:rStyle w:val="FootnoteReference"/>
          <w:rFonts w:ascii="Arial Narrow" w:hAnsi="Arial Narrow"/>
        </w:rPr>
        <w:footnoteRef/>
      </w:r>
      <w:r w:rsidRPr="00FA7CFE">
        <w:rPr>
          <w:rFonts w:ascii="Arial Narrow" w:hAnsi="Arial Narrow"/>
        </w:rPr>
        <w:t xml:space="preserve"> Baxi, S., et al. (2024). "Effectiveness and Patient Experiences of Rhenium Skin Cancer Therapy for Nonmelanoma Skin Cancer: Interim Results from the EPIC-Skin Study." J Nucl Med 65(9): 1450-1455.</w:t>
      </w:r>
    </w:p>
  </w:footnote>
  <w:footnote w:id="16">
    <w:p w14:paraId="159004B7" w14:textId="77777777" w:rsidR="003544BD" w:rsidRPr="00FA7CFE" w:rsidRDefault="003544BD" w:rsidP="00FA7CFE">
      <w:pPr>
        <w:pStyle w:val="FootnoteText"/>
        <w:spacing w:before="0" w:after="60"/>
        <w:rPr>
          <w:rFonts w:ascii="Arial Narrow" w:hAnsi="Arial Narrow"/>
        </w:rPr>
      </w:pPr>
      <w:r w:rsidRPr="00FA7CFE">
        <w:rPr>
          <w:rStyle w:val="FootnoteReference"/>
          <w:rFonts w:ascii="Arial Narrow" w:hAnsi="Arial Narrow"/>
        </w:rPr>
        <w:footnoteRef/>
      </w:r>
      <w:r w:rsidRPr="00FA7CFE">
        <w:rPr>
          <w:rFonts w:ascii="Arial Narrow" w:hAnsi="Arial Narrow"/>
        </w:rPr>
        <w:t xml:space="preserve"> L. Vetrone, et al. (2024). Efficacy, Safety and Cosmetic in an Elderly Population after 188Rhenium Brachytherapy in NMSC: Long Term Follow Up Data. EANM24. Hamburg.</w:t>
      </w:r>
    </w:p>
  </w:footnote>
  <w:footnote w:id="17">
    <w:p w14:paraId="51118ABD" w14:textId="77777777" w:rsidR="003544BD" w:rsidRPr="00FA7CFE" w:rsidRDefault="003544BD" w:rsidP="00FA7CFE">
      <w:pPr>
        <w:pStyle w:val="FootnoteText"/>
        <w:spacing w:before="0" w:after="60"/>
        <w:rPr>
          <w:rFonts w:ascii="Arial Narrow" w:hAnsi="Arial Narrow"/>
        </w:rPr>
      </w:pPr>
      <w:r w:rsidRPr="00FA7CFE">
        <w:rPr>
          <w:rStyle w:val="FootnoteReference"/>
          <w:rFonts w:ascii="Arial Narrow" w:hAnsi="Arial Narrow"/>
        </w:rPr>
        <w:footnoteRef/>
      </w:r>
      <w:r w:rsidRPr="00FA7CFE">
        <w:rPr>
          <w:rFonts w:ascii="Arial Narrow" w:hAnsi="Arial Narrow"/>
        </w:rPr>
        <w:t xml:space="preserve"> Tietze, J. K., et al. (2023). "Topical 188Re Ionizing Radiation Therapy Exerts High Efficacy in Curing Nonmelanoma Skin Cancer." Clin Nucl Med 48(10): 869-876.</w:t>
      </w:r>
    </w:p>
  </w:footnote>
  <w:footnote w:id="18">
    <w:p w14:paraId="29045F96" w14:textId="77777777" w:rsidR="00254F51" w:rsidRPr="00FA7CFE" w:rsidRDefault="00254F51" w:rsidP="00FA7CFE">
      <w:pPr>
        <w:pStyle w:val="FootnoteText"/>
        <w:spacing w:before="0" w:after="60"/>
        <w:rPr>
          <w:rFonts w:ascii="Arial Narrow" w:hAnsi="Arial Narrow"/>
        </w:rPr>
      </w:pPr>
      <w:r w:rsidRPr="00FA7CFE">
        <w:rPr>
          <w:rStyle w:val="FootnoteReference"/>
          <w:rFonts w:ascii="Arial Narrow" w:hAnsi="Arial Narrow"/>
        </w:rPr>
        <w:footnoteRef/>
      </w:r>
      <w:r w:rsidRPr="00FA7CFE">
        <w:rPr>
          <w:rFonts w:ascii="Arial Narrow" w:hAnsi="Arial Narrow"/>
        </w:rPr>
        <w:t xml:space="preserve"> Castellucci P et al. (2021) "High dose brachytherapy with non sealed (188)Re (rhenium) resin in patients with non- melanoma skin cancers (NMSCs): single center preliminary results."</w:t>
      </w:r>
      <w:r w:rsidRPr="00FA7CFE">
        <w:rPr>
          <w:rFonts w:ascii="Arial Narrow" w:hAnsi="Arial Narrow"/>
          <w:spacing w:val="40"/>
        </w:rPr>
        <w:t xml:space="preserve"> </w:t>
      </w:r>
      <w:r w:rsidRPr="00FA7CFE">
        <w:rPr>
          <w:rFonts w:ascii="Arial Narrow" w:hAnsi="Arial Narrow"/>
        </w:rPr>
        <w:t>Eur J Nucl Med Mol Imaging 48 (5):1511-1521.</w:t>
      </w:r>
    </w:p>
  </w:footnote>
  <w:footnote w:id="19">
    <w:p w14:paraId="27D3B8B0" w14:textId="77777777" w:rsidR="0092057E" w:rsidRPr="00FA7CFE" w:rsidRDefault="0092057E" w:rsidP="00FA7CFE">
      <w:pPr>
        <w:pStyle w:val="FootnoteText"/>
        <w:spacing w:before="0" w:after="60"/>
        <w:rPr>
          <w:rFonts w:ascii="Arial Narrow" w:hAnsi="Arial Narrow"/>
        </w:rPr>
      </w:pPr>
      <w:r w:rsidRPr="00FA7CFE">
        <w:rPr>
          <w:rStyle w:val="FootnoteReference"/>
          <w:rFonts w:ascii="Arial Narrow" w:hAnsi="Arial Narrow"/>
        </w:rPr>
        <w:footnoteRef/>
      </w:r>
      <w:r w:rsidRPr="00FA7CFE">
        <w:rPr>
          <w:rFonts w:ascii="Arial Narrow" w:hAnsi="Arial Narrow"/>
        </w:rPr>
        <w:t xml:space="preserve"> Cipriani</w:t>
      </w:r>
      <w:r w:rsidRPr="00FA7CFE">
        <w:rPr>
          <w:rFonts w:ascii="Arial Narrow" w:hAnsi="Arial Narrow"/>
          <w:spacing w:val="-3"/>
        </w:rPr>
        <w:t xml:space="preserve"> </w:t>
      </w:r>
      <w:r w:rsidRPr="00FA7CFE">
        <w:rPr>
          <w:rFonts w:ascii="Arial Narrow" w:hAnsi="Arial Narrow"/>
        </w:rPr>
        <w:t>C</w:t>
      </w:r>
      <w:r w:rsidRPr="00FA7CFE">
        <w:rPr>
          <w:rFonts w:ascii="Arial Narrow" w:hAnsi="Arial Narrow"/>
          <w:spacing w:val="-1"/>
        </w:rPr>
        <w:t xml:space="preserve"> </w:t>
      </w:r>
      <w:r w:rsidRPr="00FA7CFE">
        <w:rPr>
          <w:rFonts w:ascii="Arial Narrow" w:hAnsi="Arial Narrow"/>
        </w:rPr>
        <w:t>et</w:t>
      </w:r>
      <w:r w:rsidRPr="00FA7CFE">
        <w:rPr>
          <w:rFonts w:ascii="Arial Narrow" w:hAnsi="Arial Narrow"/>
          <w:spacing w:val="-3"/>
        </w:rPr>
        <w:t xml:space="preserve"> </w:t>
      </w:r>
      <w:r w:rsidRPr="00FA7CFE">
        <w:rPr>
          <w:rFonts w:ascii="Arial Narrow" w:hAnsi="Arial Narrow"/>
        </w:rPr>
        <w:t>al.</w:t>
      </w:r>
      <w:r w:rsidRPr="00FA7CFE">
        <w:rPr>
          <w:rFonts w:ascii="Arial Narrow" w:hAnsi="Arial Narrow"/>
          <w:spacing w:val="-2"/>
        </w:rPr>
        <w:t xml:space="preserve"> </w:t>
      </w:r>
      <w:r w:rsidRPr="00FA7CFE">
        <w:rPr>
          <w:rFonts w:ascii="Arial Narrow" w:hAnsi="Arial Narrow"/>
        </w:rPr>
        <w:t>(2020)</w:t>
      </w:r>
      <w:r w:rsidRPr="00FA7CFE">
        <w:rPr>
          <w:rFonts w:ascii="Arial Narrow" w:hAnsi="Arial Narrow"/>
          <w:spacing w:val="-3"/>
        </w:rPr>
        <w:t xml:space="preserve"> </w:t>
      </w:r>
      <w:r w:rsidRPr="00FA7CFE">
        <w:rPr>
          <w:rFonts w:ascii="Arial Narrow" w:hAnsi="Arial Narrow"/>
        </w:rPr>
        <w:t>"Personalized</w:t>
      </w:r>
      <w:r w:rsidRPr="00FA7CFE">
        <w:rPr>
          <w:rFonts w:ascii="Arial Narrow" w:hAnsi="Arial Narrow"/>
          <w:spacing w:val="-3"/>
        </w:rPr>
        <w:t xml:space="preserve"> </w:t>
      </w:r>
      <w:r w:rsidRPr="00FA7CFE">
        <w:rPr>
          <w:rFonts w:ascii="Arial Narrow" w:hAnsi="Arial Narrow"/>
        </w:rPr>
        <w:t>irradiation</w:t>
      </w:r>
      <w:r w:rsidRPr="00FA7CFE">
        <w:rPr>
          <w:rFonts w:ascii="Arial Narrow" w:hAnsi="Arial Narrow"/>
          <w:spacing w:val="-3"/>
        </w:rPr>
        <w:t xml:space="preserve"> </w:t>
      </w:r>
      <w:r w:rsidRPr="00FA7CFE">
        <w:rPr>
          <w:rFonts w:ascii="Arial Narrow" w:hAnsi="Arial Narrow"/>
        </w:rPr>
        <w:t>therapy</w:t>
      </w:r>
      <w:r w:rsidRPr="00FA7CFE">
        <w:rPr>
          <w:rFonts w:ascii="Arial Narrow" w:hAnsi="Arial Narrow"/>
          <w:spacing w:val="-2"/>
        </w:rPr>
        <w:t xml:space="preserve"> </w:t>
      </w:r>
      <w:r w:rsidRPr="00FA7CFE">
        <w:rPr>
          <w:rFonts w:ascii="Arial Narrow" w:hAnsi="Arial Narrow"/>
        </w:rPr>
        <w:t>for</w:t>
      </w:r>
      <w:r w:rsidRPr="00FA7CFE">
        <w:rPr>
          <w:rFonts w:ascii="Arial Narrow" w:hAnsi="Arial Narrow"/>
          <w:spacing w:val="-3"/>
        </w:rPr>
        <w:t xml:space="preserve"> </w:t>
      </w:r>
      <w:r w:rsidRPr="00FA7CFE">
        <w:rPr>
          <w:rFonts w:ascii="Arial Narrow" w:hAnsi="Arial Narrow"/>
        </w:rPr>
        <w:t>NMSC</w:t>
      </w:r>
      <w:r w:rsidRPr="00FA7CFE">
        <w:rPr>
          <w:rFonts w:ascii="Arial Narrow" w:hAnsi="Arial Narrow"/>
          <w:spacing w:val="-1"/>
        </w:rPr>
        <w:t xml:space="preserve"> </w:t>
      </w:r>
      <w:r w:rsidRPr="00FA7CFE">
        <w:rPr>
          <w:rFonts w:ascii="Arial Narrow" w:hAnsi="Arial Narrow"/>
        </w:rPr>
        <w:t>by</w:t>
      </w:r>
      <w:r w:rsidRPr="00FA7CFE">
        <w:rPr>
          <w:rFonts w:ascii="Arial Narrow" w:hAnsi="Arial Narrow"/>
          <w:spacing w:val="-2"/>
        </w:rPr>
        <w:t xml:space="preserve"> </w:t>
      </w:r>
      <w:r w:rsidRPr="00FA7CFE">
        <w:rPr>
          <w:rFonts w:ascii="Arial Narrow" w:hAnsi="Arial Narrow"/>
        </w:rPr>
        <w:t>rhenium-188</w:t>
      </w:r>
      <w:r w:rsidRPr="00FA7CFE">
        <w:rPr>
          <w:rFonts w:ascii="Arial Narrow" w:hAnsi="Arial Narrow"/>
          <w:spacing w:val="-3"/>
        </w:rPr>
        <w:t xml:space="preserve"> </w:t>
      </w:r>
      <w:r w:rsidRPr="00FA7CFE">
        <w:rPr>
          <w:rFonts w:ascii="Arial Narrow" w:hAnsi="Arial Narrow"/>
        </w:rPr>
        <w:t>skin</w:t>
      </w:r>
      <w:r w:rsidRPr="00FA7CFE">
        <w:rPr>
          <w:rFonts w:ascii="Arial Narrow" w:hAnsi="Arial Narrow"/>
          <w:spacing w:val="-3"/>
        </w:rPr>
        <w:t xml:space="preserve"> </w:t>
      </w:r>
      <w:r w:rsidRPr="00FA7CFE">
        <w:rPr>
          <w:rFonts w:ascii="Arial Narrow" w:hAnsi="Arial Narrow"/>
        </w:rPr>
        <w:t>cancer</w:t>
      </w:r>
      <w:r w:rsidRPr="00FA7CFE">
        <w:rPr>
          <w:rFonts w:ascii="Arial Narrow" w:hAnsi="Arial Narrow"/>
          <w:spacing w:val="-3"/>
        </w:rPr>
        <w:t xml:space="preserve"> </w:t>
      </w:r>
      <w:r w:rsidRPr="00FA7CFE">
        <w:rPr>
          <w:rFonts w:ascii="Arial Narrow" w:hAnsi="Arial Narrow"/>
        </w:rPr>
        <w:t>therapy:</w:t>
      </w:r>
      <w:r w:rsidRPr="00FA7CFE">
        <w:rPr>
          <w:rFonts w:ascii="Arial Narrow" w:hAnsi="Arial Narrow"/>
          <w:spacing w:val="-2"/>
        </w:rPr>
        <w:t xml:space="preserve"> </w:t>
      </w:r>
      <w:r w:rsidRPr="00FA7CFE">
        <w:rPr>
          <w:rFonts w:ascii="Arial Narrow" w:hAnsi="Arial Narrow"/>
        </w:rPr>
        <w:t>a</w:t>
      </w:r>
      <w:r w:rsidRPr="00FA7CFE">
        <w:rPr>
          <w:rFonts w:ascii="Arial Narrow" w:hAnsi="Arial Narrow"/>
          <w:spacing w:val="-3"/>
        </w:rPr>
        <w:t xml:space="preserve"> </w:t>
      </w:r>
      <w:r w:rsidRPr="00FA7CFE">
        <w:rPr>
          <w:rFonts w:ascii="Arial Narrow" w:hAnsi="Arial Narrow"/>
        </w:rPr>
        <w:t>long-term retrospective study."</w:t>
      </w:r>
      <w:r w:rsidRPr="00FA7CFE">
        <w:rPr>
          <w:rFonts w:ascii="Arial Narrow" w:hAnsi="Arial Narrow"/>
          <w:spacing w:val="40"/>
        </w:rPr>
        <w:t xml:space="preserve"> </w:t>
      </w:r>
      <w:r w:rsidRPr="00FA7CFE">
        <w:rPr>
          <w:rFonts w:ascii="Arial Narrow" w:hAnsi="Arial Narrow"/>
        </w:rPr>
        <w:t>Journal of Dermatological Treatment:1-7.</w:t>
      </w:r>
    </w:p>
  </w:footnote>
  <w:footnote w:id="20">
    <w:p w14:paraId="595F1935" w14:textId="06CC4583" w:rsidR="00CD02CF" w:rsidRDefault="00CD02CF">
      <w:pPr>
        <w:pStyle w:val="FootnoteText"/>
      </w:pPr>
      <w:r>
        <w:rPr>
          <w:rStyle w:val="FootnoteReference"/>
        </w:rPr>
        <w:footnoteRef/>
      </w:r>
      <w:r>
        <w:t xml:space="preserve"> </w:t>
      </w:r>
      <w:r w:rsidRPr="00CD02CF">
        <w:t>Rubin, Philip, et al. "Overview of late effects normal tissues (LENT) scoring system." Radiotherapy and Oncology 35.1 (1995): 9-10.</w:t>
      </w:r>
    </w:p>
  </w:footnote>
  <w:footnote w:id="21">
    <w:p w14:paraId="6B5AC181" w14:textId="77777777" w:rsidR="002256F8" w:rsidRPr="00D61F27" w:rsidRDefault="002256F8" w:rsidP="00D61F27">
      <w:pPr>
        <w:pStyle w:val="FootnoteText"/>
        <w:spacing w:before="0" w:after="60"/>
        <w:rPr>
          <w:rFonts w:ascii="Arial Narrow" w:hAnsi="Arial Narrow"/>
        </w:rPr>
      </w:pPr>
      <w:r w:rsidRPr="00D61F27">
        <w:rPr>
          <w:rStyle w:val="FootnoteReference"/>
          <w:rFonts w:ascii="Arial Narrow" w:hAnsi="Arial Narrow"/>
        </w:rPr>
        <w:footnoteRef/>
      </w:r>
      <w:r w:rsidRPr="00D61F27">
        <w:rPr>
          <w:rFonts w:ascii="Arial Narrow" w:hAnsi="Arial Narrow"/>
        </w:rPr>
        <w:t xml:space="preserve"> Castellucci P et al. (2021) "High dose brachytherapy with non sealed (188)Re (rhenium) resin in patients with non- melanoma skin cancers (NMSCs): single center preliminary results."</w:t>
      </w:r>
      <w:r w:rsidRPr="00D61F27">
        <w:rPr>
          <w:rFonts w:ascii="Arial Narrow" w:hAnsi="Arial Narrow"/>
          <w:spacing w:val="40"/>
        </w:rPr>
        <w:t xml:space="preserve"> </w:t>
      </w:r>
      <w:r w:rsidRPr="00D61F27">
        <w:rPr>
          <w:rFonts w:ascii="Arial Narrow" w:hAnsi="Arial Narrow"/>
        </w:rPr>
        <w:t>Eur J Nucl Med Mol Imaging 48 (5):1511-1521.</w:t>
      </w:r>
    </w:p>
  </w:footnote>
  <w:footnote w:id="22">
    <w:p w14:paraId="18CF8E90" w14:textId="2369A407" w:rsidR="00160CA3" w:rsidRDefault="00160CA3" w:rsidP="00160CA3">
      <w:pPr>
        <w:pStyle w:val="FootnoteText"/>
      </w:pPr>
      <w:r>
        <w:rPr>
          <w:rStyle w:val="FootnoteReference"/>
        </w:rPr>
        <w:footnoteRef/>
      </w:r>
      <w:r>
        <w:t xml:space="preserve"> </w:t>
      </w:r>
      <w:r w:rsidRPr="00160CA3">
        <w:t>Rhee JS, Matthews BA, Neuburg M, Logan BR, Burzynski M, Nattinger AB. The skin cancer index: clinical responsiveness and predictors of quality of life. Laryngoscope. 2007 Mar;117(3):399-405. doi: 10.1097/MLG.0b013e31802e2d88.</w:t>
      </w:r>
    </w:p>
  </w:footnote>
  <w:footnote w:id="23">
    <w:p w14:paraId="35B786F0" w14:textId="4E2444C6" w:rsidR="0053180D" w:rsidRDefault="0053180D">
      <w:pPr>
        <w:pStyle w:val="FootnoteText"/>
      </w:pPr>
      <w:r>
        <w:rPr>
          <w:rStyle w:val="FootnoteReference"/>
        </w:rPr>
        <w:footnoteRef/>
      </w:r>
      <w:r w:rsidR="1E8B3177">
        <w:t xml:space="preserve"> </w:t>
      </w:r>
      <w:hyperlink r:id="rId1" w:history="1">
        <w:r w:rsidR="1E8B3177" w:rsidRPr="00E5127D">
          <w:rPr>
            <w:rStyle w:val="Hyperlink"/>
          </w:rPr>
          <w:t>Updates to the Medicare Benefits Schedule for radiation therapy items</w:t>
        </w:r>
      </w:hyperlink>
    </w:p>
  </w:footnote>
  <w:footnote w:id="24">
    <w:p w14:paraId="38A51AD4" w14:textId="6E5D378F" w:rsidR="00771EDB" w:rsidRDefault="00771EDB" w:rsidP="00771EDB">
      <w:pPr>
        <w:pStyle w:val="FootnoteText"/>
      </w:pPr>
      <w:r>
        <w:rPr>
          <w:rStyle w:val="FootnoteReference"/>
        </w:rPr>
        <w:footnoteRef/>
      </w:r>
      <w:r>
        <w:t xml:space="preserve"> Lee, E. B., et al. (2021). "Patient Outcomes and Satisfaction After Mohs Micrographic Surgery in Patients </w:t>
      </w:r>
      <w:r w:rsidR="0057606C">
        <w:t>with</w:t>
      </w:r>
      <w:r>
        <w:t xml:space="preserve"> Nonmelanoma Skin Cancer." Dermatologic Surgery 47(9).</w:t>
      </w:r>
    </w:p>
  </w:footnote>
  <w:footnote w:id="25">
    <w:p w14:paraId="0A1A7F8F" w14:textId="5CCC66C5" w:rsidR="00771EDB" w:rsidRDefault="00771EDB">
      <w:pPr>
        <w:pStyle w:val="FootnoteText"/>
      </w:pPr>
      <w:r>
        <w:rPr>
          <w:rStyle w:val="FootnoteReference"/>
        </w:rPr>
        <w:footnoteRef/>
      </w:r>
      <w:r>
        <w:t xml:space="preserve"> Nierich, J., et al. (2024). "Long-Term Patient-Reported Outcomes following Oncological Facial Reconstructive Surgery using the FACE-Q Skin Cancer Module."  39: 262-270.</w:t>
      </w:r>
    </w:p>
  </w:footnote>
  <w:footnote w:id="26">
    <w:p w14:paraId="67BB5801" w14:textId="476417D4" w:rsidR="0016641F" w:rsidRDefault="0016641F">
      <w:pPr>
        <w:pStyle w:val="FootnoteText"/>
      </w:pPr>
      <w:r>
        <w:rPr>
          <w:rStyle w:val="FootnoteReference"/>
        </w:rPr>
        <w:footnoteRef/>
      </w:r>
      <w:r>
        <w:t xml:space="preserve"> </w:t>
      </w:r>
      <w:r w:rsidRPr="0016641F">
        <w:t>Alam, M., et al. (2011). "Delayed treatment and continued growth of nonmelanoma skin cancer."  64(5): 839-848.</w:t>
      </w:r>
    </w:p>
  </w:footnote>
  <w:footnote w:id="27">
    <w:p w14:paraId="2A00D1B5" w14:textId="5581D945" w:rsidR="00722757" w:rsidRDefault="00722757">
      <w:pPr>
        <w:pStyle w:val="FootnoteText"/>
      </w:pPr>
      <w:r>
        <w:rPr>
          <w:rStyle w:val="FootnoteReference"/>
        </w:rPr>
        <w:footnoteRef/>
      </w:r>
      <w:r>
        <w:t xml:space="preserve"> </w:t>
      </w:r>
      <w:r w:rsidRPr="00722757">
        <w:t>Dirr, M. A., et al. (2023). "Pain of local anesthetic injection of lidocaine during subsequent stages of Mohs micrographic surgery: A multicenter prospective cohort study."  89(1): 114-118.</w:t>
      </w:r>
    </w:p>
  </w:footnote>
  <w:footnote w:id="28">
    <w:p w14:paraId="4E53C27B" w14:textId="13A5A90B" w:rsidR="00C21864" w:rsidRDefault="00C21864">
      <w:pPr>
        <w:pStyle w:val="FootnoteText"/>
      </w:pPr>
      <w:r>
        <w:rPr>
          <w:rStyle w:val="FootnoteReference"/>
        </w:rPr>
        <w:footnoteRef/>
      </w:r>
      <w:r>
        <w:t xml:space="preserve"> </w:t>
      </w:r>
      <w:r w:rsidRPr="00C21864">
        <w:t>Krönert, M.I.C.; Schwarzenböck, S.M.; Kurth, J.; Heuschkel, M.; Krause, B.J.; Emmert, S.; Tietze, J.K. Patient-Orientated Evaluation of Treatment of Non-Melanoma Skin Cancer with Rhenium-188 Compared to Surgery. Healthcare 2024, 12, 921. https://doi.org/10.3390/healthcare12090921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2A04" w14:textId="77777777" w:rsidR="00C06916" w:rsidRDefault="00C06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6D306" w14:textId="77777777" w:rsidR="00C06916" w:rsidRDefault="00C06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98F0" w14:textId="77777777" w:rsidR="00C06916" w:rsidRDefault="00C06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2EA"/>
    <w:multiLevelType w:val="hybridMultilevel"/>
    <w:tmpl w:val="02827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B5DFF"/>
    <w:multiLevelType w:val="hybridMultilevel"/>
    <w:tmpl w:val="756AB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87762D"/>
    <w:multiLevelType w:val="hybridMultilevel"/>
    <w:tmpl w:val="F5AE9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6" w15:restartNumberingAfterBreak="0">
    <w:nsid w:val="24E23841"/>
    <w:multiLevelType w:val="hybridMultilevel"/>
    <w:tmpl w:val="B99C0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EE956B1"/>
    <w:multiLevelType w:val="hybridMultilevel"/>
    <w:tmpl w:val="027EDA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6469E5"/>
    <w:multiLevelType w:val="hybridMultilevel"/>
    <w:tmpl w:val="E8E408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0A4175"/>
    <w:multiLevelType w:val="hybridMultilevel"/>
    <w:tmpl w:val="BD142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1742B2"/>
    <w:multiLevelType w:val="hybridMultilevel"/>
    <w:tmpl w:val="F596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C4888"/>
    <w:multiLevelType w:val="hybridMultilevel"/>
    <w:tmpl w:val="77322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F351AF"/>
    <w:multiLevelType w:val="hybridMultilevel"/>
    <w:tmpl w:val="DDC8B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E81FDC"/>
    <w:multiLevelType w:val="hybridMultilevel"/>
    <w:tmpl w:val="D5CCACCA"/>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A66D5C"/>
    <w:multiLevelType w:val="hybridMultilevel"/>
    <w:tmpl w:val="6ADCE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749109160">
    <w:abstractNumId w:val="11"/>
  </w:num>
  <w:num w:numId="2" w16cid:durableId="1270162788">
    <w:abstractNumId w:val="22"/>
  </w:num>
  <w:num w:numId="3" w16cid:durableId="1754930659">
    <w:abstractNumId w:val="2"/>
  </w:num>
  <w:num w:numId="4" w16cid:durableId="410388863">
    <w:abstractNumId w:val="5"/>
  </w:num>
  <w:num w:numId="5" w16cid:durableId="1821774551">
    <w:abstractNumId w:val="19"/>
  </w:num>
  <w:num w:numId="6" w16cid:durableId="758334604">
    <w:abstractNumId w:val="7"/>
  </w:num>
  <w:num w:numId="7" w16cid:durableId="1414619933">
    <w:abstractNumId w:val="8"/>
  </w:num>
  <w:num w:numId="8" w16cid:durableId="747844684">
    <w:abstractNumId w:val="10"/>
  </w:num>
  <w:num w:numId="9" w16cid:durableId="1180662619">
    <w:abstractNumId w:val="14"/>
  </w:num>
  <w:num w:numId="10" w16cid:durableId="1392971019">
    <w:abstractNumId w:val="1"/>
  </w:num>
  <w:num w:numId="11" w16cid:durableId="1870023351">
    <w:abstractNumId w:val="6"/>
  </w:num>
  <w:num w:numId="12" w16cid:durableId="1614366006">
    <w:abstractNumId w:val="16"/>
  </w:num>
  <w:num w:numId="13" w16cid:durableId="836460951">
    <w:abstractNumId w:val="15"/>
  </w:num>
  <w:num w:numId="14" w16cid:durableId="1246303243">
    <w:abstractNumId w:val="20"/>
  </w:num>
  <w:num w:numId="15" w16cid:durableId="1689479852">
    <w:abstractNumId w:val="4"/>
  </w:num>
  <w:num w:numId="16" w16cid:durableId="1695157616">
    <w:abstractNumId w:val="12"/>
  </w:num>
  <w:num w:numId="17" w16cid:durableId="278142610">
    <w:abstractNumId w:val="11"/>
  </w:num>
  <w:num w:numId="18" w16cid:durableId="694305136">
    <w:abstractNumId w:val="9"/>
  </w:num>
  <w:num w:numId="19" w16cid:durableId="111752690">
    <w:abstractNumId w:val="11"/>
  </w:num>
  <w:num w:numId="20" w16cid:durableId="833689247">
    <w:abstractNumId w:val="11"/>
  </w:num>
  <w:num w:numId="21" w16cid:durableId="2004507145">
    <w:abstractNumId w:val="11"/>
  </w:num>
  <w:num w:numId="22" w16cid:durableId="262802746">
    <w:abstractNumId w:val="11"/>
  </w:num>
  <w:num w:numId="23" w16cid:durableId="685252088">
    <w:abstractNumId w:val="11"/>
  </w:num>
  <w:num w:numId="24" w16cid:durableId="1414353676">
    <w:abstractNumId w:val="11"/>
  </w:num>
  <w:num w:numId="25" w16cid:durableId="62149048">
    <w:abstractNumId w:val="11"/>
  </w:num>
  <w:num w:numId="26" w16cid:durableId="407197002">
    <w:abstractNumId w:val="11"/>
  </w:num>
  <w:num w:numId="27" w16cid:durableId="938294870">
    <w:abstractNumId w:val="11"/>
  </w:num>
  <w:num w:numId="28" w16cid:durableId="1551919715">
    <w:abstractNumId w:val="11"/>
  </w:num>
  <w:num w:numId="29" w16cid:durableId="852962724">
    <w:abstractNumId w:val="3"/>
  </w:num>
  <w:num w:numId="30" w16cid:durableId="1536118641">
    <w:abstractNumId w:val="17"/>
  </w:num>
  <w:num w:numId="31" w16cid:durableId="197008953">
    <w:abstractNumId w:val="11"/>
  </w:num>
  <w:num w:numId="32" w16cid:durableId="537474355">
    <w:abstractNumId w:val="11"/>
  </w:num>
  <w:num w:numId="33" w16cid:durableId="792480597">
    <w:abstractNumId w:val="11"/>
  </w:num>
  <w:num w:numId="34" w16cid:durableId="1100686383">
    <w:abstractNumId w:val="11"/>
  </w:num>
  <w:num w:numId="35" w16cid:durableId="2040741409">
    <w:abstractNumId w:val="11"/>
  </w:num>
  <w:num w:numId="36" w16cid:durableId="1326740820">
    <w:abstractNumId w:val="11"/>
  </w:num>
  <w:num w:numId="37" w16cid:durableId="444662975">
    <w:abstractNumId w:val="11"/>
  </w:num>
  <w:num w:numId="38" w16cid:durableId="1879662582">
    <w:abstractNumId w:val="11"/>
  </w:num>
  <w:num w:numId="39" w16cid:durableId="1444298848">
    <w:abstractNumId w:val="11"/>
  </w:num>
  <w:num w:numId="40" w16cid:durableId="1295059037">
    <w:abstractNumId w:val="0"/>
  </w:num>
  <w:num w:numId="41" w16cid:durableId="1680306366">
    <w:abstractNumId w:val="21"/>
  </w:num>
  <w:num w:numId="42" w16cid:durableId="1746025191">
    <w:abstractNumId w:val="18"/>
  </w:num>
  <w:num w:numId="43" w16cid:durableId="20014845">
    <w:abstractNumId w:val="13"/>
  </w:num>
  <w:num w:numId="44" w16cid:durableId="147502113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120"/>
    <w:rsid w:val="0000109A"/>
    <w:rsid w:val="00001AE6"/>
    <w:rsid w:val="00001D55"/>
    <w:rsid w:val="00002491"/>
    <w:rsid w:val="000029BE"/>
    <w:rsid w:val="00003443"/>
    <w:rsid w:val="00003C2B"/>
    <w:rsid w:val="00004D69"/>
    <w:rsid w:val="00004F1A"/>
    <w:rsid w:val="00004F7F"/>
    <w:rsid w:val="000054C9"/>
    <w:rsid w:val="00005AB2"/>
    <w:rsid w:val="000060DF"/>
    <w:rsid w:val="000065DF"/>
    <w:rsid w:val="00006AB3"/>
    <w:rsid w:val="00006ADD"/>
    <w:rsid w:val="00006BE3"/>
    <w:rsid w:val="00006F90"/>
    <w:rsid w:val="00007020"/>
    <w:rsid w:val="00007089"/>
    <w:rsid w:val="0001011B"/>
    <w:rsid w:val="00010B68"/>
    <w:rsid w:val="00010D03"/>
    <w:rsid w:val="00011138"/>
    <w:rsid w:val="00011568"/>
    <w:rsid w:val="00011673"/>
    <w:rsid w:val="000117B5"/>
    <w:rsid w:val="00011C57"/>
    <w:rsid w:val="000123BD"/>
    <w:rsid w:val="00012710"/>
    <w:rsid w:val="00013C8B"/>
    <w:rsid w:val="0001421A"/>
    <w:rsid w:val="00014350"/>
    <w:rsid w:val="00014974"/>
    <w:rsid w:val="00015AD7"/>
    <w:rsid w:val="00015DA7"/>
    <w:rsid w:val="00020D32"/>
    <w:rsid w:val="00020FF2"/>
    <w:rsid w:val="00022198"/>
    <w:rsid w:val="00022439"/>
    <w:rsid w:val="000226F3"/>
    <w:rsid w:val="000228B8"/>
    <w:rsid w:val="0002361E"/>
    <w:rsid w:val="0002381B"/>
    <w:rsid w:val="0002382D"/>
    <w:rsid w:val="00023FE3"/>
    <w:rsid w:val="000243C3"/>
    <w:rsid w:val="00024EA5"/>
    <w:rsid w:val="00025370"/>
    <w:rsid w:val="00026758"/>
    <w:rsid w:val="00026E26"/>
    <w:rsid w:val="00026FAF"/>
    <w:rsid w:val="000270B3"/>
    <w:rsid w:val="0002755F"/>
    <w:rsid w:val="0002787F"/>
    <w:rsid w:val="00027D9D"/>
    <w:rsid w:val="00030AEA"/>
    <w:rsid w:val="00030F84"/>
    <w:rsid w:val="00031D93"/>
    <w:rsid w:val="0003218B"/>
    <w:rsid w:val="00032224"/>
    <w:rsid w:val="000324D7"/>
    <w:rsid w:val="0003286F"/>
    <w:rsid w:val="00032B37"/>
    <w:rsid w:val="000333E7"/>
    <w:rsid w:val="00033F22"/>
    <w:rsid w:val="000340C9"/>
    <w:rsid w:val="0003423A"/>
    <w:rsid w:val="0003477F"/>
    <w:rsid w:val="00034A70"/>
    <w:rsid w:val="00034DEF"/>
    <w:rsid w:val="00034F62"/>
    <w:rsid w:val="000358E0"/>
    <w:rsid w:val="00036110"/>
    <w:rsid w:val="00036AD8"/>
    <w:rsid w:val="00036F9D"/>
    <w:rsid w:val="00037037"/>
    <w:rsid w:val="00037302"/>
    <w:rsid w:val="0004005D"/>
    <w:rsid w:val="00040244"/>
    <w:rsid w:val="000407D8"/>
    <w:rsid w:val="00040ADF"/>
    <w:rsid w:val="00040FB4"/>
    <w:rsid w:val="0004178C"/>
    <w:rsid w:val="00041F5D"/>
    <w:rsid w:val="000421EA"/>
    <w:rsid w:val="000424A7"/>
    <w:rsid w:val="00042545"/>
    <w:rsid w:val="00043CD4"/>
    <w:rsid w:val="00043EF7"/>
    <w:rsid w:val="00043F89"/>
    <w:rsid w:val="00044210"/>
    <w:rsid w:val="00044304"/>
    <w:rsid w:val="000443A6"/>
    <w:rsid w:val="0004464A"/>
    <w:rsid w:val="000449D1"/>
    <w:rsid w:val="000451CB"/>
    <w:rsid w:val="00045A19"/>
    <w:rsid w:val="00045B8D"/>
    <w:rsid w:val="00045CC5"/>
    <w:rsid w:val="00046952"/>
    <w:rsid w:val="00046B0E"/>
    <w:rsid w:val="00046B6A"/>
    <w:rsid w:val="00046C7F"/>
    <w:rsid w:val="000472D4"/>
    <w:rsid w:val="0004769F"/>
    <w:rsid w:val="0005000C"/>
    <w:rsid w:val="0005042F"/>
    <w:rsid w:val="0005047F"/>
    <w:rsid w:val="00051A94"/>
    <w:rsid w:val="00052C74"/>
    <w:rsid w:val="00052DB7"/>
    <w:rsid w:val="00052DD3"/>
    <w:rsid w:val="00052DEC"/>
    <w:rsid w:val="0005326D"/>
    <w:rsid w:val="00053F6C"/>
    <w:rsid w:val="000540D4"/>
    <w:rsid w:val="0005468C"/>
    <w:rsid w:val="000547ED"/>
    <w:rsid w:val="00054AFE"/>
    <w:rsid w:val="000550D3"/>
    <w:rsid w:val="00055691"/>
    <w:rsid w:val="000558B6"/>
    <w:rsid w:val="00055EFA"/>
    <w:rsid w:val="0005623E"/>
    <w:rsid w:val="000578F8"/>
    <w:rsid w:val="000604B3"/>
    <w:rsid w:val="00060785"/>
    <w:rsid w:val="0006082F"/>
    <w:rsid w:val="000616D3"/>
    <w:rsid w:val="000632F8"/>
    <w:rsid w:val="0006339C"/>
    <w:rsid w:val="00064783"/>
    <w:rsid w:val="000647C2"/>
    <w:rsid w:val="00065131"/>
    <w:rsid w:val="00065241"/>
    <w:rsid w:val="00065289"/>
    <w:rsid w:val="00065565"/>
    <w:rsid w:val="00065FAB"/>
    <w:rsid w:val="000661C1"/>
    <w:rsid w:val="00066670"/>
    <w:rsid w:val="000667E8"/>
    <w:rsid w:val="0007021F"/>
    <w:rsid w:val="00070327"/>
    <w:rsid w:val="000705CF"/>
    <w:rsid w:val="000707DE"/>
    <w:rsid w:val="000709A0"/>
    <w:rsid w:val="00070C69"/>
    <w:rsid w:val="0007149A"/>
    <w:rsid w:val="0007196B"/>
    <w:rsid w:val="00071C5B"/>
    <w:rsid w:val="00071E58"/>
    <w:rsid w:val="0007288C"/>
    <w:rsid w:val="000728A2"/>
    <w:rsid w:val="000731D7"/>
    <w:rsid w:val="00073555"/>
    <w:rsid w:val="00074199"/>
    <w:rsid w:val="000748A2"/>
    <w:rsid w:val="00075C69"/>
    <w:rsid w:val="0007695F"/>
    <w:rsid w:val="00077511"/>
    <w:rsid w:val="00077851"/>
    <w:rsid w:val="00077925"/>
    <w:rsid w:val="00080241"/>
    <w:rsid w:val="000802C2"/>
    <w:rsid w:val="00080979"/>
    <w:rsid w:val="00080A1F"/>
    <w:rsid w:val="00081217"/>
    <w:rsid w:val="00081778"/>
    <w:rsid w:val="000817B7"/>
    <w:rsid w:val="00081992"/>
    <w:rsid w:val="00082667"/>
    <w:rsid w:val="00083545"/>
    <w:rsid w:val="00083BB1"/>
    <w:rsid w:val="00083FD1"/>
    <w:rsid w:val="000848BC"/>
    <w:rsid w:val="00084BC8"/>
    <w:rsid w:val="00084E78"/>
    <w:rsid w:val="00084FE0"/>
    <w:rsid w:val="00085A3B"/>
    <w:rsid w:val="00085C17"/>
    <w:rsid w:val="000870B6"/>
    <w:rsid w:val="00087128"/>
    <w:rsid w:val="00087BC6"/>
    <w:rsid w:val="00087D75"/>
    <w:rsid w:val="00090613"/>
    <w:rsid w:val="0009095C"/>
    <w:rsid w:val="00090B52"/>
    <w:rsid w:val="00090BD1"/>
    <w:rsid w:val="0009153E"/>
    <w:rsid w:val="000915A4"/>
    <w:rsid w:val="0009179B"/>
    <w:rsid w:val="00091857"/>
    <w:rsid w:val="00091C59"/>
    <w:rsid w:val="00092127"/>
    <w:rsid w:val="00092A21"/>
    <w:rsid w:val="00092F8B"/>
    <w:rsid w:val="00093236"/>
    <w:rsid w:val="000932A0"/>
    <w:rsid w:val="00093841"/>
    <w:rsid w:val="00093D9A"/>
    <w:rsid w:val="00094656"/>
    <w:rsid w:val="000948DF"/>
    <w:rsid w:val="00094DAC"/>
    <w:rsid w:val="00094DFD"/>
    <w:rsid w:val="00094F43"/>
    <w:rsid w:val="0009560C"/>
    <w:rsid w:val="00095ADB"/>
    <w:rsid w:val="00095B72"/>
    <w:rsid w:val="000963FF"/>
    <w:rsid w:val="00096713"/>
    <w:rsid w:val="00096B52"/>
    <w:rsid w:val="000977C1"/>
    <w:rsid w:val="00097FC9"/>
    <w:rsid w:val="000A02B7"/>
    <w:rsid w:val="000A0A94"/>
    <w:rsid w:val="000A10BF"/>
    <w:rsid w:val="000A20F5"/>
    <w:rsid w:val="000A2ACD"/>
    <w:rsid w:val="000A2B65"/>
    <w:rsid w:val="000A2DA8"/>
    <w:rsid w:val="000A2ECA"/>
    <w:rsid w:val="000A2F1E"/>
    <w:rsid w:val="000A2F6A"/>
    <w:rsid w:val="000A32E3"/>
    <w:rsid w:val="000A3D0C"/>
    <w:rsid w:val="000A5BB3"/>
    <w:rsid w:val="000A5C47"/>
    <w:rsid w:val="000A6071"/>
    <w:rsid w:val="000A629E"/>
    <w:rsid w:val="000A6B30"/>
    <w:rsid w:val="000A6ED7"/>
    <w:rsid w:val="000A74BF"/>
    <w:rsid w:val="000A7E13"/>
    <w:rsid w:val="000B15D0"/>
    <w:rsid w:val="000B169B"/>
    <w:rsid w:val="000B1727"/>
    <w:rsid w:val="000B1B6D"/>
    <w:rsid w:val="000B24C4"/>
    <w:rsid w:val="000B3330"/>
    <w:rsid w:val="000B33AC"/>
    <w:rsid w:val="000B351B"/>
    <w:rsid w:val="000B3EC4"/>
    <w:rsid w:val="000B49D1"/>
    <w:rsid w:val="000B4B14"/>
    <w:rsid w:val="000B4CA8"/>
    <w:rsid w:val="000B5086"/>
    <w:rsid w:val="000B66A5"/>
    <w:rsid w:val="000B69F9"/>
    <w:rsid w:val="000B6C34"/>
    <w:rsid w:val="000B6CF0"/>
    <w:rsid w:val="000B6F20"/>
    <w:rsid w:val="000B720C"/>
    <w:rsid w:val="000B7665"/>
    <w:rsid w:val="000B7850"/>
    <w:rsid w:val="000B7CED"/>
    <w:rsid w:val="000C00F5"/>
    <w:rsid w:val="000C05CB"/>
    <w:rsid w:val="000C0A99"/>
    <w:rsid w:val="000C1C1C"/>
    <w:rsid w:val="000C1E91"/>
    <w:rsid w:val="000C2268"/>
    <w:rsid w:val="000C22E0"/>
    <w:rsid w:val="000C2F90"/>
    <w:rsid w:val="000C31B9"/>
    <w:rsid w:val="000C3479"/>
    <w:rsid w:val="000C4CF8"/>
    <w:rsid w:val="000C53D2"/>
    <w:rsid w:val="000C5460"/>
    <w:rsid w:val="000C6F65"/>
    <w:rsid w:val="000C78D5"/>
    <w:rsid w:val="000C7C46"/>
    <w:rsid w:val="000C7C86"/>
    <w:rsid w:val="000D03E9"/>
    <w:rsid w:val="000D0862"/>
    <w:rsid w:val="000D08BB"/>
    <w:rsid w:val="000D0E2A"/>
    <w:rsid w:val="000D1064"/>
    <w:rsid w:val="000D13B4"/>
    <w:rsid w:val="000D1B52"/>
    <w:rsid w:val="000D2619"/>
    <w:rsid w:val="000D3834"/>
    <w:rsid w:val="000D4911"/>
    <w:rsid w:val="000D4BC9"/>
    <w:rsid w:val="000D4BDA"/>
    <w:rsid w:val="000D4C1B"/>
    <w:rsid w:val="000D5523"/>
    <w:rsid w:val="000D6D53"/>
    <w:rsid w:val="000D7867"/>
    <w:rsid w:val="000D796F"/>
    <w:rsid w:val="000D79FE"/>
    <w:rsid w:val="000E03DC"/>
    <w:rsid w:val="000E0B57"/>
    <w:rsid w:val="000E0FB5"/>
    <w:rsid w:val="000E1124"/>
    <w:rsid w:val="000E1212"/>
    <w:rsid w:val="000E17AF"/>
    <w:rsid w:val="000E2482"/>
    <w:rsid w:val="000E27EF"/>
    <w:rsid w:val="000E2985"/>
    <w:rsid w:val="000E2B4A"/>
    <w:rsid w:val="000E2D5B"/>
    <w:rsid w:val="000E32DB"/>
    <w:rsid w:val="000E3896"/>
    <w:rsid w:val="000E4F59"/>
    <w:rsid w:val="000E5531"/>
    <w:rsid w:val="000E5CB8"/>
    <w:rsid w:val="000E608E"/>
    <w:rsid w:val="000E6410"/>
    <w:rsid w:val="000E6509"/>
    <w:rsid w:val="000E678B"/>
    <w:rsid w:val="000E7850"/>
    <w:rsid w:val="000E7BDE"/>
    <w:rsid w:val="000F0621"/>
    <w:rsid w:val="000F06BF"/>
    <w:rsid w:val="000F0998"/>
    <w:rsid w:val="000F1443"/>
    <w:rsid w:val="000F1AC1"/>
    <w:rsid w:val="000F1BCE"/>
    <w:rsid w:val="000F2314"/>
    <w:rsid w:val="000F23DF"/>
    <w:rsid w:val="000F2C72"/>
    <w:rsid w:val="000F2E01"/>
    <w:rsid w:val="000F3041"/>
    <w:rsid w:val="000F3700"/>
    <w:rsid w:val="000F3906"/>
    <w:rsid w:val="000F5A54"/>
    <w:rsid w:val="000F5F02"/>
    <w:rsid w:val="000F6180"/>
    <w:rsid w:val="000F6719"/>
    <w:rsid w:val="000F7520"/>
    <w:rsid w:val="000F7987"/>
    <w:rsid w:val="001003EC"/>
    <w:rsid w:val="0010051C"/>
    <w:rsid w:val="00100CA1"/>
    <w:rsid w:val="00101098"/>
    <w:rsid w:val="00101983"/>
    <w:rsid w:val="00102855"/>
    <w:rsid w:val="0010336F"/>
    <w:rsid w:val="0010419E"/>
    <w:rsid w:val="0010448B"/>
    <w:rsid w:val="00104C5D"/>
    <w:rsid w:val="0010521F"/>
    <w:rsid w:val="00105A1A"/>
    <w:rsid w:val="00105B85"/>
    <w:rsid w:val="00105CB2"/>
    <w:rsid w:val="00105DF2"/>
    <w:rsid w:val="0010625A"/>
    <w:rsid w:val="00106A6B"/>
    <w:rsid w:val="00107524"/>
    <w:rsid w:val="00107722"/>
    <w:rsid w:val="00107DCD"/>
    <w:rsid w:val="00107EF0"/>
    <w:rsid w:val="001100AE"/>
    <w:rsid w:val="0011098E"/>
    <w:rsid w:val="00110B2B"/>
    <w:rsid w:val="00110FC0"/>
    <w:rsid w:val="00111417"/>
    <w:rsid w:val="0011218F"/>
    <w:rsid w:val="001125D5"/>
    <w:rsid w:val="00112961"/>
    <w:rsid w:val="00112FF8"/>
    <w:rsid w:val="001132A6"/>
    <w:rsid w:val="00113C60"/>
    <w:rsid w:val="00113D37"/>
    <w:rsid w:val="00113F30"/>
    <w:rsid w:val="001141D4"/>
    <w:rsid w:val="0011429D"/>
    <w:rsid w:val="0011488B"/>
    <w:rsid w:val="00114C3B"/>
    <w:rsid w:val="00115554"/>
    <w:rsid w:val="00115691"/>
    <w:rsid w:val="00115F37"/>
    <w:rsid w:val="00116A5A"/>
    <w:rsid w:val="00117039"/>
    <w:rsid w:val="00117F04"/>
    <w:rsid w:val="00120062"/>
    <w:rsid w:val="001200D2"/>
    <w:rsid w:val="0012022A"/>
    <w:rsid w:val="0012028A"/>
    <w:rsid w:val="0012065F"/>
    <w:rsid w:val="001207DE"/>
    <w:rsid w:val="00120B13"/>
    <w:rsid w:val="00120BD3"/>
    <w:rsid w:val="001213EF"/>
    <w:rsid w:val="00122AE3"/>
    <w:rsid w:val="00122EE1"/>
    <w:rsid w:val="00123658"/>
    <w:rsid w:val="001237AF"/>
    <w:rsid w:val="001241D6"/>
    <w:rsid w:val="0012427B"/>
    <w:rsid w:val="001247EB"/>
    <w:rsid w:val="00124F3C"/>
    <w:rsid w:val="00125B61"/>
    <w:rsid w:val="00125F93"/>
    <w:rsid w:val="00126122"/>
    <w:rsid w:val="0012626C"/>
    <w:rsid w:val="00127E84"/>
    <w:rsid w:val="001302F6"/>
    <w:rsid w:val="0013077F"/>
    <w:rsid w:val="001308A4"/>
    <w:rsid w:val="00131D45"/>
    <w:rsid w:val="001320F0"/>
    <w:rsid w:val="00133400"/>
    <w:rsid w:val="00133689"/>
    <w:rsid w:val="001336D2"/>
    <w:rsid w:val="001336E0"/>
    <w:rsid w:val="00133F34"/>
    <w:rsid w:val="00134CF9"/>
    <w:rsid w:val="00135273"/>
    <w:rsid w:val="001353AE"/>
    <w:rsid w:val="00135FC9"/>
    <w:rsid w:val="001370E8"/>
    <w:rsid w:val="00137DA5"/>
    <w:rsid w:val="0014040B"/>
    <w:rsid w:val="001405BC"/>
    <w:rsid w:val="00142539"/>
    <w:rsid w:val="0014309F"/>
    <w:rsid w:val="00143259"/>
    <w:rsid w:val="00143478"/>
    <w:rsid w:val="00143F2F"/>
    <w:rsid w:val="001442E7"/>
    <w:rsid w:val="001448CA"/>
    <w:rsid w:val="00144D5D"/>
    <w:rsid w:val="00145364"/>
    <w:rsid w:val="00145AB0"/>
    <w:rsid w:val="00145EF8"/>
    <w:rsid w:val="0014639F"/>
    <w:rsid w:val="00146624"/>
    <w:rsid w:val="00146EB8"/>
    <w:rsid w:val="001472B4"/>
    <w:rsid w:val="001474F5"/>
    <w:rsid w:val="00150376"/>
    <w:rsid w:val="00150E1E"/>
    <w:rsid w:val="0015132F"/>
    <w:rsid w:val="001519BD"/>
    <w:rsid w:val="00151DBD"/>
    <w:rsid w:val="00151DD0"/>
    <w:rsid w:val="001531D6"/>
    <w:rsid w:val="00153EC4"/>
    <w:rsid w:val="00154348"/>
    <w:rsid w:val="001547C3"/>
    <w:rsid w:val="00155434"/>
    <w:rsid w:val="0015548C"/>
    <w:rsid w:val="00155BDA"/>
    <w:rsid w:val="001565BE"/>
    <w:rsid w:val="00156B45"/>
    <w:rsid w:val="00156FA7"/>
    <w:rsid w:val="00157443"/>
    <w:rsid w:val="001578B8"/>
    <w:rsid w:val="001578BB"/>
    <w:rsid w:val="00157972"/>
    <w:rsid w:val="001601E6"/>
    <w:rsid w:val="0016023A"/>
    <w:rsid w:val="00160CA3"/>
    <w:rsid w:val="0016141D"/>
    <w:rsid w:val="00161748"/>
    <w:rsid w:val="00161AE3"/>
    <w:rsid w:val="00161F01"/>
    <w:rsid w:val="001621B7"/>
    <w:rsid w:val="00162A2E"/>
    <w:rsid w:val="00162DBF"/>
    <w:rsid w:val="00163046"/>
    <w:rsid w:val="001631CB"/>
    <w:rsid w:val="001636BF"/>
    <w:rsid w:val="00164177"/>
    <w:rsid w:val="001646B2"/>
    <w:rsid w:val="00164CF8"/>
    <w:rsid w:val="00164E77"/>
    <w:rsid w:val="001653AE"/>
    <w:rsid w:val="00165549"/>
    <w:rsid w:val="001658AF"/>
    <w:rsid w:val="00165A11"/>
    <w:rsid w:val="0016641F"/>
    <w:rsid w:val="00166BBD"/>
    <w:rsid w:val="00166BDC"/>
    <w:rsid w:val="00167235"/>
    <w:rsid w:val="001673DB"/>
    <w:rsid w:val="00167432"/>
    <w:rsid w:val="00167C77"/>
    <w:rsid w:val="00170881"/>
    <w:rsid w:val="00170D5B"/>
    <w:rsid w:val="00171032"/>
    <w:rsid w:val="001715B9"/>
    <w:rsid w:val="00172B8F"/>
    <w:rsid w:val="00172FBF"/>
    <w:rsid w:val="00173101"/>
    <w:rsid w:val="001736F8"/>
    <w:rsid w:val="00173D85"/>
    <w:rsid w:val="00173F6A"/>
    <w:rsid w:val="001743CD"/>
    <w:rsid w:val="00174CFB"/>
    <w:rsid w:val="00174FD4"/>
    <w:rsid w:val="00175BD7"/>
    <w:rsid w:val="00175E2F"/>
    <w:rsid w:val="00176603"/>
    <w:rsid w:val="00177658"/>
    <w:rsid w:val="0017795A"/>
    <w:rsid w:val="00177963"/>
    <w:rsid w:val="00180297"/>
    <w:rsid w:val="00180A59"/>
    <w:rsid w:val="00180B40"/>
    <w:rsid w:val="0018139A"/>
    <w:rsid w:val="00181751"/>
    <w:rsid w:val="001817AD"/>
    <w:rsid w:val="0018182E"/>
    <w:rsid w:val="001818A1"/>
    <w:rsid w:val="0018206F"/>
    <w:rsid w:val="001829B0"/>
    <w:rsid w:val="00183A6C"/>
    <w:rsid w:val="00183DD4"/>
    <w:rsid w:val="0018417A"/>
    <w:rsid w:val="00184361"/>
    <w:rsid w:val="00184BAE"/>
    <w:rsid w:val="00185351"/>
    <w:rsid w:val="0018563E"/>
    <w:rsid w:val="001858EF"/>
    <w:rsid w:val="00185AEA"/>
    <w:rsid w:val="0018729E"/>
    <w:rsid w:val="00187704"/>
    <w:rsid w:val="00187A73"/>
    <w:rsid w:val="00190662"/>
    <w:rsid w:val="001912F6"/>
    <w:rsid w:val="001916D0"/>
    <w:rsid w:val="00191E21"/>
    <w:rsid w:val="0019261E"/>
    <w:rsid w:val="00192FFD"/>
    <w:rsid w:val="00193019"/>
    <w:rsid w:val="001934B1"/>
    <w:rsid w:val="0019362A"/>
    <w:rsid w:val="0019373D"/>
    <w:rsid w:val="00193C4B"/>
    <w:rsid w:val="0019474E"/>
    <w:rsid w:val="00195728"/>
    <w:rsid w:val="0019586B"/>
    <w:rsid w:val="00197083"/>
    <w:rsid w:val="00197084"/>
    <w:rsid w:val="001970C0"/>
    <w:rsid w:val="001970E1"/>
    <w:rsid w:val="0019713E"/>
    <w:rsid w:val="00197241"/>
    <w:rsid w:val="001A0819"/>
    <w:rsid w:val="001A0F54"/>
    <w:rsid w:val="001A172B"/>
    <w:rsid w:val="001A1A3A"/>
    <w:rsid w:val="001A1CB7"/>
    <w:rsid w:val="001A1DB3"/>
    <w:rsid w:val="001A2EA5"/>
    <w:rsid w:val="001A3543"/>
    <w:rsid w:val="001A3E03"/>
    <w:rsid w:val="001A420B"/>
    <w:rsid w:val="001A4974"/>
    <w:rsid w:val="001A4B97"/>
    <w:rsid w:val="001A4F7D"/>
    <w:rsid w:val="001A5301"/>
    <w:rsid w:val="001A5A85"/>
    <w:rsid w:val="001A6529"/>
    <w:rsid w:val="001A6AB3"/>
    <w:rsid w:val="001A6C00"/>
    <w:rsid w:val="001A6CC1"/>
    <w:rsid w:val="001A6FA2"/>
    <w:rsid w:val="001A76A1"/>
    <w:rsid w:val="001A7B42"/>
    <w:rsid w:val="001A7D8F"/>
    <w:rsid w:val="001B089D"/>
    <w:rsid w:val="001B0B96"/>
    <w:rsid w:val="001B0EEA"/>
    <w:rsid w:val="001B1780"/>
    <w:rsid w:val="001B188F"/>
    <w:rsid w:val="001B19A2"/>
    <w:rsid w:val="001B1CC5"/>
    <w:rsid w:val="001B1ECE"/>
    <w:rsid w:val="001B20A8"/>
    <w:rsid w:val="001B22B3"/>
    <w:rsid w:val="001B2630"/>
    <w:rsid w:val="001B2844"/>
    <w:rsid w:val="001B28B9"/>
    <w:rsid w:val="001B29C5"/>
    <w:rsid w:val="001B2A97"/>
    <w:rsid w:val="001B2CD4"/>
    <w:rsid w:val="001B41F6"/>
    <w:rsid w:val="001B50FE"/>
    <w:rsid w:val="001B638E"/>
    <w:rsid w:val="001B656E"/>
    <w:rsid w:val="001B6781"/>
    <w:rsid w:val="001B6DE6"/>
    <w:rsid w:val="001B6E41"/>
    <w:rsid w:val="001B7329"/>
    <w:rsid w:val="001B796D"/>
    <w:rsid w:val="001C0D1F"/>
    <w:rsid w:val="001C0EBE"/>
    <w:rsid w:val="001C0FE1"/>
    <w:rsid w:val="001C174A"/>
    <w:rsid w:val="001C1CD9"/>
    <w:rsid w:val="001C1D05"/>
    <w:rsid w:val="001C2A48"/>
    <w:rsid w:val="001C2AE2"/>
    <w:rsid w:val="001C2BFB"/>
    <w:rsid w:val="001C2F1A"/>
    <w:rsid w:val="001C35DC"/>
    <w:rsid w:val="001C3683"/>
    <w:rsid w:val="001C3FC4"/>
    <w:rsid w:val="001C45B6"/>
    <w:rsid w:val="001C69E3"/>
    <w:rsid w:val="001C6ADB"/>
    <w:rsid w:val="001C6AE3"/>
    <w:rsid w:val="001C6DFD"/>
    <w:rsid w:val="001C6EF7"/>
    <w:rsid w:val="001C76AA"/>
    <w:rsid w:val="001C76DA"/>
    <w:rsid w:val="001C7834"/>
    <w:rsid w:val="001C7A19"/>
    <w:rsid w:val="001C7C3A"/>
    <w:rsid w:val="001C7D6B"/>
    <w:rsid w:val="001C7D70"/>
    <w:rsid w:val="001D09F6"/>
    <w:rsid w:val="001D0BF4"/>
    <w:rsid w:val="001D1448"/>
    <w:rsid w:val="001D1830"/>
    <w:rsid w:val="001D2190"/>
    <w:rsid w:val="001D21AA"/>
    <w:rsid w:val="001D2E6B"/>
    <w:rsid w:val="001D322C"/>
    <w:rsid w:val="001D32C0"/>
    <w:rsid w:val="001D3813"/>
    <w:rsid w:val="001D384B"/>
    <w:rsid w:val="001D3A64"/>
    <w:rsid w:val="001D3E90"/>
    <w:rsid w:val="001D449F"/>
    <w:rsid w:val="001D5237"/>
    <w:rsid w:val="001D5793"/>
    <w:rsid w:val="001D5CC0"/>
    <w:rsid w:val="001D6761"/>
    <w:rsid w:val="001D67CE"/>
    <w:rsid w:val="001D686B"/>
    <w:rsid w:val="001D6A4E"/>
    <w:rsid w:val="001D6F43"/>
    <w:rsid w:val="001D7080"/>
    <w:rsid w:val="001D7194"/>
    <w:rsid w:val="001D74A7"/>
    <w:rsid w:val="001D75A4"/>
    <w:rsid w:val="001D7D68"/>
    <w:rsid w:val="001D7EEA"/>
    <w:rsid w:val="001E05F2"/>
    <w:rsid w:val="001E0613"/>
    <w:rsid w:val="001E0E87"/>
    <w:rsid w:val="001E0EBD"/>
    <w:rsid w:val="001E0ED3"/>
    <w:rsid w:val="001E13B0"/>
    <w:rsid w:val="001E15F2"/>
    <w:rsid w:val="001E1A5F"/>
    <w:rsid w:val="001E22F7"/>
    <w:rsid w:val="001E27EB"/>
    <w:rsid w:val="001E2927"/>
    <w:rsid w:val="001E2F7F"/>
    <w:rsid w:val="001E31FE"/>
    <w:rsid w:val="001E3E02"/>
    <w:rsid w:val="001E4510"/>
    <w:rsid w:val="001E465F"/>
    <w:rsid w:val="001E563F"/>
    <w:rsid w:val="001E69CB"/>
    <w:rsid w:val="001E7696"/>
    <w:rsid w:val="001E78D4"/>
    <w:rsid w:val="001E78EE"/>
    <w:rsid w:val="001E7DB7"/>
    <w:rsid w:val="001F1113"/>
    <w:rsid w:val="001F129B"/>
    <w:rsid w:val="001F1F21"/>
    <w:rsid w:val="001F2902"/>
    <w:rsid w:val="001F2F63"/>
    <w:rsid w:val="001F2F9A"/>
    <w:rsid w:val="001F30AF"/>
    <w:rsid w:val="001F355E"/>
    <w:rsid w:val="001F3F36"/>
    <w:rsid w:val="001F4FCB"/>
    <w:rsid w:val="001F5772"/>
    <w:rsid w:val="001F5B52"/>
    <w:rsid w:val="001F5B83"/>
    <w:rsid w:val="001F5F01"/>
    <w:rsid w:val="001F62A5"/>
    <w:rsid w:val="001F658C"/>
    <w:rsid w:val="001F675C"/>
    <w:rsid w:val="001F67B9"/>
    <w:rsid w:val="001F6870"/>
    <w:rsid w:val="001F6979"/>
    <w:rsid w:val="001F6F44"/>
    <w:rsid w:val="001F7563"/>
    <w:rsid w:val="002005AD"/>
    <w:rsid w:val="002005F5"/>
    <w:rsid w:val="0020067B"/>
    <w:rsid w:val="00200C72"/>
    <w:rsid w:val="002022F3"/>
    <w:rsid w:val="00202581"/>
    <w:rsid w:val="00203200"/>
    <w:rsid w:val="0020339B"/>
    <w:rsid w:val="00203486"/>
    <w:rsid w:val="0020516C"/>
    <w:rsid w:val="00205BE6"/>
    <w:rsid w:val="00205D35"/>
    <w:rsid w:val="002061D4"/>
    <w:rsid w:val="00206F7A"/>
    <w:rsid w:val="0020748D"/>
    <w:rsid w:val="002074A4"/>
    <w:rsid w:val="00207583"/>
    <w:rsid w:val="00207F59"/>
    <w:rsid w:val="002114E4"/>
    <w:rsid w:val="002117E5"/>
    <w:rsid w:val="00211C90"/>
    <w:rsid w:val="00211DC3"/>
    <w:rsid w:val="00212341"/>
    <w:rsid w:val="0021261D"/>
    <w:rsid w:val="00213887"/>
    <w:rsid w:val="00214E02"/>
    <w:rsid w:val="00215481"/>
    <w:rsid w:val="002155B6"/>
    <w:rsid w:val="002157E4"/>
    <w:rsid w:val="00215AFB"/>
    <w:rsid w:val="00215B87"/>
    <w:rsid w:val="00215DEA"/>
    <w:rsid w:val="002162FB"/>
    <w:rsid w:val="002200D8"/>
    <w:rsid w:val="00220214"/>
    <w:rsid w:val="002210F3"/>
    <w:rsid w:val="0022159D"/>
    <w:rsid w:val="00222BA3"/>
    <w:rsid w:val="00222E46"/>
    <w:rsid w:val="002230C0"/>
    <w:rsid w:val="00223664"/>
    <w:rsid w:val="00223A56"/>
    <w:rsid w:val="00224121"/>
    <w:rsid w:val="00224BEC"/>
    <w:rsid w:val="002256F8"/>
    <w:rsid w:val="00225833"/>
    <w:rsid w:val="00226095"/>
    <w:rsid w:val="00226E14"/>
    <w:rsid w:val="00227B89"/>
    <w:rsid w:val="00227F43"/>
    <w:rsid w:val="00230179"/>
    <w:rsid w:val="00230577"/>
    <w:rsid w:val="00230F17"/>
    <w:rsid w:val="00231548"/>
    <w:rsid w:val="00231680"/>
    <w:rsid w:val="002319FD"/>
    <w:rsid w:val="00231E32"/>
    <w:rsid w:val="00232232"/>
    <w:rsid w:val="00232BAB"/>
    <w:rsid w:val="00233695"/>
    <w:rsid w:val="00233FDF"/>
    <w:rsid w:val="00234640"/>
    <w:rsid w:val="002349F1"/>
    <w:rsid w:val="00234F7D"/>
    <w:rsid w:val="00236362"/>
    <w:rsid w:val="00236870"/>
    <w:rsid w:val="002375F7"/>
    <w:rsid w:val="00237C82"/>
    <w:rsid w:val="00240106"/>
    <w:rsid w:val="00240DB9"/>
    <w:rsid w:val="002411C7"/>
    <w:rsid w:val="00242B53"/>
    <w:rsid w:val="00242F4E"/>
    <w:rsid w:val="002433D1"/>
    <w:rsid w:val="00243422"/>
    <w:rsid w:val="00243F21"/>
    <w:rsid w:val="00245105"/>
    <w:rsid w:val="002452A0"/>
    <w:rsid w:val="00245CF7"/>
    <w:rsid w:val="002463A6"/>
    <w:rsid w:val="002469FC"/>
    <w:rsid w:val="00246ADB"/>
    <w:rsid w:val="00246AE1"/>
    <w:rsid w:val="0024795D"/>
    <w:rsid w:val="0025076B"/>
    <w:rsid w:val="00251330"/>
    <w:rsid w:val="002517A5"/>
    <w:rsid w:val="002519FE"/>
    <w:rsid w:val="00251F6C"/>
    <w:rsid w:val="0025249C"/>
    <w:rsid w:val="00252B94"/>
    <w:rsid w:val="002539ED"/>
    <w:rsid w:val="00253A37"/>
    <w:rsid w:val="00253C68"/>
    <w:rsid w:val="0025440D"/>
    <w:rsid w:val="0025450E"/>
    <w:rsid w:val="00254811"/>
    <w:rsid w:val="00254F51"/>
    <w:rsid w:val="00255152"/>
    <w:rsid w:val="0025554E"/>
    <w:rsid w:val="002563A0"/>
    <w:rsid w:val="00256B8C"/>
    <w:rsid w:val="00257BD7"/>
    <w:rsid w:val="00260AD8"/>
    <w:rsid w:val="00262083"/>
    <w:rsid w:val="002624DA"/>
    <w:rsid w:val="00263567"/>
    <w:rsid w:val="002635FF"/>
    <w:rsid w:val="002638F4"/>
    <w:rsid w:val="0026398F"/>
    <w:rsid w:val="00263A19"/>
    <w:rsid w:val="00263E0C"/>
    <w:rsid w:val="0026437A"/>
    <w:rsid w:val="00264430"/>
    <w:rsid w:val="00264AAB"/>
    <w:rsid w:val="0026509C"/>
    <w:rsid w:val="00265B42"/>
    <w:rsid w:val="002669AF"/>
    <w:rsid w:val="002679C8"/>
    <w:rsid w:val="00270C3D"/>
    <w:rsid w:val="0027160C"/>
    <w:rsid w:val="002716AE"/>
    <w:rsid w:val="002716DC"/>
    <w:rsid w:val="0027174E"/>
    <w:rsid w:val="00272AC7"/>
    <w:rsid w:val="00272F64"/>
    <w:rsid w:val="0027307C"/>
    <w:rsid w:val="002751D1"/>
    <w:rsid w:val="00275209"/>
    <w:rsid w:val="0027586E"/>
    <w:rsid w:val="00275892"/>
    <w:rsid w:val="00275DFA"/>
    <w:rsid w:val="002764CE"/>
    <w:rsid w:val="00276520"/>
    <w:rsid w:val="0027661C"/>
    <w:rsid w:val="002774F9"/>
    <w:rsid w:val="00277791"/>
    <w:rsid w:val="00277905"/>
    <w:rsid w:val="00281757"/>
    <w:rsid w:val="002817A9"/>
    <w:rsid w:val="0028188D"/>
    <w:rsid w:val="00282809"/>
    <w:rsid w:val="00284340"/>
    <w:rsid w:val="00285156"/>
    <w:rsid w:val="00285177"/>
    <w:rsid w:val="00285975"/>
    <w:rsid w:val="002869A5"/>
    <w:rsid w:val="002872A0"/>
    <w:rsid w:val="0028764B"/>
    <w:rsid w:val="00287BD0"/>
    <w:rsid w:val="00287CD7"/>
    <w:rsid w:val="00287E78"/>
    <w:rsid w:val="002900F3"/>
    <w:rsid w:val="002901D8"/>
    <w:rsid w:val="00290478"/>
    <w:rsid w:val="00290676"/>
    <w:rsid w:val="00290B2C"/>
    <w:rsid w:val="00290D35"/>
    <w:rsid w:val="002910C4"/>
    <w:rsid w:val="00291212"/>
    <w:rsid w:val="00291462"/>
    <w:rsid w:val="00291572"/>
    <w:rsid w:val="00292406"/>
    <w:rsid w:val="00292D14"/>
    <w:rsid w:val="00293698"/>
    <w:rsid w:val="002938B6"/>
    <w:rsid w:val="00293BEC"/>
    <w:rsid w:val="00293BF2"/>
    <w:rsid w:val="00294F46"/>
    <w:rsid w:val="0029590F"/>
    <w:rsid w:val="00295DDC"/>
    <w:rsid w:val="0029658E"/>
    <w:rsid w:val="00297345"/>
    <w:rsid w:val="0029789F"/>
    <w:rsid w:val="002A0446"/>
    <w:rsid w:val="002A04B4"/>
    <w:rsid w:val="002A0DCC"/>
    <w:rsid w:val="002A145B"/>
    <w:rsid w:val="002A147E"/>
    <w:rsid w:val="002A1523"/>
    <w:rsid w:val="002A1734"/>
    <w:rsid w:val="002A18BE"/>
    <w:rsid w:val="002A1DC7"/>
    <w:rsid w:val="002A20A6"/>
    <w:rsid w:val="002A246E"/>
    <w:rsid w:val="002A2817"/>
    <w:rsid w:val="002A34A8"/>
    <w:rsid w:val="002A34B0"/>
    <w:rsid w:val="002A36F6"/>
    <w:rsid w:val="002A398A"/>
    <w:rsid w:val="002A3E0F"/>
    <w:rsid w:val="002A4084"/>
    <w:rsid w:val="002A44DD"/>
    <w:rsid w:val="002A4AD6"/>
    <w:rsid w:val="002A4D03"/>
    <w:rsid w:val="002A514E"/>
    <w:rsid w:val="002A5501"/>
    <w:rsid w:val="002A6E9E"/>
    <w:rsid w:val="002A707E"/>
    <w:rsid w:val="002A7196"/>
    <w:rsid w:val="002A76AE"/>
    <w:rsid w:val="002B055C"/>
    <w:rsid w:val="002B06D9"/>
    <w:rsid w:val="002B0847"/>
    <w:rsid w:val="002B0BF8"/>
    <w:rsid w:val="002B1011"/>
    <w:rsid w:val="002B1054"/>
    <w:rsid w:val="002B1384"/>
    <w:rsid w:val="002B1915"/>
    <w:rsid w:val="002B28AE"/>
    <w:rsid w:val="002B2FBB"/>
    <w:rsid w:val="002B31E0"/>
    <w:rsid w:val="002B3681"/>
    <w:rsid w:val="002B45A4"/>
    <w:rsid w:val="002B45DD"/>
    <w:rsid w:val="002B4DE7"/>
    <w:rsid w:val="002B5BAD"/>
    <w:rsid w:val="002B62F2"/>
    <w:rsid w:val="002B648B"/>
    <w:rsid w:val="002B6515"/>
    <w:rsid w:val="002B6593"/>
    <w:rsid w:val="002B667C"/>
    <w:rsid w:val="002B6687"/>
    <w:rsid w:val="002B7578"/>
    <w:rsid w:val="002B778B"/>
    <w:rsid w:val="002B7986"/>
    <w:rsid w:val="002B7C44"/>
    <w:rsid w:val="002B7DAE"/>
    <w:rsid w:val="002C02E9"/>
    <w:rsid w:val="002C077F"/>
    <w:rsid w:val="002C11CA"/>
    <w:rsid w:val="002C2134"/>
    <w:rsid w:val="002C22F6"/>
    <w:rsid w:val="002C3496"/>
    <w:rsid w:val="002C3B45"/>
    <w:rsid w:val="002C3BBF"/>
    <w:rsid w:val="002C427C"/>
    <w:rsid w:val="002C45E8"/>
    <w:rsid w:val="002C46E8"/>
    <w:rsid w:val="002C5164"/>
    <w:rsid w:val="002C5385"/>
    <w:rsid w:val="002C57A7"/>
    <w:rsid w:val="002C65C1"/>
    <w:rsid w:val="002C6754"/>
    <w:rsid w:val="002C6BD2"/>
    <w:rsid w:val="002C70CE"/>
    <w:rsid w:val="002C78E9"/>
    <w:rsid w:val="002C7E23"/>
    <w:rsid w:val="002D1B5A"/>
    <w:rsid w:val="002D1EFF"/>
    <w:rsid w:val="002D2AE3"/>
    <w:rsid w:val="002D300F"/>
    <w:rsid w:val="002D379C"/>
    <w:rsid w:val="002D3B39"/>
    <w:rsid w:val="002D3C1D"/>
    <w:rsid w:val="002D3FD4"/>
    <w:rsid w:val="002D5097"/>
    <w:rsid w:val="002D55E4"/>
    <w:rsid w:val="002D6013"/>
    <w:rsid w:val="002D690D"/>
    <w:rsid w:val="002D723A"/>
    <w:rsid w:val="002D79B4"/>
    <w:rsid w:val="002E0694"/>
    <w:rsid w:val="002E2F99"/>
    <w:rsid w:val="002E36F6"/>
    <w:rsid w:val="002E395C"/>
    <w:rsid w:val="002E39E1"/>
    <w:rsid w:val="002E54DF"/>
    <w:rsid w:val="002E571C"/>
    <w:rsid w:val="002E5A01"/>
    <w:rsid w:val="002E63BE"/>
    <w:rsid w:val="002E642E"/>
    <w:rsid w:val="002E6816"/>
    <w:rsid w:val="002E6AD2"/>
    <w:rsid w:val="002E6AF0"/>
    <w:rsid w:val="002E6B9B"/>
    <w:rsid w:val="002E6F26"/>
    <w:rsid w:val="002E7775"/>
    <w:rsid w:val="002E7AD2"/>
    <w:rsid w:val="002F1399"/>
    <w:rsid w:val="002F1565"/>
    <w:rsid w:val="002F1BB3"/>
    <w:rsid w:val="002F1E4B"/>
    <w:rsid w:val="002F217A"/>
    <w:rsid w:val="002F22B6"/>
    <w:rsid w:val="002F32FB"/>
    <w:rsid w:val="002F356D"/>
    <w:rsid w:val="002F37B2"/>
    <w:rsid w:val="002F3BEF"/>
    <w:rsid w:val="002F453A"/>
    <w:rsid w:val="002F4A8A"/>
    <w:rsid w:val="002F5611"/>
    <w:rsid w:val="002F5F5E"/>
    <w:rsid w:val="002F5F85"/>
    <w:rsid w:val="002F6093"/>
    <w:rsid w:val="002F6705"/>
    <w:rsid w:val="002F68B6"/>
    <w:rsid w:val="002F693F"/>
    <w:rsid w:val="002F6EDB"/>
    <w:rsid w:val="002F7420"/>
    <w:rsid w:val="003008CC"/>
    <w:rsid w:val="00300F31"/>
    <w:rsid w:val="00301763"/>
    <w:rsid w:val="00301B0D"/>
    <w:rsid w:val="00301B10"/>
    <w:rsid w:val="00302006"/>
    <w:rsid w:val="00302252"/>
    <w:rsid w:val="003029FA"/>
    <w:rsid w:val="00302B06"/>
    <w:rsid w:val="00302E97"/>
    <w:rsid w:val="003032A9"/>
    <w:rsid w:val="00303402"/>
    <w:rsid w:val="00303C60"/>
    <w:rsid w:val="00304976"/>
    <w:rsid w:val="00304FB8"/>
    <w:rsid w:val="00305B4A"/>
    <w:rsid w:val="00306419"/>
    <w:rsid w:val="00306A2A"/>
    <w:rsid w:val="00306C60"/>
    <w:rsid w:val="00307299"/>
    <w:rsid w:val="00310415"/>
    <w:rsid w:val="003108ED"/>
    <w:rsid w:val="00310A32"/>
    <w:rsid w:val="00310B9B"/>
    <w:rsid w:val="00310C3F"/>
    <w:rsid w:val="00312037"/>
    <w:rsid w:val="00312327"/>
    <w:rsid w:val="0031239E"/>
    <w:rsid w:val="00312505"/>
    <w:rsid w:val="00312CD9"/>
    <w:rsid w:val="00312D72"/>
    <w:rsid w:val="003130D7"/>
    <w:rsid w:val="003140D2"/>
    <w:rsid w:val="003145C7"/>
    <w:rsid w:val="0031480C"/>
    <w:rsid w:val="00315942"/>
    <w:rsid w:val="00315B18"/>
    <w:rsid w:val="003160EB"/>
    <w:rsid w:val="0031757A"/>
    <w:rsid w:val="00317714"/>
    <w:rsid w:val="00317D17"/>
    <w:rsid w:val="003206B7"/>
    <w:rsid w:val="00320A17"/>
    <w:rsid w:val="00320C20"/>
    <w:rsid w:val="003213F8"/>
    <w:rsid w:val="003218FB"/>
    <w:rsid w:val="003219A4"/>
    <w:rsid w:val="00322044"/>
    <w:rsid w:val="00322213"/>
    <w:rsid w:val="00322DA9"/>
    <w:rsid w:val="00323874"/>
    <w:rsid w:val="00323AF6"/>
    <w:rsid w:val="00323D12"/>
    <w:rsid w:val="0032443B"/>
    <w:rsid w:val="003251C2"/>
    <w:rsid w:val="00325FA0"/>
    <w:rsid w:val="0032631F"/>
    <w:rsid w:val="00326622"/>
    <w:rsid w:val="00326F1C"/>
    <w:rsid w:val="00327162"/>
    <w:rsid w:val="00327231"/>
    <w:rsid w:val="00327692"/>
    <w:rsid w:val="00330520"/>
    <w:rsid w:val="00330A0A"/>
    <w:rsid w:val="00330D1A"/>
    <w:rsid w:val="003315AA"/>
    <w:rsid w:val="0033164E"/>
    <w:rsid w:val="0033193F"/>
    <w:rsid w:val="00331EE3"/>
    <w:rsid w:val="003328A9"/>
    <w:rsid w:val="00332E3D"/>
    <w:rsid w:val="00333007"/>
    <w:rsid w:val="00334597"/>
    <w:rsid w:val="003348BB"/>
    <w:rsid w:val="00334D90"/>
    <w:rsid w:val="00335657"/>
    <w:rsid w:val="0033604C"/>
    <w:rsid w:val="003371B5"/>
    <w:rsid w:val="00337698"/>
    <w:rsid w:val="00337BAF"/>
    <w:rsid w:val="00340341"/>
    <w:rsid w:val="003405F9"/>
    <w:rsid w:val="003417CB"/>
    <w:rsid w:val="00341CB4"/>
    <w:rsid w:val="00342346"/>
    <w:rsid w:val="00342587"/>
    <w:rsid w:val="00342652"/>
    <w:rsid w:val="0034285C"/>
    <w:rsid w:val="00342A5A"/>
    <w:rsid w:val="003430D0"/>
    <w:rsid w:val="003435A9"/>
    <w:rsid w:val="00343A7B"/>
    <w:rsid w:val="00344649"/>
    <w:rsid w:val="003446F4"/>
    <w:rsid w:val="003449A3"/>
    <w:rsid w:val="00344AA6"/>
    <w:rsid w:val="00345496"/>
    <w:rsid w:val="003455BD"/>
    <w:rsid w:val="0034566A"/>
    <w:rsid w:val="00345B89"/>
    <w:rsid w:val="00345BCF"/>
    <w:rsid w:val="003466F9"/>
    <w:rsid w:val="00346836"/>
    <w:rsid w:val="003469F2"/>
    <w:rsid w:val="00346CBF"/>
    <w:rsid w:val="00347400"/>
    <w:rsid w:val="003474F7"/>
    <w:rsid w:val="00347B02"/>
    <w:rsid w:val="00350092"/>
    <w:rsid w:val="00350CC2"/>
    <w:rsid w:val="00351200"/>
    <w:rsid w:val="00351835"/>
    <w:rsid w:val="003519AD"/>
    <w:rsid w:val="00351E0E"/>
    <w:rsid w:val="00353217"/>
    <w:rsid w:val="0035395B"/>
    <w:rsid w:val="00353F83"/>
    <w:rsid w:val="003544BD"/>
    <w:rsid w:val="003548C5"/>
    <w:rsid w:val="00354EB4"/>
    <w:rsid w:val="0035520B"/>
    <w:rsid w:val="00355491"/>
    <w:rsid w:val="00356D29"/>
    <w:rsid w:val="003571C2"/>
    <w:rsid w:val="00357963"/>
    <w:rsid w:val="00357E52"/>
    <w:rsid w:val="00360364"/>
    <w:rsid w:val="0036146E"/>
    <w:rsid w:val="003620B2"/>
    <w:rsid w:val="003628B8"/>
    <w:rsid w:val="00362C3D"/>
    <w:rsid w:val="00362D86"/>
    <w:rsid w:val="00362E33"/>
    <w:rsid w:val="003631D7"/>
    <w:rsid w:val="003637C2"/>
    <w:rsid w:val="00363A70"/>
    <w:rsid w:val="003640A7"/>
    <w:rsid w:val="0036416F"/>
    <w:rsid w:val="0036442C"/>
    <w:rsid w:val="00364830"/>
    <w:rsid w:val="00364ECA"/>
    <w:rsid w:val="00365447"/>
    <w:rsid w:val="003657E7"/>
    <w:rsid w:val="00365C08"/>
    <w:rsid w:val="00366122"/>
    <w:rsid w:val="003666A3"/>
    <w:rsid w:val="00367371"/>
    <w:rsid w:val="00367903"/>
    <w:rsid w:val="0036794E"/>
    <w:rsid w:val="00367FE5"/>
    <w:rsid w:val="00370BC9"/>
    <w:rsid w:val="00370DF0"/>
    <w:rsid w:val="003727B9"/>
    <w:rsid w:val="003739DF"/>
    <w:rsid w:val="00374337"/>
    <w:rsid w:val="0037541C"/>
    <w:rsid w:val="0037597A"/>
    <w:rsid w:val="00376579"/>
    <w:rsid w:val="00377960"/>
    <w:rsid w:val="0038020C"/>
    <w:rsid w:val="00380A4D"/>
    <w:rsid w:val="00380B55"/>
    <w:rsid w:val="00381429"/>
    <w:rsid w:val="0038146C"/>
    <w:rsid w:val="00381EEF"/>
    <w:rsid w:val="00382265"/>
    <w:rsid w:val="00382609"/>
    <w:rsid w:val="00382654"/>
    <w:rsid w:val="0038332C"/>
    <w:rsid w:val="00384043"/>
    <w:rsid w:val="00384411"/>
    <w:rsid w:val="00384675"/>
    <w:rsid w:val="00384BAD"/>
    <w:rsid w:val="00385564"/>
    <w:rsid w:val="003857D4"/>
    <w:rsid w:val="00385E77"/>
    <w:rsid w:val="00386124"/>
    <w:rsid w:val="00386157"/>
    <w:rsid w:val="00386234"/>
    <w:rsid w:val="003864D5"/>
    <w:rsid w:val="003865B9"/>
    <w:rsid w:val="00386FD7"/>
    <w:rsid w:val="00387015"/>
    <w:rsid w:val="00387039"/>
    <w:rsid w:val="003879E1"/>
    <w:rsid w:val="00387C9A"/>
    <w:rsid w:val="00390567"/>
    <w:rsid w:val="00390580"/>
    <w:rsid w:val="003906F4"/>
    <w:rsid w:val="003909BE"/>
    <w:rsid w:val="00390BC9"/>
    <w:rsid w:val="003912B4"/>
    <w:rsid w:val="003917AC"/>
    <w:rsid w:val="00391838"/>
    <w:rsid w:val="00391DF3"/>
    <w:rsid w:val="0039222C"/>
    <w:rsid w:val="00392467"/>
    <w:rsid w:val="0039248F"/>
    <w:rsid w:val="003931CB"/>
    <w:rsid w:val="00393928"/>
    <w:rsid w:val="00393C6C"/>
    <w:rsid w:val="003942DD"/>
    <w:rsid w:val="00395DDC"/>
    <w:rsid w:val="003966F6"/>
    <w:rsid w:val="0039677D"/>
    <w:rsid w:val="003968C3"/>
    <w:rsid w:val="0039773B"/>
    <w:rsid w:val="00397D96"/>
    <w:rsid w:val="00397F9A"/>
    <w:rsid w:val="003A03B3"/>
    <w:rsid w:val="003A04E2"/>
    <w:rsid w:val="003A053B"/>
    <w:rsid w:val="003A0660"/>
    <w:rsid w:val="003A0A30"/>
    <w:rsid w:val="003A0D52"/>
    <w:rsid w:val="003A15E3"/>
    <w:rsid w:val="003A1AA1"/>
    <w:rsid w:val="003A1D0D"/>
    <w:rsid w:val="003A2AE2"/>
    <w:rsid w:val="003A2BF5"/>
    <w:rsid w:val="003A2ED1"/>
    <w:rsid w:val="003A366D"/>
    <w:rsid w:val="003A3709"/>
    <w:rsid w:val="003A4138"/>
    <w:rsid w:val="003A4173"/>
    <w:rsid w:val="003A4C47"/>
    <w:rsid w:val="003A5D5A"/>
    <w:rsid w:val="003A5F9E"/>
    <w:rsid w:val="003A60BD"/>
    <w:rsid w:val="003A6540"/>
    <w:rsid w:val="003A65C3"/>
    <w:rsid w:val="003A661A"/>
    <w:rsid w:val="003A6724"/>
    <w:rsid w:val="003A67B4"/>
    <w:rsid w:val="003A680D"/>
    <w:rsid w:val="003A6CE2"/>
    <w:rsid w:val="003A6E1A"/>
    <w:rsid w:val="003A6EBA"/>
    <w:rsid w:val="003A70C1"/>
    <w:rsid w:val="003A772E"/>
    <w:rsid w:val="003A7A47"/>
    <w:rsid w:val="003A7F64"/>
    <w:rsid w:val="003B0877"/>
    <w:rsid w:val="003B0A5C"/>
    <w:rsid w:val="003B0BA1"/>
    <w:rsid w:val="003B0D7D"/>
    <w:rsid w:val="003B1911"/>
    <w:rsid w:val="003B3620"/>
    <w:rsid w:val="003B4599"/>
    <w:rsid w:val="003B460E"/>
    <w:rsid w:val="003B61B7"/>
    <w:rsid w:val="003B6AA3"/>
    <w:rsid w:val="003B79CB"/>
    <w:rsid w:val="003B7AFA"/>
    <w:rsid w:val="003B7D47"/>
    <w:rsid w:val="003B7E23"/>
    <w:rsid w:val="003C009B"/>
    <w:rsid w:val="003C0364"/>
    <w:rsid w:val="003C0A3D"/>
    <w:rsid w:val="003C1AE2"/>
    <w:rsid w:val="003C1D8A"/>
    <w:rsid w:val="003C2383"/>
    <w:rsid w:val="003C3589"/>
    <w:rsid w:val="003C386A"/>
    <w:rsid w:val="003C38BF"/>
    <w:rsid w:val="003C4031"/>
    <w:rsid w:val="003C41D4"/>
    <w:rsid w:val="003C4881"/>
    <w:rsid w:val="003C4F8F"/>
    <w:rsid w:val="003C576B"/>
    <w:rsid w:val="003C5B0C"/>
    <w:rsid w:val="003C5E7E"/>
    <w:rsid w:val="003C6366"/>
    <w:rsid w:val="003C6A34"/>
    <w:rsid w:val="003C6B59"/>
    <w:rsid w:val="003C6BA1"/>
    <w:rsid w:val="003C7941"/>
    <w:rsid w:val="003C7FBA"/>
    <w:rsid w:val="003D09E2"/>
    <w:rsid w:val="003D0F05"/>
    <w:rsid w:val="003D10C0"/>
    <w:rsid w:val="003D19D8"/>
    <w:rsid w:val="003D27AB"/>
    <w:rsid w:val="003D285E"/>
    <w:rsid w:val="003D299E"/>
    <w:rsid w:val="003D34F6"/>
    <w:rsid w:val="003D37BA"/>
    <w:rsid w:val="003D3E18"/>
    <w:rsid w:val="003D44BB"/>
    <w:rsid w:val="003D48AA"/>
    <w:rsid w:val="003D516A"/>
    <w:rsid w:val="003D55E1"/>
    <w:rsid w:val="003D5A04"/>
    <w:rsid w:val="003D5B76"/>
    <w:rsid w:val="003D6308"/>
    <w:rsid w:val="003D641A"/>
    <w:rsid w:val="003D68F9"/>
    <w:rsid w:val="003D69ED"/>
    <w:rsid w:val="003D71EB"/>
    <w:rsid w:val="003E074C"/>
    <w:rsid w:val="003E076C"/>
    <w:rsid w:val="003E0992"/>
    <w:rsid w:val="003E144F"/>
    <w:rsid w:val="003E1B2B"/>
    <w:rsid w:val="003E22CB"/>
    <w:rsid w:val="003E2343"/>
    <w:rsid w:val="003E2F40"/>
    <w:rsid w:val="003E368E"/>
    <w:rsid w:val="003E3B23"/>
    <w:rsid w:val="003E3CE1"/>
    <w:rsid w:val="003E3F40"/>
    <w:rsid w:val="003E406B"/>
    <w:rsid w:val="003E4271"/>
    <w:rsid w:val="003E4F96"/>
    <w:rsid w:val="003E560B"/>
    <w:rsid w:val="003E599B"/>
    <w:rsid w:val="003E5CCA"/>
    <w:rsid w:val="003E5EB9"/>
    <w:rsid w:val="003E653E"/>
    <w:rsid w:val="003E68AE"/>
    <w:rsid w:val="003E73A1"/>
    <w:rsid w:val="003E7773"/>
    <w:rsid w:val="003F0A56"/>
    <w:rsid w:val="003F115E"/>
    <w:rsid w:val="003F14C2"/>
    <w:rsid w:val="003F18DB"/>
    <w:rsid w:val="003F2210"/>
    <w:rsid w:val="003F2287"/>
    <w:rsid w:val="003F2780"/>
    <w:rsid w:val="003F3437"/>
    <w:rsid w:val="003F3528"/>
    <w:rsid w:val="003F392B"/>
    <w:rsid w:val="003F3E02"/>
    <w:rsid w:val="003F4F07"/>
    <w:rsid w:val="003F507C"/>
    <w:rsid w:val="003F535C"/>
    <w:rsid w:val="003F57C4"/>
    <w:rsid w:val="003F5F93"/>
    <w:rsid w:val="003F5FF9"/>
    <w:rsid w:val="003F64E5"/>
    <w:rsid w:val="003F703B"/>
    <w:rsid w:val="003F7196"/>
    <w:rsid w:val="003F7202"/>
    <w:rsid w:val="003F755D"/>
    <w:rsid w:val="004003FD"/>
    <w:rsid w:val="004008AF"/>
    <w:rsid w:val="00400B5F"/>
    <w:rsid w:val="00400D8C"/>
    <w:rsid w:val="00401786"/>
    <w:rsid w:val="00401CD7"/>
    <w:rsid w:val="00401DBF"/>
    <w:rsid w:val="00402481"/>
    <w:rsid w:val="00402848"/>
    <w:rsid w:val="004029F6"/>
    <w:rsid w:val="00402C3C"/>
    <w:rsid w:val="00402FA5"/>
    <w:rsid w:val="0040314A"/>
    <w:rsid w:val="004032D8"/>
    <w:rsid w:val="004033D9"/>
    <w:rsid w:val="00404561"/>
    <w:rsid w:val="00404A94"/>
    <w:rsid w:val="00404CB7"/>
    <w:rsid w:val="00405159"/>
    <w:rsid w:val="0040551F"/>
    <w:rsid w:val="0040632A"/>
    <w:rsid w:val="0040771F"/>
    <w:rsid w:val="00410070"/>
    <w:rsid w:val="00410ABB"/>
    <w:rsid w:val="00411012"/>
    <w:rsid w:val="004111F7"/>
    <w:rsid w:val="0041217D"/>
    <w:rsid w:val="004125C6"/>
    <w:rsid w:val="0041275F"/>
    <w:rsid w:val="00412A00"/>
    <w:rsid w:val="00412D0C"/>
    <w:rsid w:val="0041332A"/>
    <w:rsid w:val="00413753"/>
    <w:rsid w:val="0041432A"/>
    <w:rsid w:val="0041488E"/>
    <w:rsid w:val="00414993"/>
    <w:rsid w:val="00414A42"/>
    <w:rsid w:val="00414FEC"/>
    <w:rsid w:val="004160E7"/>
    <w:rsid w:val="0041626C"/>
    <w:rsid w:val="00416A91"/>
    <w:rsid w:val="00416DDC"/>
    <w:rsid w:val="004171CF"/>
    <w:rsid w:val="00417949"/>
    <w:rsid w:val="004202B5"/>
    <w:rsid w:val="0042090C"/>
    <w:rsid w:val="00420B11"/>
    <w:rsid w:val="00420B72"/>
    <w:rsid w:val="004218EB"/>
    <w:rsid w:val="00421A89"/>
    <w:rsid w:val="00421E72"/>
    <w:rsid w:val="00421EBC"/>
    <w:rsid w:val="004225E3"/>
    <w:rsid w:val="0042304B"/>
    <w:rsid w:val="00423FBB"/>
    <w:rsid w:val="00424084"/>
    <w:rsid w:val="00424609"/>
    <w:rsid w:val="0042464C"/>
    <w:rsid w:val="00424A63"/>
    <w:rsid w:val="00424C7E"/>
    <w:rsid w:val="00425215"/>
    <w:rsid w:val="004273AD"/>
    <w:rsid w:val="00427440"/>
    <w:rsid w:val="00427CEF"/>
    <w:rsid w:val="00427E90"/>
    <w:rsid w:val="004305AE"/>
    <w:rsid w:val="00430819"/>
    <w:rsid w:val="004317B8"/>
    <w:rsid w:val="00431800"/>
    <w:rsid w:val="00431E9A"/>
    <w:rsid w:val="00433355"/>
    <w:rsid w:val="00433389"/>
    <w:rsid w:val="004333A2"/>
    <w:rsid w:val="00433541"/>
    <w:rsid w:val="0043369E"/>
    <w:rsid w:val="00433D43"/>
    <w:rsid w:val="00433F93"/>
    <w:rsid w:val="0043427C"/>
    <w:rsid w:val="0043433A"/>
    <w:rsid w:val="00435871"/>
    <w:rsid w:val="0043638C"/>
    <w:rsid w:val="00436514"/>
    <w:rsid w:val="00436FEF"/>
    <w:rsid w:val="0043777F"/>
    <w:rsid w:val="004406E9"/>
    <w:rsid w:val="004409EC"/>
    <w:rsid w:val="00440E22"/>
    <w:rsid w:val="00441855"/>
    <w:rsid w:val="004423F7"/>
    <w:rsid w:val="00442A49"/>
    <w:rsid w:val="00442C97"/>
    <w:rsid w:val="00443099"/>
    <w:rsid w:val="004433D1"/>
    <w:rsid w:val="00443553"/>
    <w:rsid w:val="00443625"/>
    <w:rsid w:val="0044440B"/>
    <w:rsid w:val="0044490E"/>
    <w:rsid w:val="00445B24"/>
    <w:rsid w:val="00445E13"/>
    <w:rsid w:val="00445EB4"/>
    <w:rsid w:val="0044690B"/>
    <w:rsid w:val="00446BBE"/>
    <w:rsid w:val="00446C88"/>
    <w:rsid w:val="00446ECD"/>
    <w:rsid w:val="004471B4"/>
    <w:rsid w:val="004473FB"/>
    <w:rsid w:val="0044782C"/>
    <w:rsid w:val="00447944"/>
    <w:rsid w:val="004506DA"/>
    <w:rsid w:val="004508B6"/>
    <w:rsid w:val="0045093D"/>
    <w:rsid w:val="00450A3C"/>
    <w:rsid w:val="00451645"/>
    <w:rsid w:val="00451D88"/>
    <w:rsid w:val="00452E3C"/>
    <w:rsid w:val="00453462"/>
    <w:rsid w:val="00454482"/>
    <w:rsid w:val="00454514"/>
    <w:rsid w:val="004548D9"/>
    <w:rsid w:val="00454F8E"/>
    <w:rsid w:val="00455245"/>
    <w:rsid w:val="00456031"/>
    <w:rsid w:val="00456CD5"/>
    <w:rsid w:val="00456F22"/>
    <w:rsid w:val="00457171"/>
    <w:rsid w:val="00457E2A"/>
    <w:rsid w:val="004601BE"/>
    <w:rsid w:val="00460595"/>
    <w:rsid w:val="00460CE6"/>
    <w:rsid w:val="00460FF6"/>
    <w:rsid w:val="004610C1"/>
    <w:rsid w:val="004611FB"/>
    <w:rsid w:val="00461B4D"/>
    <w:rsid w:val="00461C20"/>
    <w:rsid w:val="00461E46"/>
    <w:rsid w:val="00461F59"/>
    <w:rsid w:val="00462103"/>
    <w:rsid w:val="0046218A"/>
    <w:rsid w:val="00462255"/>
    <w:rsid w:val="004624EB"/>
    <w:rsid w:val="00462778"/>
    <w:rsid w:val="00462809"/>
    <w:rsid w:val="0046349E"/>
    <w:rsid w:val="004636B0"/>
    <w:rsid w:val="00463CB7"/>
    <w:rsid w:val="004645E7"/>
    <w:rsid w:val="00464F6C"/>
    <w:rsid w:val="004652EA"/>
    <w:rsid w:val="0046565C"/>
    <w:rsid w:val="00465674"/>
    <w:rsid w:val="004657EB"/>
    <w:rsid w:val="00466540"/>
    <w:rsid w:val="00466C9A"/>
    <w:rsid w:val="004673E2"/>
    <w:rsid w:val="00467B0F"/>
    <w:rsid w:val="00467D95"/>
    <w:rsid w:val="00467F02"/>
    <w:rsid w:val="004703AB"/>
    <w:rsid w:val="00470B44"/>
    <w:rsid w:val="00471275"/>
    <w:rsid w:val="00471D0D"/>
    <w:rsid w:val="00472237"/>
    <w:rsid w:val="00472B18"/>
    <w:rsid w:val="00472FC3"/>
    <w:rsid w:val="00473AC7"/>
    <w:rsid w:val="00474E01"/>
    <w:rsid w:val="00474ED7"/>
    <w:rsid w:val="00475216"/>
    <w:rsid w:val="00475727"/>
    <w:rsid w:val="00475960"/>
    <w:rsid w:val="00475AD3"/>
    <w:rsid w:val="00475BBB"/>
    <w:rsid w:val="0047658B"/>
    <w:rsid w:val="00476C05"/>
    <w:rsid w:val="004774E4"/>
    <w:rsid w:val="00477CBA"/>
    <w:rsid w:val="00477E87"/>
    <w:rsid w:val="004806C3"/>
    <w:rsid w:val="004809F2"/>
    <w:rsid w:val="00480F9C"/>
    <w:rsid w:val="004812DD"/>
    <w:rsid w:val="0048152F"/>
    <w:rsid w:val="00481D80"/>
    <w:rsid w:val="00482804"/>
    <w:rsid w:val="00482B47"/>
    <w:rsid w:val="00482EF5"/>
    <w:rsid w:val="0048304A"/>
    <w:rsid w:val="0048323E"/>
    <w:rsid w:val="004837F0"/>
    <w:rsid w:val="004841F1"/>
    <w:rsid w:val="00484781"/>
    <w:rsid w:val="00484DC5"/>
    <w:rsid w:val="00485496"/>
    <w:rsid w:val="00485675"/>
    <w:rsid w:val="00485CB7"/>
    <w:rsid w:val="004866ED"/>
    <w:rsid w:val="00486E68"/>
    <w:rsid w:val="00487495"/>
    <w:rsid w:val="00487C85"/>
    <w:rsid w:val="004901B3"/>
    <w:rsid w:val="00490242"/>
    <w:rsid w:val="00490DC4"/>
    <w:rsid w:val="004917C3"/>
    <w:rsid w:val="00491800"/>
    <w:rsid w:val="00491B94"/>
    <w:rsid w:val="0049235F"/>
    <w:rsid w:val="004924E6"/>
    <w:rsid w:val="00492910"/>
    <w:rsid w:val="00492EB5"/>
    <w:rsid w:val="0049316C"/>
    <w:rsid w:val="00493344"/>
    <w:rsid w:val="00493668"/>
    <w:rsid w:val="004936A2"/>
    <w:rsid w:val="00493AFB"/>
    <w:rsid w:val="00494F64"/>
    <w:rsid w:val="0049513C"/>
    <w:rsid w:val="004952BB"/>
    <w:rsid w:val="00495C04"/>
    <w:rsid w:val="00496FB8"/>
    <w:rsid w:val="0049729B"/>
    <w:rsid w:val="00497620"/>
    <w:rsid w:val="00497B9F"/>
    <w:rsid w:val="00497D8E"/>
    <w:rsid w:val="00497F07"/>
    <w:rsid w:val="004A026E"/>
    <w:rsid w:val="004A09FC"/>
    <w:rsid w:val="004A0A37"/>
    <w:rsid w:val="004A0AFB"/>
    <w:rsid w:val="004A192C"/>
    <w:rsid w:val="004A2084"/>
    <w:rsid w:val="004A279D"/>
    <w:rsid w:val="004A375B"/>
    <w:rsid w:val="004A4430"/>
    <w:rsid w:val="004A49FE"/>
    <w:rsid w:val="004A4F5A"/>
    <w:rsid w:val="004A4FDF"/>
    <w:rsid w:val="004A5489"/>
    <w:rsid w:val="004A5C3D"/>
    <w:rsid w:val="004A5E70"/>
    <w:rsid w:val="004A5E73"/>
    <w:rsid w:val="004A5E75"/>
    <w:rsid w:val="004A7A52"/>
    <w:rsid w:val="004B05D0"/>
    <w:rsid w:val="004B140E"/>
    <w:rsid w:val="004B19FE"/>
    <w:rsid w:val="004B1A96"/>
    <w:rsid w:val="004B24EB"/>
    <w:rsid w:val="004B2A4D"/>
    <w:rsid w:val="004B2F45"/>
    <w:rsid w:val="004B3155"/>
    <w:rsid w:val="004B33C2"/>
    <w:rsid w:val="004B3CF7"/>
    <w:rsid w:val="004B406A"/>
    <w:rsid w:val="004B4214"/>
    <w:rsid w:val="004B57F7"/>
    <w:rsid w:val="004B66E0"/>
    <w:rsid w:val="004B689D"/>
    <w:rsid w:val="004B6966"/>
    <w:rsid w:val="004B6A93"/>
    <w:rsid w:val="004B6EB5"/>
    <w:rsid w:val="004B728B"/>
    <w:rsid w:val="004B7628"/>
    <w:rsid w:val="004B7F5C"/>
    <w:rsid w:val="004C013E"/>
    <w:rsid w:val="004C0E97"/>
    <w:rsid w:val="004C157E"/>
    <w:rsid w:val="004C18FE"/>
    <w:rsid w:val="004C27EA"/>
    <w:rsid w:val="004C28CE"/>
    <w:rsid w:val="004C39C4"/>
    <w:rsid w:val="004C45DA"/>
    <w:rsid w:val="004C48C8"/>
    <w:rsid w:val="004C4C75"/>
    <w:rsid w:val="004C4F18"/>
    <w:rsid w:val="004C536B"/>
    <w:rsid w:val="004C598D"/>
    <w:rsid w:val="004C5DF9"/>
    <w:rsid w:val="004C651A"/>
    <w:rsid w:val="004C6927"/>
    <w:rsid w:val="004D1BEC"/>
    <w:rsid w:val="004D28B5"/>
    <w:rsid w:val="004D28F4"/>
    <w:rsid w:val="004D2A5D"/>
    <w:rsid w:val="004D3686"/>
    <w:rsid w:val="004D3897"/>
    <w:rsid w:val="004D3EB5"/>
    <w:rsid w:val="004D407A"/>
    <w:rsid w:val="004D4425"/>
    <w:rsid w:val="004D451F"/>
    <w:rsid w:val="004D502B"/>
    <w:rsid w:val="004D53F6"/>
    <w:rsid w:val="004D5A7F"/>
    <w:rsid w:val="004D60D1"/>
    <w:rsid w:val="004D6982"/>
    <w:rsid w:val="004D6C69"/>
    <w:rsid w:val="004D79E7"/>
    <w:rsid w:val="004D7CF8"/>
    <w:rsid w:val="004E00DC"/>
    <w:rsid w:val="004E1D7A"/>
    <w:rsid w:val="004E2517"/>
    <w:rsid w:val="004E28F2"/>
    <w:rsid w:val="004E2BD6"/>
    <w:rsid w:val="004E4909"/>
    <w:rsid w:val="004E51BA"/>
    <w:rsid w:val="004E5390"/>
    <w:rsid w:val="004E57F2"/>
    <w:rsid w:val="004E586B"/>
    <w:rsid w:val="004E5B46"/>
    <w:rsid w:val="004E60F4"/>
    <w:rsid w:val="004E68F3"/>
    <w:rsid w:val="004E7082"/>
    <w:rsid w:val="004E7093"/>
    <w:rsid w:val="004E7642"/>
    <w:rsid w:val="004E7873"/>
    <w:rsid w:val="004F015D"/>
    <w:rsid w:val="004F0467"/>
    <w:rsid w:val="004F0BAC"/>
    <w:rsid w:val="004F0C55"/>
    <w:rsid w:val="004F0E1A"/>
    <w:rsid w:val="004F2FD7"/>
    <w:rsid w:val="004F47C8"/>
    <w:rsid w:val="004F4924"/>
    <w:rsid w:val="004F5854"/>
    <w:rsid w:val="004F5C11"/>
    <w:rsid w:val="004F69AB"/>
    <w:rsid w:val="004F6AD3"/>
    <w:rsid w:val="004F6B03"/>
    <w:rsid w:val="004F76F2"/>
    <w:rsid w:val="00500FEC"/>
    <w:rsid w:val="00501386"/>
    <w:rsid w:val="00501875"/>
    <w:rsid w:val="00501BD9"/>
    <w:rsid w:val="00501C25"/>
    <w:rsid w:val="00501FEA"/>
    <w:rsid w:val="005027A6"/>
    <w:rsid w:val="005028A4"/>
    <w:rsid w:val="00502DAE"/>
    <w:rsid w:val="00502FFB"/>
    <w:rsid w:val="00503095"/>
    <w:rsid w:val="0050316E"/>
    <w:rsid w:val="005038A0"/>
    <w:rsid w:val="00503A67"/>
    <w:rsid w:val="00503F2D"/>
    <w:rsid w:val="00504504"/>
    <w:rsid w:val="00504A82"/>
    <w:rsid w:val="0050514F"/>
    <w:rsid w:val="005052A8"/>
    <w:rsid w:val="00505822"/>
    <w:rsid w:val="00505959"/>
    <w:rsid w:val="00505E19"/>
    <w:rsid w:val="005061E3"/>
    <w:rsid w:val="005063AA"/>
    <w:rsid w:val="0050648B"/>
    <w:rsid w:val="00506BF9"/>
    <w:rsid w:val="00506E4A"/>
    <w:rsid w:val="0050711A"/>
    <w:rsid w:val="0050793C"/>
    <w:rsid w:val="00507FFE"/>
    <w:rsid w:val="005103C5"/>
    <w:rsid w:val="00510C11"/>
    <w:rsid w:val="00511490"/>
    <w:rsid w:val="005115E7"/>
    <w:rsid w:val="005117C7"/>
    <w:rsid w:val="00513120"/>
    <w:rsid w:val="005131D3"/>
    <w:rsid w:val="0051352C"/>
    <w:rsid w:val="005137D8"/>
    <w:rsid w:val="005142A7"/>
    <w:rsid w:val="005143A0"/>
    <w:rsid w:val="00514DEB"/>
    <w:rsid w:val="00514FC2"/>
    <w:rsid w:val="00515A17"/>
    <w:rsid w:val="00515BFA"/>
    <w:rsid w:val="005160E3"/>
    <w:rsid w:val="00516612"/>
    <w:rsid w:val="005166F9"/>
    <w:rsid w:val="0051706E"/>
    <w:rsid w:val="005173B7"/>
    <w:rsid w:val="00517A86"/>
    <w:rsid w:val="00520557"/>
    <w:rsid w:val="0052099E"/>
    <w:rsid w:val="00520DD5"/>
    <w:rsid w:val="00520F9E"/>
    <w:rsid w:val="00521789"/>
    <w:rsid w:val="00521793"/>
    <w:rsid w:val="0052223E"/>
    <w:rsid w:val="00522CAA"/>
    <w:rsid w:val="00523196"/>
    <w:rsid w:val="0052349D"/>
    <w:rsid w:val="005235E7"/>
    <w:rsid w:val="0052422D"/>
    <w:rsid w:val="005249B6"/>
    <w:rsid w:val="00524BE8"/>
    <w:rsid w:val="0052561C"/>
    <w:rsid w:val="0052575D"/>
    <w:rsid w:val="005259A1"/>
    <w:rsid w:val="00525CE6"/>
    <w:rsid w:val="00525E70"/>
    <w:rsid w:val="005262F8"/>
    <w:rsid w:val="00526433"/>
    <w:rsid w:val="00526C92"/>
    <w:rsid w:val="00526E38"/>
    <w:rsid w:val="005275FC"/>
    <w:rsid w:val="0052768C"/>
    <w:rsid w:val="00530094"/>
    <w:rsid w:val="00530896"/>
    <w:rsid w:val="00530B34"/>
    <w:rsid w:val="005310AF"/>
    <w:rsid w:val="0053180D"/>
    <w:rsid w:val="00531A76"/>
    <w:rsid w:val="00531EB9"/>
    <w:rsid w:val="0053422F"/>
    <w:rsid w:val="005342C3"/>
    <w:rsid w:val="00534A2B"/>
    <w:rsid w:val="00534F55"/>
    <w:rsid w:val="00535E75"/>
    <w:rsid w:val="005362F5"/>
    <w:rsid w:val="00536718"/>
    <w:rsid w:val="0053725B"/>
    <w:rsid w:val="00537BEB"/>
    <w:rsid w:val="005405AA"/>
    <w:rsid w:val="005407B1"/>
    <w:rsid w:val="00540C57"/>
    <w:rsid w:val="005411F3"/>
    <w:rsid w:val="00541BEF"/>
    <w:rsid w:val="0054240F"/>
    <w:rsid w:val="00542431"/>
    <w:rsid w:val="00542670"/>
    <w:rsid w:val="0054294E"/>
    <w:rsid w:val="00542E67"/>
    <w:rsid w:val="0054404E"/>
    <w:rsid w:val="00544F78"/>
    <w:rsid w:val="0054507E"/>
    <w:rsid w:val="0054537E"/>
    <w:rsid w:val="00545A44"/>
    <w:rsid w:val="00545CD8"/>
    <w:rsid w:val="00545EE9"/>
    <w:rsid w:val="005461BB"/>
    <w:rsid w:val="005465C1"/>
    <w:rsid w:val="00546D6E"/>
    <w:rsid w:val="00546EEF"/>
    <w:rsid w:val="00546F7D"/>
    <w:rsid w:val="00550588"/>
    <w:rsid w:val="00550A82"/>
    <w:rsid w:val="00551558"/>
    <w:rsid w:val="00551AD6"/>
    <w:rsid w:val="00552FAC"/>
    <w:rsid w:val="005531BD"/>
    <w:rsid w:val="005535FE"/>
    <w:rsid w:val="00554342"/>
    <w:rsid w:val="00554B62"/>
    <w:rsid w:val="00554BFE"/>
    <w:rsid w:val="0055503E"/>
    <w:rsid w:val="005551D8"/>
    <w:rsid w:val="0055580A"/>
    <w:rsid w:val="00555C3A"/>
    <w:rsid w:val="00556588"/>
    <w:rsid w:val="005567B2"/>
    <w:rsid w:val="00557129"/>
    <w:rsid w:val="005577CA"/>
    <w:rsid w:val="00557870"/>
    <w:rsid w:val="00560277"/>
    <w:rsid w:val="00560316"/>
    <w:rsid w:val="00560938"/>
    <w:rsid w:val="00560AF1"/>
    <w:rsid w:val="00561562"/>
    <w:rsid w:val="00561CB3"/>
    <w:rsid w:val="0056332B"/>
    <w:rsid w:val="00563DE6"/>
    <w:rsid w:val="00564298"/>
    <w:rsid w:val="0056484C"/>
    <w:rsid w:val="00564DA5"/>
    <w:rsid w:val="00565094"/>
    <w:rsid w:val="0056528D"/>
    <w:rsid w:val="0056544D"/>
    <w:rsid w:val="0056559A"/>
    <w:rsid w:val="0056628B"/>
    <w:rsid w:val="00566298"/>
    <w:rsid w:val="00566CCB"/>
    <w:rsid w:val="005675A2"/>
    <w:rsid w:val="005675C4"/>
    <w:rsid w:val="005677F4"/>
    <w:rsid w:val="00567D9C"/>
    <w:rsid w:val="005708ED"/>
    <w:rsid w:val="0057091E"/>
    <w:rsid w:val="00570D34"/>
    <w:rsid w:val="005723D6"/>
    <w:rsid w:val="005724E4"/>
    <w:rsid w:val="0057352B"/>
    <w:rsid w:val="005739A5"/>
    <w:rsid w:val="00573AE5"/>
    <w:rsid w:val="0057418B"/>
    <w:rsid w:val="00574A6E"/>
    <w:rsid w:val="00574C9E"/>
    <w:rsid w:val="00574DE0"/>
    <w:rsid w:val="00574F17"/>
    <w:rsid w:val="005750AC"/>
    <w:rsid w:val="005753FE"/>
    <w:rsid w:val="0057586D"/>
    <w:rsid w:val="00575F48"/>
    <w:rsid w:val="0057603B"/>
    <w:rsid w:val="0057606C"/>
    <w:rsid w:val="005764EF"/>
    <w:rsid w:val="00576813"/>
    <w:rsid w:val="00576DD7"/>
    <w:rsid w:val="00577044"/>
    <w:rsid w:val="00577145"/>
    <w:rsid w:val="005773BE"/>
    <w:rsid w:val="005773C4"/>
    <w:rsid w:val="00577806"/>
    <w:rsid w:val="00577C50"/>
    <w:rsid w:val="00580187"/>
    <w:rsid w:val="00581B69"/>
    <w:rsid w:val="00581C34"/>
    <w:rsid w:val="00582365"/>
    <w:rsid w:val="005834EE"/>
    <w:rsid w:val="00583623"/>
    <w:rsid w:val="005837FE"/>
    <w:rsid w:val="005842DC"/>
    <w:rsid w:val="005843FA"/>
    <w:rsid w:val="00584C8E"/>
    <w:rsid w:val="00584EFB"/>
    <w:rsid w:val="00585736"/>
    <w:rsid w:val="00585C1B"/>
    <w:rsid w:val="005861D0"/>
    <w:rsid w:val="00586846"/>
    <w:rsid w:val="00586E5C"/>
    <w:rsid w:val="00587639"/>
    <w:rsid w:val="00590512"/>
    <w:rsid w:val="005908DF"/>
    <w:rsid w:val="00590A74"/>
    <w:rsid w:val="005917F3"/>
    <w:rsid w:val="00592638"/>
    <w:rsid w:val="00593138"/>
    <w:rsid w:val="005935CD"/>
    <w:rsid w:val="00593A33"/>
    <w:rsid w:val="00593E9B"/>
    <w:rsid w:val="005941FA"/>
    <w:rsid w:val="00594269"/>
    <w:rsid w:val="005942FF"/>
    <w:rsid w:val="00594372"/>
    <w:rsid w:val="005946D7"/>
    <w:rsid w:val="005947B5"/>
    <w:rsid w:val="00594B2B"/>
    <w:rsid w:val="00594F1D"/>
    <w:rsid w:val="005952D4"/>
    <w:rsid w:val="005954F9"/>
    <w:rsid w:val="005960BB"/>
    <w:rsid w:val="0059675F"/>
    <w:rsid w:val="0059710F"/>
    <w:rsid w:val="00597407"/>
    <w:rsid w:val="00597679"/>
    <w:rsid w:val="005A0496"/>
    <w:rsid w:val="005A0BB6"/>
    <w:rsid w:val="005A0E21"/>
    <w:rsid w:val="005A1719"/>
    <w:rsid w:val="005A17CA"/>
    <w:rsid w:val="005A36CF"/>
    <w:rsid w:val="005A39AC"/>
    <w:rsid w:val="005A39F6"/>
    <w:rsid w:val="005A3A7E"/>
    <w:rsid w:val="005A3CDE"/>
    <w:rsid w:val="005A3E97"/>
    <w:rsid w:val="005A3F56"/>
    <w:rsid w:val="005A4047"/>
    <w:rsid w:val="005A4313"/>
    <w:rsid w:val="005A4384"/>
    <w:rsid w:val="005A4D8D"/>
    <w:rsid w:val="005A5208"/>
    <w:rsid w:val="005A5C9E"/>
    <w:rsid w:val="005A616A"/>
    <w:rsid w:val="005A6363"/>
    <w:rsid w:val="005A6628"/>
    <w:rsid w:val="005A6950"/>
    <w:rsid w:val="005A7012"/>
    <w:rsid w:val="005A75B2"/>
    <w:rsid w:val="005A7A5E"/>
    <w:rsid w:val="005B0443"/>
    <w:rsid w:val="005B0908"/>
    <w:rsid w:val="005B0E6E"/>
    <w:rsid w:val="005B1035"/>
    <w:rsid w:val="005B1667"/>
    <w:rsid w:val="005B1C07"/>
    <w:rsid w:val="005B2A92"/>
    <w:rsid w:val="005B3432"/>
    <w:rsid w:val="005B3BD6"/>
    <w:rsid w:val="005B42E7"/>
    <w:rsid w:val="005B4444"/>
    <w:rsid w:val="005B5266"/>
    <w:rsid w:val="005B5EE5"/>
    <w:rsid w:val="005B5F27"/>
    <w:rsid w:val="005B613F"/>
    <w:rsid w:val="005B63EE"/>
    <w:rsid w:val="005B7AD0"/>
    <w:rsid w:val="005B7D6C"/>
    <w:rsid w:val="005B7E62"/>
    <w:rsid w:val="005C011F"/>
    <w:rsid w:val="005C115D"/>
    <w:rsid w:val="005C15D7"/>
    <w:rsid w:val="005C1606"/>
    <w:rsid w:val="005C1D07"/>
    <w:rsid w:val="005C2559"/>
    <w:rsid w:val="005C26B6"/>
    <w:rsid w:val="005C4552"/>
    <w:rsid w:val="005C5418"/>
    <w:rsid w:val="005C549D"/>
    <w:rsid w:val="005C5507"/>
    <w:rsid w:val="005C5E9B"/>
    <w:rsid w:val="005C6356"/>
    <w:rsid w:val="005C67AB"/>
    <w:rsid w:val="005C6C91"/>
    <w:rsid w:val="005C7215"/>
    <w:rsid w:val="005C73C4"/>
    <w:rsid w:val="005C79BD"/>
    <w:rsid w:val="005C7CA8"/>
    <w:rsid w:val="005D00EA"/>
    <w:rsid w:val="005D023B"/>
    <w:rsid w:val="005D02C4"/>
    <w:rsid w:val="005D039D"/>
    <w:rsid w:val="005D055E"/>
    <w:rsid w:val="005D0EA6"/>
    <w:rsid w:val="005D15E1"/>
    <w:rsid w:val="005D2191"/>
    <w:rsid w:val="005D2304"/>
    <w:rsid w:val="005D25D7"/>
    <w:rsid w:val="005D298B"/>
    <w:rsid w:val="005D3292"/>
    <w:rsid w:val="005D335B"/>
    <w:rsid w:val="005D358F"/>
    <w:rsid w:val="005D3A04"/>
    <w:rsid w:val="005D48FE"/>
    <w:rsid w:val="005D6D0E"/>
    <w:rsid w:val="005D6EAE"/>
    <w:rsid w:val="005D7471"/>
    <w:rsid w:val="005D749D"/>
    <w:rsid w:val="005D7582"/>
    <w:rsid w:val="005E0DBB"/>
    <w:rsid w:val="005E0F2F"/>
    <w:rsid w:val="005E1FC9"/>
    <w:rsid w:val="005E2275"/>
    <w:rsid w:val="005E2702"/>
    <w:rsid w:val="005E325B"/>
    <w:rsid w:val="005E35DA"/>
    <w:rsid w:val="005E389F"/>
    <w:rsid w:val="005E3989"/>
    <w:rsid w:val="005E5874"/>
    <w:rsid w:val="005E5CB7"/>
    <w:rsid w:val="005E5E88"/>
    <w:rsid w:val="005E60DC"/>
    <w:rsid w:val="005E6D6E"/>
    <w:rsid w:val="005E75D5"/>
    <w:rsid w:val="005F0518"/>
    <w:rsid w:val="005F1555"/>
    <w:rsid w:val="005F1886"/>
    <w:rsid w:val="005F1940"/>
    <w:rsid w:val="005F20ED"/>
    <w:rsid w:val="005F2978"/>
    <w:rsid w:val="005F2CF9"/>
    <w:rsid w:val="005F2D3C"/>
    <w:rsid w:val="005F330A"/>
    <w:rsid w:val="005F3A4D"/>
    <w:rsid w:val="005F4721"/>
    <w:rsid w:val="005F4BE0"/>
    <w:rsid w:val="005F5039"/>
    <w:rsid w:val="005F5533"/>
    <w:rsid w:val="005F564A"/>
    <w:rsid w:val="005F574C"/>
    <w:rsid w:val="005F6771"/>
    <w:rsid w:val="005F6AB6"/>
    <w:rsid w:val="005F719A"/>
    <w:rsid w:val="005F720A"/>
    <w:rsid w:val="005F7841"/>
    <w:rsid w:val="005F7AF1"/>
    <w:rsid w:val="005F7B8D"/>
    <w:rsid w:val="0060006D"/>
    <w:rsid w:val="0060071C"/>
    <w:rsid w:val="006016CB"/>
    <w:rsid w:val="00601EE6"/>
    <w:rsid w:val="00602F43"/>
    <w:rsid w:val="00602F8F"/>
    <w:rsid w:val="00603B08"/>
    <w:rsid w:val="00604CCA"/>
    <w:rsid w:val="006056CF"/>
    <w:rsid w:val="006056D8"/>
    <w:rsid w:val="00605776"/>
    <w:rsid w:val="006073D9"/>
    <w:rsid w:val="00610120"/>
    <w:rsid w:val="00610162"/>
    <w:rsid w:val="00610ABA"/>
    <w:rsid w:val="00610AEE"/>
    <w:rsid w:val="00611256"/>
    <w:rsid w:val="006119BE"/>
    <w:rsid w:val="00612103"/>
    <w:rsid w:val="0061272C"/>
    <w:rsid w:val="00612DB1"/>
    <w:rsid w:val="00613037"/>
    <w:rsid w:val="006132D0"/>
    <w:rsid w:val="006135AB"/>
    <w:rsid w:val="006138E4"/>
    <w:rsid w:val="006144F6"/>
    <w:rsid w:val="00614559"/>
    <w:rsid w:val="0061465A"/>
    <w:rsid w:val="00615888"/>
    <w:rsid w:val="00615934"/>
    <w:rsid w:val="0061598F"/>
    <w:rsid w:val="00615FB6"/>
    <w:rsid w:val="00616331"/>
    <w:rsid w:val="006163F2"/>
    <w:rsid w:val="00616407"/>
    <w:rsid w:val="00616BD5"/>
    <w:rsid w:val="00616C37"/>
    <w:rsid w:val="00617483"/>
    <w:rsid w:val="00617AF8"/>
    <w:rsid w:val="00617E35"/>
    <w:rsid w:val="0062077C"/>
    <w:rsid w:val="00620CE0"/>
    <w:rsid w:val="00620E21"/>
    <w:rsid w:val="00620E5A"/>
    <w:rsid w:val="0062108E"/>
    <w:rsid w:val="00621337"/>
    <w:rsid w:val="006214D0"/>
    <w:rsid w:val="00623133"/>
    <w:rsid w:val="0062354B"/>
    <w:rsid w:val="006239BA"/>
    <w:rsid w:val="006241EF"/>
    <w:rsid w:val="006242F8"/>
    <w:rsid w:val="00624A36"/>
    <w:rsid w:val="00624B01"/>
    <w:rsid w:val="00624D9A"/>
    <w:rsid w:val="00624DF6"/>
    <w:rsid w:val="006250E9"/>
    <w:rsid w:val="00625B05"/>
    <w:rsid w:val="00627C21"/>
    <w:rsid w:val="00627E33"/>
    <w:rsid w:val="006303F7"/>
    <w:rsid w:val="0063079B"/>
    <w:rsid w:val="006308F5"/>
    <w:rsid w:val="00630F67"/>
    <w:rsid w:val="00631278"/>
    <w:rsid w:val="0063223B"/>
    <w:rsid w:val="00632E03"/>
    <w:rsid w:val="006337E5"/>
    <w:rsid w:val="00633B2F"/>
    <w:rsid w:val="00634C4F"/>
    <w:rsid w:val="00635CD5"/>
    <w:rsid w:val="00635DC7"/>
    <w:rsid w:val="0063689F"/>
    <w:rsid w:val="00636BAA"/>
    <w:rsid w:val="00636DB4"/>
    <w:rsid w:val="00636E54"/>
    <w:rsid w:val="00637613"/>
    <w:rsid w:val="00637C10"/>
    <w:rsid w:val="00640C31"/>
    <w:rsid w:val="00641275"/>
    <w:rsid w:val="00641942"/>
    <w:rsid w:val="00641A66"/>
    <w:rsid w:val="0064305B"/>
    <w:rsid w:val="00643226"/>
    <w:rsid w:val="00643271"/>
    <w:rsid w:val="00643469"/>
    <w:rsid w:val="00643F14"/>
    <w:rsid w:val="00644A20"/>
    <w:rsid w:val="006452A8"/>
    <w:rsid w:val="006459EF"/>
    <w:rsid w:val="006465F3"/>
    <w:rsid w:val="00646E4E"/>
    <w:rsid w:val="00647B88"/>
    <w:rsid w:val="00647ED4"/>
    <w:rsid w:val="0065025C"/>
    <w:rsid w:val="0065046C"/>
    <w:rsid w:val="0065059E"/>
    <w:rsid w:val="00650F11"/>
    <w:rsid w:val="0065104B"/>
    <w:rsid w:val="00651C43"/>
    <w:rsid w:val="0065209B"/>
    <w:rsid w:val="006520BC"/>
    <w:rsid w:val="006523F3"/>
    <w:rsid w:val="006526A5"/>
    <w:rsid w:val="00652957"/>
    <w:rsid w:val="00652E77"/>
    <w:rsid w:val="00653475"/>
    <w:rsid w:val="006534BF"/>
    <w:rsid w:val="006537D7"/>
    <w:rsid w:val="00653EFB"/>
    <w:rsid w:val="006541C3"/>
    <w:rsid w:val="0065444A"/>
    <w:rsid w:val="0065469E"/>
    <w:rsid w:val="0065470F"/>
    <w:rsid w:val="00654F68"/>
    <w:rsid w:val="0065534D"/>
    <w:rsid w:val="00655CF9"/>
    <w:rsid w:val="00655D45"/>
    <w:rsid w:val="00656594"/>
    <w:rsid w:val="00656DEC"/>
    <w:rsid w:val="0065714C"/>
    <w:rsid w:val="0065751B"/>
    <w:rsid w:val="00660498"/>
    <w:rsid w:val="00660A74"/>
    <w:rsid w:val="00660FD6"/>
    <w:rsid w:val="0066122A"/>
    <w:rsid w:val="00661324"/>
    <w:rsid w:val="00661379"/>
    <w:rsid w:val="00661695"/>
    <w:rsid w:val="00662211"/>
    <w:rsid w:val="00662E5F"/>
    <w:rsid w:val="00663445"/>
    <w:rsid w:val="00663890"/>
    <w:rsid w:val="00664383"/>
    <w:rsid w:val="00664434"/>
    <w:rsid w:val="00665263"/>
    <w:rsid w:val="00665283"/>
    <w:rsid w:val="0066561F"/>
    <w:rsid w:val="0066577E"/>
    <w:rsid w:val="00666108"/>
    <w:rsid w:val="006669E5"/>
    <w:rsid w:val="00666A58"/>
    <w:rsid w:val="0066790E"/>
    <w:rsid w:val="00667AB8"/>
    <w:rsid w:val="00667C9A"/>
    <w:rsid w:val="00670650"/>
    <w:rsid w:val="00670D75"/>
    <w:rsid w:val="006711AB"/>
    <w:rsid w:val="006712C0"/>
    <w:rsid w:val="006722D7"/>
    <w:rsid w:val="006744AC"/>
    <w:rsid w:val="00674C7D"/>
    <w:rsid w:val="00676396"/>
    <w:rsid w:val="00676C4C"/>
    <w:rsid w:val="00676CD5"/>
    <w:rsid w:val="00676F62"/>
    <w:rsid w:val="0068025F"/>
    <w:rsid w:val="006809D6"/>
    <w:rsid w:val="00680B40"/>
    <w:rsid w:val="00680C5A"/>
    <w:rsid w:val="00680D00"/>
    <w:rsid w:val="0068180A"/>
    <w:rsid w:val="00681EC9"/>
    <w:rsid w:val="006820C9"/>
    <w:rsid w:val="006820FB"/>
    <w:rsid w:val="006822FA"/>
    <w:rsid w:val="0068288C"/>
    <w:rsid w:val="00682963"/>
    <w:rsid w:val="00682AB3"/>
    <w:rsid w:val="00683747"/>
    <w:rsid w:val="0068382C"/>
    <w:rsid w:val="00683F36"/>
    <w:rsid w:val="006842CF"/>
    <w:rsid w:val="0068456F"/>
    <w:rsid w:val="00684769"/>
    <w:rsid w:val="006852A4"/>
    <w:rsid w:val="00685589"/>
    <w:rsid w:val="0068594E"/>
    <w:rsid w:val="00685B8F"/>
    <w:rsid w:val="006862F9"/>
    <w:rsid w:val="0068682C"/>
    <w:rsid w:val="006874D2"/>
    <w:rsid w:val="00687B85"/>
    <w:rsid w:val="00687BEF"/>
    <w:rsid w:val="006915F4"/>
    <w:rsid w:val="00692568"/>
    <w:rsid w:val="00692931"/>
    <w:rsid w:val="00692BB4"/>
    <w:rsid w:val="00692E02"/>
    <w:rsid w:val="00693309"/>
    <w:rsid w:val="00693715"/>
    <w:rsid w:val="006938AA"/>
    <w:rsid w:val="0069474B"/>
    <w:rsid w:val="0069475D"/>
    <w:rsid w:val="00694D12"/>
    <w:rsid w:val="006957BC"/>
    <w:rsid w:val="00695A35"/>
    <w:rsid w:val="00695A78"/>
    <w:rsid w:val="006960AD"/>
    <w:rsid w:val="0069681D"/>
    <w:rsid w:val="00696BAF"/>
    <w:rsid w:val="00696EE6"/>
    <w:rsid w:val="006970F9"/>
    <w:rsid w:val="0069775F"/>
    <w:rsid w:val="00697966"/>
    <w:rsid w:val="00697CCE"/>
    <w:rsid w:val="00697E08"/>
    <w:rsid w:val="006A164D"/>
    <w:rsid w:val="006A2444"/>
    <w:rsid w:val="006A2A19"/>
    <w:rsid w:val="006A3739"/>
    <w:rsid w:val="006A3A2B"/>
    <w:rsid w:val="006A3EB1"/>
    <w:rsid w:val="006A444B"/>
    <w:rsid w:val="006A45CB"/>
    <w:rsid w:val="006A4C3A"/>
    <w:rsid w:val="006A5A6B"/>
    <w:rsid w:val="006A5B11"/>
    <w:rsid w:val="006A5FDF"/>
    <w:rsid w:val="006A6601"/>
    <w:rsid w:val="006A6BF1"/>
    <w:rsid w:val="006A772A"/>
    <w:rsid w:val="006B00CD"/>
    <w:rsid w:val="006B1148"/>
    <w:rsid w:val="006B29B9"/>
    <w:rsid w:val="006B2B8A"/>
    <w:rsid w:val="006B2CBC"/>
    <w:rsid w:val="006B2D9F"/>
    <w:rsid w:val="006B3032"/>
    <w:rsid w:val="006B3EB8"/>
    <w:rsid w:val="006B4532"/>
    <w:rsid w:val="006B474A"/>
    <w:rsid w:val="006B4B4A"/>
    <w:rsid w:val="006B4DA9"/>
    <w:rsid w:val="006B530F"/>
    <w:rsid w:val="006B62CC"/>
    <w:rsid w:val="006B6331"/>
    <w:rsid w:val="006B696F"/>
    <w:rsid w:val="006B75C6"/>
    <w:rsid w:val="006B7C0D"/>
    <w:rsid w:val="006B7D2A"/>
    <w:rsid w:val="006C007A"/>
    <w:rsid w:val="006C063E"/>
    <w:rsid w:val="006C0668"/>
    <w:rsid w:val="006C0ED9"/>
    <w:rsid w:val="006C150B"/>
    <w:rsid w:val="006C158A"/>
    <w:rsid w:val="006C16DB"/>
    <w:rsid w:val="006C194D"/>
    <w:rsid w:val="006C354C"/>
    <w:rsid w:val="006C3B76"/>
    <w:rsid w:val="006C3D17"/>
    <w:rsid w:val="006C3D86"/>
    <w:rsid w:val="006C4572"/>
    <w:rsid w:val="006C4EAF"/>
    <w:rsid w:val="006C5B11"/>
    <w:rsid w:val="006C6145"/>
    <w:rsid w:val="006C6317"/>
    <w:rsid w:val="006C6599"/>
    <w:rsid w:val="006C6836"/>
    <w:rsid w:val="006C6C69"/>
    <w:rsid w:val="006C6DB7"/>
    <w:rsid w:val="006C7812"/>
    <w:rsid w:val="006C798F"/>
    <w:rsid w:val="006C7B03"/>
    <w:rsid w:val="006C7E63"/>
    <w:rsid w:val="006D01E9"/>
    <w:rsid w:val="006D090A"/>
    <w:rsid w:val="006D0B87"/>
    <w:rsid w:val="006D0EC2"/>
    <w:rsid w:val="006D1C20"/>
    <w:rsid w:val="006D1E3F"/>
    <w:rsid w:val="006D36BE"/>
    <w:rsid w:val="006D3CEF"/>
    <w:rsid w:val="006D3E93"/>
    <w:rsid w:val="006D43A4"/>
    <w:rsid w:val="006D43D6"/>
    <w:rsid w:val="006D4550"/>
    <w:rsid w:val="006D4B54"/>
    <w:rsid w:val="006D4C72"/>
    <w:rsid w:val="006D4E4C"/>
    <w:rsid w:val="006D5097"/>
    <w:rsid w:val="006D5098"/>
    <w:rsid w:val="006D5585"/>
    <w:rsid w:val="006D5F76"/>
    <w:rsid w:val="006D61F8"/>
    <w:rsid w:val="006D67D9"/>
    <w:rsid w:val="006D681C"/>
    <w:rsid w:val="006D6CFF"/>
    <w:rsid w:val="006D6D96"/>
    <w:rsid w:val="006D7211"/>
    <w:rsid w:val="006D75C8"/>
    <w:rsid w:val="006D79B1"/>
    <w:rsid w:val="006D7B18"/>
    <w:rsid w:val="006E0267"/>
    <w:rsid w:val="006E1AB1"/>
    <w:rsid w:val="006E208E"/>
    <w:rsid w:val="006E24DF"/>
    <w:rsid w:val="006E2940"/>
    <w:rsid w:val="006E3562"/>
    <w:rsid w:val="006E406F"/>
    <w:rsid w:val="006E44BB"/>
    <w:rsid w:val="006E45DC"/>
    <w:rsid w:val="006E4AFA"/>
    <w:rsid w:val="006E573B"/>
    <w:rsid w:val="006E636B"/>
    <w:rsid w:val="006E655B"/>
    <w:rsid w:val="006F0423"/>
    <w:rsid w:val="006F0D46"/>
    <w:rsid w:val="006F0F92"/>
    <w:rsid w:val="006F1405"/>
    <w:rsid w:val="006F23DD"/>
    <w:rsid w:val="006F36DB"/>
    <w:rsid w:val="006F37CB"/>
    <w:rsid w:val="006F3878"/>
    <w:rsid w:val="006F50D7"/>
    <w:rsid w:val="006F5158"/>
    <w:rsid w:val="006F5C41"/>
    <w:rsid w:val="006F6AB1"/>
    <w:rsid w:val="006F6FEC"/>
    <w:rsid w:val="006F7070"/>
    <w:rsid w:val="006F7611"/>
    <w:rsid w:val="00700706"/>
    <w:rsid w:val="00700950"/>
    <w:rsid w:val="00700961"/>
    <w:rsid w:val="00700E38"/>
    <w:rsid w:val="00701136"/>
    <w:rsid w:val="007021D2"/>
    <w:rsid w:val="00702DBA"/>
    <w:rsid w:val="00702E73"/>
    <w:rsid w:val="0070319A"/>
    <w:rsid w:val="00703CB4"/>
    <w:rsid w:val="0070465A"/>
    <w:rsid w:val="007051C1"/>
    <w:rsid w:val="007067D9"/>
    <w:rsid w:val="00706A07"/>
    <w:rsid w:val="007076C4"/>
    <w:rsid w:val="00707C18"/>
    <w:rsid w:val="00707F7A"/>
    <w:rsid w:val="007103A9"/>
    <w:rsid w:val="007108C8"/>
    <w:rsid w:val="00713833"/>
    <w:rsid w:val="00713F8D"/>
    <w:rsid w:val="00715B12"/>
    <w:rsid w:val="00715B38"/>
    <w:rsid w:val="0071619B"/>
    <w:rsid w:val="00716AD2"/>
    <w:rsid w:val="00716F37"/>
    <w:rsid w:val="007177AE"/>
    <w:rsid w:val="007203CA"/>
    <w:rsid w:val="007218C2"/>
    <w:rsid w:val="00721DAD"/>
    <w:rsid w:val="007226F5"/>
    <w:rsid w:val="00722757"/>
    <w:rsid w:val="007227F3"/>
    <w:rsid w:val="00723916"/>
    <w:rsid w:val="00723B2C"/>
    <w:rsid w:val="00723CE4"/>
    <w:rsid w:val="00723ECB"/>
    <w:rsid w:val="007241CF"/>
    <w:rsid w:val="00724494"/>
    <w:rsid w:val="00724ED0"/>
    <w:rsid w:val="00724F92"/>
    <w:rsid w:val="007253D6"/>
    <w:rsid w:val="0072578A"/>
    <w:rsid w:val="0072597A"/>
    <w:rsid w:val="00725E48"/>
    <w:rsid w:val="007262B4"/>
    <w:rsid w:val="00726BDC"/>
    <w:rsid w:val="00726E9F"/>
    <w:rsid w:val="007274D2"/>
    <w:rsid w:val="00727524"/>
    <w:rsid w:val="0072753F"/>
    <w:rsid w:val="0072778F"/>
    <w:rsid w:val="00727FA7"/>
    <w:rsid w:val="00730580"/>
    <w:rsid w:val="00731528"/>
    <w:rsid w:val="0073158E"/>
    <w:rsid w:val="007322FA"/>
    <w:rsid w:val="00732837"/>
    <w:rsid w:val="00732CED"/>
    <w:rsid w:val="00733381"/>
    <w:rsid w:val="0073485B"/>
    <w:rsid w:val="007350B9"/>
    <w:rsid w:val="00735C02"/>
    <w:rsid w:val="00735D33"/>
    <w:rsid w:val="00735EDC"/>
    <w:rsid w:val="00736453"/>
    <w:rsid w:val="00737284"/>
    <w:rsid w:val="0073792C"/>
    <w:rsid w:val="007379DA"/>
    <w:rsid w:val="007379DF"/>
    <w:rsid w:val="00737A04"/>
    <w:rsid w:val="00740173"/>
    <w:rsid w:val="00740F36"/>
    <w:rsid w:val="00740FFE"/>
    <w:rsid w:val="00741187"/>
    <w:rsid w:val="0074256B"/>
    <w:rsid w:val="0074257A"/>
    <w:rsid w:val="00742615"/>
    <w:rsid w:val="00742D96"/>
    <w:rsid w:val="00742FAF"/>
    <w:rsid w:val="0074355F"/>
    <w:rsid w:val="00743A41"/>
    <w:rsid w:val="00743BD7"/>
    <w:rsid w:val="00743EFC"/>
    <w:rsid w:val="00744051"/>
    <w:rsid w:val="00744327"/>
    <w:rsid w:val="00745390"/>
    <w:rsid w:val="00745C8E"/>
    <w:rsid w:val="007465E8"/>
    <w:rsid w:val="00746D56"/>
    <w:rsid w:val="00747434"/>
    <w:rsid w:val="00747568"/>
    <w:rsid w:val="00747665"/>
    <w:rsid w:val="0074788B"/>
    <w:rsid w:val="007500D2"/>
    <w:rsid w:val="007504AC"/>
    <w:rsid w:val="007507F2"/>
    <w:rsid w:val="0075137C"/>
    <w:rsid w:val="007517BC"/>
    <w:rsid w:val="00751FCA"/>
    <w:rsid w:val="0075418A"/>
    <w:rsid w:val="00755B95"/>
    <w:rsid w:val="007562A4"/>
    <w:rsid w:val="00757EF1"/>
    <w:rsid w:val="00760603"/>
    <w:rsid w:val="007606A3"/>
    <w:rsid w:val="007607C4"/>
    <w:rsid w:val="00761A8D"/>
    <w:rsid w:val="00761C87"/>
    <w:rsid w:val="00761F86"/>
    <w:rsid w:val="007620E7"/>
    <w:rsid w:val="0076260D"/>
    <w:rsid w:val="00763A27"/>
    <w:rsid w:val="00763B77"/>
    <w:rsid w:val="007646E8"/>
    <w:rsid w:val="0076683B"/>
    <w:rsid w:val="0076702C"/>
    <w:rsid w:val="00767EDD"/>
    <w:rsid w:val="00767F6C"/>
    <w:rsid w:val="0077038C"/>
    <w:rsid w:val="00770475"/>
    <w:rsid w:val="00770DC3"/>
    <w:rsid w:val="00771EDB"/>
    <w:rsid w:val="007720FC"/>
    <w:rsid w:val="00772399"/>
    <w:rsid w:val="00772471"/>
    <w:rsid w:val="00772829"/>
    <w:rsid w:val="007730DE"/>
    <w:rsid w:val="00773132"/>
    <w:rsid w:val="00773379"/>
    <w:rsid w:val="00774345"/>
    <w:rsid w:val="00774EA2"/>
    <w:rsid w:val="00774F3C"/>
    <w:rsid w:val="007752A2"/>
    <w:rsid w:val="007757C0"/>
    <w:rsid w:val="00775A3E"/>
    <w:rsid w:val="007761E4"/>
    <w:rsid w:val="00776EE2"/>
    <w:rsid w:val="00777297"/>
    <w:rsid w:val="00777848"/>
    <w:rsid w:val="00777893"/>
    <w:rsid w:val="00777A8B"/>
    <w:rsid w:val="00777EE4"/>
    <w:rsid w:val="00780125"/>
    <w:rsid w:val="00780DC5"/>
    <w:rsid w:val="00780E35"/>
    <w:rsid w:val="007814BB"/>
    <w:rsid w:val="00781977"/>
    <w:rsid w:val="00781D40"/>
    <w:rsid w:val="00782551"/>
    <w:rsid w:val="0078344B"/>
    <w:rsid w:val="00783B63"/>
    <w:rsid w:val="00783FA8"/>
    <w:rsid w:val="00784341"/>
    <w:rsid w:val="00784548"/>
    <w:rsid w:val="007852E9"/>
    <w:rsid w:val="00785933"/>
    <w:rsid w:val="00785A3D"/>
    <w:rsid w:val="00785DB3"/>
    <w:rsid w:val="007866B7"/>
    <w:rsid w:val="00786C80"/>
    <w:rsid w:val="00786F48"/>
    <w:rsid w:val="007870EF"/>
    <w:rsid w:val="00787806"/>
    <w:rsid w:val="00790B15"/>
    <w:rsid w:val="00790CD7"/>
    <w:rsid w:val="00790F49"/>
    <w:rsid w:val="007913BB"/>
    <w:rsid w:val="00791FAB"/>
    <w:rsid w:val="007922A0"/>
    <w:rsid w:val="007925E1"/>
    <w:rsid w:val="00792F29"/>
    <w:rsid w:val="007931CB"/>
    <w:rsid w:val="007949AC"/>
    <w:rsid w:val="007951D4"/>
    <w:rsid w:val="00795243"/>
    <w:rsid w:val="007954D5"/>
    <w:rsid w:val="0079551C"/>
    <w:rsid w:val="007965BE"/>
    <w:rsid w:val="007966D2"/>
    <w:rsid w:val="00797085"/>
    <w:rsid w:val="007971C7"/>
    <w:rsid w:val="007972B7"/>
    <w:rsid w:val="007973E1"/>
    <w:rsid w:val="00797828"/>
    <w:rsid w:val="007979D0"/>
    <w:rsid w:val="00797B29"/>
    <w:rsid w:val="00797C46"/>
    <w:rsid w:val="007A0C3D"/>
    <w:rsid w:val="007A19F6"/>
    <w:rsid w:val="007A1B28"/>
    <w:rsid w:val="007A1EFE"/>
    <w:rsid w:val="007A1F1B"/>
    <w:rsid w:val="007A2B65"/>
    <w:rsid w:val="007A3910"/>
    <w:rsid w:val="007A398B"/>
    <w:rsid w:val="007A3DBE"/>
    <w:rsid w:val="007A4B9A"/>
    <w:rsid w:val="007A4E06"/>
    <w:rsid w:val="007A50BB"/>
    <w:rsid w:val="007A5617"/>
    <w:rsid w:val="007A561A"/>
    <w:rsid w:val="007A5874"/>
    <w:rsid w:val="007A58F6"/>
    <w:rsid w:val="007A63D6"/>
    <w:rsid w:val="007A6485"/>
    <w:rsid w:val="007A664F"/>
    <w:rsid w:val="007A6D07"/>
    <w:rsid w:val="007A73CB"/>
    <w:rsid w:val="007A7536"/>
    <w:rsid w:val="007B0239"/>
    <w:rsid w:val="007B0245"/>
    <w:rsid w:val="007B06B4"/>
    <w:rsid w:val="007B083F"/>
    <w:rsid w:val="007B0880"/>
    <w:rsid w:val="007B0D01"/>
    <w:rsid w:val="007B134F"/>
    <w:rsid w:val="007B1392"/>
    <w:rsid w:val="007B17C5"/>
    <w:rsid w:val="007B2085"/>
    <w:rsid w:val="007B276C"/>
    <w:rsid w:val="007B27CA"/>
    <w:rsid w:val="007B2B72"/>
    <w:rsid w:val="007B2FDC"/>
    <w:rsid w:val="007B38A0"/>
    <w:rsid w:val="007B38B7"/>
    <w:rsid w:val="007B3DC6"/>
    <w:rsid w:val="007B4F7B"/>
    <w:rsid w:val="007B52DF"/>
    <w:rsid w:val="007B54CC"/>
    <w:rsid w:val="007B558C"/>
    <w:rsid w:val="007B583D"/>
    <w:rsid w:val="007B6684"/>
    <w:rsid w:val="007B6B21"/>
    <w:rsid w:val="007B6E75"/>
    <w:rsid w:val="007B6EF5"/>
    <w:rsid w:val="007B7024"/>
    <w:rsid w:val="007B728F"/>
    <w:rsid w:val="007C0390"/>
    <w:rsid w:val="007C045D"/>
    <w:rsid w:val="007C0686"/>
    <w:rsid w:val="007C0AAF"/>
    <w:rsid w:val="007C12F4"/>
    <w:rsid w:val="007C14A2"/>
    <w:rsid w:val="007C1B84"/>
    <w:rsid w:val="007C226E"/>
    <w:rsid w:val="007C264F"/>
    <w:rsid w:val="007C2E58"/>
    <w:rsid w:val="007C300E"/>
    <w:rsid w:val="007C328D"/>
    <w:rsid w:val="007C336F"/>
    <w:rsid w:val="007C41B1"/>
    <w:rsid w:val="007C5E11"/>
    <w:rsid w:val="007C64AC"/>
    <w:rsid w:val="007C6727"/>
    <w:rsid w:val="007C6B50"/>
    <w:rsid w:val="007C6BF4"/>
    <w:rsid w:val="007C725F"/>
    <w:rsid w:val="007C735F"/>
    <w:rsid w:val="007C75BF"/>
    <w:rsid w:val="007C7F49"/>
    <w:rsid w:val="007C7F6E"/>
    <w:rsid w:val="007D15FF"/>
    <w:rsid w:val="007D1811"/>
    <w:rsid w:val="007D203B"/>
    <w:rsid w:val="007D2A43"/>
    <w:rsid w:val="007D2FC5"/>
    <w:rsid w:val="007D30B7"/>
    <w:rsid w:val="007D3D98"/>
    <w:rsid w:val="007D4C0B"/>
    <w:rsid w:val="007D4C6D"/>
    <w:rsid w:val="007D559C"/>
    <w:rsid w:val="007D7360"/>
    <w:rsid w:val="007D7E6C"/>
    <w:rsid w:val="007E06CF"/>
    <w:rsid w:val="007E0EA0"/>
    <w:rsid w:val="007E15AD"/>
    <w:rsid w:val="007E1C81"/>
    <w:rsid w:val="007E23F2"/>
    <w:rsid w:val="007E25ED"/>
    <w:rsid w:val="007E2BC0"/>
    <w:rsid w:val="007E3082"/>
    <w:rsid w:val="007E3E1E"/>
    <w:rsid w:val="007E41E8"/>
    <w:rsid w:val="007E42FD"/>
    <w:rsid w:val="007E434C"/>
    <w:rsid w:val="007E44FD"/>
    <w:rsid w:val="007E4784"/>
    <w:rsid w:val="007E52B5"/>
    <w:rsid w:val="007E5523"/>
    <w:rsid w:val="007E69A1"/>
    <w:rsid w:val="007E7681"/>
    <w:rsid w:val="007E7864"/>
    <w:rsid w:val="007E7CB4"/>
    <w:rsid w:val="007F0712"/>
    <w:rsid w:val="007F0A72"/>
    <w:rsid w:val="007F159A"/>
    <w:rsid w:val="007F1ABB"/>
    <w:rsid w:val="007F1B13"/>
    <w:rsid w:val="007F221C"/>
    <w:rsid w:val="007F230B"/>
    <w:rsid w:val="007F24C1"/>
    <w:rsid w:val="007F2A7C"/>
    <w:rsid w:val="007F2CD3"/>
    <w:rsid w:val="007F3083"/>
    <w:rsid w:val="007F3113"/>
    <w:rsid w:val="007F3A07"/>
    <w:rsid w:val="007F4BCC"/>
    <w:rsid w:val="007F5B02"/>
    <w:rsid w:val="007F5C94"/>
    <w:rsid w:val="007F647E"/>
    <w:rsid w:val="007F67E9"/>
    <w:rsid w:val="007F7B30"/>
    <w:rsid w:val="007F7C7B"/>
    <w:rsid w:val="008000A8"/>
    <w:rsid w:val="00800C9D"/>
    <w:rsid w:val="00800E68"/>
    <w:rsid w:val="0080103E"/>
    <w:rsid w:val="0080177B"/>
    <w:rsid w:val="00802359"/>
    <w:rsid w:val="00803699"/>
    <w:rsid w:val="00803737"/>
    <w:rsid w:val="00803D86"/>
    <w:rsid w:val="008040A2"/>
    <w:rsid w:val="00804501"/>
    <w:rsid w:val="00804632"/>
    <w:rsid w:val="00804D02"/>
    <w:rsid w:val="0080514D"/>
    <w:rsid w:val="00805363"/>
    <w:rsid w:val="00805450"/>
    <w:rsid w:val="00805487"/>
    <w:rsid w:val="008054D9"/>
    <w:rsid w:val="008057D3"/>
    <w:rsid w:val="00806688"/>
    <w:rsid w:val="00806D51"/>
    <w:rsid w:val="00806D88"/>
    <w:rsid w:val="00807272"/>
    <w:rsid w:val="00807A3E"/>
    <w:rsid w:val="00810338"/>
    <w:rsid w:val="00810427"/>
    <w:rsid w:val="00811135"/>
    <w:rsid w:val="00812282"/>
    <w:rsid w:val="008124E8"/>
    <w:rsid w:val="0081312C"/>
    <w:rsid w:val="008137E0"/>
    <w:rsid w:val="008138A9"/>
    <w:rsid w:val="00813909"/>
    <w:rsid w:val="00813B6F"/>
    <w:rsid w:val="00813EA8"/>
    <w:rsid w:val="00814544"/>
    <w:rsid w:val="008148E4"/>
    <w:rsid w:val="008153AC"/>
    <w:rsid w:val="00815599"/>
    <w:rsid w:val="008157F1"/>
    <w:rsid w:val="0081581E"/>
    <w:rsid w:val="00815AF9"/>
    <w:rsid w:val="0081645D"/>
    <w:rsid w:val="00816897"/>
    <w:rsid w:val="00816EC2"/>
    <w:rsid w:val="00816F38"/>
    <w:rsid w:val="008176D5"/>
    <w:rsid w:val="008202E6"/>
    <w:rsid w:val="008210BF"/>
    <w:rsid w:val="008214BA"/>
    <w:rsid w:val="0082179E"/>
    <w:rsid w:val="00821B3F"/>
    <w:rsid w:val="00822A34"/>
    <w:rsid w:val="00823341"/>
    <w:rsid w:val="008236E1"/>
    <w:rsid w:val="0082390C"/>
    <w:rsid w:val="008239FF"/>
    <w:rsid w:val="00823C0B"/>
    <w:rsid w:val="00823CCD"/>
    <w:rsid w:val="008243B7"/>
    <w:rsid w:val="00824458"/>
    <w:rsid w:val="008248A4"/>
    <w:rsid w:val="008249F7"/>
    <w:rsid w:val="00824B74"/>
    <w:rsid w:val="00824BF0"/>
    <w:rsid w:val="00824FFA"/>
    <w:rsid w:val="0082568B"/>
    <w:rsid w:val="00825F75"/>
    <w:rsid w:val="00826840"/>
    <w:rsid w:val="00827027"/>
    <w:rsid w:val="00827E0B"/>
    <w:rsid w:val="008319B9"/>
    <w:rsid w:val="00831B70"/>
    <w:rsid w:val="00831C4C"/>
    <w:rsid w:val="008321BD"/>
    <w:rsid w:val="008330D3"/>
    <w:rsid w:val="00834991"/>
    <w:rsid w:val="00835030"/>
    <w:rsid w:val="00835EC9"/>
    <w:rsid w:val="00836B96"/>
    <w:rsid w:val="00836F87"/>
    <w:rsid w:val="00837008"/>
    <w:rsid w:val="0084033A"/>
    <w:rsid w:val="0084092D"/>
    <w:rsid w:val="00840D52"/>
    <w:rsid w:val="008411CD"/>
    <w:rsid w:val="00841388"/>
    <w:rsid w:val="00841B22"/>
    <w:rsid w:val="00841EFB"/>
    <w:rsid w:val="00841F44"/>
    <w:rsid w:val="00841F72"/>
    <w:rsid w:val="00842237"/>
    <w:rsid w:val="00842291"/>
    <w:rsid w:val="0084284C"/>
    <w:rsid w:val="00842C82"/>
    <w:rsid w:val="00842F3A"/>
    <w:rsid w:val="00842FDF"/>
    <w:rsid w:val="008436D7"/>
    <w:rsid w:val="00843B07"/>
    <w:rsid w:val="00843E7E"/>
    <w:rsid w:val="008440FE"/>
    <w:rsid w:val="00844BFB"/>
    <w:rsid w:val="008453A2"/>
    <w:rsid w:val="00845DE0"/>
    <w:rsid w:val="00846036"/>
    <w:rsid w:val="00846119"/>
    <w:rsid w:val="008463AA"/>
    <w:rsid w:val="008466DB"/>
    <w:rsid w:val="008469BA"/>
    <w:rsid w:val="008469D1"/>
    <w:rsid w:val="00846AB4"/>
    <w:rsid w:val="00846CDC"/>
    <w:rsid w:val="00846D49"/>
    <w:rsid w:val="0084719C"/>
    <w:rsid w:val="008474DC"/>
    <w:rsid w:val="008474E3"/>
    <w:rsid w:val="00851D96"/>
    <w:rsid w:val="0085211C"/>
    <w:rsid w:val="008527ED"/>
    <w:rsid w:val="00852C31"/>
    <w:rsid w:val="00852DB7"/>
    <w:rsid w:val="00853206"/>
    <w:rsid w:val="008537F7"/>
    <w:rsid w:val="00853A67"/>
    <w:rsid w:val="008546BE"/>
    <w:rsid w:val="00854A44"/>
    <w:rsid w:val="00854E7E"/>
    <w:rsid w:val="008555DA"/>
    <w:rsid w:val="00856074"/>
    <w:rsid w:val="008560AF"/>
    <w:rsid w:val="008573D9"/>
    <w:rsid w:val="00857949"/>
    <w:rsid w:val="00857E60"/>
    <w:rsid w:val="008600DB"/>
    <w:rsid w:val="008628DA"/>
    <w:rsid w:val="008629BC"/>
    <w:rsid w:val="00862DF3"/>
    <w:rsid w:val="008637C2"/>
    <w:rsid w:val="0086464A"/>
    <w:rsid w:val="00864670"/>
    <w:rsid w:val="00864ACB"/>
    <w:rsid w:val="00864CE4"/>
    <w:rsid w:val="00864F6B"/>
    <w:rsid w:val="00865132"/>
    <w:rsid w:val="0086537B"/>
    <w:rsid w:val="00867F5A"/>
    <w:rsid w:val="00867FB0"/>
    <w:rsid w:val="00870A04"/>
    <w:rsid w:val="00870CD1"/>
    <w:rsid w:val="008719C2"/>
    <w:rsid w:val="00871E4A"/>
    <w:rsid w:val="0087277A"/>
    <w:rsid w:val="00872A47"/>
    <w:rsid w:val="0087313C"/>
    <w:rsid w:val="008736E2"/>
    <w:rsid w:val="008736F9"/>
    <w:rsid w:val="00873915"/>
    <w:rsid w:val="00874455"/>
    <w:rsid w:val="00874565"/>
    <w:rsid w:val="008745BF"/>
    <w:rsid w:val="00876433"/>
    <w:rsid w:val="00876ADC"/>
    <w:rsid w:val="00877247"/>
    <w:rsid w:val="00877826"/>
    <w:rsid w:val="0087783B"/>
    <w:rsid w:val="008801AE"/>
    <w:rsid w:val="00880AA3"/>
    <w:rsid w:val="00880E32"/>
    <w:rsid w:val="00880EF8"/>
    <w:rsid w:val="0088182D"/>
    <w:rsid w:val="00881DCC"/>
    <w:rsid w:val="008821CD"/>
    <w:rsid w:val="008823B4"/>
    <w:rsid w:val="00882469"/>
    <w:rsid w:val="008826E4"/>
    <w:rsid w:val="0088421C"/>
    <w:rsid w:val="0088445B"/>
    <w:rsid w:val="00885C33"/>
    <w:rsid w:val="008861A4"/>
    <w:rsid w:val="00886BED"/>
    <w:rsid w:val="00887252"/>
    <w:rsid w:val="0088745B"/>
    <w:rsid w:val="008874C4"/>
    <w:rsid w:val="00887B8C"/>
    <w:rsid w:val="00891AF6"/>
    <w:rsid w:val="00891BC3"/>
    <w:rsid w:val="008928E0"/>
    <w:rsid w:val="00892C9B"/>
    <w:rsid w:val="008937C8"/>
    <w:rsid w:val="00893F40"/>
    <w:rsid w:val="00893FF8"/>
    <w:rsid w:val="00894A65"/>
    <w:rsid w:val="0089514D"/>
    <w:rsid w:val="00895551"/>
    <w:rsid w:val="00895594"/>
    <w:rsid w:val="008967C4"/>
    <w:rsid w:val="00896C71"/>
    <w:rsid w:val="00897E14"/>
    <w:rsid w:val="008A0982"/>
    <w:rsid w:val="008A0D2A"/>
    <w:rsid w:val="008A100F"/>
    <w:rsid w:val="008A144F"/>
    <w:rsid w:val="008A151C"/>
    <w:rsid w:val="008A1693"/>
    <w:rsid w:val="008A1796"/>
    <w:rsid w:val="008A1D86"/>
    <w:rsid w:val="008A254F"/>
    <w:rsid w:val="008A2630"/>
    <w:rsid w:val="008A29BA"/>
    <w:rsid w:val="008A32AF"/>
    <w:rsid w:val="008A33E5"/>
    <w:rsid w:val="008A3C7F"/>
    <w:rsid w:val="008A4511"/>
    <w:rsid w:val="008A466A"/>
    <w:rsid w:val="008A46F5"/>
    <w:rsid w:val="008A488E"/>
    <w:rsid w:val="008A5383"/>
    <w:rsid w:val="008A5833"/>
    <w:rsid w:val="008A5ADE"/>
    <w:rsid w:val="008A5F27"/>
    <w:rsid w:val="008A60A1"/>
    <w:rsid w:val="008A6E3F"/>
    <w:rsid w:val="008A72B8"/>
    <w:rsid w:val="008A7DBE"/>
    <w:rsid w:val="008A7FA6"/>
    <w:rsid w:val="008A7FAA"/>
    <w:rsid w:val="008A7FC5"/>
    <w:rsid w:val="008B01D8"/>
    <w:rsid w:val="008B0FD9"/>
    <w:rsid w:val="008B1792"/>
    <w:rsid w:val="008B1832"/>
    <w:rsid w:val="008B2901"/>
    <w:rsid w:val="008B37AE"/>
    <w:rsid w:val="008B3A88"/>
    <w:rsid w:val="008B3C6B"/>
    <w:rsid w:val="008B4536"/>
    <w:rsid w:val="008B4A4E"/>
    <w:rsid w:val="008B4BFC"/>
    <w:rsid w:val="008B51B4"/>
    <w:rsid w:val="008B5784"/>
    <w:rsid w:val="008B5B67"/>
    <w:rsid w:val="008B5D7A"/>
    <w:rsid w:val="008B66C8"/>
    <w:rsid w:val="008B66E3"/>
    <w:rsid w:val="008B681F"/>
    <w:rsid w:val="008B6EA3"/>
    <w:rsid w:val="008B7848"/>
    <w:rsid w:val="008C07E9"/>
    <w:rsid w:val="008C0AD7"/>
    <w:rsid w:val="008C0D38"/>
    <w:rsid w:val="008C0E7E"/>
    <w:rsid w:val="008C11A0"/>
    <w:rsid w:val="008C1D32"/>
    <w:rsid w:val="008C1E05"/>
    <w:rsid w:val="008C1F87"/>
    <w:rsid w:val="008C34BB"/>
    <w:rsid w:val="008C405A"/>
    <w:rsid w:val="008C43F7"/>
    <w:rsid w:val="008C45E2"/>
    <w:rsid w:val="008C4BDD"/>
    <w:rsid w:val="008C5164"/>
    <w:rsid w:val="008C5329"/>
    <w:rsid w:val="008C5676"/>
    <w:rsid w:val="008C5CBB"/>
    <w:rsid w:val="008C6A6A"/>
    <w:rsid w:val="008C7E8D"/>
    <w:rsid w:val="008D013D"/>
    <w:rsid w:val="008D0E91"/>
    <w:rsid w:val="008D1F8C"/>
    <w:rsid w:val="008D278A"/>
    <w:rsid w:val="008D2EA4"/>
    <w:rsid w:val="008D2F8B"/>
    <w:rsid w:val="008D3726"/>
    <w:rsid w:val="008D3C31"/>
    <w:rsid w:val="008D3ECE"/>
    <w:rsid w:val="008D47F1"/>
    <w:rsid w:val="008D49FB"/>
    <w:rsid w:val="008D4CB0"/>
    <w:rsid w:val="008D54E6"/>
    <w:rsid w:val="008D5873"/>
    <w:rsid w:val="008D6186"/>
    <w:rsid w:val="008D6397"/>
    <w:rsid w:val="008D73C9"/>
    <w:rsid w:val="008D7605"/>
    <w:rsid w:val="008D78E9"/>
    <w:rsid w:val="008E0409"/>
    <w:rsid w:val="008E13CC"/>
    <w:rsid w:val="008E16BF"/>
    <w:rsid w:val="008E22F6"/>
    <w:rsid w:val="008E24F6"/>
    <w:rsid w:val="008E27B5"/>
    <w:rsid w:val="008E3049"/>
    <w:rsid w:val="008E3512"/>
    <w:rsid w:val="008E35A3"/>
    <w:rsid w:val="008E399A"/>
    <w:rsid w:val="008E4030"/>
    <w:rsid w:val="008E4CBD"/>
    <w:rsid w:val="008E548E"/>
    <w:rsid w:val="008E606C"/>
    <w:rsid w:val="008E642A"/>
    <w:rsid w:val="008E6934"/>
    <w:rsid w:val="008E6CC0"/>
    <w:rsid w:val="008E7274"/>
    <w:rsid w:val="008E7894"/>
    <w:rsid w:val="008F0297"/>
    <w:rsid w:val="008F0543"/>
    <w:rsid w:val="008F0544"/>
    <w:rsid w:val="008F0562"/>
    <w:rsid w:val="008F0716"/>
    <w:rsid w:val="008F1423"/>
    <w:rsid w:val="008F147F"/>
    <w:rsid w:val="008F249C"/>
    <w:rsid w:val="008F260B"/>
    <w:rsid w:val="008F289B"/>
    <w:rsid w:val="008F3DA3"/>
    <w:rsid w:val="008F4CAF"/>
    <w:rsid w:val="008F51D3"/>
    <w:rsid w:val="008F6180"/>
    <w:rsid w:val="008F61A5"/>
    <w:rsid w:val="008F6CC0"/>
    <w:rsid w:val="008F6D2E"/>
    <w:rsid w:val="008F6F30"/>
    <w:rsid w:val="008F7107"/>
    <w:rsid w:val="0090001B"/>
    <w:rsid w:val="009006DF"/>
    <w:rsid w:val="00901252"/>
    <w:rsid w:val="0090255A"/>
    <w:rsid w:val="009029E4"/>
    <w:rsid w:val="00902B6E"/>
    <w:rsid w:val="00903B89"/>
    <w:rsid w:val="00903BE3"/>
    <w:rsid w:val="00903EE1"/>
    <w:rsid w:val="00906075"/>
    <w:rsid w:val="00906266"/>
    <w:rsid w:val="009063DE"/>
    <w:rsid w:val="00906821"/>
    <w:rsid w:val="00906E65"/>
    <w:rsid w:val="00907174"/>
    <w:rsid w:val="00907413"/>
    <w:rsid w:val="009108C6"/>
    <w:rsid w:val="0091092D"/>
    <w:rsid w:val="0091159D"/>
    <w:rsid w:val="00911752"/>
    <w:rsid w:val="0091179A"/>
    <w:rsid w:val="009118A4"/>
    <w:rsid w:val="00911C3E"/>
    <w:rsid w:val="00911E76"/>
    <w:rsid w:val="00912328"/>
    <w:rsid w:val="0091344E"/>
    <w:rsid w:val="0091426E"/>
    <w:rsid w:val="009142D7"/>
    <w:rsid w:val="009144D5"/>
    <w:rsid w:val="0091473E"/>
    <w:rsid w:val="00914763"/>
    <w:rsid w:val="00915AFE"/>
    <w:rsid w:val="00915F98"/>
    <w:rsid w:val="00915FA3"/>
    <w:rsid w:val="00917327"/>
    <w:rsid w:val="00917406"/>
    <w:rsid w:val="00917781"/>
    <w:rsid w:val="0091795F"/>
    <w:rsid w:val="0092057E"/>
    <w:rsid w:val="009217F8"/>
    <w:rsid w:val="009228CE"/>
    <w:rsid w:val="009229B8"/>
    <w:rsid w:val="00923272"/>
    <w:rsid w:val="00923689"/>
    <w:rsid w:val="00923E92"/>
    <w:rsid w:val="0092470E"/>
    <w:rsid w:val="0092477F"/>
    <w:rsid w:val="00924F8C"/>
    <w:rsid w:val="00925187"/>
    <w:rsid w:val="00925544"/>
    <w:rsid w:val="00925650"/>
    <w:rsid w:val="00925C07"/>
    <w:rsid w:val="0092709C"/>
    <w:rsid w:val="0092717F"/>
    <w:rsid w:val="00927744"/>
    <w:rsid w:val="00927B05"/>
    <w:rsid w:val="00927C13"/>
    <w:rsid w:val="00927FF2"/>
    <w:rsid w:val="00930D8B"/>
    <w:rsid w:val="00930F4E"/>
    <w:rsid w:val="00931EE3"/>
    <w:rsid w:val="009330EB"/>
    <w:rsid w:val="0093389B"/>
    <w:rsid w:val="00933AEA"/>
    <w:rsid w:val="00933CF0"/>
    <w:rsid w:val="0093469B"/>
    <w:rsid w:val="0093482F"/>
    <w:rsid w:val="00936051"/>
    <w:rsid w:val="00936062"/>
    <w:rsid w:val="00936625"/>
    <w:rsid w:val="00936B8C"/>
    <w:rsid w:val="00937CBE"/>
    <w:rsid w:val="00937FA7"/>
    <w:rsid w:val="00940630"/>
    <w:rsid w:val="00940908"/>
    <w:rsid w:val="00940BA0"/>
    <w:rsid w:val="00940ED5"/>
    <w:rsid w:val="00940FE7"/>
    <w:rsid w:val="00941069"/>
    <w:rsid w:val="009413C5"/>
    <w:rsid w:val="00941694"/>
    <w:rsid w:val="00942331"/>
    <w:rsid w:val="00942AED"/>
    <w:rsid w:val="009430AC"/>
    <w:rsid w:val="00943557"/>
    <w:rsid w:val="00943733"/>
    <w:rsid w:val="00944087"/>
    <w:rsid w:val="00944198"/>
    <w:rsid w:val="009446A0"/>
    <w:rsid w:val="00944E74"/>
    <w:rsid w:val="00944EC6"/>
    <w:rsid w:val="00945364"/>
    <w:rsid w:val="0094543E"/>
    <w:rsid w:val="009456DB"/>
    <w:rsid w:val="00945937"/>
    <w:rsid w:val="009459FD"/>
    <w:rsid w:val="0094614F"/>
    <w:rsid w:val="009466BF"/>
    <w:rsid w:val="00946B4A"/>
    <w:rsid w:val="0094712F"/>
    <w:rsid w:val="00947256"/>
    <w:rsid w:val="0095012E"/>
    <w:rsid w:val="009503B9"/>
    <w:rsid w:val="00950506"/>
    <w:rsid w:val="0095050B"/>
    <w:rsid w:val="009507C3"/>
    <w:rsid w:val="009518EB"/>
    <w:rsid w:val="00951934"/>
    <w:rsid w:val="0095207B"/>
    <w:rsid w:val="00952702"/>
    <w:rsid w:val="009527FF"/>
    <w:rsid w:val="0095315A"/>
    <w:rsid w:val="0095359A"/>
    <w:rsid w:val="0095462B"/>
    <w:rsid w:val="00954887"/>
    <w:rsid w:val="009548BE"/>
    <w:rsid w:val="0095496D"/>
    <w:rsid w:val="00954C8C"/>
    <w:rsid w:val="00954FC3"/>
    <w:rsid w:val="0095556E"/>
    <w:rsid w:val="00955DF3"/>
    <w:rsid w:val="009561F0"/>
    <w:rsid w:val="00956ACE"/>
    <w:rsid w:val="009572A0"/>
    <w:rsid w:val="009576A9"/>
    <w:rsid w:val="00957D24"/>
    <w:rsid w:val="00960DCF"/>
    <w:rsid w:val="009610B1"/>
    <w:rsid w:val="009618F8"/>
    <w:rsid w:val="009619C1"/>
    <w:rsid w:val="00961B53"/>
    <w:rsid w:val="00962883"/>
    <w:rsid w:val="00962ACD"/>
    <w:rsid w:val="00963264"/>
    <w:rsid w:val="009637D4"/>
    <w:rsid w:val="0096389D"/>
    <w:rsid w:val="00963A3C"/>
    <w:rsid w:val="00963F8D"/>
    <w:rsid w:val="009645A7"/>
    <w:rsid w:val="00964873"/>
    <w:rsid w:val="00964AD9"/>
    <w:rsid w:val="00964B1F"/>
    <w:rsid w:val="0096522C"/>
    <w:rsid w:val="0096574D"/>
    <w:rsid w:val="00965D13"/>
    <w:rsid w:val="00965D63"/>
    <w:rsid w:val="0096643C"/>
    <w:rsid w:val="009667DC"/>
    <w:rsid w:val="009668C7"/>
    <w:rsid w:val="00966B00"/>
    <w:rsid w:val="0096724A"/>
    <w:rsid w:val="009676C0"/>
    <w:rsid w:val="00967A69"/>
    <w:rsid w:val="009701E7"/>
    <w:rsid w:val="0097024F"/>
    <w:rsid w:val="009706EC"/>
    <w:rsid w:val="00970BE8"/>
    <w:rsid w:val="00971EB4"/>
    <w:rsid w:val="0097236D"/>
    <w:rsid w:val="0097278D"/>
    <w:rsid w:val="009729CC"/>
    <w:rsid w:val="00972AB9"/>
    <w:rsid w:val="00972C12"/>
    <w:rsid w:val="00973753"/>
    <w:rsid w:val="00973A6C"/>
    <w:rsid w:val="009743B8"/>
    <w:rsid w:val="00974ADD"/>
    <w:rsid w:val="009759E2"/>
    <w:rsid w:val="00975BC5"/>
    <w:rsid w:val="0097677E"/>
    <w:rsid w:val="00976B4A"/>
    <w:rsid w:val="0097717D"/>
    <w:rsid w:val="009771B4"/>
    <w:rsid w:val="0098007F"/>
    <w:rsid w:val="009803A9"/>
    <w:rsid w:val="009803CB"/>
    <w:rsid w:val="009803D4"/>
    <w:rsid w:val="009806B4"/>
    <w:rsid w:val="009807A2"/>
    <w:rsid w:val="009807A8"/>
    <w:rsid w:val="00980B04"/>
    <w:rsid w:val="00980B55"/>
    <w:rsid w:val="009811FB"/>
    <w:rsid w:val="009816D8"/>
    <w:rsid w:val="00981986"/>
    <w:rsid w:val="0098199C"/>
    <w:rsid w:val="00982BD8"/>
    <w:rsid w:val="00982C33"/>
    <w:rsid w:val="0098373F"/>
    <w:rsid w:val="00984D68"/>
    <w:rsid w:val="009851E4"/>
    <w:rsid w:val="0098585E"/>
    <w:rsid w:val="00985E11"/>
    <w:rsid w:val="009865F0"/>
    <w:rsid w:val="00986828"/>
    <w:rsid w:val="00986B50"/>
    <w:rsid w:val="009873CD"/>
    <w:rsid w:val="009873F3"/>
    <w:rsid w:val="0098794B"/>
    <w:rsid w:val="00987B70"/>
    <w:rsid w:val="00987DE0"/>
    <w:rsid w:val="0099088A"/>
    <w:rsid w:val="00990DE1"/>
    <w:rsid w:val="009918B2"/>
    <w:rsid w:val="00992F12"/>
    <w:rsid w:val="00992FC1"/>
    <w:rsid w:val="0099430F"/>
    <w:rsid w:val="0099446B"/>
    <w:rsid w:val="0099460B"/>
    <w:rsid w:val="00994A26"/>
    <w:rsid w:val="00994BB7"/>
    <w:rsid w:val="00994DDC"/>
    <w:rsid w:val="0099573E"/>
    <w:rsid w:val="00995E98"/>
    <w:rsid w:val="00996BA7"/>
    <w:rsid w:val="00996F15"/>
    <w:rsid w:val="00997BA8"/>
    <w:rsid w:val="009A0031"/>
    <w:rsid w:val="009A0089"/>
    <w:rsid w:val="009A06F4"/>
    <w:rsid w:val="009A09C9"/>
    <w:rsid w:val="009A137F"/>
    <w:rsid w:val="009A2701"/>
    <w:rsid w:val="009A2C10"/>
    <w:rsid w:val="009A2EDE"/>
    <w:rsid w:val="009A3557"/>
    <w:rsid w:val="009A3778"/>
    <w:rsid w:val="009A3E2E"/>
    <w:rsid w:val="009A4BDB"/>
    <w:rsid w:val="009A58D1"/>
    <w:rsid w:val="009A5AB0"/>
    <w:rsid w:val="009A5AB5"/>
    <w:rsid w:val="009A5E3F"/>
    <w:rsid w:val="009A60F3"/>
    <w:rsid w:val="009A618A"/>
    <w:rsid w:val="009A6526"/>
    <w:rsid w:val="009A7DD6"/>
    <w:rsid w:val="009A7E58"/>
    <w:rsid w:val="009A7F34"/>
    <w:rsid w:val="009B0CF4"/>
    <w:rsid w:val="009B1A1A"/>
    <w:rsid w:val="009B1AC8"/>
    <w:rsid w:val="009B2245"/>
    <w:rsid w:val="009B258E"/>
    <w:rsid w:val="009B2762"/>
    <w:rsid w:val="009B34E0"/>
    <w:rsid w:val="009B377D"/>
    <w:rsid w:val="009B3A6A"/>
    <w:rsid w:val="009B467C"/>
    <w:rsid w:val="009B4EEE"/>
    <w:rsid w:val="009B520C"/>
    <w:rsid w:val="009B566C"/>
    <w:rsid w:val="009B5997"/>
    <w:rsid w:val="009B6B23"/>
    <w:rsid w:val="009B6DDB"/>
    <w:rsid w:val="009B73BE"/>
    <w:rsid w:val="009B7ABD"/>
    <w:rsid w:val="009C0194"/>
    <w:rsid w:val="009C080B"/>
    <w:rsid w:val="009C081D"/>
    <w:rsid w:val="009C0B34"/>
    <w:rsid w:val="009C1D27"/>
    <w:rsid w:val="009C1DB8"/>
    <w:rsid w:val="009C1F1D"/>
    <w:rsid w:val="009C1FDE"/>
    <w:rsid w:val="009C201A"/>
    <w:rsid w:val="009C22EF"/>
    <w:rsid w:val="009C23D2"/>
    <w:rsid w:val="009C2433"/>
    <w:rsid w:val="009C2D6E"/>
    <w:rsid w:val="009C2F69"/>
    <w:rsid w:val="009C38EF"/>
    <w:rsid w:val="009C39E0"/>
    <w:rsid w:val="009C3B69"/>
    <w:rsid w:val="009C3BD9"/>
    <w:rsid w:val="009C421B"/>
    <w:rsid w:val="009C4683"/>
    <w:rsid w:val="009C469D"/>
    <w:rsid w:val="009C5082"/>
    <w:rsid w:val="009C5232"/>
    <w:rsid w:val="009C5243"/>
    <w:rsid w:val="009C527C"/>
    <w:rsid w:val="009C577F"/>
    <w:rsid w:val="009C5B82"/>
    <w:rsid w:val="009C670C"/>
    <w:rsid w:val="009C68DD"/>
    <w:rsid w:val="009C7361"/>
    <w:rsid w:val="009C756E"/>
    <w:rsid w:val="009C7969"/>
    <w:rsid w:val="009D01F1"/>
    <w:rsid w:val="009D05DE"/>
    <w:rsid w:val="009D06BD"/>
    <w:rsid w:val="009D1744"/>
    <w:rsid w:val="009D21BE"/>
    <w:rsid w:val="009D2519"/>
    <w:rsid w:val="009D2613"/>
    <w:rsid w:val="009D3380"/>
    <w:rsid w:val="009D3B7F"/>
    <w:rsid w:val="009D3C3D"/>
    <w:rsid w:val="009D3CF2"/>
    <w:rsid w:val="009D3E69"/>
    <w:rsid w:val="009D4153"/>
    <w:rsid w:val="009D4A38"/>
    <w:rsid w:val="009D4D44"/>
    <w:rsid w:val="009D5090"/>
    <w:rsid w:val="009D5288"/>
    <w:rsid w:val="009D59EE"/>
    <w:rsid w:val="009D5E8E"/>
    <w:rsid w:val="009D6121"/>
    <w:rsid w:val="009D6990"/>
    <w:rsid w:val="009D6A85"/>
    <w:rsid w:val="009D6DAC"/>
    <w:rsid w:val="009D6F05"/>
    <w:rsid w:val="009D70A4"/>
    <w:rsid w:val="009E083C"/>
    <w:rsid w:val="009E1674"/>
    <w:rsid w:val="009E1D6C"/>
    <w:rsid w:val="009E250D"/>
    <w:rsid w:val="009E259E"/>
    <w:rsid w:val="009E2AD3"/>
    <w:rsid w:val="009E35AB"/>
    <w:rsid w:val="009E42FC"/>
    <w:rsid w:val="009E47E5"/>
    <w:rsid w:val="009E4B4D"/>
    <w:rsid w:val="009E4DBF"/>
    <w:rsid w:val="009E4E78"/>
    <w:rsid w:val="009E52BE"/>
    <w:rsid w:val="009E5789"/>
    <w:rsid w:val="009E6389"/>
    <w:rsid w:val="009E63BE"/>
    <w:rsid w:val="009E69A6"/>
    <w:rsid w:val="009E6A6C"/>
    <w:rsid w:val="009E76C4"/>
    <w:rsid w:val="009F0408"/>
    <w:rsid w:val="009F0E70"/>
    <w:rsid w:val="009F106E"/>
    <w:rsid w:val="009F146F"/>
    <w:rsid w:val="009F190B"/>
    <w:rsid w:val="009F277A"/>
    <w:rsid w:val="009F32EE"/>
    <w:rsid w:val="009F3C75"/>
    <w:rsid w:val="009F48FF"/>
    <w:rsid w:val="009F4B6F"/>
    <w:rsid w:val="009F4F27"/>
    <w:rsid w:val="009F5B94"/>
    <w:rsid w:val="009F5F32"/>
    <w:rsid w:val="009F65BF"/>
    <w:rsid w:val="009F6DBD"/>
    <w:rsid w:val="009F7B5F"/>
    <w:rsid w:val="00A002A0"/>
    <w:rsid w:val="00A0037E"/>
    <w:rsid w:val="00A00F69"/>
    <w:rsid w:val="00A01303"/>
    <w:rsid w:val="00A026F9"/>
    <w:rsid w:val="00A02BDD"/>
    <w:rsid w:val="00A02C4F"/>
    <w:rsid w:val="00A03088"/>
    <w:rsid w:val="00A0472E"/>
    <w:rsid w:val="00A04A09"/>
    <w:rsid w:val="00A04A21"/>
    <w:rsid w:val="00A05821"/>
    <w:rsid w:val="00A05C06"/>
    <w:rsid w:val="00A05D1D"/>
    <w:rsid w:val="00A05EA2"/>
    <w:rsid w:val="00A06014"/>
    <w:rsid w:val="00A06263"/>
    <w:rsid w:val="00A07381"/>
    <w:rsid w:val="00A076CC"/>
    <w:rsid w:val="00A07ABC"/>
    <w:rsid w:val="00A07BCC"/>
    <w:rsid w:val="00A10069"/>
    <w:rsid w:val="00A108D6"/>
    <w:rsid w:val="00A10938"/>
    <w:rsid w:val="00A10DAB"/>
    <w:rsid w:val="00A11622"/>
    <w:rsid w:val="00A1165C"/>
    <w:rsid w:val="00A12088"/>
    <w:rsid w:val="00A125D6"/>
    <w:rsid w:val="00A13938"/>
    <w:rsid w:val="00A13E21"/>
    <w:rsid w:val="00A142F7"/>
    <w:rsid w:val="00A144EF"/>
    <w:rsid w:val="00A14E53"/>
    <w:rsid w:val="00A14F45"/>
    <w:rsid w:val="00A15151"/>
    <w:rsid w:val="00A15521"/>
    <w:rsid w:val="00A15580"/>
    <w:rsid w:val="00A158D9"/>
    <w:rsid w:val="00A16449"/>
    <w:rsid w:val="00A169C8"/>
    <w:rsid w:val="00A17645"/>
    <w:rsid w:val="00A17D71"/>
    <w:rsid w:val="00A17DBE"/>
    <w:rsid w:val="00A20145"/>
    <w:rsid w:val="00A203B6"/>
    <w:rsid w:val="00A20728"/>
    <w:rsid w:val="00A20BFB"/>
    <w:rsid w:val="00A212FF"/>
    <w:rsid w:val="00A21C60"/>
    <w:rsid w:val="00A223E6"/>
    <w:rsid w:val="00A22EFC"/>
    <w:rsid w:val="00A25B60"/>
    <w:rsid w:val="00A25CA4"/>
    <w:rsid w:val="00A26389"/>
    <w:rsid w:val="00A265DB"/>
    <w:rsid w:val="00A26C06"/>
    <w:rsid w:val="00A26E2B"/>
    <w:rsid w:val="00A27723"/>
    <w:rsid w:val="00A27939"/>
    <w:rsid w:val="00A27FF5"/>
    <w:rsid w:val="00A30233"/>
    <w:rsid w:val="00A303B8"/>
    <w:rsid w:val="00A305F6"/>
    <w:rsid w:val="00A309B5"/>
    <w:rsid w:val="00A30B4C"/>
    <w:rsid w:val="00A31171"/>
    <w:rsid w:val="00A31C8B"/>
    <w:rsid w:val="00A3299A"/>
    <w:rsid w:val="00A335C5"/>
    <w:rsid w:val="00A33DF4"/>
    <w:rsid w:val="00A34735"/>
    <w:rsid w:val="00A34979"/>
    <w:rsid w:val="00A35BB1"/>
    <w:rsid w:val="00A35CB3"/>
    <w:rsid w:val="00A361C3"/>
    <w:rsid w:val="00A37AED"/>
    <w:rsid w:val="00A37BE2"/>
    <w:rsid w:val="00A40210"/>
    <w:rsid w:val="00A404A9"/>
    <w:rsid w:val="00A408ED"/>
    <w:rsid w:val="00A411FA"/>
    <w:rsid w:val="00A41DC4"/>
    <w:rsid w:val="00A4238E"/>
    <w:rsid w:val="00A427B4"/>
    <w:rsid w:val="00A4347B"/>
    <w:rsid w:val="00A43755"/>
    <w:rsid w:val="00A43A74"/>
    <w:rsid w:val="00A43AD2"/>
    <w:rsid w:val="00A43B2D"/>
    <w:rsid w:val="00A44399"/>
    <w:rsid w:val="00A44EC1"/>
    <w:rsid w:val="00A454B3"/>
    <w:rsid w:val="00A45E52"/>
    <w:rsid w:val="00A4626D"/>
    <w:rsid w:val="00A462BA"/>
    <w:rsid w:val="00A462E0"/>
    <w:rsid w:val="00A46652"/>
    <w:rsid w:val="00A46761"/>
    <w:rsid w:val="00A46C3C"/>
    <w:rsid w:val="00A46C8D"/>
    <w:rsid w:val="00A46D15"/>
    <w:rsid w:val="00A4713D"/>
    <w:rsid w:val="00A509E2"/>
    <w:rsid w:val="00A50DFC"/>
    <w:rsid w:val="00A50FFA"/>
    <w:rsid w:val="00A51152"/>
    <w:rsid w:val="00A51539"/>
    <w:rsid w:val="00A521CB"/>
    <w:rsid w:val="00A52864"/>
    <w:rsid w:val="00A52B0C"/>
    <w:rsid w:val="00A52DB8"/>
    <w:rsid w:val="00A5323B"/>
    <w:rsid w:val="00A53442"/>
    <w:rsid w:val="00A53BB5"/>
    <w:rsid w:val="00A53D7B"/>
    <w:rsid w:val="00A53DAE"/>
    <w:rsid w:val="00A54F36"/>
    <w:rsid w:val="00A54FB4"/>
    <w:rsid w:val="00A556F1"/>
    <w:rsid w:val="00A559B0"/>
    <w:rsid w:val="00A55BA3"/>
    <w:rsid w:val="00A5653F"/>
    <w:rsid w:val="00A56710"/>
    <w:rsid w:val="00A567D4"/>
    <w:rsid w:val="00A568C4"/>
    <w:rsid w:val="00A56962"/>
    <w:rsid w:val="00A56DE0"/>
    <w:rsid w:val="00A576A2"/>
    <w:rsid w:val="00A57DB1"/>
    <w:rsid w:val="00A600A2"/>
    <w:rsid w:val="00A600C6"/>
    <w:rsid w:val="00A60DAE"/>
    <w:rsid w:val="00A61245"/>
    <w:rsid w:val="00A61792"/>
    <w:rsid w:val="00A6206E"/>
    <w:rsid w:val="00A62E9A"/>
    <w:rsid w:val="00A6393B"/>
    <w:rsid w:val="00A639FE"/>
    <w:rsid w:val="00A63C18"/>
    <w:rsid w:val="00A64155"/>
    <w:rsid w:val="00A644B8"/>
    <w:rsid w:val="00A64F15"/>
    <w:rsid w:val="00A64FAE"/>
    <w:rsid w:val="00A652D2"/>
    <w:rsid w:val="00A657D9"/>
    <w:rsid w:val="00A657DE"/>
    <w:rsid w:val="00A65E13"/>
    <w:rsid w:val="00A65E6D"/>
    <w:rsid w:val="00A662DC"/>
    <w:rsid w:val="00A6741B"/>
    <w:rsid w:val="00A7068E"/>
    <w:rsid w:val="00A71519"/>
    <w:rsid w:val="00A71B43"/>
    <w:rsid w:val="00A71BFE"/>
    <w:rsid w:val="00A7229E"/>
    <w:rsid w:val="00A732CB"/>
    <w:rsid w:val="00A74226"/>
    <w:rsid w:val="00A757B0"/>
    <w:rsid w:val="00A7585E"/>
    <w:rsid w:val="00A766A8"/>
    <w:rsid w:val="00A766B8"/>
    <w:rsid w:val="00A7683D"/>
    <w:rsid w:val="00A76869"/>
    <w:rsid w:val="00A76E90"/>
    <w:rsid w:val="00A776A4"/>
    <w:rsid w:val="00A77D43"/>
    <w:rsid w:val="00A8049D"/>
    <w:rsid w:val="00A80C75"/>
    <w:rsid w:val="00A815EE"/>
    <w:rsid w:val="00A822C2"/>
    <w:rsid w:val="00A82990"/>
    <w:rsid w:val="00A82DB5"/>
    <w:rsid w:val="00A84417"/>
    <w:rsid w:val="00A85BA3"/>
    <w:rsid w:val="00A85D6C"/>
    <w:rsid w:val="00A86358"/>
    <w:rsid w:val="00A86865"/>
    <w:rsid w:val="00A87781"/>
    <w:rsid w:val="00A90304"/>
    <w:rsid w:val="00A90401"/>
    <w:rsid w:val="00A90E18"/>
    <w:rsid w:val="00A921E3"/>
    <w:rsid w:val="00A922E5"/>
    <w:rsid w:val="00A92B39"/>
    <w:rsid w:val="00A930A8"/>
    <w:rsid w:val="00A94367"/>
    <w:rsid w:val="00A94480"/>
    <w:rsid w:val="00A94A1B"/>
    <w:rsid w:val="00A94BBE"/>
    <w:rsid w:val="00A94D20"/>
    <w:rsid w:val="00A95511"/>
    <w:rsid w:val="00A9615A"/>
    <w:rsid w:val="00A96537"/>
    <w:rsid w:val="00A96F6A"/>
    <w:rsid w:val="00A96F96"/>
    <w:rsid w:val="00A9752B"/>
    <w:rsid w:val="00A97615"/>
    <w:rsid w:val="00A97DFC"/>
    <w:rsid w:val="00AA0358"/>
    <w:rsid w:val="00AA15D3"/>
    <w:rsid w:val="00AA1828"/>
    <w:rsid w:val="00AA212D"/>
    <w:rsid w:val="00AA2461"/>
    <w:rsid w:val="00AA2574"/>
    <w:rsid w:val="00AA2865"/>
    <w:rsid w:val="00AA2E93"/>
    <w:rsid w:val="00AA3210"/>
    <w:rsid w:val="00AA3A9B"/>
    <w:rsid w:val="00AA3BCA"/>
    <w:rsid w:val="00AA3BF1"/>
    <w:rsid w:val="00AA451B"/>
    <w:rsid w:val="00AA5410"/>
    <w:rsid w:val="00AA6008"/>
    <w:rsid w:val="00AA7481"/>
    <w:rsid w:val="00AA7625"/>
    <w:rsid w:val="00AB0CA8"/>
    <w:rsid w:val="00AB0F25"/>
    <w:rsid w:val="00AB10A9"/>
    <w:rsid w:val="00AB1CC9"/>
    <w:rsid w:val="00AB200B"/>
    <w:rsid w:val="00AB21C6"/>
    <w:rsid w:val="00AB27A9"/>
    <w:rsid w:val="00AB280C"/>
    <w:rsid w:val="00AB2841"/>
    <w:rsid w:val="00AB29C8"/>
    <w:rsid w:val="00AB392B"/>
    <w:rsid w:val="00AB4912"/>
    <w:rsid w:val="00AB4BB8"/>
    <w:rsid w:val="00AB543D"/>
    <w:rsid w:val="00AB5DB1"/>
    <w:rsid w:val="00AB60F8"/>
    <w:rsid w:val="00AB6AE6"/>
    <w:rsid w:val="00AB725B"/>
    <w:rsid w:val="00AB76FD"/>
    <w:rsid w:val="00AC0A30"/>
    <w:rsid w:val="00AC1B09"/>
    <w:rsid w:val="00AC1B44"/>
    <w:rsid w:val="00AC247E"/>
    <w:rsid w:val="00AC24B9"/>
    <w:rsid w:val="00AC2D7E"/>
    <w:rsid w:val="00AC4030"/>
    <w:rsid w:val="00AC4A24"/>
    <w:rsid w:val="00AC4AB5"/>
    <w:rsid w:val="00AC4AE9"/>
    <w:rsid w:val="00AC53F0"/>
    <w:rsid w:val="00AC5607"/>
    <w:rsid w:val="00AC575A"/>
    <w:rsid w:val="00AC5D55"/>
    <w:rsid w:val="00AC6787"/>
    <w:rsid w:val="00AC6C9E"/>
    <w:rsid w:val="00AC6F7D"/>
    <w:rsid w:val="00AC720A"/>
    <w:rsid w:val="00AC7B6A"/>
    <w:rsid w:val="00AD0445"/>
    <w:rsid w:val="00AD0BA5"/>
    <w:rsid w:val="00AD23ED"/>
    <w:rsid w:val="00AD2EED"/>
    <w:rsid w:val="00AD372B"/>
    <w:rsid w:val="00AD380E"/>
    <w:rsid w:val="00AD38F9"/>
    <w:rsid w:val="00AD4DDD"/>
    <w:rsid w:val="00AD55BD"/>
    <w:rsid w:val="00AD589F"/>
    <w:rsid w:val="00AD60EA"/>
    <w:rsid w:val="00AD67D4"/>
    <w:rsid w:val="00AD696A"/>
    <w:rsid w:val="00AD6B42"/>
    <w:rsid w:val="00AD7296"/>
    <w:rsid w:val="00AD73A7"/>
    <w:rsid w:val="00AD7A34"/>
    <w:rsid w:val="00AE04C4"/>
    <w:rsid w:val="00AE15F8"/>
    <w:rsid w:val="00AE2359"/>
    <w:rsid w:val="00AE3030"/>
    <w:rsid w:val="00AE33A0"/>
    <w:rsid w:val="00AE3449"/>
    <w:rsid w:val="00AE4331"/>
    <w:rsid w:val="00AE5472"/>
    <w:rsid w:val="00AE57FC"/>
    <w:rsid w:val="00AE614D"/>
    <w:rsid w:val="00AE62E0"/>
    <w:rsid w:val="00AE64C9"/>
    <w:rsid w:val="00AE6928"/>
    <w:rsid w:val="00AE7154"/>
    <w:rsid w:val="00AE72E0"/>
    <w:rsid w:val="00AE7849"/>
    <w:rsid w:val="00AE7977"/>
    <w:rsid w:val="00AE7D72"/>
    <w:rsid w:val="00AF09CC"/>
    <w:rsid w:val="00AF0E06"/>
    <w:rsid w:val="00AF0F85"/>
    <w:rsid w:val="00AF122A"/>
    <w:rsid w:val="00AF15EE"/>
    <w:rsid w:val="00AF1A2F"/>
    <w:rsid w:val="00AF1F10"/>
    <w:rsid w:val="00AF1F1F"/>
    <w:rsid w:val="00AF27BA"/>
    <w:rsid w:val="00AF2833"/>
    <w:rsid w:val="00AF347C"/>
    <w:rsid w:val="00AF3626"/>
    <w:rsid w:val="00AF365A"/>
    <w:rsid w:val="00AF3D39"/>
    <w:rsid w:val="00AF4119"/>
    <w:rsid w:val="00AF4646"/>
    <w:rsid w:val="00AF4653"/>
    <w:rsid w:val="00AF497B"/>
    <w:rsid w:val="00AF4A53"/>
    <w:rsid w:val="00AF5AE7"/>
    <w:rsid w:val="00AF6A4C"/>
    <w:rsid w:val="00AF7944"/>
    <w:rsid w:val="00AF7C9A"/>
    <w:rsid w:val="00B0035B"/>
    <w:rsid w:val="00B0057A"/>
    <w:rsid w:val="00B01300"/>
    <w:rsid w:val="00B01437"/>
    <w:rsid w:val="00B02183"/>
    <w:rsid w:val="00B022E1"/>
    <w:rsid w:val="00B02746"/>
    <w:rsid w:val="00B02882"/>
    <w:rsid w:val="00B02F76"/>
    <w:rsid w:val="00B03DFC"/>
    <w:rsid w:val="00B03E07"/>
    <w:rsid w:val="00B04292"/>
    <w:rsid w:val="00B043A4"/>
    <w:rsid w:val="00B047C2"/>
    <w:rsid w:val="00B04C2A"/>
    <w:rsid w:val="00B04CB1"/>
    <w:rsid w:val="00B05635"/>
    <w:rsid w:val="00B063C0"/>
    <w:rsid w:val="00B0729F"/>
    <w:rsid w:val="00B075EA"/>
    <w:rsid w:val="00B07617"/>
    <w:rsid w:val="00B07620"/>
    <w:rsid w:val="00B07EB8"/>
    <w:rsid w:val="00B10DCA"/>
    <w:rsid w:val="00B11C1C"/>
    <w:rsid w:val="00B122CA"/>
    <w:rsid w:val="00B12FC2"/>
    <w:rsid w:val="00B13103"/>
    <w:rsid w:val="00B1314F"/>
    <w:rsid w:val="00B135DF"/>
    <w:rsid w:val="00B13827"/>
    <w:rsid w:val="00B13AAF"/>
    <w:rsid w:val="00B13E9D"/>
    <w:rsid w:val="00B145D7"/>
    <w:rsid w:val="00B151CF"/>
    <w:rsid w:val="00B16E9E"/>
    <w:rsid w:val="00B17788"/>
    <w:rsid w:val="00B17B6F"/>
    <w:rsid w:val="00B20041"/>
    <w:rsid w:val="00B201BA"/>
    <w:rsid w:val="00B20371"/>
    <w:rsid w:val="00B20445"/>
    <w:rsid w:val="00B20D46"/>
    <w:rsid w:val="00B217BB"/>
    <w:rsid w:val="00B218CC"/>
    <w:rsid w:val="00B21E35"/>
    <w:rsid w:val="00B22A26"/>
    <w:rsid w:val="00B22A75"/>
    <w:rsid w:val="00B22D1F"/>
    <w:rsid w:val="00B22F65"/>
    <w:rsid w:val="00B247AD"/>
    <w:rsid w:val="00B24C7E"/>
    <w:rsid w:val="00B24E1B"/>
    <w:rsid w:val="00B2541F"/>
    <w:rsid w:val="00B25AB2"/>
    <w:rsid w:val="00B25B9D"/>
    <w:rsid w:val="00B25D05"/>
    <w:rsid w:val="00B25F41"/>
    <w:rsid w:val="00B26622"/>
    <w:rsid w:val="00B26669"/>
    <w:rsid w:val="00B26BDB"/>
    <w:rsid w:val="00B276B4"/>
    <w:rsid w:val="00B27795"/>
    <w:rsid w:val="00B303F6"/>
    <w:rsid w:val="00B30410"/>
    <w:rsid w:val="00B307B7"/>
    <w:rsid w:val="00B30E00"/>
    <w:rsid w:val="00B31AA4"/>
    <w:rsid w:val="00B31D95"/>
    <w:rsid w:val="00B3204D"/>
    <w:rsid w:val="00B324BA"/>
    <w:rsid w:val="00B32F8D"/>
    <w:rsid w:val="00B33E5A"/>
    <w:rsid w:val="00B33EE8"/>
    <w:rsid w:val="00B344A8"/>
    <w:rsid w:val="00B34621"/>
    <w:rsid w:val="00B34A98"/>
    <w:rsid w:val="00B35716"/>
    <w:rsid w:val="00B35ED2"/>
    <w:rsid w:val="00B36028"/>
    <w:rsid w:val="00B36DA1"/>
    <w:rsid w:val="00B37047"/>
    <w:rsid w:val="00B37282"/>
    <w:rsid w:val="00B40064"/>
    <w:rsid w:val="00B40B84"/>
    <w:rsid w:val="00B43213"/>
    <w:rsid w:val="00B43632"/>
    <w:rsid w:val="00B43DDB"/>
    <w:rsid w:val="00B44B8A"/>
    <w:rsid w:val="00B44CC1"/>
    <w:rsid w:val="00B452ED"/>
    <w:rsid w:val="00B4602C"/>
    <w:rsid w:val="00B472BB"/>
    <w:rsid w:val="00B47B27"/>
    <w:rsid w:val="00B47E6C"/>
    <w:rsid w:val="00B50407"/>
    <w:rsid w:val="00B509B8"/>
    <w:rsid w:val="00B50A44"/>
    <w:rsid w:val="00B5195D"/>
    <w:rsid w:val="00B51B24"/>
    <w:rsid w:val="00B51B3B"/>
    <w:rsid w:val="00B51BC7"/>
    <w:rsid w:val="00B52615"/>
    <w:rsid w:val="00B52656"/>
    <w:rsid w:val="00B529C9"/>
    <w:rsid w:val="00B52B19"/>
    <w:rsid w:val="00B5312C"/>
    <w:rsid w:val="00B54CCC"/>
    <w:rsid w:val="00B55524"/>
    <w:rsid w:val="00B557BA"/>
    <w:rsid w:val="00B55928"/>
    <w:rsid w:val="00B562F3"/>
    <w:rsid w:val="00B56537"/>
    <w:rsid w:val="00B569E3"/>
    <w:rsid w:val="00B57005"/>
    <w:rsid w:val="00B57305"/>
    <w:rsid w:val="00B5750E"/>
    <w:rsid w:val="00B575BF"/>
    <w:rsid w:val="00B5766C"/>
    <w:rsid w:val="00B577E8"/>
    <w:rsid w:val="00B612C4"/>
    <w:rsid w:val="00B612EA"/>
    <w:rsid w:val="00B61BE7"/>
    <w:rsid w:val="00B61C66"/>
    <w:rsid w:val="00B6203B"/>
    <w:rsid w:val="00B6217F"/>
    <w:rsid w:val="00B623C1"/>
    <w:rsid w:val="00B62604"/>
    <w:rsid w:val="00B62808"/>
    <w:rsid w:val="00B62DF2"/>
    <w:rsid w:val="00B64008"/>
    <w:rsid w:val="00B64282"/>
    <w:rsid w:val="00B645E4"/>
    <w:rsid w:val="00B647D9"/>
    <w:rsid w:val="00B659B6"/>
    <w:rsid w:val="00B65DC2"/>
    <w:rsid w:val="00B664F3"/>
    <w:rsid w:val="00B66A87"/>
    <w:rsid w:val="00B66B84"/>
    <w:rsid w:val="00B70397"/>
    <w:rsid w:val="00B7040B"/>
    <w:rsid w:val="00B70A58"/>
    <w:rsid w:val="00B70A63"/>
    <w:rsid w:val="00B7115B"/>
    <w:rsid w:val="00B712B9"/>
    <w:rsid w:val="00B712D0"/>
    <w:rsid w:val="00B7150F"/>
    <w:rsid w:val="00B71603"/>
    <w:rsid w:val="00B71BFE"/>
    <w:rsid w:val="00B71E02"/>
    <w:rsid w:val="00B72511"/>
    <w:rsid w:val="00B726D5"/>
    <w:rsid w:val="00B72C3E"/>
    <w:rsid w:val="00B74902"/>
    <w:rsid w:val="00B74A82"/>
    <w:rsid w:val="00B74F38"/>
    <w:rsid w:val="00B751E0"/>
    <w:rsid w:val="00B757E5"/>
    <w:rsid w:val="00B75884"/>
    <w:rsid w:val="00B7749D"/>
    <w:rsid w:val="00B80785"/>
    <w:rsid w:val="00B809FE"/>
    <w:rsid w:val="00B80A6C"/>
    <w:rsid w:val="00B80FC1"/>
    <w:rsid w:val="00B81639"/>
    <w:rsid w:val="00B81731"/>
    <w:rsid w:val="00B81F38"/>
    <w:rsid w:val="00B839EB"/>
    <w:rsid w:val="00B83B62"/>
    <w:rsid w:val="00B83E1E"/>
    <w:rsid w:val="00B84712"/>
    <w:rsid w:val="00B8522F"/>
    <w:rsid w:val="00B8535F"/>
    <w:rsid w:val="00B8583E"/>
    <w:rsid w:val="00B85D6C"/>
    <w:rsid w:val="00B85E4C"/>
    <w:rsid w:val="00B86CEC"/>
    <w:rsid w:val="00B87109"/>
    <w:rsid w:val="00B8787B"/>
    <w:rsid w:val="00B878CD"/>
    <w:rsid w:val="00B87932"/>
    <w:rsid w:val="00B87B12"/>
    <w:rsid w:val="00B87FF9"/>
    <w:rsid w:val="00B90C2D"/>
    <w:rsid w:val="00B9194E"/>
    <w:rsid w:val="00B91B70"/>
    <w:rsid w:val="00B91CB1"/>
    <w:rsid w:val="00B91DDA"/>
    <w:rsid w:val="00B9249B"/>
    <w:rsid w:val="00B9249F"/>
    <w:rsid w:val="00B92553"/>
    <w:rsid w:val="00B92C51"/>
    <w:rsid w:val="00B932E4"/>
    <w:rsid w:val="00B935E1"/>
    <w:rsid w:val="00B94A48"/>
    <w:rsid w:val="00B94F45"/>
    <w:rsid w:val="00B9536C"/>
    <w:rsid w:val="00B97008"/>
    <w:rsid w:val="00B971A8"/>
    <w:rsid w:val="00BA0B99"/>
    <w:rsid w:val="00BA1AA5"/>
    <w:rsid w:val="00BA1FFB"/>
    <w:rsid w:val="00BA252C"/>
    <w:rsid w:val="00BA2539"/>
    <w:rsid w:val="00BA2713"/>
    <w:rsid w:val="00BA29C9"/>
    <w:rsid w:val="00BA2AAC"/>
    <w:rsid w:val="00BA2B3F"/>
    <w:rsid w:val="00BA3B28"/>
    <w:rsid w:val="00BA3B59"/>
    <w:rsid w:val="00BA3C27"/>
    <w:rsid w:val="00BA3DE4"/>
    <w:rsid w:val="00BA4110"/>
    <w:rsid w:val="00BA4216"/>
    <w:rsid w:val="00BA436F"/>
    <w:rsid w:val="00BA472A"/>
    <w:rsid w:val="00BA4E45"/>
    <w:rsid w:val="00BA4EAA"/>
    <w:rsid w:val="00BA5430"/>
    <w:rsid w:val="00BA59FB"/>
    <w:rsid w:val="00BA72FB"/>
    <w:rsid w:val="00BA7981"/>
    <w:rsid w:val="00BA7E9A"/>
    <w:rsid w:val="00BB0DC0"/>
    <w:rsid w:val="00BB1145"/>
    <w:rsid w:val="00BB13A7"/>
    <w:rsid w:val="00BB14A3"/>
    <w:rsid w:val="00BB153B"/>
    <w:rsid w:val="00BB1ACF"/>
    <w:rsid w:val="00BB1D53"/>
    <w:rsid w:val="00BB2337"/>
    <w:rsid w:val="00BB25B7"/>
    <w:rsid w:val="00BB2837"/>
    <w:rsid w:val="00BB28FC"/>
    <w:rsid w:val="00BB2F16"/>
    <w:rsid w:val="00BB39BF"/>
    <w:rsid w:val="00BB4011"/>
    <w:rsid w:val="00BB52F9"/>
    <w:rsid w:val="00BB532F"/>
    <w:rsid w:val="00BB5CC2"/>
    <w:rsid w:val="00BB5DB3"/>
    <w:rsid w:val="00BB615E"/>
    <w:rsid w:val="00BB6C41"/>
    <w:rsid w:val="00BB6E39"/>
    <w:rsid w:val="00BB7951"/>
    <w:rsid w:val="00BB7F32"/>
    <w:rsid w:val="00BC15DE"/>
    <w:rsid w:val="00BC17C8"/>
    <w:rsid w:val="00BC1842"/>
    <w:rsid w:val="00BC1FD6"/>
    <w:rsid w:val="00BC2800"/>
    <w:rsid w:val="00BC2952"/>
    <w:rsid w:val="00BC2A6F"/>
    <w:rsid w:val="00BC2CB2"/>
    <w:rsid w:val="00BC369C"/>
    <w:rsid w:val="00BC4972"/>
    <w:rsid w:val="00BC49C3"/>
    <w:rsid w:val="00BC4F2D"/>
    <w:rsid w:val="00BC6897"/>
    <w:rsid w:val="00BC6EEE"/>
    <w:rsid w:val="00BC72BF"/>
    <w:rsid w:val="00BC7730"/>
    <w:rsid w:val="00BD1783"/>
    <w:rsid w:val="00BD1815"/>
    <w:rsid w:val="00BD1B8D"/>
    <w:rsid w:val="00BD1BFE"/>
    <w:rsid w:val="00BD2323"/>
    <w:rsid w:val="00BD33D4"/>
    <w:rsid w:val="00BD3A37"/>
    <w:rsid w:val="00BD3B50"/>
    <w:rsid w:val="00BD3C97"/>
    <w:rsid w:val="00BD40B1"/>
    <w:rsid w:val="00BD43F3"/>
    <w:rsid w:val="00BD45E7"/>
    <w:rsid w:val="00BD4648"/>
    <w:rsid w:val="00BD4690"/>
    <w:rsid w:val="00BD4935"/>
    <w:rsid w:val="00BD4BE6"/>
    <w:rsid w:val="00BD4E0D"/>
    <w:rsid w:val="00BD583C"/>
    <w:rsid w:val="00BD5A1B"/>
    <w:rsid w:val="00BD5A22"/>
    <w:rsid w:val="00BD65CD"/>
    <w:rsid w:val="00BD6764"/>
    <w:rsid w:val="00BD6FA4"/>
    <w:rsid w:val="00BD75A3"/>
    <w:rsid w:val="00BD75D6"/>
    <w:rsid w:val="00BD7F61"/>
    <w:rsid w:val="00BE017C"/>
    <w:rsid w:val="00BE139F"/>
    <w:rsid w:val="00BE13FF"/>
    <w:rsid w:val="00BE21F0"/>
    <w:rsid w:val="00BE2885"/>
    <w:rsid w:val="00BE2C5B"/>
    <w:rsid w:val="00BE3B91"/>
    <w:rsid w:val="00BE3E10"/>
    <w:rsid w:val="00BE47BF"/>
    <w:rsid w:val="00BE51ED"/>
    <w:rsid w:val="00BE522D"/>
    <w:rsid w:val="00BE5374"/>
    <w:rsid w:val="00BE5B4F"/>
    <w:rsid w:val="00BE610F"/>
    <w:rsid w:val="00BE627A"/>
    <w:rsid w:val="00BE64E0"/>
    <w:rsid w:val="00BE6697"/>
    <w:rsid w:val="00BE670C"/>
    <w:rsid w:val="00BE6BD9"/>
    <w:rsid w:val="00BE6CE8"/>
    <w:rsid w:val="00BE6F08"/>
    <w:rsid w:val="00BE7501"/>
    <w:rsid w:val="00BE77DD"/>
    <w:rsid w:val="00BE7833"/>
    <w:rsid w:val="00BE7C77"/>
    <w:rsid w:val="00BE7D90"/>
    <w:rsid w:val="00BE7FD4"/>
    <w:rsid w:val="00BF001A"/>
    <w:rsid w:val="00BF0257"/>
    <w:rsid w:val="00BF16D6"/>
    <w:rsid w:val="00BF18CB"/>
    <w:rsid w:val="00BF1E48"/>
    <w:rsid w:val="00BF207C"/>
    <w:rsid w:val="00BF3046"/>
    <w:rsid w:val="00BF3B33"/>
    <w:rsid w:val="00BF4BE2"/>
    <w:rsid w:val="00BF595E"/>
    <w:rsid w:val="00BF5BDB"/>
    <w:rsid w:val="00BF6849"/>
    <w:rsid w:val="00BF6F32"/>
    <w:rsid w:val="00BF70A6"/>
    <w:rsid w:val="00BF71B6"/>
    <w:rsid w:val="00BF771D"/>
    <w:rsid w:val="00BF78F4"/>
    <w:rsid w:val="00BF7C54"/>
    <w:rsid w:val="00BF7D12"/>
    <w:rsid w:val="00BF7EEA"/>
    <w:rsid w:val="00C000F2"/>
    <w:rsid w:val="00C00238"/>
    <w:rsid w:val="00C010DB"/>
    <w:rsid w:val="00C01930"/>
    <w:rsid w:val="00C01D5F"/>
    <w:rsid w:val="00C01E0E"/>
    <w:rsid w:val="00C028C6"/>
    <w:rsid w:val="00C02D62"/>
    <w:rsid w:val="00C0309B"/>
    <w:rsid w:val="00C0345A"/>
    <w:rsid w:val="00C03511"/>
    <w:rsid w:val="00C039DD"/>
    <w:rsid w:val="00C04C3A"/>
    <w:rsid w:val="00C04D47"/>
    <w:rsid w:val="00C050CF"/>
    <w:rsid w:val="00C055A4"/>
    <w:rsid w:val="00C05700"/>
    <w:rsid w:val="00C05A07"/>
    <w:rsid w:val="00C06916"/>
    <w:rsid w:val="00C074CD"/>
    <w:rsid w:val="00C07541"/>
    <w:rsid w:val="00C077BA"/>
    <w:rsid w:val="00C107C3"/>
    <w:rsid w:val="00C10F23"/>
    <w:rsid w:val="00C12F71"/>
    <w:rsid w:val="00C133E3"/>
    <w:rsid w:val="00C13520"/>
    <w:rsid w:val="00C137B5"/>
    <w:rsid w:val="00C142A9"/>
    <w:rsid w:val="00C14498"/>
    <w:rsid w:val="00C14E88"/>
    <w:rsid w:val="00C14F08"/>
    <w:rsid w:val="00C14F9B"/>
    <w:rsid w:val="00C14FAB"/>
    <w:rsid w:val="00C15705"/>
    <w:rsid w:val="00C1576F"/>
    <w:rsid w:val="00C15829"/>
    <w:rsid w:val="00C158D4"/>
    <w:rsid w:val="00C15F42"/>
    <w:rsid w:val="00C1610B"/>
    <w:rsid w:val="00C1611D"/>
    <w:rsid w:val="00C16185"/>
    <w:rsid w:val="00C16B44"/>
    <w:rsid w:val="00C16C9A"/>
    <w:rsid w:val="00C16F8E"/>
    <w:rsid w:val="00C175E4"/>
    <w:rsid w:val="00C21864"/>
    <w:rsid w:val="00C220D0"/>
    <w:rsid w:val="00C228F4"/>
    <w:rsid w:val="00C22B75"/>
    <w:rsid w:val="00C232E0"/>
    <w:rsid w:val="00C236D3"/>
    <w:rsid w:val="00C239FA"/>
    <w:rsid w:val="00C23BD6"/>
    <w:rsid w:val="00C23D75"/>
    <w:rsid w:val="00C24B0B"/>
    <w:rsid w:val="00C24B5E"/>
    <w:rsid w:val="00C2534F"/>
    <w:rsid w:val="00C256D2"/>
    <w:rsid w:val="00C25D56"/>
    <w:rsid w:val="00C25EE4"/>
    <w:rsid w:val="00C26F86"/>
    <w:rsid w:val="00C277B5"/>
    <w:rsid w:val="00C27D23"/>
    <w:rsid w:val="00C30058"/>
    <w:rsid w:val="00C308C3"/>
    <w:rsid w:val="00C317A2"/>
    <w:rsid w:val="00C31BD5"/>
    <w:rsid w:val="00C32F10"/>
    <w:rsid w:val="00C339D9"/>
    <w:rsid w:val="00C33B6F"/>
    <w:rsid w:val="00C343FC"/>
    <w:rsid w:val="00C348FE"/>
    <w:rsid w:val="00C34CC9"/>
    <w:rsid w:val="00C34D3B"/>
    <w:rsid w:val="00C34D90"/>
    <w:rsid w:val="00C34E99"/>
    <w:rsid w:val="00C35296"/>
    <w:rsid w:val="00C354E8"/>
    <w:rsid w:val="00C35E5A"/>
    <w:rsid w:val="00C35FAA"/>
    <w:rsid w:val="00C3651F"/>
    <w:rsid w:val="00C36633"/>
    <w:rsid w:val="00C36AFA"/>
    <w:rsid w:val="00C36CC0"/>
    <w:rsid w:val="00C36D4E"/>
    <w:rsid w:val="00C36E9D"/>
    <w:rsid w:val="00C36EA8"/>
    <w:rsid w:val="00C374D0"/>
    <w:rsid w:val="00C37C86"/>
    <w:rsid w:val="00C37CC1"/>
    <w:rsid w:val="00C37E9D"/>
    <w:rsid w:val="00C40975"/>
    <w:rsid w:val="00C40E90"/>
    <w:rsid w:val="00C40F01"/>
    <w:rsid w:val="00C412B1"/>
    <w:rsid w:val="00C41389"/>
    <w:rsid w:val="00C416AB"/>
    <w:rsid w:val="00C417E2"/>
    <w:rsid w:val="00C4190B"/>
    <w:rsid w:val="00C42347"/>
    <w:rsid w:val="00C42492"/>
    <w:rsid w:val="00C43E8C"/>
    <w:rsid w:val="00C441AD"/>
    <w:rsid w:val="00C4436C"/>
    <w:rsid w:val="00C44375"/>
    <w:rsid w:val="00C4474C"/>
    <w:rsid w:val="00C461B2"/>
    <w:rsid w:val="00C47381"/>
    <w:rsid w:val="00C47C8E"/>
    <w:rsid w:val="00C47FF0"/>
    <w:rsid w:val="00C50134"/>
    <w:rsid w:val="00C507FB"/>
    <w:rsid w:val="00C5098B"/>
    <w:rsid w:val="00C51899"/>
    <w:rsid w:val="00C51ECE"/>
    <w:rsid w:val="00C52FD1"/>
    <w:rsid w:val="00C5324A"/>
    <w:rsid w:val="00C5359B"/>
    <w:rsid w:val="00C53AF7"/>
    <w:rsid w:val="00C544C8"/>
    <w:rsid w:val="00C54B3E"/>
    <w:rsid w:val="00C550E3"/>
    <w:rsid w:val="00C554B5"/>
    <w:rsid w:val="00C55553"/>
    <w:rsid w:val="00C5564C"/>
    <w:rsid w:val="00C55AFC"/>
    <w:rsid w:val="00C56403"/>
    <w:rsid w:val="00C564A3"/>
    <w:rsid w:val="00C56567"/>
    <w:rsid w:val="00C56EF2"/>
    <w:rsid w:val="00C570A6"/>
    <w:rsid w:val="00C57335"/>
    <w:rsid w:val="00C579F3"/>
    <w:rsid w:val="00C600B3"/>
    <w:rsid w:val="00C60981"/>
    <w:rsid w:val="00C60B62"/>
    <w:rsid w:val="00C60DE1"/>
    <w:rsid w:val="00C61464"/>
    <w:rsid w:val="00C6199E"/>
    <w:rsid w:val="00C62389"/>
    <w:rsid w:val="00C637A6"/>
    <w:rsid w:val="00C63A80"/>
    <w:rsid w:val="00C63F38"/>
    <w:rsid w:val="00C64626"/>
    <w:rsid w:val="00C646E1"/>
    <w:rsid w:val="00C64CCE"/>
    <w:rsid w:val="00C64F4B"/>
    <w:rsid w:val="00C64F83"/>
    <w:rsid w:val="00C651AC"/>
    <w:rsid w:val="00C656AB"/>
    <w:rsid w:val="00C65C2C"/>
    <w:rsid w:val="00C65DB4"/>
    <w:rsid w:val="00C6656D"/>
    <w:rsid w:val="00C66B3F"/>
    <w:rsid w:val="00C67A5D"/>
    <w:rsid w:val="00C67E8E"/>
    <w:rsid w:val="00C7022B"/>
    <w:rsid w:val="00C704EA"/>
    <w:rsid w:val="00C72177"/>
    <w:rsid w:val="00C721EE"/>
    <w:rsid w:val="00C72C48"/>
    <w:rsid w:val="00C72F6C"/>
    <w:rsid w:val="00C7336B"/>
    <w:rsid w:val="00C73550"/>
    <w:rsid w:val="00C73CAA"/>
    <w:rsid w:val="00C74125"/>
    <w:rsid w:val="00C74B8C"/>
    <w:rsid w:val="00C74C72"/>
    <w:rsid w:val="00C74D5A"/>
    <w:rsid w:val="00C756AB"/>
    <w:rsid w:val="00C808B0"/>
    <w:rsid w:val="00C811F6"/>
    <w:rsid w:val="00C81C7D"/>
    <w:rsid w:val="00C8268F"/>
    <w:rsid w:val="00C8273C"/>
    <w:rsid w:val="00C82FB1"/>
    <w:rsid w:val="00C8302F"/>
    <w:rsid w:val="00C831FD"/>
    <w:rsid w:val="00C83535"/>
    <w:rsid w:val="00C83711"/>
    <w:rsid w:val="00C83D84"/>
    <w:rsid w:val="00C84D26"/>
    <w:rsid w:val="00C851A7"/>
    <w:rsid w:val="00C862C4"/>
    <w:rsid w:val="00C8679E"/>
    <w:rsid w:val="00C86B53"/>
    <w:rsid w:val="00C87421"/>
    <w:rsid w:val="00C87436"/>
    <w:rsid w:val="00C8769E"/>
    <w:rsid w:val="00C90AF0"/>
    <w:rsid w:val="00C91651"/>
    <w:rsid w:val="00C917A4"/>
    <w:rsid w:val="00C91A18"/>
    <w:rsid w:val="00C922A2"/>
    <w:rsid w:val="00C929C6"/>
    <w:rsid w:val="00C92FB3"/>
    <w:rsid w:val="00C93136"/>
    <w:rsid w:val="00C93402"/>
    <w:rsid w:val="00C94BEA"/>
    <w:rsid w:val="00C94F72"/>
    <w:rsid w:val="00C96196"/>
    <w:rsid w:val="00C9639E"/>
    <w:rsid w:val="00C965E1"/>
    <w:rsid w:val="00C97C01"/>
    <w:rsid w:val="00C97CBE"/>
    <w:rsid w:val="00C97CEE"/>
    <w:rsid w:val="00CA04FB"/>
    <w:rsid w:val="00CA0D1C"/>
    <w:rsid w:val="00CA1534"/>
    <w:rsid w:val="00CA19A9"/>
    <w:rsid w:val="00CA26EA"/>
    <w:rsid w:val="00CA2B57"/>
    <w:rsid w:val="00CA2EE3"/>
    <w:rsid w:val="00CA2FB2"/>
    <w:rsid w:val="00CA33CE"/>
    <w:rsid w:val="00CA345B"/>
    <w:rsid w:val="00CA35C0"/>
    <w:rsid w:val="00CA3B6C"/>
    <w:rsid w:val="00CA3CED"/>
    <w:rsid w:val="00CA3D3A"/>
    <w:rsid w:val="00CA4003"/>
    <w:rsid w:val="00CA42D6"/>
    <w:rsid w:val="00CA497E"/>
    <w:rsid w:val="00CA49FE"/>
    <w:rsid w:val="00CA528A"/>
    <w:rsid w:val="00CA54C9"/>
    <w:rsid w:val="00CA56FF"/>
    <w:rsid w:val="00CA7928"/>
    <w:rsid w:val="00CB0388"/>
    <w:rsid w:val="00CB09DF"/>
    <w:rsid w:val="00CB15E9"/>
    <w:rsid w:val="00CB178E"/>
    <w:rsid w:val="00CB2BD5"/>
    <w:rsid w:val="00CB2CDF"/>
    <w:rsid w:val="00CB3414"/>
    <w:rsid w:val="00CB3909"/>
    <w:rsid w:val="00CB5756"/>
    <w:rsid w:val="00CB5915"/>
    <w:rsid w:val="00CB5A48"/>
    <w:rsid w:val="00CB5B03"/>
    <w:rsid w:val="00CB5C55"/>
    <w:rsid w:val="00CB5E4C"/>
    <w:rsid w:val="00CB6079"/>
    <w:rsid w:val="00CC0EEE"/>
    <w:rsid w:val="00CC1D1A"/>
    <w:rsid w:val="00CC2120"/>
    <w:rsid w:val="00CC2207"/>
    <w:rsid w:val="00CC266C"/>
    <w:rsid w:val="00CC2683"/>
    <w:rsid w:val="00CC2820"/>
    <w:rsid w:val="00CC2A44"/>
    <w:rsid w:val="00CC398C"/>
    <w:rsid w:val="00CC4051"/>
    <w:rsid w:val="00CC4A88"/>
    <w:rsid w:val="00CC540A"/>
    <w:rsid w:val="00CC57C0"/>
    <w:rsid w:val="00CC5956"/>
    <w:rsid w:val="00CC5AA4"/>
    <w:rsid w:val="00CC6260"/>
    <w:rsid w:val="00CC63D1"/>
    <w:rsid w:val="00CC7E5B"/>
    <w:rsid w:val="00CD02CF"/>
    <w:rsid w:val="00CD0458"/>
    <w:rsid w:val="00CD06DD"/>
    <w:rsid w:val="00CD071C"/>
    <w:rsid w:val="00CD0ED9"/>
    <w:rsid w:val="00CD1404"/>
    <w:rsid w:val="00CD16AB"/>
    <w:rsid w:val="00CD1FA1"/>
    <w:rsid w:val="00CD22B8"/>
    <w:rsid w:val="00CD2443"/>
    <w:rsid w:val="00CD26A7"/>
    <w:rsid w:val="00CD3094"/>
    <w:rsid w:val="00CD4EDA"/>
    <w:rsid w:val="00CD5146"/>
    <w:rsid w:val="00CD5C83"/>
    <w:rsid w:val="00CD6B9E"/>
    <w:rsid w:val="00CD6CC7"/>
    <w:rsid w:val="00CE1A76"/>
    <w:rsid w:val="00CE2381"/>
    <w:rsid w:val="00CE28E3"/>
    <w:rsid w:val="00CE2DE1"/>
    <w:rsid w:val="00CE2E0F"/>
    <w:rsid w:val="00CE3142"/>
    <w:rsid w:val="00CE45F2"/>
    <w:rsid w:val="00CE56A2"/>
    <w:rsid w:val="00CE67A1"/>
    <w:rsid w:val="00CE7169"/>
    <w:rsid w:val="00CE7583"/>
    <w:rsid w:val="00CE7980"/>
    <w:rsid w:val="00CE7F1E"/>
    <w:rsid w:val="00CF01CA"/>
    <w:rsid w:val="00CF0F5F"/>
    <w:rsid w:val="00CF111F"/>
    <w:rsid w:val="00CF1A2D"/>
    <w:rsid w:val="00CF2460"/>
    <w:rsid w:val="00CF2913"/>
    <w:rsid w:val="00CF3D50"/>
    <w:rsid w:val="00CF42A3"/>
    <w:rsid w:val="00CF439F"/>
    <w:rsid w:val="00CF51B4"/>
    <w:rsid w:val="00CF52D9"/>
    <w:rsid w:val="00CF546D"/>
    <w:rsid w:val="00CF5E27"/>
    <w:rsid w:val="00CF6100"/>
    <w:rsid w:val="00CF63ED"/>
    <w:rsid w:val="00CF65A1"/>
    <w:rsid w:val="00CF698A"/>
    <w:rsid w:val="00CF6EC8"/>
    <w:rsid w:val="00CF7120"/>
    <w:rsid w:val="00CF724C"/>
    <w:rsid w:val="00CF7E49"/>
    <w:rsid w:val="00CF7F40"/>
    <w:rsid w:val="00D001B4"/>
    <w:rsid w:val="00D00348"/>
    <w:rsid w:val="00D003B7"/>
    <w:rsid w:val="00D003D5"/>
    <w:rsid w:val="00D007FC"/>
    <w:rsid w:val="00D00E36"/>
    <w:rsid w:val="00D01573"/>
    <w:rsid w:val="00D015B1"/>
    <w:rsid w:val="00D018AC"/>
    <w:rsid w:val="00D02C39"/>
    <w:rsid w:val="00D02F4F"/>
    <w:rsid w:val="00D0394F"/>
    <w:rsid w:val="00D03EE4"/>
    <w:rsid w:val="00D04108"/>
    <w:rsid w:val="00D04CB3"/>
    <w:rsid w:val="00D054C2"/>
    <w:rsid w:val="00D05660"/>
    <w:rsid w:val="00D05987"/>
    <w:rsid w:val="00D05F7B"/>
    <w:rsid w:val="00D07C9C"/>
    <w:rsid w:val="00D104DE"/>
    <w:rsid w:val="00D10BAA"/>
    <w:rsid w:val="00D11781"/>
    <w:rsid w:val="00D11946"/>
    <w:rsid w:val="00D11BD4"/>
    <w:rsid w:val="00D11F0C"/>
    <w:rsid w:val="00D1218C"/>
    <w:rsid w:val="00D12AD5"/>
    <w:rsid w:val="00D12E3C"/>
    <w:rsid w:val="00D12E7A"/>
    <w:rsid w:val="00D1459B"/>
    <w:rsid w:val="00D14E59"/>
    <w:rsid w:val="00D158C3"/>
    <w:rsid w:val="00D15AEE"/>
    <w:rsid w:val="00D15C3A"/>
    <w:rsid w:val="00D161CD"/>
    <w:rsid w:val="00D170B1"/>
    <w:rsid w:val="00D1762A"/>
    <w:rsid w:val="00D20031"/>
    <w:rsid w:val="00D20866"/>
    <w:rsid w:val="00D20F96"/>
    <w:rsid w:val="00D22FB4"/>
    <w:rsid w:val="00D2391A"/>
    <w:rsid w:val="00D241C7"/>
    <w:rsid w:val="00D24CE6"/>
    <w:rsid w:val="00D2502C"/>
    <w:rsid w:val="00D26040"/>
    <w:rsid w:val="00D26D01"/>
    <w:rsid w:val="00D26ECF"/>
    <w:rsid w:val="00D27CBB"/>
    <w:rsid w:val="00D30294"/>
    <w:rsid w:val="00D309F4"/>
    <w:rsid w:val="00D30FB2"/>
    <w:rsid w:val="00D313B3"/>
    <w:rsid w:val="00D31F85"/>
    <w:rsid w:val="00D3292B"/>
    <w:rsid w:val="00D33B9D"/>
    <w:rsid w:val="00D33D89"/>
    <w:rsid w:val="00D33DB1"/>
    <w:rsid w:val="00D33F02"/>
    <w:rsid w:val="00D358F7"/>
    <w:rsid w:val="00D36376"/>
    <w:rsid w:val="00D36D23"/>
    <w:rsid w:val="00D36E67"/>
    <w:rsid w:val="00D37E92"/>
    <w:rsid w:val="00D37EF5"/>
    <w:rsid w:val="00D405D4"/>
    <w:rsid w:val="00D417A4"/>
    <w:rsid w:val="00D419C9"/>
    <w:rsid w:val="00D41CCD"/>
    <w:rsid w:val="00D428B9"/>
    <w:rsid w:val="00D428F8"/>
    <w:rsid w:val="00D42C8D"/>
    <w:rsid w:val="00D43246"/>
    <w:rsid w:val="00D433F0"/>
    <w:rsid w:val="00D436DA"/>
    <w:rsid w:val="00D4429B"/>
    <w:rsid w:val="00D4461E"/>
    <w:rsid w:val="00D44F10"/>
    <w:rsid w:val="00D44F9B"/>
    <w:rsid w:val="00D45750"/>
    <w:rsid w:val="00D457EA"/>
    <w:rsid w:val="00D45C42"/>
    <w:rsid w:val="00D462BA"/>
    <w:rsid w:val="00D464DC"/>
    <w:rsid w:val="00D471E0"/>
    <w:rsid w:val="00D47D52"/>
    <w:rsid w:val="00D50636"/>
    <w:rsid w:val="00D50E9D"/>
    <w:rsid w:val="00D51146"/>
    <w:rsid w:val="00D524D5"/>
    <w:rsid w:val="00D52988"/>
    <w:rsid w:val="00D529C6"/>
    <w:rsid w:val="00D52E54"/>
    <w:rsid w:val="00D52FF5"/>
    <w:rsid w:val="00D53756"/>
    <w:rsid w:val="00D53B9D"/>
    <w:rsid w:val="00D54303"/>
    <w:rsid w:val="00D546D5"/>
    <w:rsid w:val="00D547F7"/>
    <w:rsid w:val="00D548D4"/>
    <w:rsid w:val="00D560EF"/>
    <w:rsid w:val="00D56DFA"/>
    <w:rsid w:val="00D574F1"/>
    <w:rsid w:val="00D576DF"/>
    <w:rsid w:val="00D57CC0"/>
    <w:rsid w:val="00D57EF1"/>
    <w:rsid w:val="00D60570"/>
    <w:rsid w:val="00D60750"/>
    <w:rsid w:val="00D60912"/>
    <w:rsid w:val="00D60C9A"/>
    <w:rsid w:val="00D60E22"/>
    <w:rsid w:val="00D60E82"/>
    <w:rsid w:val="00D61302"/>
    <w:rsid w:val="00D6183B"/>
    <w:rsid w:val="00D61909"/>
    <w:rsid w:val="00D61C7F"/>
    <w:rsid w:val="00D61F27"/>
    <w:rsid w:val="00D62F4D"/>
    <w:rsid w:val="00D630DC"/>
    <w:rsid w:val="00D632AE"/>
    <w:rsid w:val="00D63394"/>
    <w:rsid w:val="00D6346D"/>
    <w:rsid w:val="00D63599"/>
    <w:rsid w:val="00D6374C"/>
    <w:rsid w:val="00D63DF3"/>
    <w:rsid w:val="00D64906"/>
    <w:rsid w:val="00D652D9"/>
    <w:rsid w:val="00D65347"/>
    <w:rsid w:val="00D6607C"/>
    <w:rsid w:val="00D66E88"/>
    <w:rsid w:val="00D67771"/>
    <w:rsid w:val="00D67CB5"/>
    <w:rsid w:val="00D70252"/>
    <w:rsid w:val="00D70BD1"/>
    <w:rsid w:val="00D70DDA"/>
    <w:rsid w:val="00D71150"/>
    <w:rsid w:val="00D71742"/>
    <w:rsid w:val="00D719FA"/>
    <w:rsid w:val="00D72BBA"/>
    <w:rsid w:val="00D72FC0"/>
    <w:rsid w:val="00D73189"/>
    <w:rsid w:val="00D735CE"/>
    <w:rsid w:val="00D7364B"/>
    <w:rsid w:val="00D7368C"/>
    <w:rsid w:val="00D73AD9"/>
    <w:rsid w:val="00D73B22"/>
    <w:rsid w:val="00D7400C"/>
    <w:rsid w:val="00D74701"/>
    <w:rsid w:val="00D75CB3"/>
    <w:rsid w:val="00D75D0C"/>
    <w:rsid w:val="00D75F88"/>
    <w:rsid w:val="00D77089"/>
    <w:rsid w:val="00D77B16"/>
    <w:rsid w:val="00D77B20"/>
    <w:rsid w:val="00D809C5"/>
    <w:rsid w:val="00D80A0D"/>
    <w:rsid w:val="00D80C29"/>
    <w:rsid w:val="00D81B3D"/>
    <w:rsid w:val="00D82724"/>
    <w:rsid w:val="00D82E8F"/>
    <w:rsid w:val="00D830A7"/>
    <w:rsid w:val="00D8316D"/>
    <w:rsid w:val="00D8391C"/>
    <w:rsid w:val="00D8394A"/>
    <w:rsid w:val="00D83B51"/>
    <w:rsid w:val="00D83D73"/>
    <w:rsid w:val="00D8471F"/>
    <w:rsid w:val="00D84ECA"/>
    <w:rsid w:val="00D8525E"/>
    <w:rsid w:val="00D853C0"/>
    <w:rsid w:val="00D855DA"/>
    <w:rsid w:val="00D85CDD"/>
    <w:rsid w:val="00D8636D"/>
    <w:rsid w:val="00D8650B"/>
    <w:rsid w:val="00D86B3E"/>
    <w:rsid w:val="00D86E5D"/>
    <w:rsid w:val="00D87B24"/>
    <w:rsid w:val="00D9041B"/>
    <w:rsid w:val="00D9083B"/>
    <w:rsid w:val="00D90C56"/>
    <w:rsid w:val="00D90DBB"/>
    <w:rsid w:val="00D9141D"/>
    <w:rsid w:val="00D917B0"/>
    <w:rsid w:val="00D91AA7"/>
    <w:rsid w:val="00D929CC"/>
    <w:rsid w:val="00D9405D"/>
    <w:rsid w:val="00D946C9"/>
    <w:rsid w:val="00D94CF3"/>
    <w:rsid w:val="00D9532E"/>
    <w:rsid w:val="00D95A7E"/>
    <w:rsid w:val="00D967A8"/>
    <w:rsid w:val="00D97507"/>
    <w:rsid w:val="00D97A36"/>
    <w:rsid w:val="00D97B06"/>
    <w:rsid w:val="00DA01B0"/>
    <w:rsid w:val="00DA04D7"/>
    <w:rsid w:val="00DA058E"/>
    <w:rsid w:val="00DA0655"/>
    <w:rsid w:val="00DA17E6"/>
    <w:rsid w:val="00DA1A62"/>
    <w:rsid w:val="00DA273C"/>
    <w:rsid w:val="00DA2E11"/>
    <w:rsid w:val="00DA2E1E"/>
    <w:rsid w:val="00DA2EEB"/>
    <w:rsid w:val="00DA30FF"/>
    <w:rsid w:val="00DA369D"/>
    <w:rsid w:val="00DA3AA5"/>
    <w:rsid w:val="00DA44D4"/>
    <w:rsid w:val="00DA512C"/>
    <w:rsid w:val="00DA51AF"/>
    <w:rsid w:val="00DA6765"/>
    <w:rsid w:val="00DA684F"/>
    <w:rsid w:val="00DA74C6"/>
    <w:rsid w:val="00DA7700"/>
    <w:rsid w:val="00DB003C"/>
    <w:rsid w:val="00DB0C57"/>
    <w:rsid w:val="00DB0ED8"/>
    <w:rsid w:val="00DB1896"/>
    <w:rsid w:val="00DB1CB0"/>
    <w:rsid w:val="00DB1E91"/>
    <w:rsid w:val="00DB25BC"/>
    <w:rsid w:val="00DB31DB"/>
    <w:rsid w:val="00DB360F"/>
    <w:rsid w:val="00DB3CFA"/>
    <w:rsid w:val="00DB4410"/>
    <w:rsid w:val="00DB480C"/>
    <w:rsid w:val="00DB5117"/>
    <w:rsid w:val="00DB5480"/>
    <w:rsid w:val="00DB585B"/>
    <w:rsid w:val="00DB5EDC"/>
    <w:rsid w:val="00DB6031"/>
    <w:rsid w:val="00DB664A"/>
    <w:rsid w:val="00DB6A2B"/>
    <w:rsid w:val="00DB6C76"/>
    <w:rsid w:val="00DB7463"/>
    <w:rsid w:val="00DB75C3"/>
    <w:rsid w:val="00DB7665"/>
    <w:rsid w:val="00DB7D19"/>
    <w:rsid w:val="00DC14AF"/>
    <w:rsid w:val="00DC14CD"/>
    <w:rsid w:val="00DC161E"/>
    <w:rsid w:val="00DC1720"/>
    <w:rsid w:val="00DC182A"/>
    <w:rsid w:val="00DC2756"/>
    <w:rsid w:val="00DC2EF1"/>
    <w:rsid w:val="00DC3633"/>
    <w:rsid w:val="00DC387D"/>
    <w:rsid w:val="00DC39E3"/>
    <w:rsid w:val="00DC3A1F"/>
    <w:rsid w:val="00DC40D3"/>
    <w:rsid w:val="00DC4108"/>
    <w:rsid w:val="00DC4698"/>
    <w:rsid w:val="00DC4EC7"/>
    <w:rsid w:val="00DC4F64"/>
    <w:rsid w:val="00DC50C5"/>
    <w:rsid w:val="00DC633D"/>
    <w:rsid w:val="00DC64A7"/>
    <w:rsid w:val="00DD02F0"/>
    <w:rsid w:val="00DD0953"/>
    <w:rsid w:val="00DD0D51"/>
    <w:rsid w:val="00DD1081"/>
    <w:rsid w:val="00DD11ED"/>
    <w:rsid w:val="00DD1430"/>
    <w:rsid w:val="00DD1565"/>
    <w:rsid w:val="00DD1678"/>
    <w:rsid w:val="00DD1A95"/>
    <w:rsid w:val="00DD2C81"/>
    <w:rsid w:val="00DD30D4"/>
    <w:rsid w:val="00DD3251"/>
    <w:rsid w:val="00DD34D2"/>
    <w:rsid w:val="00DD3DC5"/>
    <w:rsid w:val="00DD4038"/>
    <w:rsid w:val="00DD5057"/>
    <w:rsid w:val="00DD54DD"/>
    <w:rsid w:val="00DD5987"/>
    <w:rsid w:val="00DD5C36"/>
    <w:rsid w:val="00DD6492"/>
    <w:rsid w:val="00DD6A42"/>
    <w:rsid w:val="00DD7212"/>
    <w:rsid w:val="00DD73FE"/>
    <w:rsid w:val="00DD765F"/>
    <w:rsid w:val="00DD7FB2"/>
    <w:rsid w:val="00DE0381"/>
    <w:rsid w:val="00DE2496"/>
    <w:rsid w:val="00DE2744"/>
    <w:rsid w:val="00DE29B6"/>
    <w:rsid w:val="00DE2BA7"/>
    <w:rsid w:val="00DE3B30"/>
    <w:rsid w:val="00DE3E93"/>
    <w:rsid w:val="00DE4470"/>
    <w:rsid w:val="00DE5290"/>
    <w:rsid w:val="00DE5E6D"/>
    <w:rsid w:val="00DE6BA0"/>
    <w:rsid w:val="00DE7099"/>
    <w:rsid w:val="00DE70B6"/>
    <w:rsid w:val="00DE760E"/>
    <w:rsid w:val="00DE7AB9"/>
    <w:rsid w:val="00DE7E4D"/>
    <w:rsid w:val="00DF03E7"/>
    <w:rsid w:val="00DF0577"/>
    <w:rsid w:val="00DF0A69"/>
    <w:rsid w:val="00DF0FAA"/>
    <w:rsid w:val="00DF221D"/>
    <w:rsid w:val="00DF270E"/>
    <w:rsid w:val="00DF341B"/>
    <w:rsid w:val="00DF39E9"/>
    <w:rsid w:val="00DF3AD9"/>
    <w:rsid w:val="00DF431B"/>
    <w:rsid w:val="00DF44BF"/>
    <w:rsid w:val="00DF5DF0"/>
    <w:rsid w:val="00DF641B"/>
    <w:rsid w:val="00DF6C81"/>
    <w:rsid w:val="00DF74D9"/>
    <w:rsid w:val="00DF7C11"/>
    <w:rsid w:val="00DF7DBB"/>
    <w:rsid w:val="00E00115"/>
    <w:rsid w:val="00E00148"/>
    <w:rsid w:val="00E0047E"/>
    <w:rsid w:val="00E00D0D"/>
    <w:rsid w:val="00E00EAD"/>
    <w:rsid w:val="00E01670"/>
    <w:rsid w:val="00E01A1F"/>
    <w:rsid w:val="00E02912"/>
    <w:rsid w:val="00E02AA0"/>
    <w:rsid w:val="00E0360B"/>
    <w:rsid w:val="00E039E1"/>
    <w:rsid w:val="00E03A96"/>
    <w:rsid w:val="00E03FEA"/>
    <w:rsid w:val="00E042B7"/>
    <w:rsid w:val="00E048E3"/>
    <w:rsid w:val="00E053DB"/>
    <w:rsid w:val="00E05D56"/>
    <w:rsid w:val="00E05EEC"/>
    <w:rsid w:val="00E0616C"/>
    <w:rsid w:val="00E066E8"/>
    <w:rsid w:val="00E068F2"/>
    <w:rsid w:val="00E06C07"/>
    <w:rsid w:val="00E06C4B"/>
    <w:rsid w:val="00E06EDB"/>
    <w:rsid w:val="00E075A1"/>
    <w:rsid w:val="00E079B8"/>
    <w:rsid w:val="00E105A9"/>
    <w:rsid w:val="00E10670"/>
    <w:rsid w:val="00E116EB"/>
    <w:rsid w:val="00E11D3C"/>
    <w:rsid w:val="00E1236E"/>
    <w:rsid w:val="00E12680"/>
    <w:rsid w:val="00E13808"/>
    <w:rsid w:val="00E13810"/>
    <w:rsid w:val="00E13D7E"/>
    <w:rsid w:val="00E14A6E"/>
    <w:rsid w:val="00E14E6C"/>
    <w:rsid w:val="00E15056"/>
    <w:rsid w:val="00E15235"/>
    <w:rsid w:val="00E15644"/>
    <w:rsid w:val="00E158BA"/>
    <w:rsid w:val="00E15CCA"/>
    <w:rsid w:val="00E15DB1"/>
    <w:rsid w:val="00E16023"/>
    <w:rsid w:val="00E163AE"/>
    <w:rsid w:val="00E1647E"/>
    <w:rsid w:val="00E167D5"/>
    <w:rsid w:val="00E16A8F"/>
    <w:rsid w:val="00E16E16"/>
    <w:rsid w:val="00E17552"/>
    <w:rsid w:val="00E17865"/>
    <w:rsid w:val="00E1787E"/>
    <w:rsid w:val="00E2014D"/>
    <w:rsid w:val="00E209F5"/>
    <w:rsid w:val="00E20EC9"/>
    <w:rsid w:val="00E20FCE"/>
    <w:rsid w:val="00E21358"/>
    <w:rsid w:val="00E21A6A"/>
    <w:rsid w:val="00E21B03"/>
    <w:rsid w:val="00E21E18"/>
    <w:rsid w:val="00E21E8C"/>
    <w:rsid w:val="00E22202"/>
    <w:rsid w:val="00E22445"/>
    <w:rsid w:val="00E22D80"/>
    <w:rsid w:val="00E22E12"/>
    <w:rsid w:val="00E23218"/>
    <w:rsid w:val="00E23F0B"/>
    <w:rsid w:val="00E23F3E"/>
    <w:rsid w:val="00E246CF"/>
    <w:rsid w:val="00E25CA7"/>
    <w:rsid w:val="00E25E6E"/>
    <w:rsid w:val="00E260A3"/>
    <w:rsid w:val="00E26D15"/>
    <w:rsid w:val="00E2746C"/>
    <w:rsid w:val="00E27DDB"/>
    <w:rsid w:val="00E30B12"/>
    <w:rsid w:val="00E316E2"/>
    <w:rsid w:val="00E31702"/>
    <w:rsid w:val="00E31B75"/>
    <w:rsid w:val="00E31E95"/>
    <w:rsid w:val="00E3242E"/>
    <w:rsid w:val="00E32B0E"/>
    <w:rsid w:val="00E330C9"/>
    <w:rsid w:val="00E33215"/>
    <w:rsid w:val="00E3330E"/>
    <w:rsid w:val="00E3351F"/>
    <w:rsid w:val="00E33992"/>
    <w:rsid w:val="00E350F6"/>
    <w:rsid w:val="00E358BB"/>
    <w:rsid w:val="00E3637F"/>
    <w:rsid w:val="00E365A4"/>
    <w:rsid w:val="00E36AE4"/>
    <w:rsid w:val="00E374EE"/>
    <w:rsid w:val="00E40215"/>
    <w:rsid w:val="00E40553"/>
    <w:rsid w:val="00E40DAE"/>
    <w:rsid w:val="00E40F62"/>
    <w:rsid w:val="00E41132"/>
    <w:rsid w:val="00E41612"/>
    <w:rsid w:val="00E41F83"/>
    <w:rsid w:val="00E42356"/>
    <w:rsid w:val="00E42870"/>
    <w:rsid w:val="00E42A6C"/>
    <w:rsid w:val="00E43249"/>
    <w:rsid w:val="00E436A2"/>
    <w:rsid w:val="00E43A02"/>
    <w:rsid w:val="00E43C21"/>
    <w:rsid w:val="00E4515D"/>
    <w:rsid w:val="00E458D8"/>
    <w:rsid w:val="00E45F64"/>
    <w:rsid w:val="00E4661A"/>
    <w:rsid w:val="00E4697F"/>
    <w:rsid w:val="00E473F2"/>
    <w:rsid w:val="00E4758D"/>
    <w:rsid w:val="00E5127D"/>
    <w:rsid w:val="00E5182A"/>
    <w:rsid w:val="00E518A7"/>
    <w:rsid w:val="00E529F5"/>
    <w:rsid w:val="00E53234"/>
    <w:rsid w:val="00E53344"/>
    <w:rsid w:val="00E5356B"/>
    <w:rsid w:val="00E53E00"/>
    <w:rsid w:val="00E541A1"/>
    <w:rsid w:val="00E54221"/>
    <w:rsid w:val="00E54D52"/>
    <w:rsid w:val="00E54E05"/>
    <w:rsid w:val="00E550BF"/>
    <w:rsid w:val="00E550EB"/>
    <w:rsid w:val="00E5553E"/>
    <w:rsid w:val="00E5650A"/>
    <w:rsid w:val="00E56BAF"/>
    <w:rsid w:val="00E56CE3"/>
    <w:rsid w:val="00E57493"/>
    <w:rsid w:val="00E574EC"/>
    <w:rsid w:val="00E5751D"/>
    <w:rsid w:val="00E57A62"/>
    <w:rsid w:val="00E57CA0"/>
    <w:rsid w:val="00E57ED4"/>
    <w:rsid w:val="00E57F9C"/>
    <w:rsid w:val="00E60A5A"/>
    <w:rsid w:val="00E60DAA"/>
    <w:rsid w:val="00E60F57"/>
    <w:rsid w:val="00E6123C"/>
    <w:rsid w:val="00E615F9"/>
    <w:rsid w:val="00E61622"/>
    <w:rsid w:val="00E6193C"/>
    <w:rsid w:val="00E62791"/>
    <w:rsid w:val="00E6298B"/>
    <w:rsid w:val="00E62A0F"/>
    <w:rsid w:val="00E62B42"/>
    <w:rsid w:val="00E62BC2"/>
    <w:rsid w:val="00E63DAA"/>
    <w:rsid w:val="00E64388"/>
    <w:rsid w:val="00E646EE"/>
    <w:rsid w:val="00E65605"/>
    <w:rsid w:val="00E658A9"/>
    <w:rsid w:val="00E65ABF"/>
    <w:rsid w:val="00E65DE4"/>
    <w:rsid w:val="00E66595"/>
    <w:rsid w:val="00E666AE"/>
    <w:rsid w:val="00E66CDC"/>
    <w:rsid w:val="00E7021B"/>
    <w:rsid w:val="00E70DAF"/>
    <w:rsid w:val="00E713F3"/>
    <w:rsid w:val="00E71765"/>
    <w:rsid w:val="00E717A6"/>
    <w:rsid w:val="00E7221D"/>
    <w:rsid w:val="00E7296A"/>
    <w:rsid w:val="00E72A69"/>
    <w:rsid w:val="00E72EA3"/>
    <w:rsid w:val="00E737C7"/>
    <w:rsid w:val="00E75077"/>
    <w:rsid w:val="00E75460"/>
    <w:rsid w:val="00E75A94"/>
    <w:rsid w:val="00E7615F"/>
    <w:rsid w:val="00E76A14"/>
    <w:rsid w:val="00E76AE0"/>
    <w:rsid w:val="00E77065"/>
    <w:rsid w:val="00E77245"/>
    <w:rsid w:val="00E77715"/>
    <w:rsid w:val="00E77939"/>
    <w:rsid w:val="00E8039C"/>
    <w:rsid w:val="00E81A87"/>
    <w:rsid w:val="00E82043"/>
    <w:rsid w:val="00E82457"/>
    <w:rsid w:val="00E8277D"/>
    <w:rsid w:val="00E828CA"/>
    <w:rsid w:val="00E83948"/>
    <w:rsid w:val="00E83CF9"/>
    <w:rsid w:val="00E84226"/>
    <w:rsid w:val="00E85D9C"/>
    <w:rsid w:val="00E86983"/>
    <w:rsid w:val="00E8753D"/>
    <w:rsid w:val="00E9060E"/>
    <w:rsid w:val="00E90744"/>
    <w:rsid w:val="00E907B7"/>
    <w:rsid w:val="00E90CAB"/>
    <w:rsid w:val="00E90F9A"/>
    <w:rsid w:val="00E91521"/>
    <w:rsid w:val="00E9186B"/>
    <w:rsid w:val="00E91944"/>
    <w:rsid w:val="00E91C11"/>
    <w:rsid w:val="00E9203D"/>
    <w:rsid w:val="00E92974"/>
    <w:rsid w:val="00E92B9D"/>
    <w:rsid w:val="00E92F98"/>
    <w:rsid w:val="00E9331D"/>
    <w:rsid w:val="00E9337F"/>
    <w:rsid w:val="00E93CE4"/>
    <w:rsid w:val="00E94650"/>
    <w:rsid w:val="00E9491E"/>
    <w:rsid w:val="00E94D86"/>
    <w:rsid w:val="00E94FE4"/>
    <w:rsid w:val="00E95033"/>
    <w:rsid w:val="00E95322"/>
    <w:rsid w:val="00E95490"/>
    <w:rsid w:val="00E96168"/>
    <w:rsid w:val="00E968C1"/>
    <w:rsid w:val="00E96912"/>
    <w:rsid w:val="00E970A4"/>
    <w:rsid w:val="00E971F6"/>
    <w:rsid w:val="00E97AF7"/>
    <w:rsid w:val="00EA02D4"/>
    <w:rsid w:val="00EA0539"/>
    <w:rsid w:val="00EA0B75"/>
    <w:rsid w:val="00EA0C75"/>
    <w:rsid w:val="00EA0E54"/>
    <w:rsid w:val="00EA1719"/>
    <w:rsid w:val="00EA1769"/>
    <w:rsid w:val="00EA1CCD"/>
    <w:rsid w:val="00EA33F6"/>
    <w:rsid w:val="00EA3671"/>
    <w:rsid w:val="00EA4BD3"/>
    <w:rsid w:val="00EA5073"/>
    <w:rsid w:val="00EA51C4"/>
    <w:rsid w:val="00EA608D"/>
    <w:rsid w:val="00EA6617"/>
    <w:rsid w:val="00EA71AE"/>
    <w:rsid w:val="00EA76F7"/>
    <w:rsid w:val="00EB0DEA"/>
    <w:rsid w:val="00EB10FB"/>
    <w:rsid w:val="00EB1793"/>
    <w:rsid w:val="00EB190B"/>
    <w:rsid w:val="00EB1DE3"/>
    <w:rsid w:val="00EB1F63"/>
    <w:rsid w:val="00EB247A"/>
    <w:rsid w:val="00EB27BC"/>
    <w:rsid w:val="00EB2DE4"/>
    <w:rsid w:val="00EB33E5"/>
    <w:rsid w:val="00EB362F"/>
    <w:rsid w:val="00EB3937"/>
    <w:rsid w:val="00EB63F4"/>
    <w:rsid w:val="00EB65EA"/>
    <w:rsid w:val="00EB6860"/>
    <w:rsid w:val="00EB6A32"/>
    <w:rsid w:val="00EB6F5B"/>
    <w:rsid w:val="00EB73A6"/>
    <w:rsid w:val="00EB7624"/>
    <w:rsid w:val="00EB7800"/>
    <w:rsid w:val="00EB7C98"/>
    <w:rsid w:val="00EB7DC4"/>
    <w:rsid w:val="00EC1046"/>
    <w:rsid w:val="00EC14F3"/>
    <w:rsid w:val="00EC1B10"/>
    <w:rsid w:val="00EC1C06"/>
    <w:rsid w:val="00EC33A0"/>
    <w:rsid w:val="00EC469E"/>
    <w:rsid w:val="00EC4836"/>
    <w:rsid w:val="00EC4EE1"/>
    <w:rsid w:val="00EC4FC7"/>
    <w:rsid w:val="00EC5088"/>
    <w:rsid w:val="00EC512D"/>
    <w:rsid w:val="00EC5A25"/>
    <w:rsid w:val="00EC5C58"/>
    <w:rsid w:val="00EC682A"/>
    <w:rsid w:val="00EC6F38"/>
    <w:rsid w:val="00EC71DD"/>
    <w:rsid w:val="00EC75F2"/>
    <w:rsid w:val="00EC7E8C"/>
    <w:rsid w:val="00ED005C"/>
    <w:rsid w:val="00ED0209"/>
    <w:rsid w:val="00ED0396"/>
    <w:rsid w:val="00ED1116"/>
    <w:rsid w:val="00ED145D"/>
    <w:rsid w:val="00ED175E"/>
    <w:rsid w:val="00ED1BE8"/>
    <w:rsid w:val="00ED1E4A"/>
    <w:rsid w:val="00ED2330"/>
    <w:rsid w:val="00ED384E"/>
    <w:rsid w:val="00ED38F5"/>
    <w:rsid w:val="00ED3D59"/>
    <w:rsid w:val="00ED3EE2"/>
    <w:rsid w:val="00ED3FB3"/>
    <w:rsid w:val="00ED43A0"/>
    <w:rsid w:val="00ED4C4A"/>
    <w:rsid w:val="00ED5009"/>
    <w:rsid w:val="00ED54E3"/>
    <w:rsid w:val="00ED5E38"/>
    <w:rsid w:val="00ED6AD5"/>
    <w:rsid w:val="00ED6F5B"/>
    <w:rsid w:val="00ED7710"/>
    <w:rsid w:val="00EE0881"/>
    <w:rsid w:val="00EE10A4"/>
    <w:rsid w:val="00EE3254"/>
    <w:rsid w:val="00EE3AE6"/>
    <w:rsid w:val="00EE4108"/>
    <w:rsid w:val="00EE4490"/>
    <w:rsid w:val="00EE4EEF"/>
    <w:rsid w:val="00EE55F5"/>
    <w:rsid w:val="00EE5AE0"/>
    <w:rsid w:val="00EE5E96"/>
    <w:rsid w:val="00EE6832"/>
    <w:rsid w:val="00EE6B22"/>
    <w:rsid w:val="00EE6C67"/>
    <w:rsid w:val="00EE78E5"/>
    <w:rsid w:val="00EF008D"/>
    <w:rsid w:val="00EF03FA"/>
    <w:rsid w:val="00EF08E4"/>
    <w:rsid w:val="00EF0D0F"/>
    <w:rsid w:val="00EF0F47"/>
    <w:rsid w:val="00EF168B"/>
    <w:rsid w:val="00EF1755"/>
    <w:rsid w:val="00EF1D60"/>
    <w:rsid w:val="00EF1F08"/>
    <w:rsid w:val="00EF2042"/>
    <w:rsid w:val="00EF26D6"/>
    <w:rsid w:val="00EF2973"/>
    <w:rsid w:val="00EF3D58"/>
    <w:rsid w:val="00EF430B"/>
    <w:rsid w:val="00EF44D5"/>
    <w:rsid w:val="00EF4E29"/>
    <w:rsid w:val="00EF4E43"/>
    <w:rsid w:val="00EF7063"/>
    <w:rsid w:val="00EF7084"/>
    <w:rsid w:val="00F0023F"/>
    <w:rsid w:val="00F01D9A"/>
    <w:rsid w:val="00F0262B"/>
    <w:rsid w:val="00F02BC3"/>
    <w:rsid w:val="00F02F00"/>
    <w:rsid w:val="00F0311C"/>
    <w:rsid w:val="00F03973"/>
    <w:rsid w:val="00F03B39"/>
    <w:rsid w:val="00F03EDC"/>
    <w:rsid w:val="00F04052"/>
    <w:rsid w:val="00F044A9"/>
    <w:rsid w:val="00F04FED"/>
    <w:rsid w:val="00F05337"/>
    <w:rsid w:val="00F05435"/>
    <w:rsid w:val="00F0552E"/>
    <w:rsid w:val="00F058D1"/>
    <w:rsid w:val="00F05AC4"/>
    <w:rsid w:val="00F06673"/>
    <w:rsid w:val="00F06961"/>
    <w:rsid w:val="00F06B41"/>
    <w:rsid w:val="00F06EFD"/>
    <w:rsid w:val="00F0714D"/>
    <w:rsid w:val="00F07A7F"/>
    <w:rsid w:val="00F1066F"/>
    <w:rsid w:val="00F10DA6"/>
    <w:rsid w:val="00F11601"/>
    <w:rsid w:val="00F1195C"/>
    <w:rsid w:val="00F1198E"/>
    <w:rsid w:val="00F11E4B"/>
    <w:rsid w:val="00F12BD7"/>
    <w:rsid w:val="00F1303D"/>
    <w:rsid w:val="00F13267"/>
    <w:rsid w:val="00F1415F"/>
    <w:rsid w:val="00F14201"/>
    <w:rsid w:val="00F1487F"/>
    <w:rsid w:val="00F148B9"/>
    <w:rsid w:val="00F148F8"/>
    <w:rsid w:val="00F14F56"/>
    <w:rsid w:val="00F1508C"/>
    <w:rsid w:val="00F1578E"/>
    <w:rsid w:val="00F15C9E"/>
    <w:rsid w:val="00F15E02"/>
    <w:rsid w:val="00F15FF6"/>
    <w:rsid w:val="00F16BE4"/>
    <w:rsid w:val="00F16FA9"/>
    <w:rsid w:val="00F20541"/>
    <w:rsid w:val="00F20763"/>
    <w:rsid w:val="00F20D59"/>
    <w:rsid w:val="00F2203A"/>
    <w:rsid w:val="00F223B5"/>
    <w:rsid w:val="00F224BF"/>
    <w:rsid w:val="00F227C8"/>
    <w:rsid w:val="00F22A56"/>
    <w:rsid w:val="00F232F6"/>
    <w:rsid w:val="00F23306"/>
    <w:rsid w:val="00F23333"/>
    <w:rsid w:val="00F237B4"/>
    <w:rsid w:val="00F23CB7"/>
    <w:rsid w:val="00F24216"/>
    <w:rsid w:val="00F257B5"/>
    <w:rsid w:val="00F25B07"/>
    <w:rsid w:val="00F26B12"/>
    <w:rsid w:val="00F2720E"/>
    <w:rsid w:val="00F273C0"/>
    <w:rsid w:val="00F27760"/>
    <w:rsid w:val="00F2776D"/>
    <w:rsid w:val="00F304AA"/>
    <w:rsid w:val="00F30D52"/>
    <w:rsid w:val="00F31C5A"/>
    <w:rsid w:val="00F325A4"/>
    <w:rsid w:val="00F336C0"/>
    <w:rsid w:val="00F346E6"/>
    <w:rsid w:val="00F36436"/>
    <w:rsid w:val="00F36668"/>
    <w:rsid w:val="00F3697F"/>
    <w:rsid w:val="00F36AA7"/>
    <w:rsid w:val="00F36D30"/>
    <w:rsid w:val="00F37204"/>
    <w:rsid w:val="00F4027D"/>
    <w:rsid w:val="00F40331"/>
    <w:rsid w:val="00F404F9"/>
    <w:rsid w:val="00F40630"/>
    <w:rsid w:val="00F40864"/>
    <w:rsid w:val="00F40E50"/>
    <w:rsid w:val="00F4102E"/>
    <w:rsid w:val="00F4131A"/>
    <w:rsid w:val="00F413CB"/>
    <w:rsid w:val="00F413D9"/>
    <w:rsid w:val="00F415FE"/>
    <w:rsid w:val="00F41732"/>
    <w:rsid w:val="00F43459"/>
    <w:rsid w:val="00F43B19"/>
    <w:rsid w:val="00F43BE2"/>
    <w:rsid w:val="00F43F6C"/>
    <w:rsid w:val="00F4449C"/>
    <w:rsid w:val="00F44895"/>
    <w:rsid w:val="00F452C8"/>
    <w:rsid w:val="00F45654"/>
    <w:rsid w:val="00F4606A"/>
    <w:rsid w:val="00F46146"/>
    <w:rsid w:val="00F465FB"/>
    <w:rsid w:val="00F46A7B"/>
    <w:rsid w:val="00F46D0C"/>
    <w:rsid w:val="00F47930"/>
    <w:rsid w:val="00F50083"/>
    <w:rsid w:val="00F50585"/>
    <w:rsid w:val="00F50BD1"/>
    <w:rsid w:val="00F513B6"/>
    <w:rsid w:val="00F51402"/>
    <w:rsid w:val="00F51521"/>
    <w:rsid w:val="00F5160A"/>
    <w:rsid w:val="00F516E3"/>
    <w:rsid w:val="00F526EB"/>
    <w:rsid w:val="00F52A49"/>
    <w:rsid w:val="00F52B20"/>
    <w:rsid w:val="00F52E85"/>
    <w:rsid w:val="00F52EE6"/>
    <w:rsid w:val="00F535A1"/>
    <w:rsid w:val="00F5374D"/>
    <w:rsid w:val="00F53D92"/>
    <w:rsid w:val="00F53E8C"/>
    <w:rsid w:val="00F54832"/>
    <w:rsid w:val="00F54D22"/>
    <w:rsid w:val="00F55466"/>
    <w:rsid w:val="00F55676"/>
    <w:rsid w:val="00F558CF"/>
    <w:rsid w:val="00F56A8B"/>
    <w:rsid w:val="00F56AB6"/>
    <w:rsid w:val="00F56D1C"/>
    <w:rsid w:val="00F56F85"/>
    <w:rsid w:val="00F57491"/>
    <w:rsid w:val="00F57885"/>
    <w:rsid w:val="00F6062E"/>
    <w:rsid w:val="00F60C6E"/>
    <w:rsid w:val="00F60F9F"/>
    <w:rsid w:val="00F61625"/>
    <w:rsid w:val="00F63422"/>
    <w:rsid w:val="00F63A69"/>
    <w:rsid w:val="00F63CFB"/>
    <w:rsid w:val="00F63D5A"/>
    <w:rsid w:val="00F6455B"/>
    <w:rsid w:val="00F645B7"/>
    <w:rsid w:val="00F64A61"/>
    <w:rsid w:val="00F64DAB"/>
    <w:rsid w:val="00F65AFA"/>
    <w:rsid w:val="00F66144"/>
    <w:rsid w:val="00F66505"/>
    <w:rsid w:val="00F66A94"/>
    <w:rsid w:val="00F6713F"/>
    <w:rsid w:val="00F67629"/>
    <w:rsid w:val="00F67764"/>
    <w:rsid w:val="00F7068F"/>
    <w:rsid w:val="00F707F6"/>
    <w:rsid w:val="00F70CE6"/>
    <w:rsid w:val="00F71766"/>
    <w:rsid w:val="00F71CBE"/>
    <w:rsid w:val="00F72E31"/>
    <w:rsid w:val="00F7361D"/>
    <w:rsid w:val="00F73E4F"/>
    <w:rsid w:val="00F74205"/>
    <w:rsid w:val="00F74B51"/>
    <w:rsid w:val="00F75874"/>
    <w:rsid w:val="00F75F84"/>
    <w:rsid w:val="00F7617E"/>
    <w:rsid w:val="00F76798"/>
    <w:rsid w:val="00F76A41"/>
    <w:rsid w:val="00F76B1C"/>
    <w:rsid w:val="00F76B30"/>
    <w:rsid w:val="00F76D6D"/>
    <w:rsid w:val="00F810BB"/>
    <w:rsid w:val="00F81362"/>
    <w:rsid w:val="00F816D2"/>
    <w:rsid w:val="00F816EA"/>
    <w:rsid w:val="00F81711"/>
    <w:rsid w:val="00F843ED"/>
    <w:rsid w:val="00F84BE7"/>
    <w:rsid w:val="00F84C4C"/>
    <w:rsid w:val="00F854EE"/>
    <w:rsid w:val="00F8602E"/>
    <w:rsid w:val="00F87BDF"/>
    <w:rsid w:val="00F87D5B"/>
    <w:rsid w:val="00F90520"/>
    <w:rsid w:val="00F91314"/>
    <w:rsid w:val="00F91353"/>
    <w:rsid w:val="00F91C03"/>
    <w:rsid w:val="00F91C30"/>
    <w:rsid w:val="00F91FAD"/>
    <w:rsid w:val="00F924AB"/>
    <w:rsid w:val="00F92563"/>
    <w:rsid w:val="00F9259B"/>
    <w:rsid w:val="00F92D7B"/>
    <w:rsid w:val="00F932C2"/>
    <w:rsid w:val="00F9336C"/>
    <w:rsid w:val="00F9345E"/>
    <w:rsid w:val="00F938E0"/>
    <w:rsid w:val="00F93AC7"/>
    <w:rsid w:val="00F93F57"/>
    <w:rsid w:val="00F94FFB"/>
    <w:rsid w:val="00F95008"/>
    <w:rsid w:val="00F9501C"/>
    <w:rsid w:val="00F9560C"/>
    <w:rsid w:val="00F95CE6"/>
    <w:rsid w:val="00F9684A"/>
    <w:rsid w:val="00F968D8"/>
    <w:rsid w:val="00F97D11"/>
    <w:rsid w:val="00F97DAB"/>
    <w:rsid w:val="00FA05F8"/>
    <w:rsid w:val="00FA0825"/>
    <w:rsid w:val="00FA08AD"/>
    <w:rsid w:val="00FA0AFA"/>
    <w:rsid w:val="00FA0B9C"/>
    <w:rsid w:val="00FA0DC4"/>
    <w:rsid w:val="00FA13E3"/>
    <w:rsid w:val="00FA1444"/>
    <w:rsid w:val="00FA1781"/>
    <w:rsid w:val="00FA22D0"/>
    <w:rsid w:val="00FA2B5D"/>
    <w:rsid w:val="00FA2F27"/>
    <w:rsid w:val="00FA3268"/>
    <w:rsid w:val="00FA33E7"/>
    <w:rsid w:val="00FA3FEE"/>
    <w:rsid w:val="00FA4150"/>
    <w:rsid w:val="00FA4409"/>
    <w:rsid w:val="00FA457B"/>
    <w:rsid w:val="00FA458B"/>
    <w:rsid w:val="00FA4B67"/>
    <w:rsid w:val="00FA51FB"/>
    <w:rsid w:val="00FA5766"/>
    <w:rsid w:val="00FA5C95"/>
    <w:rsid w:val="00FA61C0"/>
    <w:rsid w:val="00FA6216"/>
    <w:rsid w:val="00FA692F"/>
    <w:rsid w:val="00FA6E05"/>
    <w:rsid w:val="00FA79CF"/>
    <w:rsid w:val="00FA7CFE"/>
    <w:rsid w:val="00FA7D7D"/>
    <w:rsid w:val="00FA7DC7"/>
    <w:rsid w:val="00FB0713"/>
    <w:rsid w:val="00FB129B"/>
    <w:rsid w:val="00FB1BCD"/>
    <w:rsid w:val="00FB1D95"/>
    <w:rsid w:val="00FB28E2"/>
    <w:rsid w:val="00FB295C"/>
    <w:rsid w:val="00FB2A95"/>
    <w:rsid w:val="00FB2B36"/>
    <w:rsid w:val="00FB5A26"/>
    <w:rsid w:val="00FB5E8B"/>
    <w:rsid w:val="00FB620D"/>
    <w:rsid w:val="00FB6368"/>
    <w:rsid w:val="00FB64D1"/>
    <w:rsid w:val="00FB6F67"/>
    <w:rsid w:val="00FB7E5C"/>
    <w:rsid w:val="00FC01E0"/>
    <w:rsid w:val="00FC0406"/>
    <w:rsid w:val="00FC0A49"/>
    <w:rsid w:val="00FC0AD7"/>
    <w:rsid w:val="00FC10DE"/>
    <w:rsid w:val="00FC1700"/>
    <w:rsid w:val="00FC1E4A"/>
    <w:rsid w:val="00FC2CEB"/>
    <w:rsid w:val="00FC2D5F"/>
    <w:rsid w:val="00FC3370"/>
    <w:rsid w:val="00FC3AA0"/>
    <w:rsid w:val="00FC401F"/>
    <w:rsid w:val="00FC4280"/>
    <w:rsid w:val="00FC4FAA"/>
    <w:rsid w:val="00FC5603"/>
    <w:rsid w:val="00FC5BAE"/>
    <w:rsid w:val="00FC5EF9"/>
    <w:rsid w:val="00FC60F1"/>
    <w:rsid w:val="00FC65A9"/>
    <w:rsid w:val="00FC6C62"/>
    <w:rsid w:val="00FC79D4"/>
    <w:rsid w:val="00FC7BF9"/>
    <w:rsid w:val="00FD0089"/>
    <w:rsid w:val="00FD0974"/>
    <w:rsid w:val="00FD0B28"/>
    <w:rsid w:val="00FD12EA"/>
    <w:rsid w:val="00FD17BA"/>
    <w:rsid w:val="00FD2301"/>
    <w:rsid w:val="00FD2C9D"/>
    <w:rsid w:val="00FD2F74"/>
    <w:rsid w:val="00FD30B5"/>
    <w:rsid w:val="00FD3355"/>
    <w:rsid w:val="00FD3B94"/>
    <w:rsid w:val="00FD3E4E"/>
    <w:rsid w:val="00FD3F89"/>
    <w:rsid w:val="00FD40DD"/>
    <w:rsid w:val="00FD43B3"/>
    <w:rsid w:val="00FD4D0A"/>
    <w:rsid w:val="00FD5408"/>
    <w:rsid w:val="00FD5734"/>
    <w:rsid w:val="00FD5CEA"/>
    <w:rsid w:val="00FD60CC"/>
    <w:rsid w:val="00FD6295"/>
    <w:rsid w:val="00FD6355"/>
    <w:rsid w:val="00FD69EC"/>
    <w:rsid w:val="00FD6E9B"/>
    <w:rsid w:val="00FD71B9"/>
    <w:rsid w:val="00FD7A7C"/>
    <w:rsid w:val="00FE0255"/>
    <w:rsid w:val="00FE03C1"/>
    <w:rsid w:val="00FE0482"/>
    <w:rsid w:val="00FE0521"/>
    <w:rsid w:val="00FE0AF0"/>
    <w:rsid w:val="00FE109D"/>
    <w:rsid w:val="00FE1118"/>
    <w:rsid w:val="00FE1633"/>
    <w:rsid w:val="00FE1C6B"/>
    <w:rsid w:val="00FE204B"/>
    <w:rsid w:val="00FE2477"/>
    <w:rsid w:val="00FE24AF"/>
    <w:rsid w:val="00FE3694"/>
    <w:rsid w:val="00FE3A6B"/>
    <w:rsid w:val="00FE3E63"/>
    <w:rsid w:val="00FE3FB7"/>
    <w:rsid w:val="00FE40E5"/>
    <w:rsid w:val="00FE4671"/>
    <w:rsid w:val="00FE4739"/>
    <w:rsid w:val="00FE4795"/>
    <w:rsid w:val="00FE47C4"/>
    <w:rsid w:val="00FE4DB2"/>
    <w:rsid w:val="00FE577A"/>
    <w:rsid w:val="00FE681D"/>
    <w:rsid w:val="00FE6F00"/>
    <w:rsid w:val="00FE74DF"/>
    <w:rsid w:val="00FE7AC2"/>
    <w:rsid w:val="00FE7BCD"/>
    <w:rsid w:val="00FE7EE8"/>
    <w:rsid w:val="00FE7F97"/>
    <w:rsid w:val="00FF0243"/>
    <w:rsid w:val="00FF0DBD"/>
    <w:rsid w:val="00FF1B22"/>
    <w:rsid w:val="00FF1EE8"/>
    <w:rsid w:val="00FF1EEE"/>
    <w:rsid w:val="00FF2100"/>
    <w:rsid w:val="00FF2153"/>
    <w:rsid w:val="00FF2188"/>
    <w:rsid w:val="00FF2CCD"/>
    <w:rsid w:val="00FF328C"/>
    <w:rsid w:val="00FF3A07"/>
    <w:rsid w:val="00FF3FEA"/>
    <w:rsid w:val="00FF4318"/>
    <w:rsid w:val="00FF43AB"/>
    <w:rsid w:val="00FF44CB"/>
    <w:rsid w:val="00FF45E8"/>
    <w:rsid w:val="00FF4B23"/>
    <w:rsid w:val="00FF4C68"/>
    <w:rsid w:val="00FF4F73"/>
    <w:rsid w:val="00FF59D6"/>
    <w:rsid w:val="00FF6C1D"/>
    <w:rsid w:val="00FF6F9D"/>
    <w:rsid w:val="00FF6FA4"/>
    <w:rsid w:val="00FF743C"/>
    <w:rsid w:val="00FF7826"/>
    <w:rsid w:val="00FF7FED"/>
    <w:rsid w:val="01845600"/>
    <w:rsid w:val="01E2DAA3"/>
    <w:rsid w:val="0214B320"/>
    <w:rsid w:val="02B14E66"/>
    <w:rsid w:val="02BC5419"/>
    <w:rsid w:val="02CA7A5F"/>
    <w:rsid w:val="038B2B98"/>
    <w:rsid w:val="04419C94"/>
    <w:rsid w:val="0496A85F"/>
    <w:rsid w:val="04FB8C3A"/>
    <w:rsid w:val="05E2C8A5"/>
    <w:rsid w:val="07915F6C"/>
    <w:rsid w:val="07BB6D6B"/>
    <w:rsid w:val="0861732B"/>
    <w:rsid w:val="09E580EE"/>
    <w:rsid w:val="0A7C7799"/>
    <w:rsid w:val="0BB796CC"/>
    <w:rsid w:val="0C42104C"/>
    <w:rsid w:val="0D00AD5C"/>
    <w:rsid w:val="0D04E9B7"/>
    <w:rsid w:val="0D08C62D"/>
    <w:rsid w:val="0D6694AD"/>
    <w:rsid w:val="0D8A0AC5"/>
    <w:rsid w:val="0DCC4204"/>
    <w:rsid w:val="0E1E4A8E"/>
    <w:rsid w:val="0F0579B8"/>
    <w:rsid w:val="0F1F4BE9"/>
    <w:rsid w:val="0FEBF9FD"/>
    <w:rsid w:val="1014DBDD"/>
    <w:rsid w:val="103D87A1"/>
    <w:rsid w:val="116A107D"/>
    <w:rsid w:val="12016631"/>
    <w:rsid w:val="125BD904"/>
    <w:rsid w:val="12648B4B"/>
    <w:rsid w:val="1313037F"/>
    <w:rsid w:val="13248099"/>
    <w:rsid w:val="133E5915"/>
    <w:rsid w:val="13BAE089"/>
    <w:rsid w:val="1468F3DE"/>
    <w:rsid w:val="14AA04E7"/>
    <w:rsid w:val="14B54895"/>
    <w:rsid w:val="14E509EE"/>
    <w:rsid w:val="154D1568"/>
    <w:rsid w:val="1558A4B7"/>
    <w:rsid w:val="155D6AD0"/>
    <w:rsid w:val="158C5076"/>
    <w:rsid w:val="15BB87FF"/>
    <w:rsid w:val="15EFADE0"/>
    <w:rsid w:val="16321DC4"/>
    <w:rsid w:val="163F3EB1"/>
    <w:rsid w:val="164F8B82"/>
    <w:rsid w:val="167D5F1D"/>
    <w:rsid w:val="16E15866"/>
    <w:rsid w:val="184B38DB"/>
    <w:rsid w:val="18882470"/>
    <w:rsid w:val="1929743D"/>
    <w:rsid w:val="19DC286C"/>
    <w:rsid w:val="1A0CDCC6"/>
    <w:rsid w:val="1A2DEF6E"/>
    <w:rsid w:val="1AC8F1A8"/>
    <w:rsid w:val="1B12EA79"/>
    <w:rsid w:val="1B184637"/>
    <w:rsid w:val="1B209D72"/>
    <w:rsid w:val="1B24D8C4"/>
    <w:rsid w:val="1D33B91A"/>
    <w:rsid w:val="1D6996AE"/>
    <w:rsid w:val="1DFEFFBC"/>
    <w:rsid w:val="1E8B3177"/>
    <w:rsid w:val="1E96D89D"/>
    <w:rsid w:val="1F59CB9D"/>
    <w:rsid w:val="1F760437"/>
    <w:rsid w:val="1FC34E60"/>
    <w:rsid w:val="20366AC9"/>
    <w:rsid w:val="211F78F3"/>
    <w:rsid w:val="2139983C"/>
    <w:rsid w:val="2142299E"/>
    <w:rsid w:val="21A4EC7D"/>
    <w:rsid w:val="2234F79B"/>
    <w:rsid w:val="223EEA81"/>
    <w:rsid w:val="2259DE55"/>
    <w:rsid w:val="2287B592"/>
    <w:rsid w:val="23536B97"/>
    <w:rsid w:val="23B03B62"/>
    <w:rsid w:val="23B8A7CA"/>
    <w:rsid w:val="23D1AA68"/>
    <w:rsid w:val="2448146C"/>
    <w:rsid w:val="25C4609B"/>
    <w:rsid w:val="26290F0D"/>
    <w:rsid w:val="264D3681"/>
    <w:rsid w:val="2686C722"/>
    <w:rsid w:val="269B92FD"/>
    <w:rsid w:val="26A4D343"/>
    <w:rsid w:val="2730CB78"/>
    <w:rsid w:val="277C3BC6"/>
    <w:rsid w:val="27B93769"/>
    <w:rsid w:val="281B6B8F"/>
    <w:rsid w:val="2848C288"/>
    <w:rsid w:val="2882FC04"/>
    <w:rsid w:val="2889CE1D"/>
    <w:rsid w:val="29028A44"/>
    <w:rsid w:val="294410D4"/>
    <w:rsid w:val="294B484C"/>
    <w:rsid w:val="29549EFD"/>
    <w:rsid w:val="2988C1E0"/>
    <w:rsid w:val="29F14D9A"/>
    <w:rsid w:val="2A5FA7CA"/>
    <w:rsid w:val="2B29570A"/>
    <w:rsid w:val="2B2B18A2"/>
    <w:rsid w:val="2B3E16DD"/>
    <w:rsid w:val="2B46C98C"/>
    <w:rsid w:val="2B655412"/>
    <w:rsid w:val="2BF0B991"/>
    <w:rsid w:val="2C01B564"/>
    <w:rsid w:val="2C544158"/>
    <w:rsid w:val="2C67AA90"/>
    <w:rsid w:val="2CC0A1AB"/>
    <w:rsid w:val="2CF40688"/>
    <w:rsid w:val="2D45A667"/>
    <w:rsid w:val="2D91947E"/>
    <w:rsid w:val="2DA502C5"/>
    <w:rsid w:val="2DD70595"/>
    <w:rsid w:val="2E12178A"/>
    <w:rsid w:val="2E643111"/>
    <w:rsid w:val="2E99F6FD"/>
    <w:rsid w:val="2EC265C0"/>
    <w:rsid w:val="2EC8982A"/>
    <w:rsid w:val="2EE583A2"/>
    <w:rsid w:val="2F3E33BB"/>
    <w:rsid w:val="2F4A2476"/>
    <w:rsid w:val="2FC4F30E"/>
    <w:rsid w:val="2FF4ADE0"/>
    <w:rsid w:val="30ABDFA9"/>
    <w:rsid w:val="30DB5454"/>
    <w:rsid w:val="30F2FE4D"/>
    <w:rsid w:val="30FCF68A"/>
    <w:rsid w:val="313D9C16"/>
    <w:rsid w:val="31D32008"/>
    <w:rsid w:val="31EF5CD8"/>
    <w:rsid w:val="3267312B"/>
    <w:rsid w:val="329116DA"/>
    <w:rsid w:val="32A7D6C2"/>
    <w:rsid w:val="32B90980"/>
    <w:rsid w:val="32E28E9B"/>
    <w:rsid w:val="32EE2C4A"/>
    <w:rsid w:val="3392C7A7"/>
    <w:rsid w:val="3395AF7B"/>
    <w:rsid w:val="3402CE12"/>
    <w:rsid w:val="34047945"/>
    <w:rsid w:val="342182F3"/>
    <w:rsid w:val="346CD655"/>
    <w:rsid w:val="34858110"/>
    <w:rsid w:val="34886E44"/>
    <w:rsid w:val="34D6D231"/>
    <w:rsid w:val="35BFC779"/>
    <w:rsid w:val="364155BB"/>
    <w:rsid w:val="366C5843"/>
    <w:rsid w:val="36BE1E22"/>
    <w:rsid w:val="3708A1D9"/>
    <w:rsid w:val="379B96E3"/>
    <w:rsid w:val="37D2EC47"/>
    <w:rsid w:val="381BA19A"/>
    <w:rsid w:val="3880671E"/>
    <w:rsid w:val="392DB904"/>
    <w:rsid w:val="3930DE6C"/>
    <w:rsid w:val="3A44A0CA"/>
    <w:rsid w:val="3B6D0BEF"/>
    <w:rsid w:val="3B7E30C4"/>
    <w:rsid w:val="3BC84317"/>
    <w:rsid w:val="3BCB36EB"/>
    <w:rsid w:val="3CC7BD81"/>
    <w:rsid w:val="3D63D539"/>
    <w:rsid w:val="3D873877"/>
    <w:rsid w:val="3DB27CE5"/>
    <w:rsid w:val="3DDD505D"/>
    <w:rsid w:val="3EA8FE96"/>
    <w:rsid w:val="3ECD04F5"/>
    <w:rsid w:val="3F1174A7"/>
    <w:rsid w:val="3F4DC4F6"/>
    <w:rsid w:val="3F798F74"/>
    <w:rsid w:val="3FB81B42"/>
    <w:rsid w:val="4136A3D8"/>
    <w:rsid w:val="416A8705"/>
    <w:rsid w:val="41DA2CAB"/>
    <w:rsid w:val="41E23218"/>
    <w:rsid w:val="41F5B569"/>
    <w:rsid w:val="4212632E"/>
    <w:rsid w:val="425076D5"/>
    <w:rsid w:val="4327F50B"/>
    <w:rsid w:val="4347D8CC"/>
    <w:rsid w:val="43FA0789"/>
    <w:rsid w:val="440CBD4D"/>
    <w:rsid w:val="44BE65EA"/>
    <w:rsid w:val="44C7877D"/>
    <w:rsid w:val="44EF9E33"/>
    <w:rsid w:val="45D17D15"/>
    <w:rsid w:val="4621340C"/>
    <w:rsid w:val="46AC10F0"/>
    <w:rsid w:val="4736E549"/>
    <w:rsid w:val="4778C09C"/>
    <w:rsid w:val="47EA43A0"/>
    <w:rsid w:val="484C3ECD"/>
    <w:rsid w:val="48818F6F"/>
    <w:rsid w:val="48D2EB02"/>
    <w:rsid w:val="48D34E50"/>
    <w:rsid w:val="4A080BE1"/>
    <w:rsid w:val="4A44B4FC"/>
    <w:rsid w:val="4B102781"/>
    <w:rsid w:val="4B526AFC"/>
    <w:rsid w:val="4B896F59"/>
    <w:rsid w:val="4B9DC499"/>
    <w:rsid w:val="4BA99451"/>
    <w:rsid w:val="4BA9BB28"/>
    <w:rsid w:val="4BE61590"/>
    <w:rsid w:val="4BF70A8D"/>
    <w:rsid w:val="4C15277A"/>
    <w:rsid w:val="4C61D92E"/>
    <w:rsid w:val="4CE0939C"/>
    <w:rsid w:val="4DA780E2"/>
    <w:rsid w:val="4DEF35D4"/>
    <w:rsid w:val="4DEF7265"/>
    <w:rsid w:val="4E92F6CE"/>
    <w:rsid w:val="4EEB7729"/>
    <w:rsid w:val="4F2DFBA9"/>
    <w:rsid w:val="4F6119CF"/>
    <w:rsid w:val="5013A709"/>
    <w:rsid w:val="50648950"/>
    <w:rsid w:val="507CB252"/>
    <w:rsid w:val="50FDEEBA"/>
    <w:rsid w:val="512B26C3"/>
    <w:rsid w:val="51502703"/>
    <w:rsid w:val="51EDEC9E"/>
    <w:rsid w:val="53DADEE7"/>
    <w:rsid w:val="53FED8C6"/>
    <w:rsid w:val="5479B408"/>
    <w:rsid w:val="5483936E"/>
    <w:rsid w:val="54E11357"/>
    <w:rsid w:val="5576978B"/>
    <w:rsid w:val="557BC85D"/>
    <w:rsid w:val="557C3B2C"/>
    <w:rsid w:val="55F5F473"/>
    <w:rsid w:val="56164A28"/>
    <w:rsid w:val="5632DB77"/>
    <w:rsid w:val="564B5C47"/>
    <w:rsid w:val="57A14F7C"/>
    <w:rsid w:val="57D2F312"/>
    <w:rsid w:val="57DFCB7A"/>
    <w:rsid w:val="581A4C2B"/>
    <w:rsid w:val="582F8A12"/>
    <w:rsid w:val="5873F7D9"/>
    <w:rsid w:val="587E5DE7"/>
    <w:rsid w:val="58CA9256"/>
    <w:rsid w:val="59399746"/>
    <w:rsid w:val="5A54E6D9"/>
    <w:rsid w:val="5A59C110"/>
    <w:rsid w:val="5A73C233"/>
    <w:rsid w:val="5A96D548"/>
    <w:rsid w:val="5A9EEC49"/>
    <w:rsid w:val="5B04F180"/>
    <w:rsid w:val="5B79A3BE"/>
    <w:rsid w:val="5BC2CC56"/>
    <w:rsid w:val="5C4794C3"/>
    <w:rsid w:val="5C7BD045"/>
    <w:rsid w:val="5CCDB46A"/>
    <w:rsid w:val="5D1C5178"/>
    <w:rsid w:val="5D470DD3"/>
    <w:rsid w:val="5D670A76"/>
    <w:rsid w:val="5E3211C5"/>
    <w:rsid w:val="5F12D5A5"/>
    <w:rsid w:val="5F6EE9AF"/>
    <w:rsid w:val="5FA27EEF"/>
    <w:rsid w:val="5FAC044A"/>
    <w:rsid w:val="5FCAAB60"/>
    <w:rsid w:val="5FD4D98F"/>
    <w:rsid w:val="5FD668F7"/>
    <w:rsid w:val="6087A399"/>
    <w:rsid w:val="60ADC3C8"/>
    <w:rsid w:val="6222F691"/>
    <w:rsid w:val="6299BF24"/>
    <w:rsid w:val="62D3F637"/>
    <w:rsid w:val="6337D2AC"/>
    <w:rsid w:val="63E9162B"/>
    <w:rsid w:val="640C39EA"/>
    <w:rsid w:val="64ABB64E"/>
    <w:rsid w:val="64BFDB44"/>
    <w:rsid w:val="64DC2EA2"/>
    <w:rsid w:val="65201D08"/>
    <w:rsid w:val="654382E8"/>
    <w:rsid w:val="658A8004"/>
    <w:rsid w:val="660274AC"/>
    <w:rsid w:val="6683D995"/>
    <w:rsid w:val="66DABE8B"/>
    <w:rsid w:val="67073A70"/>
    <w:rsid w:val="6765E072"/>
    <w:rsid w:val="6774D417"/>
    <w:rsid w:val="68AE8ACB"/>
    <w:rsid w:val="68DC0AD9"/>
    <w:rsid w:val="68FEA28B"/>
    <w:rsid w:val="6953DBDA"/>
    <w:rsid w:val="69E2A683"/>
    <w:rsid w:val="6A11587A"/>
    <w:rsid w:val="6A1DE698"/>
    <w:rsid w:val="6B23C658"/>
    <w:rsid w:val="6B6E6127"/>
    <w:rsid w:val="6BC92706"/>
    <w:rsid w:val="6CEA051C"/>
    <w:rsid w:val="6D8D387E"/>
    <w:rsid w:val="6D8EB3F5"/>
    <w:rsid w:val="6E5E1720"/>
    <w:rsid w:val="6E761FAF"/>
    <w:rsid w:val="6EF4A678"/>
    <w:rsid w:val="6FE772A9"/>
    <w:rsid w:val="7042244E"/>
    <w:rsid w:val="70987A65"/>
    <w:rsid w:val="70F66CD2"/>
    <w:rsid w:val="70FD56F7"/>
    <w:rsid w:val="71A53CA5"/>
    <w:rsid w:val="71B3B737"/>
    <w:rsid w:val="7294D002"/>
    <w:rsid w:val="730C7F8B"/>
    <w:rsid w:val="7393F1C6"/>
    <w:rsid w:val="7403E168"/>
    <w:rsid w:val="7470BCE6"/>
    <w:rsid w:val="75B9BD2D"/>
    <w:rsid w:val="7663F05B"/>
    <w:rsid w:val="766BC2BD"/>
    <w:rsid w:val="76D2F689"/>
    <w:rsid w:val="76FB8A31"/>
    <w:rsid w:val="7887E51D"/>
    <w:rsid w:val="788DF689"/>
    <w:rsid w:val="7921ED83"/>
    <w:rsid w:val="7928E315"/>
    <w:rsid w:val="7975DDCA"/>
    <w:rsid w:val="79855B31"/>
    <w:rsid w:val="79C02FA1"/>
    <w:rsid w:val="7BBF92B9"/>
    <w:rsid w:val="7BEFE4C7"/>
    <w:rsid w:val="7BF6B2D2"/>
    <w:rsid w:val="7C118C55"/>
    <w:rsid w:val="7C637258"/>
    <w:rsid w:val="7CAA7D13"/>
    <w:rsid w:val="7E05DEA4"/>
    <w:rsid w:val="7E37057E"/>
    <w:rsid w:val="7F040FDC"/>
    <w:rsid w:val="7FB1153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uiPriority w:val="59"/>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ptos Narrow" w:hAnsi="Aptos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PBAC table,HTAtableplain,Lash Style Table,CMA Table Template"/>
    <w:basedOn w:val="TableNormal"/>
    <w:uiPriority w:val="3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auhaus 93" w:hAnsi="Bauhaus 93"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auhaus 93" w:hAnsi="Bauhaus 93"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auhaus 93" w:hAnsi="Bauhaus 93"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customStyle="1" w:styleId="Default">
    <w:name w:val="Default"/>
    <w:rsid w:val="00CC7E5B"/>
    <w:pPr>
      <w:autoSpaceDE w:val="0"/>
      <w:autoSpaceDN w:val="0"/>
      <w:adjustRightInd w:val="0"/>
      <w:spacing w:after="0" w:line="240" w:lineRule="auto"/>
    </w:pPr>
    <w:rPr>
      <w:rFonts w:ascii="Arial Narrow" w:hAnsi="Arial Narrow" w:cs="Arial Narrow"/>
      <w:color w:val="000000"/>
      <w:sz w:val="24"/>
      <w:szCs w:val="24"/>
    </w:rPr>
  </w:style>
  <w:style w:type="paragraph" w:styleId="BodyText">
    <w:name w:val="Body Text"/>
    <w:basedOn w:val="Normal"/>
    <w:link w:val="BodyTextChar"/>
    <w:uiPriority w:val="1"/>
    <w:qFormat/>
    <w:rsid w:val="00964B1F"/>
    <w:pPr>
      <w:widowControl w:val="0"/>
      <w:autoSpaceDE w:val="0"/>
      <w:autoSpaceDN w:val="0"/>
      <w:spacing w:before="0" w:after="0" w:line="240" w:lineRule="auto"/>
    </w:pPr>
    <w:rPr>
      <w:rFonts w:eastAsia="Franklin Gothic Book" w:cs="Franklin Gothic Book"/>
      <w:lang w:val="en-US"/>
    </w:rPr>
  </w:style>
  <w:style w:type="character" w:customStyle="1" w:styleId="BodyTextChar">
    <w:name w:val="Body Text Char"/>
    <w:basedOn w:val="DefaultParagraphFont"/>
    <w:link w:val="BodyText"/>
    <w:uiPriority w:val="1"/>
    <w:rsid w:val="00964B1F"/>
    <w:rPr>
      <w:rFonts w:ascii="Franklin Gothic Book" w:eastAsia="Franklin Gothic Book" w:hAnsi="Franklin Gothic Book" w:cs="Franklin Gothic Book"/>
      <w:lang w:val="en-US"/>
    </w:rPr>
  </w:style>
  <w:style w:type="paragraph" w:customStyle="1" w:styleId="TableParagraph">
    <w:name w:val="Table Paragraph"/>
    <w:basedOn w:val="Normal"/>
    <w:uiPriority w:val="1"/>
    <w:qFormat/>
    <w:rsid w:val="00964B1F"/>
    <w:pPr>
      <w:widowControl w:val="0"/>
      <w:autoSpaceDE w:val="0"/>
      <w:autoSpaceDN w:val="0"/>
      <w:spacing w:before="40" w:after="0" w:line="240" w:lineRule="auto"/>
    </w:pPr>
    <w:rPr>
      <w:rFonts w:ascii="Arial Narrow" w:eastAsia="Arial Narrow" w:hAnsi="Arial Narrow" w:cs="Arial Narrow"/>
      <w:lang w:val="en-US"/>
    </w:rPr>
  </w:style>
  <w:style w:type="character" w:styleId="IntenseEmphasis">
    <w:name w:val="Intense Emphasis"/>
    <w:basedOn w:val="DefaultParagraphFont"/>
    <w:uiPriority w:val="21"/>
    <w:qFormat/>
    <w:rsid w:val="00E43C21"/>
    <w:rPr>
      <w:color w:val="5B9BD5" w:themeColor="accent1"/>
    </w:rPr>
  </w:style>
  <w:style w:type="paragraph" w:customStyle="1" w:styleId="Section4TableText">
    <w:name w:val="Section 4 Table Text"/>
    <w:basedOn w:val="Normal"/>
    <w:link w:val="Section4TableTextChar"/>
    <w:qFormat/>
    <w:rsid w:val="0093469B"/>
    <w:pPr>
      <w:spacing w:before="0" w:after="120" w:line="240" w:lineRule="auto"/>
    </w:pPr>
    <w:rPr>
      <w:rFonts w:asciiTheme="minorHAnsi" w:eastAsia="Times New Roman" w:hAnsiTheme="minorHAnsi" w:cs="Times New Roman"/>
      <w:color w:val="000000"/>
      <w:sz w:val="20"/>
      <w:szCs w:val="20"/>
      <w:lang w:eastAsia="en-AU"/>
    </w:rPr>
  </w:style>
  <w:style w:type="character" w:customStyle="1" w:styleId="Section4TableTextChar">
    <w:name w:val="Section 4 Table Text Char"/>
    <w:basedOn w:val="DefaultParagraphFont"/>
    <w:link w:val="Section4TableText"/>
    <w:rsid w:val="0093469B"/>
    <w:rPr>
      <w:rFonts w:eastAsia="Times New Roman" w:cs="Times New Roman"/>
      <w:color w:val="000000"/>
      <w:sz w:val="20"/>
      <w:szCs w:val="20"/>
      <w:lang w:eastAsia="en-AU"/>
    </w:rPr>
  </w:style>
  <w:style w:type="paragraph" w:customStyle="1" w:styleId="Section4TableHeadings">
    <w:name w:val="Section 4 Table Headings"/>
    <w:basedOn w:val="Section4TableText"/>
    <w:link w:val="Section4TableHeadingsChar"/>
    <w:qFormat/>
    <w:rsid w:val="0093469B"/>
    <w:pPr>
      <w:jc w:val="center"/>
    </w:pPr>
    <w:rPr>
      <w:b/>
    </w:rPr>
  </w:style>
  <w:style w:type="character" w:customStyle="1" w:styleId="Section4TableHeadingsChar">
    <w:name w:val="Section 4 Table Headings Char"/>
    <w:basedOn w:val="Section4TableTextChar"/>
    <w:link w:val="Section4TableHeadings"/>
    <w:rsid w:val="0093469B"/>
    <w:rPr>
      <w:rFonts w:eastAsia="Times New Roman" w:cs="Times New Roman"/>
      <w:b/>
      <w:color w:val="000000"/>
      <w:sz w:val="20"/>
      <w:szCs w:val="20"/>
      <w:lang w:eastAsia="en-AU"/>
    </w:rPr>
  </w:style>
  <w:style w:type="paragraph" w:customStyle="1" w:styleId="a-TEXT">
    <w:name w:val="a-TEXT"/>
    <w:basedOn w:val="Normal"/>
    <w:link w:val="a-TEXTChar"/>
    <w:qFormat/>
    <w:rsid w:val="00DE7AB9"/>
    <w:pPr>
      <w:spacing w:after="120"/>
    </w:pPr>
    <w:rPr>
      <w:iCs/>
    </w:rPr>
  </w:style>
  <w:style w:type="character" w:customStyle="1" w:styleId="a-TEXTChar">
    <w:name w:val="a-TEXT Char"/>
    <w:basedOn w:val="DefaultParagraphFont"/>
    <w:link w:val="a-TEXT"/>
    <w:rsid w:val="00DE7AB9"/>
    <w:rPr>
      <w:rFonts w:ascii="Franklin Gothic Book" w:hAnsi="Franklin Gothic Book"/>
      <w:iCs/>
    </w:rPr>
  </w:style>
  <w:style w:type="character" w:styleId="UnresolvedMention">
    <w:name w:val="Unresolved Mention"/>
    <w:basedOn w:val="DefaultParagraphFont"/>
    <w:uiPriority w:val="99"/>
    <w:semiHidden/>
    <w:unhideWhenUsed/>
    <w:rsid w:val="00B07617"/>
    <w:rPr>
      <w:color w:val="605E5C"/>
      <w:shd w:val="clear" w:color="auto" w:fill="E1DFDD"/>
    </w:rPr>
  </w:style>
  <w:style w:type="character" w:styleId="Mention">
    <w:name w:val="Mention"/>
    <w:basedOn w:val="DefaultParagraphFont"/>
    <w:uiPriority w:val="99"/>
    <w:unhideWhenUsed/>
    <w:rsid w:val="00B30E00"/>
    <w:rPr>
      <w:color w:val="2B579A"/>
      <w:shd w:val="clear" w:color="auto" w:fill="E1DFDD"/>
    </w:rPr>
  </w:style>
  <w:style w:type="paragraph" w:customStyle="1" w:styleId="TableDash">
    <w:name w:val="TableDash"/>
    <w:basedOn w:val="TableText1"/>
    <w:rsid w:val="0070465A"/>
    <w:pPr>
      <w:numPr>
        <w:numId w:val="13"/>
      </w:numPr>
      <w:tabs>
        <w:tab w:val="clear" w:pos="216"/>
        <w:tab w:val="num" w:pos="432"/>
      </w:tabs>
      <w:spacing w:before="60" w:after="60" w:line="240" w:lineRule="auto"/>
      <w:jc w:val="left"/>
    </w:pPr>
    <w:rPr>
      <w:rFonts w:ascii="Franklin Gothic Book" w:hAnsi="Franklin Gothic Book" w:cs="Times New Roman"/>
      <w:color w:val="000000"/>
      <w:sz w:val="21"/>
      <w:szCs w:val="21"/>
    </w:rPr>
  </w:style>
  <w:style w:type="paragraph" w:customStyle="1" w:styleId="BulletBeforeDash">
    <w:name w:val="BulletBeforeDash"/>
    <w:basedOn w:val="Normal"/>
    <w:rsid w:val="0070465A"/>
    <w:pPr>
      <w:numPr>
        <w:numId w:val="14"/>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70465A"/>
    <w:pPr>
      <w:tabs>
        <w:tab w:val="num" w:pos="360"/>
      </w:tabs>
      <w:spacing w:before="0" w:after="240"/>
      <w:ind w:left="360"/>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70465A"/>
    <w:pPr>
      <w:keepNext/>
      <w:spacing w:before="0" w:after="120" w:line="240" w:lineRule="auto"/>
    </w:pPr>
    <w:rPr>
      <w:rFonts w:eastAsia="Times New Roman" w:cs="Times New Roman"/>
      <w:color w:val="000000"/>
      <w:szCs w:val="20"/>
      <w:lang w:eastAsia="en-AU"/>
    </w:rPr>
  </w:style>
  <w:style w:type="paragraph" w:customStyle="1" w:styleId="BoxName0">
    <w:name w:val="BoxName"/>
    <w:basedOn w:val="Normal"/>
    <w:rsid w:val="0070465A"/>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70465A"/>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70465A"/>
    <w:pPr>
      <w:numPr>
        <w:numId w:val="15"/>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table" w:customStyle="1" w:styleId="Section3-footnot1">
    <w:name w:val="Section 3- footnot1"/>
    <w:basedOn w:val="TableNormal"/>
    <w:next w:val="TableGrid"/>
    <w:uiPriority w:val="59"/>
    <w:rsid w:val="00AE5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895">
      <w:bodyDiv w:val="1"/>
      <w:marLeft w:val="0"/>
      <w:marRight w:val="0"/>
      <w:marTop w:val="0"/>
      <w:marBottom w:val="0"/>
      <w:divBdr>
        <w:top w:val="none" w:sz="0" w:space="0" w:color="auto"/>
        <w:left w:val="none" w:sz="0" w:space="0" w:color="auto"/>
        <w:bottom w:val="none" w:sz="0" w:space="0" w:color="auto"/>
        <w:right w:val="none" w:sz="0" w:space="0" w:color="auto"/>
      </w:divBdr>
    </w:div>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30300238">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4131532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96691186">
      <w:bodyDiv w:val="1"/>
      <w:marLeft w:val="0"/>
      <w:marRight w:val="0"/>
      <w:marTop w:val="0"/>
      <w:marBottom w:val="0"/>
      <w:divBdr>
        <w:top w:val="none" w:sz="0" w:space="0" w:color="auto"/>
        <w:left w:val="none" w:sz="0" w:space="0" w:color="auto"/>
        <w:bottom w:val="none" w:sz="0" w:space="0" w:color="auto"/>
        <w:right w:val="none" w:sz="0" w:space="0" w:color="auto"/>
      </w:divBdr>
    </w:div>
    <w:div w:id="323315814">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584346">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53431955">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37710292">
      <w:bodyDiv w:val="1"/>
      <w:marLeft w:val="0"/>
      <w:marRight w:val="0"/>
      <w:marTop w:val="0"/>
      <w:marBottom w:val="0"/>
      <w:divBdr>
        <w:top w:val="none" w:sz="0" w:space="0" w:color="auto"/>
        <w:left w:val="none" w:sz="0" w:space="0" w:color="auto"/>
        <w:bottom w:val="none" w:sz="0" w:space="0" w:color="auto"/>
        <w:right w:val="none" w:sz="0" w:space="0" w:color="auto"/>
      </w:divBdr>
      <w:divsChild>
        <w:div w:id="2022196213">
          <w:marLeft w:val="0"/>
          <w:marRight w:val="0"/>
          <w:marTop w:val="0"/>
          <w:marBottom w:val="0"/>
          <w:divBdr>
            <w:top w:val="none" w:sz="0" w:space="0" w:color="auto"/>
            <w:left w:val="none" w:sz="0" w:space="0" w:color="auto"/>
            <w:bottom w:val="none" w:sz="0" w:space="0" w:color="auto"/>
            <w:right w:val="none" w:sz="0" w:space="0" w:color="auto"/>
          </w:divBdr>
          <w:divsChild>
            <w:div w:id="12720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95580659">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79228185">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18174222">
      <w:bodyDiv w:val="1"/>
      <w:marLeft w:val="0"/>
      <w:marRight w:val="0"/>
      <w:marTop w:val="0"/>
      <w:marBottom w:val="0"/>
      <w:divBdr>
        <w:top w:val="none" w:sz="0" w:space="0" w:color="auto"/>
        <w:left w:val="none" w:sz="0" w:space="0" w:color="auto"/>
        <w:bottom w:val="none" w:sz="0" w:space="0" w:color="auto"/>
        <w:right w:val="none" w:sz="0" w:space="0" w:color="auto"/>
      </w:divBdr>
    </w:div>
    <w:div w:id="1921326158">
      <w:bodyDiv w:val="1"/>
      <w:marLeft w:val="0"/>
      <w:marRight w:val="0"/>
      <w:marTop w:val="0"/>
      <w:marBottom w:val="0"/>
      <w:divBdr>
        <w:top w:val="none" w:sz="0" w:space="0" w:color="auto"/>
        <w:left w:val="none" w:sz="0" w:space="0" w:color="auto"/>
        <w:bottom w:val="none" w:sz="0" w:space="0" w:color="auto"/>
        <w:right w:val="none" w:sz="0" w:space="0" w:color="auto"/>
      </w:divBdr>
      <w:divsChild>
        <w:div w:id="905262860">
          <w:marLeft w:val="0"/>
          <w:marRight w:val="0"/>
          <w:marTop w:val="0"/>
          <w:marBottom w:val="0"/>
          <w:divBdr>
            <w:top w:val="none" w:sz="0" w:space="0" w:color="auto"/>
            <w:left w:val="none" w:sz="0" w:space="0" w:color="auto"/>
            <w:bottom w:val="none" w:sz="0" w:space="0" w:color="auto"/>
            <w:right w:val="none" w:sz="0" w:space="0" w:color="auto"/>
          </w:divBdr>
          <w:divsChild>
            <w:div w:id="4726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9.health.gov.au/mbs/fullDisplay.cfm?type=item&amp;q=13950&amp;qt=ite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sac.gov.au/internet/msac/publishing.nsf/Content/Home-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9.health.gov.au/mbs/fullDisplay.cfm?type=item&amp;q=15982&amp;qt=ItemI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9.health.gov.au/mbs/fullDisplay.cfm?type=item&amp;q=15982&amp;qt=item&amp;criteria=15982" TargetMode="External"/><Relationship Id="rId23" Type="http://schemas.openxmlformats.org/officeDocument/2006/relationships/fontTable" Target="fontTable.xml"/><Relationship Id="rId10" Type="http://schemas.openxmlformats.org/officeDocument/2006/relationships/hyperlink" Target="https://www9.health.gov.au/mbs/fullDisplay.cfm?type=item&amp;q=15950&amp;qt=ItemI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9.health.gov.au/mbs/fullDisplay.cfm?type=item&amp;q=15982&amp;qt=item&amp;criteria=15982" TargetMode="External"/><Relationship Id="rId14" Type="http://schemas.openxmlformats.org/officeDocument/2006/relationships/hyperlink" Target="https://www9.health.gov.au/mbs/fullDisplay.cfm?type=item&amp;q=15950&amp;qt=ItemID"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mbsonline.gov.au/internet/mbsonline/publishing.nsf/Content/Factsheet-Updates-to-the-Medicare-Benefits-Schedule-for-radiation-therapy-items-from-1-November-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Metadata/LabelInfo.xml><?xml version="1.0" encoding="utf-8"?>
<clbl:labelList xmlns:clbl="http://schemas.microsoft.com/office/2020/mipLabelMetadata">
  <clbl:label id="{0507654c-1543-47e1-81c5-300c2627be14}" enabled="1" method="Standard" siteId="{5a7cc8ab-a4dc-4f9b-bf60-66714049ad62}" removed="0"/>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39</Pages>
  <Words>17193</Words>
  <Characters>98004</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114968</CharactersWithSpaces>
  <SharedDoc>false</SharedDoc>
  <HyperlinkBase/>
  <HLinks>
    <vt:vector size="66" baseType="variant">
      <vt:variant>
        <vt:i4>6684716</vt:i4>
      </vt:variant>
      <vt:variant>
        <vt:i4>207</vt:i4>
      </vt:variant>
      <vt:variant>
        <vt:i4>0</vt:i4>
      </vt:variant>
      <vt:variant>
        <vt:i4>5</vt:i4>
      </vt:variant>
      <vt:variant>
        <vt:lpwstr>http://msac.gov.au/internet/msac/publishing.nsf/Content/Home-1</vt:lpwstr>
      </vt:variant>
      <vt:variant>
        <vt:lpwstr/>
      </vt:variant>
      <vt:variant>
        <vt:i4>2621544</vt:i4>
      </vt:variant>
      <vt:variant>
        <vt:i4>204</vt:i4>
      </vt:variant>
      <vt:variant>
        <vt:i4>0</vt:i4>
      </vt:variant>
      <vt:variant>
        <vt:i4>5</vt:i4>
      </vt:variant>
      <vt:variant>
        <vt:lpwstr>https://www9.health.gov.au/mbs/fullDisplay.cfm?type=item&amp;q=15982&amp;qt=item&amp;criteria=15982</vt:lpwstr>
      </vt:variant>
      <vt:variant>
        <vt:lpwstr/>
      </vt:variant>
      <vt:variant>
        <vt:i4>7864375</vt:i4>
      </vt:variant>
      <vt:variant>
        <vt:i4>201</vt:i4>
      </vt:variant>
      <vt:variant>
        <vt:i4>0</vt:i4>
      </vt:variant>
      <vt:variant>
        <vt:i4>5</vt:i4>
      </vt:variant>
      <vt:variant>
        <vt:lpwstr>https://www9.health.gov.au/mbs/fullDisplay.cfm?type=item&amp;q=15950&amp;qt=ItemID</vt:lpwstr>
      </vt:variant>
      <vt:variant>
        <vt:lpwstr/>
      </vt:variant>
      <vt:variant>
        <vt:i4>2097233</vt:i4>
      </vt:variant>
      <vt:variant>
        <vt:i4>144</vt:i4>
      </vt:variant>
      <vt:variant>
        <vt:i4>0</vt:i4>
      </vt:variant>
      <vt:variant>
        <vt:i4>5</vt:i4>
      </vt:variant>
      <vt:variant>
        <vt:lpwstr/>
      </vt:variant>
      <vt:variant>
        <vt:lpwstr>_bookmark26</vt:lpwstr>
      </vt:variant>
      <vt:variant>
        <vt:i4>1835096</vt:i4>
      </vt:variant>
      <vt:variant>
        <vt:i4>45</vt:i4>
      </vt:variant>
      <vt:variant>
        <vt:i4>0</vt:i4>
      </vt:variant>
      <vt:variant>
        <vt:i4>5</vt:i4>
      </vt:variant>
      <vt:variant>
        <vt:lpwstr>https://www9.health.gov.au/mbs/fullDisplay.cfm?type=item&amp;q=13950&amp;qt=item</vt:lpwstr>
      </vt:variant>
      <vt:variant>
        <vt:lpwstr/>
      </vt:variant>
      <vt:variant>
        <vt:i4>7995450</vt:i4>
      </vt:variant>
      <vt:variant>
        <vt:i4>39</vt:i4>
      </vt:variant>
      <vt:variant>
        <vt:i4>0</vt:i4>
      </vt:variant>
      <vt:variant>
        <vt:i4>5</vt:i4>
      </vt:variant>
      <vt:variant>
        <vt:lpwstr>https://www9.health.gov.au/mbs/fullDisplay.cfm?type=item&amp;q=15982&amp;qt=ItemID</vt:lpwstr>
      </vt:variant>
      <vt:variant>
        <vt:lpwstr/>
      </vt:variant>
      <vt:variant>
        <vt:i4>7864375</vt:i4>
      </vt:variant>
      <vt:variant>
        <vt:i4>24</vt:i4>
      </vt:variant>
      <vt:variant>
        <vt:i4>0</vt:i4>
      </vt:variant>
      <vt:variant>
        <vt:i4>5</vt:i4>
      </vt:variant>
      <vt:variant>
        <vt:lpwstr>https://www9.health.gov.au/mbs/fullDisplay.cfm?type=item&amp;q=15950&amp;qt=ItemID</vt:lpwstr>
      </vt:variant>
      <vt:variant>
        <vt:lpwstr/>
      </vt:variant>
      <vt:variant>
        <vt:i4>2621544</vt:i4>
      </vt:variant>
      <vt:variant>
        <vt:i4>3</vt:i4>
      </vt:variant>
      <vt:variant>
        <vt:i4>0</vt:i4>
      </vt:variant>
      <vt:variant>
        <vt:i4>5</vt:i4>
      </vt:variant>
      <vt:variant>
        <vt:lpwstr>https://www9.health.gov.au/mbs/fullDisplay.cfm?type=item&amp;q=15982&amp;qt=item&amp;criteria=15982</vt:lpwstr>
      </vt:variant>
      <vt:variant>
        <vt:lpwstr/>
      </vt:variant>
      <vt:variant>
        <vt:i4>3997744</vt:i4>
      </vt:variant>
      <vt:variant>
        <vt:i4>0</vt:i4>
      </vt:variant>
      <vt:variant>
        <vt:i4>0</vt:i4>
      </vt:variant>
      <vt:variant>
        <vt:i4>5</vt:i4>
      </vt:variant>
      <vt:variant>
        <vt:lpwstr>http://www.msac.gov.au/</vt:lpwstr>
      </vt:variant>
      <vt:variant>
        <vt:lpwstr/>
      </vt:variant>
      <vt:variant>
        <vt:i4>6881396</vt:i4>
      </vt:variant>
      <vt:variant>
        <vt:i4>0</vt:i4>
      </vt:variant>
      <vt:variant>
        <vt:i4>0</vt:i4>
      </vt:variant>
      <vt:variant>
        <vt:i4>5</vt:i4>
      </vt:variant>
      <vt:variant>
        <vt:lpwstr>https://www.mbsonline.gov.au/internet/mbsonline/publishing.nsf/Content/Factsheet-Updates-to-the-Medicare-Benefits-Schedule-for-radiation-therapy-items-from-1-November-2024</vt:lpwstr>
      </vt:variant>
      <vt:variant>
        <vt:lpwstr/>
      </vt:variant>
      <vt:variant>
        <vt:i4>2752561</vt:i4>
      </vt:variant>
      <vt:variant>
        <vt:i4>0</vt:i4>
      </vt:variant>
      <vt:variant>
        <vt:i4>0</vt:i4>
      </vt:variant>
      <vt:variant>
        <vt:i4>5</vt:i4>
      </vt:variant>
      <vt:variant>
        <vt:lpwstr>https://www.pbs.gov.au/info/industry/listing/procedure-guidance/7-post-pbac-decision-procedures-sponsors/7-4-public-summary-documents).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2025-07-04T01:51:00Z</dcterms:created>
  <dcterms:modified xsi:type="dcterms:W3CDTF">2025-07-04T01:56:00Z</dcterms:modified>
  <cp:category/>
</cp:coreProperties>
</file>