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C8FB" w14:textId="6F44C828" w:rsidR="00B93393" w:rsidRPr="000A7BB0" w:rsidRDefault="00B93393" w:rsidP="00B93393">
      <w:pPr>
        <w:keepNext/>
        <w:keepLines/>
        <w:spacing w:before="0" w:after="360"/>
        <w:ind w:left="788"/>
        <w:jc w:val="center"/>
        <w:outlineLvl w:val="0"/>
        <w:rPr>
          <w:rFonts w:ascii="Arial" w:hAnsi="Arial" w:cs="Arial"/>
          <w:bCs/>
          <w:color w:val="000080"/>
          <w:sz w:val="36"/>
          <w:szCs w:val="36"/>
        </w:rPr>
      </w:pPr>
      <w:bookmarkStart w:id="0" w:name="_Hlk193982020"/>
      <w:r w:rsidRPr="000A7BB0">
        <w:rPr>
          <w:rFonts w:ascii="Arial" w:eastAsiaTheme="majorEastAsia" w:hAnsi="Arial" w:cs="Arial"/>
          <w:b/>
          <w:bCs/>
          <w:color w:val="000080"/>
          <w:sz w:val="36"/>
          <w:szCs w:val="36"/>
        </w:rPr>
        <w:t>Medical Services Advisory Committee (MSAC)</w:t>
      </w:r>
      <w:r w:rsidRPr="000A7BB0">
        <w:rPr>
          <w:rFonts w:ascii="Arial" w:eastAsiaTheme="majorEastAsia" w:hAnsi="Arial" w:cs="Arial"/>
          <w:b/>
          <w:bCs/>
          <w:color w:val="000080"/>
          <w:sz w:val="36"/>
          <w:szCs w:val="36"/>
        </w:rPr>
        <w:br/>
      </w:r>
      <w:r w:rsidRPr="00F76D74">
        <w:rPr>
          <w:rFonts w:ascii="Arial" w:hAnsi="Arial" w:cs="Arial"/>
          <w:b/>
          <w:bCs/>
          <w:color w:val="000080"/>
          <w:sz w:val="36"/>
          <w:szCs w:val="36"/>
        </w:rPr>
        <w:t>Public Summary Document</w:t>
      </w:r>
    </w:p>
    <w:bookmarkEnd w:id="0"/>
    <w:p w14:paraId="06D311D5" w14:textId="1DE0BAA1" w:rsidR="00B564E6" w:rsidRPr="00B93393" w:rsidRDefault="00B564E6" w:rsidP="00B93393">
      <w:pPr>
        <w:pStyle w:val="Subtitle"/>
        <w:spacing w:after="360"/>
      </w:pPr>
      <w:r w:rsidRPr="00B93393">
        <w:t>Application No. 1708.1</w:t>
      </w:r>
      <w:r w:rsidR="006423C7" w:rsidRPr="00B93393">
        <w:t xml:space="preserve"> -</w:t>
      </w:r>
      <w:r w:rsidRPr="00B93393">
        <w:t xml:space="preserve"> </w:t>
      </w:r>
      <w:r w:rsidR="00B93393" w:rsidRPr="00B93393">
        <w:t>Hepatitis delta virus (HDV) RNA PCR testing to determine eligibility for PBS-subsidised bulevirtide (HEPCLUDEX) for treatment of HDV</w:t>
      </w:r>
    </w:p>
    <w:p w14:paraId="21A05137" w14:textId="040D83B6" w:rsidR="00277A9D" w:rsidRPr="00B93393" w:rsidRDefault="36C4073D" w:rsidP="00B93393">
      <w:pPr>
        <w:tabs>
          <w:tab w:val="left" w:pos="3544"/>
        </w:tabs>
        <w:rPr>
          <w:rFonts w:ascii="Arial" w:hAnsi="Arial" w:cs="Arial"/>
          <w:b/>
          <w:bCs/>
          <w:sz w:val="22"/>
        </w:rPr>
      </w:pPr>
      <w:r w:rsidRPr="00B93393">
        <w:rPr>
          <w:rFonts w:ascii="Arial" w:hAnsi="Arial" w:cs="Arial"/>
          <w:b/>
          <w:bCs/>
          <w:sz w:val="22"/>
        </w:rPr>
        <w:t>Applicant:</w:t>
      </w:r>
      <w:r w:rsidR="00277A9D" w:rsidRPr="00B93393">
        <w:rPr>
          <w:rFonts w:ascii="Arial" w:hAnsi="Arial" w:cs="Arial"/>
          <w:sz w:val="22"/>
        </w:rPr>
        <w:tab/>
      </w:r>
      <w:r w:rsidR="3F04BC59" w:rsidRPr="00B93393">
        <w:rPr>
          <w:rFonts w:ascii="Arial" w:hAnsi="Arial" w:cs="Arial"/>
          <w:b/>
          <w:bCs/>
          <w:sz w:val="22"/>
        </w:rPr>
        <w:t>Gilead Sciences Pty Ltd</w:t>
      </w:r>
    </w:p>
    <w:p w14:paraId="0902E187" w14:textId="737F9468" w:rsidR="00F01772" w:rsidRDefault="36C4073D" w:rsidP="00BD2A33">
      <w:pPr>
        <w:tabs>
          <w:tab w:val="left" w:pos="3544"/>
        </w:tabs>
        <w:spacing w:after="240"/>
        <w:rPr>
          <w:rFonts w:ascii="Arial" w:hAnsi="Arial" w:cs="Arial"/>
          <w:b/>
          <w:bCs/>
          <w:sz w:val="22"/>
        </w:rPr>
      </w:pPr>
      <w:r w:rsidRPr="00B93393">
        <w:rPr>
          <w:rFonts w:ascii="Arial" w:hAnsi="Arial" w:cs="Arial"/>
          <w:b/>
          <w:bCs/>
          <w:sz w:val="22"/>
        </w:rPr>
        <w:t xml:space="preserve">Date of </w:t>
      </w:r>
      <w:r w:rsidR="00B93393">
        <w:rPr>
          <w:rFonts w:ascii="Arial" w:hAnsi="Arial" w:cs="Arial"/>
          <w:b/>
          <w:bCs/>
          <w:sz w:val="22"/>
        </w:rPr>
        <w:t>MSAC</w:t>
      </w:r>
      <w:r w:rsidRPr="00B93393">
        <w:rPr>
          <w:rFonts w:ascii="Arial" w:hAnsi="Arial" w:cs="Arial"/>
          <w:b/>
          <w:bCs/>
          <w:sz w:val="22"/>
        </w:rPr>
        <w:t xml:space="preserve"> consideration:</w:t>
      </w:r>
      <w:r w:rsidR="00277A9D" w:rsidRPr="00B93393">
        <w:rPr>
          <w:rFonts w:ascii="Arial" w:hAnsi="Arial" w:cs="Arial"/>
          <w:sz w:val="22"/>
        </w:rPr>
        <w:tab/>
      </w:r>
      <w:r w:rsidR="00B93393">
        <w:rPr>
          <w:rFonts w:ascii="Arial" w:hAnsi="Arial" w:cs="Arial"/>
          <w:b/>
          <w:bCs/>
          <w:sz w:val="22"/>
        </w:rPr>
        <w:t>3-4 April</w:t>
      </w:r>
      <w:r w:rsidRPr="00B93393">
        <w:rPr>
          <w:rFonts w:ascii="Arial" w:hAnsi="Arial" w:cs="Arial"/>
          <w:b/>
          <w:bCs/>
          <w:sz w:val="22"/>
        </w:rPr>
        <w:t xml:space="preserve"> 2025</w:t>
      </w:r>
    </w:p>
    <w:p w14:paraId="121935B5" w14:textId="36CA8883" w:rsidR="0029289C" w:rsidRPr="00B93393" w:rsidRDefault="00B93393" w:rsidP="00B93393">
      <w:pPr>
        <w:spacing w:after="240"/>
        <w:rPr>
          <w:rFonts w:ascii="Franklin Gothic Book" w:hAnsi="Franklin Gothic Book"/>
          <w:color w:val="0000FF"/>
          <w:sz w:val="22"/>
          <w:u w:val="single"/>
        </w:rPr>
      </w:pPr>
      <w:r w:rsidRPr="00333EDF">
        <w:rPr>
          <w:rFonts w:ascii="Franklin Gothic Book" w:hAnsi="Franklin Gothic Book"/>
          <w:sz w:val="22"/>
        </w:rPr>
        <w:t xml:space="preserve">Context for decision: MSAC makes its advice in accordance with its Terms of Reference, </w:t>
      </w:r>
      <w:hyperlink r:id="rId11" w:tooltip="Link to Medical Services Advisory Committee website" w:history="1">
        <w:r w:rsidRPr="000D2098">
          <w:rPr>
            <w:rStyle w:val="Hyperlink"/>
            <w:rFonts w:ascii="Franklin Gothic Book" w:hAnsi="Franklin Gothic Book"/>
            <w:color w:val="007BB8"/>
            <w:sz w:val="22"/>
          </w:rPr>
          <w:t>visit the MSAC website</w:t>
        </w:r>
      </w:hyperlink>
    </w:p>
    <w:p w14:paraId="21138958" w14:textId="77777777" w:rsidR="00870112" w:rsidRPr="00B93393" w:rsidRDefault="00870112"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1" w:name="_Toc188360774"/>
      <w:r w:rsidRPr="00B93393">
        <w:rPr>
          <w:rFonts w:ascii="Franklin Gothic Medium" w:hAnsi="Franklin Gothic Medium"/>
          <w:b w:val="0"/>
          <w:i w:val="0"/>
          <w:snapToGrid/>
          <w:color w:val="000000" w:themeColor="text1"/>
          <w:sz w:val="32"/>
          <w:szCs w:val="26"/>
        </w:rPr>
        <w:t xml:space="preserve">Purpose of the </w:t>
      </w:r>
      <w:r w:rsidR="000A027E" w:rsidRPr="00B93393">
        <w:rPr>
          <w:rFonts w:ascii="Franklin Gothic Medium" w:hAnsi="Franklin Gothic Medium"/>
          <w:b w:val="0"/>
          <w:i w:val="0"/>
          <w:snapToGrid/>
          <w:color w:val="000000" w:themeColor="text1"/>
          <w:sz w:val="32"/>
          <w:szCs w:val="26"/>
        </w:rPr>
        <w:t>application</w:t>
      </w:r>
      <w:bookmarkEnd w:id="1"/>
      <w:r w:rsidR="00DF0689" w:rsidRPr="00B93393">
        <w:rPr>
          <w:rFonts w:ascii="Franklin Gothic Medium" w:hAnsi="Franklin Gothic Medium"/>
          <w:b w:val="0"/>
          <w:i w:val="0"/>
          <w:snapToGrid/>
          <w:color w:val="000000" w:themeColor="text1"/>
          <w:sz w:val="32"/>
          <w:szCs w:val="26"/>
        </w:rPr>
        <w:t xml:space="preserve"> </w:t>
      </w:r>
    </w:p>
    <w:p w14:paraId="0588B57C" w14:textId="77777777" w:rsidR="000A027E" w:rsidRPr="00B93393" w:rsidRDefault="13F9DC53" w:rsidP="00B93393">
      <w:pPr>
        <w:pStyle w:val="MSACESParagraph"/>
        <w:rPr>
          <w:rFonts w:ascii="Franklin Gothic Book" w:hAnsi="Franklin Gothic Book"/>
          <w:sz w:val="22"/>
        </w:rPr>
      </w:pPr>
      <w:r w:rsidRPr="00B93393">
        <w:rPr>
          <w:rFonts w:ascii="Franklin Gothic Book" w:hAnsi="Franklin Gothic Book"/>
          <w:sz w:val="22"/>
        </w:rPr>
        <w:t xml:space="preserve">The integrated codependent </w:t>
      </w:r>
      <w:r w:rsidR="683C14B3" w:rsidRPr="00B93393">
        <w:rPr>
          <w:rFonts w:ascii="Franklin Gothic Book" w:hAnsi="Franklin Gothic Book"/>
          <w:sz w:val="22"/>
        </w:rPr>
        <w:t xml:space="preserve">application requested: </w:t>
      </w:r>
    </w:p>
    <w:p w14:paraId="5FDAF91C" w14:textId="77777777" w:rsidR="00194BC7" w:rsidRPr="00B93393" w:rsidRDefault="00194BC7" w:rsidP="00C6349A">
      <w:pPr>
        <w:numPr>
          <w:ilvl w:val="0"/>
          <w:numId w:val="13"/>
        </w:numPr>
        <w:spacing w:before="0" w:after="240"/>
        <w:jc w:val="left"/>
        <w:rPr>
          <w:rFonts w:ascii="Franklin Gothic Book" w:hAnsi="Franklin Gothic Book"/>
          <w:sz w:val="22"/>
        </w:rPr>
      </w:pPr>
      <w:r w:rsidRPr="00B93393">
        <w:rPr>
          <w:rFonts w:ascii="Franklin Gothic Book" w:hAnsi="Franklin Gothic Book"/>
          <w:sz w:val="22"/>
        </w:rPr>
        <w:t>Medicare Benefits Schedule (MBS) listing of testing for serum or plasma hepatitis D virus (HDV) ribonucleic acid (RNA) by polymerase chain reaction (PCR) for the determination of patient eligibility for treatment with bulevirtide in patients with chronic hepatitis D (CHD); and</w:t>
      </w:r>
    </w:p>
    <w:p w14:paraId="6E939B9C" w14:textId="3B188889" w:rsidR="00194BC7" w:rsidRPr="00B93393" w:rsidRDefault="00194BC7" w:rsidP="00C6349A">
      <w:pPr>
        <w:numPr>
          <w:ilvl w:val="0"/>
          <w:numId w:val="3"/>
        </w:numPr>
        <w:spacing w:after="120"/>
        <w:jc w:val="left"/>
        <w:rPr>
          <w:rFonts w:ascii="Franklin Gothic Book" w:hAnsi="Franklin Gothic Book"/>
          <w:sz w:val="22"/>
        </w:rPr>
      </w:pPr>
      <w:r w:rsidRPr="00B93393">
        <w:rPr>
          <w:rFonts w:ascii="Franklin Gothic Book" w:hAnsi="Franklin Gothic Book"/>
          <w:sz w:val="22"/>
        </w:rPr>
        <w:t xml:space="preserve">Pharmaceutical Benefits Scheme (PBS) </w:t>
      </w:r>
      <w:r w:rsidR="005E4464" w:rsidRPr="00B93393">
        <w:rPr>
          <w:rFonts w:ascii="Franklin Gothic Book" w:hAnsi="Franklin Gothic Book"/>
          <w:sz w:val="22"/>
        </w:rPr>
        <w:t xml:space="preserve">Section 100, Authority Required – Streamlined </w:t>
      </w:r>
      <w:r w:rsidRPr="00B93393">
        <w:rPr>
          <w:rFonts w:ascii="Franklin Gothic Book" w:hAnsi="Franklin Gothic Book"/>
          <w:sz w:val="22"/>
        </w:rPr>
        <w:t xml:space="preserve">listing of bulevirtide for the treatment of CHD in patients </w:t>
      </w:r>
      <w:r w:rsidR="005E4464" w:rsidRPr="00B93393">
        <w:rPr>
          <w:rFonts w:ascii="Franklin Gothic Book" w:hAnsi="Franklin Gothic Book"/>
          <w:sz w:val="22"/>
        </w:rPr>
        <w:t>with compensated liver disease and detectable HDV RNA</w:t>
      </w:r>
      <w:r w:rsidRPr="00B93393">
        <w:rPr>
          <w:rFonts w:ascii="Franklin Gothic Book" w:hAnsi="Franklin Gothic Book"/>
          <w:sz w:val="22"/>
        </w:rPr>
        <w:t>.</w:t>
      </w:r>
    </w:p>
    <w:p w14:paraId="49C5E67D" w14:textId="50FEE0BF" w:rsidR="00194BC7" w:rsidRPr="005B1451" w:rsidRDefault="00194BC7" w:rsidP="005B1451">
      <w:pPr>
        <w:numPr>
          <w:ilvl w:val="0"/>
          <w:numId w:val="3"/>
        </w:numPr>
        <w:spacing w:after="120"/>
        <w:ind w:left="714" w:hanging="357"/>
        <w:jc w:val="left"/>
        <w:rPr>
          <w:rFonts w:ascii="Franklin Gothic Book" w:hAnsi="Franklin Gothic Book"/>
          <w:sz w:val="22"/>
        </w:rPr>
      </w:pPr>
      <w:r w:rsidRPr="00B93393">
        <w:rPr>
          <w:rFonts w:ascii="Franklin Gothic Book" w:hAnsi="Franklin Gothic Book"/>
          <w:sz w:val="22"/>
        </w:rPr>
        <w:t>MSAC has previously considered HDV RNA PCR testing for access to bulevirtide for the treatment of CHD. The original submission was considered by MSAC at its April 2024 meeting.</w:t>
      </w:r>
    </w:p>
    <w:p w14:paraId="5DC29DA8" w14:textId="77777777" w:rsidR="00BD2A33" w:rsidRPr="003A793E" w:rsidRDefault="00BD2A33"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2" w:name="_Hlk193982496"/>
      <w:r w:rsidRPr="003A793E">
        <w:rPr>
          <w:rFonts w:ascii="Franklin Gothic Medium" w:hAnsi="Franklin Gothic Medium"/>
          <w:b w:val="0"/>
          <w:i w:val="0"/>
          <w:snapToGrid/>
          <w:color w:val="000000" w:themeColor="text1"/>
          <w:sz w:val="32"/>
          <w:szCs w:val="26"/>
        </w:rPr>
        <w:lastRenderedPageBreak/>
        <w:t>MSAC’s advice to the Minister</w:t>
      </w:r>
    </w:p>
    <w:p w14:paraId="104C782A" w14:textId="3E1EDCD2" w:rsidR="00B1373B" w:rsidRDefault="00BD2A33" w:rsidP="00377949">
      <w:pPr>
        <w:pStyle w:val="TableFooter"/>
        <w:keepNext/>
        <w:keepLines/>
        <w:spacing w:before="240"/>
        <w:contextualSpacing w:val="0"/>
        <w:jc w:val="left"/>
        <w:rPr>
          <w:rFonts w:ascii="Franklin Gothic Book" w:eastAsia="Franklin Gothic Book" w:hAnsi="Franklin Gothic Book"/>
          <w:sz w:val="22"/>
          <w:szCs w:val="22"/>
        </w:rPr>
      </w:pPr>
      <w:r w:rsidRPr="00333EDF">
        <w:rPr>
          <w:rFonts w:ascii="Franklin Gothic Book" w:hAnsi="Franklin Gothic Book"/>
          <w:sz w:val="22"/>
          <w:szCs w:val="22"/>
        </w:rPr>
        <w:t xml:space="preserve">After considering the strength of the available evidence in relation to comparative safety, clinical effectiveness, cost-effectiveness and total </w:t>
      </w:r>
      <w:r w:rsidRPr="00121875">
        <w:rPr>
          <w:rFonts w:ascii="Franklin Gothic Book" w:hAnsi="Franklin Gothic Book"/>
          <w:sz w:val="22"/>
          <w:szCs w:val="22"/>
        </w:rPr>
        <w:t xml:space="preserve">cost, </w:t>
      </w:r>
      <w:r w:rsidRPr="00121875">
        <w:rPr>
          <w:rFonts w:ascii="Franklin Gothic Book" w:eastAsia="Franklin Gothic Book" w:hAnsi="Franklin Gothic Book"/>
          <w:sz w:val="22"/>
          <w:szCs w:val="22"/>
        </w:rPr>
        <w:t>MSAC</w:t>
      </w:r>
      <w:r w:rsidR="00C0214F" w:rsidRPr="00121875">
        <w:t xml:space="preserve"> </w:t>
      </w:r>
      <w:r w:rsidR="00C0214F" w:rsidRPr="00121875">
        <w:rPr>
          <w:rFonts w:ascii="Franklin Gothic Book" w:eastAsia="Franklin Gothic Book" w:hAnsi="Franklin Gothic Book"/>
          <w:sz w:val="22"/>
          <w:szCs w:val="22"/>
        </w:rPr>
        <w:t xml:space="preserve">supported the creation of a new Medicare Benefits Schedule (MBS) item for the quantitation of Hepatitis D viral (HDV) ribonucleic acid (RNA) using polymerase chain reaction (PCR) testing to </w:t>
      </w:r>
      <w:proofErr w:type="spellStart"/>
      <w:r w:rsidR="00C0214F" w:rsidRPr="00121875">
        <w:rPr>
          <w:rFonts w:ascii="Franklin Gothic Book" w:eastAsia="Franklin Gothic Book" w:hAnsi="Franklin Gothic Book"/>
          <w:sz w:val="22"/>
          <w:szCs w:val="22"/>
        </w:rPr>
        <w:t>i</w:t>
      </w:r>
      <w:proofErr w:type="spellEnd"/>
      <w:r w:rsidR="00C0214F" w:rsidRPr="00121875">
        <w:rPr>
          <w:rFonts w:ascii="Franklin Gothic Book" w:eastAsia="Franklin Gothic Book" w:hAnsi="Franklin Gothic Book"/>
          <w:sz w:val="22"/>
          <w:szCs w:val="22"/>
        </w:rPr>
        <w:t xml:space="preserve">) determine eligibility for treatment with bulevirtide and ii) monitor the efficacy of bulevirtide treatment in patients with chronic HDV infection with compensated liver disease. </w:t>
      </w:r>
      <w:r w:rsidR="00E460D2" w:rsidRPr="00121875">
        <w:rPr>
          <w:rFonts w:ascii="Franklin Gothic Book" w:eastAsia="Franklin Gothic Book" w:hAnsi="Franklin Gothic Book"/>
          <w:sz w:val="22"/>
          <w:szCs w:val="22"/>
        </w:rPr>
        <w:t xml:space="preserve"> </w:t>
      </w:r>
      <w:r w:rsidR="00C0214F" w:rsidRPr="00121875">
        <w:rPr>
          <w:rFonts w:ascii="Franklin Gothic Book" w:eastAsia="Franklin Gothic Book" w:hAnsi="Franklin Gothic Book"/>
          <w:sz w:val="22"/>
          <w:szCs w:val="22"/>
        </w:rPr>
        <w:t>MSAC noted that the Pharmaceutical Benefits Advisory Committee (PBAC) at its March 2025 meeting was of</w:t>
      </w:r>
      <w:r w:rsidR="00C0214F" w:rsidRPr="00C0214F">
        <w:rPr>
          <w:rFonts w:ascii="Franklin Gothic Book" w:eastAsia="Franklin Gothic Book" w:hAnsi="Franklin Gothic Book"/>
          <w:sz w:val="22"/>
          <w:szCs w:val="22"/>
        </w:rPr>
        <w:t xml:space="preserve"> a mind to recommend the Pharmaceutical Benefit Schedule (PBS) listing of bulevirtide, pending </w:t>
      </w:r>
      <w:r w:rsidR="002F5B94" w:rsidRPr="002F5B94">
        <w:rPr>
          <w:rFonts w:ascii="Franklin Gothic Book" w:eastAsia="Franklin Gothic Book" w:hAnsi="Franklin Gothic Book"/>
          <w:sz w:val="22"/>
          <w:szCs w:val="22"/>
        </w:rPr>
        <w:t>MSAC’s advice on the test. The PBAC considered that bulevirtide would be cost-effective with a further substantial price reduction, to reflect the remaining uncertainties in the economic model.</w:t>
      </w:r>
    </w:p>
    <w:p w14:paraId="7FB5EA54" w14:textId="77777777" w:rsidR="0061350E" w:rsidRDefault="00C0214F" w:rsidP="00377949">
      <w:pPr>
        <w:pStyle w:val="TableFooter"/>
        <w:keepNext/>
        <w:keepLines/>
        <w:spacing w:before="240"/>
        <w:contextualSpacing w:val="0"/>
        <w:jc w:val="left"/>
        <w:rPr>
          <w:rFonts w:ascii="Franklin Gothic Book" w:eastAsia="Franklin Gothic Book" w:hAnsi="Franklin Gothic Book"/>
          <w:sz w:val="22"/>
          <w:szCs w:val="22"/>
        </w:rPr>
      </w:pPr>
      <w:r w:rsidRPr="00C0214F">
        <w:rPr>
          <w:rFonts w:ascii="Franklin Gothic Book" w:eastAsia="Franklin Gothic Book" w:hAnsi="Franklin Gothic Book"/>
          <w:sz w:val="22"/>
          <w:szCs w:val="22"/>
        </w:rPr>
        <w:t xml:space="preserve">MSAC considered that HDV RNA testing is necessary to determine eligibility for bulevirtide treatment because the test is </w:t>
      </w:r>
      <w:r w:rsidRPr="00121875">
        <w:rPr>
          <w:rFonts w:ascii="Franklin Gothic Book" w:eastAsia="Franklin Gothic Book" w:hAnsi="Franklin Gothic Book"/>
          <w:sz w:val="22"/>
          <w:szCs w:val="22"/>
        </w:rPr>
        <w:t>needed to confirm whether a patient has an active HDV infection. MSAC considered that the evidence for monitoring HDV RNA levels during bulevirtide treatment was limited. However, MSAC considered that reduction in HDV RNA levels may reflect response to bulevirtide treatment. MSAC considered viral load quantification on bulevirtide treatment would be consistent with the management of other chronic viral hepatitis infections where virus load quantification is the standard of care. MSAC considered that there is a high clinical need for treatments for chronic HDV infection as it is a rare and aggressive condition with limited treatment options that is more common in socially vulnerable groups.</w:t>
      </w:r>
      <w:r w:rsidRPr="00C0214F">
        <w:rPr>
          <w:rFonts w:ascii="Franklin Gothic Book" w:eastAsia="Franklin Gothic Book" w:hAnsi="Franklin Gothic Book"/>
          <w:sz w:val="22"/>
          <w:szCs w:val="22"/>
        </w:rPr>
        <w:t xml:space="preserve"> </w:t>
      </w:r>
    </w:p>
    <w:p w14:paraId="63100EAF" w14:textId="29D68F9A" w:rsidR="0051021C" w:rsidRPr="005B1451" w:rsidRDefault="00C0214F" w:rsidP="00377949">
      <w:pPr>
        <w:pStyle w:val="TableFooter"/>
        <w:keepNext/>
        <w:keepLines/>
        <w:spacing w:before="240"/>
        <w:contextualSpacing w:val="0"/>
        <w:jc w:val="left"/>
        <w:rPr>
          <w:rFonts w:ascii="Franklin Gothic Book" w:eastAsia="Franklin Gothic Book" w:hAnsi="Franklin Gothic Book"/>
          <w:b/>
          <w:bCs/>
          <w:color w:val="FF0000"/>
          <w:sz w:val="22"/>
          <w:szCs w:val="22"/>
        </w:rPr>
      </w:pPr>
      <w:r w:rsidRPr="00C0214F">
        <w:rPr>
          <w:rFonts w:ascii="Franklin Gothic Book" w:eastAsia="Franklin Gothic Book" w:hAnsi="Franklin Gothic Book"/>
          <w:sz w:val="22"/>
          <w:szCs w:val="22"/>
        </w:rPr>
        <w:t xml:space="preserve">MSAC noted that while some uncertainty remained around the number of HDV RNA tests likely to be required and hence the resulting MBS financial impact, the financial impacts of testing were modest </w:t>
      </w:r>
      <w:r w:rsidR="00F52E09">
        <w:rPr>
          <w:rFonts w:ascii="Franklin Gothic Book" w:eastAsia="Franklin Gothic Book" w:hAnsi="Franklin Gothic Book"/>
          <w:sz w:val="22"/>
          <w:szCs w:val="22"/>
        </w:rPr>
        <w:t xml:space="preserve">in absolute terms </w:t>
      </w:r>
      <w:proofErr w:type="gramStart"/>
      <w:r w:rsidR="00F52E09">
        <w:rPr>
          <w:rFonts w:ascii="Franklin Gothic Book" w:eastAsia="Franklin Gothic Book" w:hAnsi="Franklin Gothic Book"/>
          <w:sz w:val="22"/>
          <w:szCs w:val="22"/>
        </w:rPr>
        <w:t xml:space="preserve">and in </w:t>
      </w:r>
      <w:r w:rsidRPr="00C0214F">
        <w:rPr>
          <w:rFonts w:ascii="Franklin Gothic Book" w:eastAsia="Franklin Gothic Book" w:hAnsi="Franklin Gothic Book"/>
          <w:sz w:val="22"/>
          <w:szCs w:val="22"/>
        </w:rPr>
        <w:t>compa</w:t>
      </w:r>
      <w:r w:rsidR="00F52E09">
        <w:rPr>
          <w:rFonts w:ascii="Franklin Gothic Book" w:eastAsia="Franklin Gothic Book" w:hAnsi="Franklin Gothic Book"/>
          <w:sz w:val="22"/>
          <w:szCs w:val="22"/>
        </w:rPr>
        <w:t>rison</w:t>
      </w:r>
      <w:r w:rsidRPr="00C0214F">
        <w:rPr>
          <w:rFonts w:ascii="Franklin Gothic Book" w:eastAsia="Franklin Gothic Book" w:hAnsi="Franklin Gothic Book"/>
          <w:sz w:val="22"/>
          <w:szCs w:val="22"/>
        </w:rPr>
        <w:t xml:space="preserve"> </w:t>
      </w:r>
      <w:proofErr w:type="gramEnd"/>
      <w:r w:rsidRPr="00C0214F">
        <w:rPr>
          <w:rFonts w:ascii="Franklin Gothic Book" w:eastAsia="Franklin Gothic Book" w:hAnsi="Franklin Gothic Book"/>
          <w:sz w:val="22"/>
          <w:szCs w:val="22"/>
        </w:rPr>
        <w:t xml:space="preserve">to the costs of the treatment. MSAC supported a single new MBS item to determine eligibility and monitoring that could be requested by, or on behalf of, a specialist or consultant physician. MSAC considered that the item descriptor should allow the test to be used to determine eligibility for future Pharmaceutical Benefit Schedule (PBS) listed treatments for this patient group and supported a fee of $152.10. </w:t>
      </w:r>
      <w:r w:rsidR="007B3E32">
        <w:rPr>
          <w:rFonts w:ascii="Franklin Gothic Book" w:eastAsia="Franklin Gothic Book" w:hAnsi="Franklin Gothic Book"/>
          <w:sz w:val="22"/>
          <w:szCs w:val="22"/>
        </w:rPr>
        <w:t xml:space="preserve"> </w:t>
      </w:r>
    </w:p>
    <w:tbl>
      <w:tblPr>
        <w:tblStyle w:val="TableGrid"/>
        <w:tblW w:w="5000" w:type="pct"/>
        <w:tblLook w:val="04A0" w:firstRow="1" w:lastRow="0" w:firstColumn="1" w:lastColumn="0" w:noHBand="0" w:noVBand="1"/>
      </w:tblPr>
      <w:tblGrid>
        <w:gridCol w:w="9016"/>
      </w:tblGrid>
      <w:tr w:rsidR="0051021C" w:rsidRPr="00B231C4" w14:paraId="40AE83DF" w14:textId="77777777" w:rsidTr="1D19B68F">
        <w:trPr>
          <w:cnfStyle w:val="100000000000" w:firstRow="1" w:lastRow="0" w:firstColumn="0" w:lastColumn="0" w:oddVBand="0" w:evenVBand="0" w:oddHBand="0" w:evenHBand="0" w:firstRowFirstColumn="0" w:firstRowLastColumn="0" w:lastRowFirstColumn="0" w:lastRowLastColumn="0"/>
          <w:cantSplit/>
          <w:trHeight w:val="697"/>
        </w:trPr>
        <w:tc>
          <w:tcPr>
            <w:tcW w:w="5000" w:type="pct"/>
            <w:shd w:val="clear" w:color="auto" w:fill="auto"/>
            <w:hideMark/>
          </w:tcPr>
          <w:p w14:paraId="4E0FC1B2" w14:textId="77777777" w:rsidR="0051021C" w:rsidRPr="0051021C" w:rsidRDefault="0051021C" w:rsidP="005E7822">
            <w:pPr>
              <w:spacing w:after="160" w:line="259" w:lineRule="auto"/>
              <w:rPr>
                <w:rFonts w:ascii="Arial Narrow" w:hAnsi="Arial Narrow"/>
                <w:sz w:val="20"/>
                <w:szCs w:val="20"/>
              </w:rPr>
            </w:pPr>
            <w:r w:rsidRPr="0051021C">
              <w:rPr>
                <w:rFonts w:ascii="Arial Narrow" w:hAnsi="Arial Narrow"/>
                <w:sz w:val="20"/>
                <w:szCs w:val="20"/>
              </w:rPr>
              <w:t>Category 6 – PATHOLOGY SERVICES</w:t>
            </w:r>
          </w:p>
          <w:p w14:paraId="4D869FD5" w14:textId="77777777" w:rsidR="0051021C" w:rsidRPr="0051021C" w:rsidRDefault="0051021C" w:rsidP="005E7822">
            <w:pPr>
              <w:spacing w:after="160" w:line="259" w:lineRule="auto"/>
              <w:rPr>
                <w:rFonts w:ascii="Arial Narrow" w:hAnsi="Arial Narrow"/>
                <w:sz w:val="20"/>
                <w:szCs w:val="20"/>
              </w:rPr>
            </w:pPr>
            <w:r w:rsidRPr="0051021C">
              <w:rPr>
                <w:rFonts w:ascii="Arial Narrow" w:hAnsi="Arial Narrow"/>
                <w:sz w:val="20"/>
                <w:szCs w:val="20"/>
              </w:rPr>
              <w:t>Group P3 - Microbiology</w:t>
            </w:r>
          </w:p>
        </w:tc>
      </w:tr>
      <w:tr w:rsidR="0051021C" w:rsidRPr="00B231C4" w14:paraId="0C614931" w14:textId="77777777" w:rsidTr="1D19B68F">
        <w:trPr>
          <w:cantSplit/>
          <w:trHeight w:val="2826"/>
        </w:trPr>
        <w:tc>
          <w:tcPr>
            <w:tcW w:w="5000" w:type="pct"/>
            <w:hideMark/>
          </w:tcPr>
          <w:p w14:paraId="0205E585" w14:textId="77777777" w:rsidR="0051021C" w:rsidRPr="0051021C" w:rsidRDefault="0051021C" w:rsidP="005E7822">
            <w:pPr>
              <w:spacing w:after="160" w:line="259" w:lineRule="auto"/>
              <w:rPr>
                <w:rFonts w:ascii="Arial Narrow" w:hAnsi="Arial Narrow"/>
                <w:sz w:val="20"/>
                <w:szCs w:val="20"/>
              </w:rPr>
            </w:pPr>
            <w:r w:rsidRPr="0051021C">
              <w:rPr>
                <w:rFonts w:ascii="Arial Narrow" w:hAnsi="Arial Narrow"/>
                <w:sz w:val="20"/>
                <w:szCs w:val="20"/>
              </w:rPr>
              <w:t>MBS item *XXXX</w:t>
            </w:r>
          </w:p>
          <w:p w14:paraId="3742DB2F" w14:textId="45E55306" w:rsidR="0051021C" w:rsidRPr="0051021C" w:rsidRDefault="0051021C" w:rsidP="005E7822">
            <w:pPr>
              <w:spacing w:after="160" w:line="259" w:lineRule="auto"/>
              <w:rPr>
                <w:rFonts w:ascii="Arial Narrow" w:hAnsi="Arial Narrow"/>
                <w:sz w:val="20"/>
                <w:szCs w:val="20"/>
              </w:rPr>
            </w:pPr>
            <w:r w:rsidRPr="1D19B68F">
              <w:rPr>
                <w:rFonts w:ascii="Arial Narrow" w:hAnsi="Arial Narrow"/>
                <w:sz w:val="20"/>
                <w:szCs w:val="20"/>
              </w:rPr>
              <w:t xml:space="preserve">Quantitation of Hepatitis D viral RNA load in plasma or serum, requested by a specialist or consultant physician, or a </w:t>
            </w:r>
            <w:r w:rsidR="60396A3D" w:rsidRPr="1D19B68F">
              <w:rPr>
                <w:rFonts w:ascii="Arial Narrow" w:hAnsi="Arial Narrow"/>
                <w:sz w:val="20"/>
                <w:szCs w:val="20"/>
              </w:rPr>
              <w:t>general practitioner</w:t>
            </w:r>
            <w:r w:rsidRPr="1D19B68F">
              <w:rPr>
                <w:rFonts w:ascii="Arial Narrow" w:hAnsi="Arial Narrow"/>
                <w:sz w:val="20"/>
                <w:szCs w:val="20"/>
              </w:rPr>
              <w:t xml:space="preserve"> in consultation with a specialist</w:t>
            </w:r>
            <w:r w:rsidR="0E4DB5B6" w:rsidRPr="1D19B68F">
              <w:rPr>
                <w:rFonts w:ascii="Arial Narrow" w:hAnsi="Arial Narrow"/>
                <w:sz w:val="20"/>
                <w:szCs w:val="20"/>
              </w:rPr>
              <w:t xml:space="preserve"> or consultant physician</w:t>
            </w:r>
            <w:r w:rsidRPr="1D19B68F">
              <w:rPr>
                <w:rFonts w:ascii="Arial Narrow" w:hAnsi="Arial Narrow"/>
                <w:sz w:val="20"/>
                <w:szCs w:val="20"/>
              </w:rPr>
              <w:t>, for:</w:t>
            </w:r>
          </w:p>
          <w:p w14:paraId="1ADF78F0" w14:textId="77777777" w:rsidR="0051021C" w:rsidRPr="0051021C" w:rsidRDefault="0051021C" w:rsidP="00C6349A">
            <w:pPr>
              <w:numPr>
                <w:ilvl w:val="0"/>
                <w:numId w:val="29"/>
              </w:numPr>
              <w:spacing w:after="160" w:line="259" w:lineRule="auto"/>
              <w:jc w:val="left"/>
              <w:rPr>
                <w:rFonts w:ascii="Arial Narrow" w:hAnsi="Arial Narrow"/>
                <w:sz w:val="20"/>
                <w:szCs w:val="20"/>
              </w:rPr>
            </w:pPr>
            <w:r w:rsidRPr="0051021C">
              <w:rPr>
                <w:rFonts w:ascii="Arial Narrow" w:hAnsi="Arial Narrow"/>
                <w:sz w:val="20"/>
                <w:szCs w:val="20"/>
              </w:rPr>
              <w:t>a patient who is Hepatitis D viral antibody positive and suspected of having chronic hepatitis D, to determine eligibility for a treatment listed on the Pharmaceutical Benefits Scheme (PBS); or</w:t>
            </w:r>
          </w:p>
          <w:p w14:paraId="0A2F5805" w14:textId="77777777" w:rsidR="0051021C" w:rsidRPr="0051021C" w:rsidRDefault="0051021C" w:rsidP="00C6349A">
            <w:pPr>
              <w:numPr>
                <w:ilvl w:val="0"/>
                <w:numId w:val="29"/>
              </w:numPr>
              <w:spacing w:after="160" w:line="259" w:lineRule="auto"/>
              <w:jc w:val="left"/>
              <w:rPr>
                <w:rFonts w:ascii="Arial Narrow" w:hAnsi="Arial Narrow"/>
                <w:sz w:val="20"/>
                <w:szCs w:val="20"/>
              </w:rPr>
            </w:pPr>
            <w:r w:rsidRPr="0051021C">
              <w:rPr>
                <w:rFonts w:ascii="Arial Narrow" w:hAnsi="Arial Narrow"/>
                <w:sz w:val="20"/>
                <w:szCs w:val="20"/>
              </w:rPr>
              <w:t>a patient undertaking anti-viral therapy for chronic hepatitis D with a PBS listed treatment, for the purpose of assessing treatment effectiveness.</w:t>
            </w:r>
          </w:p>
          <w:p w14:paraId="55508092" w14:textId="77777777" w:rsidR="0051021C" w:rsidRPr="0051021C" w:rsidRDefault="0051021C" w:rsidP="0051021C">
            <w:pPr>
              <w:spacing w:line="259" w:lineRule="auto"/>
              <w:rPr>
                <w:rFonts w:ascii="Arial Narrow" w:hAnsi="Arial Narrow"/>
                <w:sz w:val="20"/>
                <w:szCs w:val="20"/>
              </w:rPr>
            </w:pPr>
            <w:r w:rsidRPr="0051021C">
              <w:rPr>
                <w:rFonts w:ascii="Arial Narrow" w:hAnsi="Arial Narrow"/>
                <w:sz w:val="20"/>
                <w:szCs w:val="20"/>
              </w:rPr>
              <w:t xml:space="preserve">To a maximum of 2 tests in a </w:t>
            </w:r>
            <w:proofErr w:type="gramStart"/>
            <w:r w:rsidRPr="0051021C">
              <w:rPr>
                <w:rFonts w:ascii="Arial Narrow" w:hAnsi="Arial Narrow"/>
                <w:sz w:val="20"/>
                <w:szCs w:val="20"/>
              </w:rPr>
              <w:t>12 month</w:t>
            </w:r>
            <w:proofErr w:type="gramEnd"/>
            <w:r w:rsidRPr="0051021C">
              <w:rPr>
                <w:rFonts w:ascii="Arial Narrow" w:hAnsi="Arial Narrow"/>
                <w:sz w:val="20"/>
                <w:szCs w:val="20"/>
              </w:rPr>
              <w:t xml:space="preserve"> period</w:t>
            </w:r>
          </w:p>
        </w:tc>
      </w:tr>
      <w:tr w:rsidR="0051021C" w:rsidRPr="00B231C4" w14:paraId="700BE5A6" w14:textId="77777777" w:rsidTr="1D19B68F">
        <w:trPr>
          <w:cantSplit/>
          <w:trHeight w:val="436"/>
        </w:trPr>
        <w:tc>
          <w:tcPr>
            <w:tcW w:w="5000" w:type="pct"/>
            <w:hideMark/>
          </w:tcPr>
          <w:p w14:paraId="0B41A2B6" w14:textId="77777777" w:rsidR="0051021C" w:rsidRPr="0051021C" w:rsidRDefault="0051021C" w:rsidP="005E7822">
            <w:pPr>
              <w:spacing w:after="160" w:line="259" w:lineRule="auto"/>
              <w:rPr>
                <w:rFonts w:ascii="Arial Narrow" w:hAnsi="Arial Narrow"/>
                <w:sz w:val="20"/>
                <w:szCs w:val="20"/>
              </w:rPr>
            </w:pPr>
            <w:r w:rsidRPr="0051021C">
              <w:rPr>
                <w:rFonts w:ascii="Arial Narrow" w:hAnsi="Arial Narrow"/>
                <w:sz w:val="20"/>
                <w:szCs w:val="20"/>
              </w:rPr>
              <w:t>Fee: $152.</w:t>
            </w:r>
            <w:proofErr w:type="gramStart"/>
            <w:r w:rsidRPr="0051021C">
              <w:rPr>
                <w:rFonts w:ascii="Arial Narrow" w:hAnsi="Arial Narrow"/>
                <w:sz w:val="20"/>
                <w:szCs w:val="20"/>
              </w:rPr>
              <w:t>10  Benefit</w:t>
            </w:r>
            <w:proofErr w:type="gramEnd"/>
            <w:r w:rsidRPr="0051021C">
              <w:rPr>
                <w:rFonts w:ascii="Arial Narrow" w:hAnsi="Arial Narrow"/>
                <w:sz w:val="20"/>
                <w:szCs w:val="20"/>
              </w:rPr>
              <w:t>: 75% $114.10   85% = $129.30</w:t>
            </w:r>
          </w:p>
        </w:tc>
      </w:tr>
    </w:tbl>
    <w:p w14:paraId="0DD795D2" w14:textId="77777777" w:rsidR="00BD2A33" w:rsidRDefault="00BD2A33" w:rsidP="00BD2A33">
      <w:pPr>
        <w:pStyle w:val="TableFooter"/>
        <w:rPr>
          <w:rFonts w:ascii="Franklin Gothic Book" w:hAnsi="Franklin Gothic Book"/>
          <w:sz w:val="22"/>
          <w:szCs w:val="22"/>
        </w:rPr>
      </w:pPr>
    </w:p>
    <w:tbl>
      <w:tblPr>
        <w:tblStyle w:val="Section3-footnot1"/>
        <w:tblW w:w="0" w:type="auto"/>
        <w:tblLook w:val="04A0" w:firstRow="1" w:lastRow="0" w:firstColumn="1" w:lastColumn="0" w:noHBand="0" w:noVBand="1"/>
        <w:tblDescription w:val="Consumer summary of MSAC consideration"/>
      </w:tblPr>
      <w:tblGrid>
        <w:gridCol w:w="9016"/>
      </w:tblGrid>
      <w:tr w:rsidR="00BD2A33" w:rsidRPr="00F91D6E" w14:paraId="3DC26B82" w14:textId="77777777" w:rsidTr="1D19B68F">
        <w:trPr>
          <w:cantSplit/>
        </w:trPr>
        <w:tc>
          <w:tcPr>
            <w:tcW w:w="9016" w:type="dxa"/>
          </w:tcPr>
          <w:p w14:paraId="229B6019" w14:textId="77777777" w:rsidR="00BD2A33" w:rsidRPr="00F91D6E" w:rsidRDefault="00BD2A33" w:rsidP="00C6349A">
            <w:pPr>
              <w:keepNext/>
              <w:keepLines/>
              <w:spacing w:after="120" w:line="259" w:lineRule="auto"/>
              <w:jc w:val="left"/>
              <w:rPr>
                <w:rFonts w:ascii="Franklin Gothic Book" w:eastAsia="Calibri" w:hAnsi="Franklin Gothic Book" w:cs="Times New Roman"/>
                <w:b/>
                <w:bCs/>
                <w:sz w:val="22"/>
              </w:rPr>
            </w:pPr>
            <w:r w:rsidRPr="00F91D6E">
              <w:rPr>
                <w:rFonts w:ascii="Franklin Gothic Book" w:eastAsia="Times New Roman" w:hAnsi="Franklin Gothic Book" w:cs="Times New Roman"/>
                <w:b/>
                <w:bCs/>
                <w:szCs w:val="24"/>
              </w:rPr>
              <w:lastRenderedPageBreak/>
              <w:t>Consumer summary</w:t>
            </w:r>
          </w:p>
        </w:tc>
      </w:tr>
      <w:tr w:rsidR="00BD2A33" w:rsidRPr="00F91D6E" w14:paraId="5BC96451" w14:textId="77777777" w:rsidTr="1D19B68F">
        <w:trPr>
          <w:cantSplit/>
        </w:trPr>
        <w:tc>
          <w:tcPr>
            <w:tcW w:w="9016" w:type="dxa"/>
          </w:tcPr>
          <w:p w14:paraId="186EED0B" w14:textId="309647F4" w:rsidR="00FE13EF" w:rsidRPr="00FE13EF" w:rsidRDefault="00FE13EF" w:rsidP="00FE13EF">
            <w:pPr>
              <w:keepNext/>
              <w:keepLines/>
              <w:spacing w:line="259" w:lineRule="auto"/>
              <w:jc w:val="left"/>
              <w:outlineLvl w:val="2"/>
              <w:rPr>
                <w:rFonts w:ascii="Franklin Gothic Book" w:hAnsi="Franklin Gothic Book"/>
                <w:sz w:val="22"/>
              </w:rPr>
            </w:pPr>
            <w:r w:rsidRPr="00FE13EF">
              <w:rPr>
                <w:rFonts w:ascii="Franklin Gothic Book" w:hAnsi="Franklin Gothic Book"/>
                <w:sz w:val="22"/>
              </w:rPr>
              <w:t>This is an application from Gilead Sciences requesting Medicare Benefits Schedule (MBS) listing of a test to detect the hepatitis D virus in patients. The test results would be used to diagnose active hepatitis D infection and so provide access to a treatment called bulevirtide, and to monitor how well bulevirtide was helping the patient fight hepatitis D. This was a co-dependent application, with MSAC considering the testing and the Pharmaceutical Benefits Advisory Committee (PBAC) considering the medicine</w:t>
            </w:r>
            <w:r w:rsidR="006D08E7">
              <w:rPr>
                <w:rFonts w:ascii="Franklin Gothic Book" w:hAnsi="Franklin Gothic Book"/>
                <w:sz w:val="22"/>
              </w:rPr>
              <w:t xml:space="preserve"> (bulev</w:t>
            </w:r>
            <w:r w:rsidR="008D4519">
              <w:rPr>
                <w:rFonts w:ascii="Franklin Gothic Book" w:hAnsi="Franklin Gothic Book"/>
                <w:sz w:val="22"/>
              </w:rPr>
              <w:t>i</w:t>
            </w:r>
            <w:r w:rsidR="006D08E7">
              <w:rPr>
                <w:rFonts w:ascii="Franklin Gothic Book" w:hAnsi="Franklin Gothic Book"/>
                <w:sz w:val="22"/>
              </w:rPr>
              <w:t>rtide)</w:t>
            </w:r>
            <w:r w:rsidRPr="00FE13EF">
              <w:rPr>
                <w:rFonts w:ascii="Franklin Gothic Book" w:hAnsi="Franklin Gothic Book"/>
                <w:sz w:val="22"/>
              </w:rPr>
              <w:t>.</w:t>
            </w:r>
            <w:r w:rsidR="00E62C23">
              <w:t xml:space="preserve"> </w:t>
            </w:r>
            <w:r w:rsidR="00E62C23" w:rsidRPr="00E62C23">
              <w:rPr>
                <w:rFonts w:ascii="Franklin Gothic Book" w:hAnsi="Franklin Gothic Book"/>
                <w:sz w:val="22"/>
              </w:rPr>
              <w:t>MSAC and the PBAC had previously considered this application in April 2024, but did not support listing, so this was a resubmission of the application. The PBAC had considered the resubmission at its March 2025 meeting and deferred its decision on PBS listing of bulevirtide, but was of a mind to support it, if MSAC supported the test</w:t>
            </w:r>
            <w:r w:rsidR="00E62C23">
              <w:rPr>
                <w:rFonts w:ascii="Franklin Gothic Book" w:hAnsi="Franklin Gothic Book"/>
                <w:sz w:val="22"/>
              </w:rPr>
              <w:t xml:space="preserve">. </w:t>
            </w:r>
            <w:r w:rsidR="001B1A44">
              <w:rPr>
                <w:rFonts w:ascii="Franklin Gothic Book" w:hAnsi="Franklin Gothic Book"/>
                <w:sz w:val="22"/>
              </w:rPr>
              <w:t xml:space="preserve">The PBAC also considered that </w:t>
            </w:r>
            <w:r w:rsidR="00805805">
              <w:rPr>
                <w:rFonts w:ascii="Franklin Gothic Book" w:hAnsi="Franklin Gothic Book"/>
                <w:sz w:val="22"/>
              </w:rPr>
              <w:t xml:space="preserve">bulevirtide </w:t>
            </w:r>
            <w:r w:rsidR="00C22E39">
              <w:rPr>
                <w:rFonts w:ascii="Franklin Gothic Book" w:hAnsi="Franklin Gothic Book"/>
                <w:sz w:val="22"/>
              </w:rPr>
              <w:t xml:space="preserve">would be good value for money if </w:t>
            </w:r>
            <w:r w:rsidR="007E0AD9">
              <w:rPr>
                <w:rFonts w:ascii="Franklin Gothic Book" w:hAnsi="Franklin Gothic Book"/>
                <w:sz w:val="22"/>
              </w:rPr>
              <w:t>its price</w:t>
            </w:r>
            <w:r w:rsidR="00C22E39">
              <w:rPr>
                <w:rFonts w:ascii="Franklin Gothic Book" w:hAnsi="Franklin Gothic Book"/>
                <w:sz w:val="22"/>
              </w:rPr>
              <w:t xml:space="preserve"> was further reduced. </w:t>
            </w:r>
          </w:p>
          <w:p w14:paraId="728871CB" w14:textId="77777777" w:rsidR="00FE13EF" w:rsidRPr="00FE13EF" w:rsidRDefault="00FE13EF" w:rsidP="00FE13EF">
            <w:pPr>
              <w:keepNext/>
              <w:keepLines/>
              <w:spacing w:line="259" w:lineRule="auto"/>
              <w:jc w:val="left"/>
              <w:outlineLvl w:val="2"/>
              <w:rPr>
                <w:rFonts w:ascii="Franklin Gothic Book" w:hAnsi="Franklin Gothic Book"/>
                <w:sz w:val="22"/>
              </w:rPr>
            </w:pPr>
            <w:r w:rsidRPr="00FE13EF">
              <w:rPr>
                <w:rFonts w:ascii="Franklin Gothic Book" w:hAnsi="Franklin Gothic Book"/>
                <w:sz w:val="22"/>
              </w:rPr>
              <w:t xml:space="preserve">Hepatitis D is an infection of the liver. It can result in cirrhosis (scarring) and liver cancer. Some people may develop end-stage liver disease and liver failure. There is currently no treatment available specifically for hepatitis D. </w:t>
            </w:r>
          </w:p>
          <w:p w14:paraId="77827ECA" w14:textId="77777777" w:rsidR="00FE13EF" w:rsidRPr="00FE13EF" w:rsidRDefault="00FE13EF" w:rsidP="00FE13EF">
            <w:pPr>
              <w:keepNext/>
              <w:keepLines/>
              <w:spacing w:line="259" w:lineRule="auto"/>
              <w:jc w:val="left"/>
              <w:outlineLvl w:val="2"/>
              <w:rPr>
                <w:rFonts w:ascii="Franklin Gothic Book" w:hAnsi="Franklin Gothic Book"/>
                <w:sz w:val="22"/>
              </w:rPr>
            </w:pPr>
            <w:r w:rsidRPr="00FE13EF">
              <w:rPr>
                <w:rFonts w:ascii="Franklin Gothic Book" w:hAnsi="Franklin Gothic Book"/>
                <w:sz w:val="22"/>
              </w:rPr>
              <w:t xml:space="preserve">The hepatitis D virus only infects people who are already infected with the hepatitis B virus. Hepatitis B and D are relatively rare in Australia because there is an effective hepatitis B vaccine available. However, hepatitis B and D are more common in people born overseas, people from culturally and linguistically diverse communities, people who inject drugs, and men who have sex with men. </w:t>
            </w:r>
          </w:p>
          <w:p w14:paraId="644709EF" w14:textId="201D658A" w:rsidR="00FE13EF" w:rsidRPr="00FE13EF" w:rsidRDefault="00FE13EF" w:rsidP="00FE13EF">
            <w:pPr>
              <w:keepNext/>
              <w:keepLines/>
              <w:spacing w:line="259" w:lineRule="auto"/>
              <w:jc w:val="left"/>
              <w:outlineLvl w:val="2"/>
              <w:rPr>
                <w:rFonts w:ascii="Franklin Gothic Book" w:hAnsi="Franklin Gothic Book"/>
                <w:sz w:val="22"/>
              </w:rPr>
            </w:pPr>
            <w:r w:rsidRPr="00FE13EF">
              <w:rPr>
                <w:rFonts w:ascii="Franklin Gothic Book" w:hAnsi="Franklin Gothic Book"/>
                <w:sz w:val="22"/>
              </w:rPr>
              <w:t>The test is also known as a HDV RNA PCR test. HDV refers to the hepatitis D virus and RNA refers to ribonucleic acid, which is a genetic material found in all living cells. PCR refers to polymerase chain reaction, which is a testing method used to rapidly make copies of genetic material and amplify it to a large enough amount to study in detail. The test can identify whether someone has a hepatitis D infection and can also measure the amount of virus present in the infected person</w:t>
            </w:r>
            <w:r w:rsidR="00A265EE">
              <w:rPr>
                <w:rFonts w:ascii="Franklin Gothic Book" w:hAnsi="Franklin Gothic Book"/>
                <w:sz w:val="22"/>
              </w:rPr>
              <w:t>’s liver</w:t>
            </w:r>
            <w:r w:rsidRPr="00FE13EF">
              <w:rPr>
                <w:rFonts w:ascii="Franklin Gothic Book" w:hAnsi="Franklin Gothic Book"/>
                <w:sz w:val="22"/>
              </w:rPr>
              <w:t xml:space="preserve">. The test works by measuring how much genetic material (RNA) from the hepatitis </w:t>
            </w:r>
            <w:r w:rsidR="00AA1AC1">
              <w:rPr>
                <w:rFonts w:ascii="Franklin Gothic Book" w:hAnsi="Franklin Gothic Book"/>
                <w:sz w:val="22"/>
              </w:rPr>
              <w:t xml:space="preserve">D </w:t>
            </w:r>
            <w:r w:rsidRPr="00FE13EF">
              <w:rPr>
                <w:rFonts w:ascii="Franklin Gothic Book" w:hAnsi="Franklin Gothic Book"/>
                <w:sz w:val="22"/>
              </w:rPr>
              <w:t xml:space="preserve">virus there is in a </w:t>
            </w:r>
            <w:r w:rsidR="005166BE">
              <w:rPr>
                <w:rFonts w:ascii="Franklin Gothic Book" w:hAnsi="Franklin Gothic Book"/>
                <w:sz w:val="22"/>
              </w:rPr>
              <w:t xml:space="preserve">blood </w:t>
            </w:r>
            <w:r w:rsidRPr="00FE13EF">
              <w:rPr>
                <w:rFonts w:ascii="Franklin Gothic Book" w:hAnsi="Franklin Gothic Book"/>
                <w:sz w:val="22"/>
              </w:rPr>
              <w:t>sample from the patient</w:t>
            </w:r>
            <w:r w:rsidR="008D4519">
              <w:rPr>
                <w:rFonts w:ascii="Franklin Gothic Book" w:hAnsi="Franklin Gothic Book"/>
                <w:sz w:val="22"/>
              </w:rPr>
              <w:t>,</w:t>
            </w:r>
            <w:r w:rsidRPr="00FE13EF">
              <w:rPr>
                <w:rFonts w:ascii="Franklin Gothic Book" w:hAnsi="Franklin Gothic Book"/>
                <w:sz w:val="22"/>
              </w:rPr>
              <w:t xml:space="preserve"> using the PCR testing method. </w:t>
            </w:r>
          </w:p>
          <w:p w14:paraId="14550E16" w14:textId="0BDCF257" w:rsidR="00FE13EF" w:rsidRPr="00FE13EF" w:rsidRDefault="00FE13EF" w:rsidP="00FE13EF">
            <w:pPr>
              <w:keepNext/>
              <w:keepLines/>
              <w:spacing w:line="259" w:lineRule="auto"/>
              <w:jc w:val="left"/>
              <w:outlineLvl w:val="2"/>
              <w:rPr>
                <w:rFonts w:ascii="Franklin Gothic Book" w:hAnsi="Franklin Gothic Book"/>
                <w:sz w:val="22"/>
              </w:rPr>
            </w:pPr>
            <w:r w:rsidRPr="00FE13EF">
              <w:rPr>
                <w:rFonts w:ascii="Franklin Gothic Book" w:hAnsi="Franklin Gothic Book"/>
                <w:sz w:val="22"/>
              </w:rPr>
              <w:t xml:space="preserve">Bulevirtide is a medication that works by preventing the hepatitis D virus from entering liver (hepatic) cells. This application proposed testing people who may have </w:t>
            </w:r>
            <w:r w:rsidR="00482D27">
              <w:rPr>
                <w:rFonts w:ascii="Franklin Gothic Book" w:hAnsi="Franklin Gothic Book"/>
                <w:sz w:val="22"/>
              </w:rPr>
              <w:t xml:space="preserve">chronic </w:t>
            </w:r>
            <w:r w:rsidRPr="00FE13EF">
              <w:rPr>
                <w:rFonts w:ascii="Franklin Gothic Book" w:hAnsi="Franklin Gothic Book"/>
                <w:sz w:val="22"/>
              </w:rPr>
              <w:t>hepatitis D, and if they test positive</w:t>
            </w:r>
            <w:r w:rsidR="005166BE">
              <w:rPr>
                <w:rFonts w:ascii="Franklin Gothic Book" w:hAnsi="Franklin Gothic Book"/>
                <w:sz w:val="22"/>
              </w:rPr>
              <w:t>,</w:t>
            </w:r>
            <w:r w:rsidRPr="00FE13EF">
              <w:rPr>
                <w:rFonts w:ascii="Franklin Gothic Book" w:hAnsi="Franklin Gothic Book"/>
                <w:sz w:val="22"/>
              </w:rPr>
              <w:t xml:space="preserve"> they can start bulevirtide treatment. Once on treatment, they would continue to have their levels of HDV RNA monitored to see how well the treatment is working.</w:t>
            </w:r>
          </w:p>
          <w:p w14:paraId="66A33E8E" w14:textId="317F5FC1" w:rsidR="00BD2A33" w:rsidRDefault="0A65D6E8" w:rsidP="1D19B68F">
            <w:pPr>
              <w:keepNext/>
              <w:keepLines/>
              <w:spacing w:after="160" w:line="259" w:lineRule="auto"/>
              <w:jc w:val="left"/>
              <w:outlineLvl w:val="2"/>
              <w:rPr>
                <w:rFonts w:ascii="Franklin Gothic Book" w:hAnsi="Franklin Gothic Book"/>
                <w:sz w:val="22"/>
              </w:rPr>
            </w:pPr>
            <w:r w:rsidRPr="1D19B68F">
              <w:rPr>
                <w:rFonts w:ascii="Franklin Gothic Book" w:hAnsi="Franklin Gothic Book"/>
                <w:sz w:val="22"/>
              </w:rPr>
              <w:t xml:space="preserve">MSAC noted that there was no new evidence available, </w:t>
            </w:r>
            <w:r w:rsidR="00F52E09">
              <w:rPr>
                <w:rFonts w:ascii="Franklin Gothic Book" w:hAnsi="Franklin Gothic Book"/>
                <w:sz w:val="22"/>
              </w:rPr>
              <w:t xml:space="preserve">but </w:t>
            </w:r>
            <w:r w:rsidRPr="1D19B68F">
              <w:rPr>
                <w:rFonts w:ascii="Franklin Gothic Book" w:hAnsi="Franklin Gothic Book"/>
                <w:sz w:val="22"/>
              </w:rPr>
              <w:t>the applicant had addressed MSAC’s concerns from the previous submission</w:t>
            </w:r>
            <w:r w:rsidR="007C6E9B">
              <w:rPr>
                <w:rFonts w:ascii="Franklin Gothic Book" w:hAnsi="Franklin Gothic Book"/>
                <w:sz w:val="22"/>
              </w:rPr>
              <w:t xml:space="preserve">. </w:t>
            </w:r>
            <w:proofErr w:type="gramStart"/>
            <w:r w:rsidR="007C6E9B">
              <w:rPr>
                <w:rFonts w:ascii="Franklin Gothic Book" w:hAnsi="Franklin Gothic Book"/>
                <w:sz w:val="22"/>
              </w:rPr>
              <w:t xml:space="preserve">In particular </w:t>
            </w:r>
            <w:r w:rsidR="001718FD">
              <w:rPr>
                <w:rFonts w:ascii="Franklin Gothic Book" w:hAnsi="Franklin Gothic Book"/>
                <w:sz w:val="22"/>
              </w:rPr>
              <w:t>MSAC</w:t>
            </w:r>
            <w:proofErr w:type="gramEnd"/>
            <w:r w:rsidR="001718FD">
              <w:rPr>
                <w:rFonts w:ascii="Franklin Gothic Book" w:hAnsi="Franklin Gothic Book"/>
                <w:sz w:val="22"/>
              </w:rPr>
              <w:t xml:space="preserve"> considered that the applicant had demonstrated the clinical need for the test </w:t>
            </w:r>
            <w:r w:rsidR="001718FD" w:rsidRPr="00FE13EF">
              <w:rPr>
                <w:rFonts w:ascii="Franklin Gothic Book" w:hAnsi="Franklin Gothic Book"/>
                <w:sz w:val="22"/>
              </w:rPr>
              <w:t xml:space="preserve">to monitor </w:t>
            </w:r>
            <w:r w:rsidR="001718FD">
              <w:rPr>
                <w:rFonts w:ascii="Franklin Gothic Book" w:hAnsi="Franklin Gothic Book"/>
                <w:sz w:val="22"/>
              </w:rPr>
              <w:t xml:space="preserve">by quantitative measurement of a patient’s </w:t>
            </w:r>
            <w:r w:rsidR="00871BB7">
              <w:rPr>
                <w:rFonts w:ascii="Franklin Gothic Book" w:hAnsi="Franklin Gothic Book"/>
                <w:sz w:val="22"/>
              </w:rPr>
              <w:t>levels of HDV RNA</w:t>
            </w:r>
            <w:r w:rsidR="00EA0831">
              <w:rPr>
                <w:rFonts w:ascii="Franklin Gothic Book" w:hAnsi="Franklin Gothic Book"/>
                <w:sz w:val="22"/>
              </w:rPr>
              <w:t xml:space="preserve"> </w:t>
            </w:r>
            <w:r w:rsidR="00EA0831" w:rsidRPr="00FE13EF">
              <w:rPr>
                <w:rFonts w:ascii="Franklin Gothic Book" w:hAnsi="Franklin Gothic Book"/>
                <w:sz w:val="22"/>
              </w:rPr>
              <w:t>how well bulevirtide</w:t>
            </w:r>
            <w:r w:rsidR="00871BB7">
              <w:rPr>
                <w:rFonts w:ascii="Franklin Gothic Book" w:hAnsi="Franklin Gothic Book"/>
                <w:sz w:val="22"/>
              </w:rPr>
              <w:t xml:space="preserve"> </w:t>
            </w:r>
            <w:r w:rsidR="001718FD" w:rsidRPr="00FE13EF">
              <w:rPr>
                <w:rFonts w:ascii="Franklin Gothic Book" w:hAnsi="Franklin Gothic Book"/>
                <w:sz w:val="22"/>
              </w:rPr>
              <w:t>was helping the patient fight hepatitis D</w:t>
            </w:r>
            <w:r w:rsidR="00C22E39">
              <w:rPr>
                <w:rFonts w:ascii="Franklin Gothic Book" w:hAnsi="Franklin Gothic Book"/>
                <w:sz w:val="22"/>
              </w:rPr>
              <w:t>.</w:t>
            </w:r>
          </w:p>
          <w:p w14:paraId="1FA3AFBF" w14:textId="77777777" w:rsidR="00BD2A33" w:rsidRPr="00F91D6E" w:rsidRDefault="00BD2A33" w:rsidP="00C6349A">
            <w:pPr>
              <w:keepNext/>
              <w:keepLines/>
              <w:spacing w:after="120" w:line="259" w:lineRule="auto"/>
              <w:jc w:val="left"/>
              <w:rPr>
                <w:rFonts w:ascii="Franklin Gothic Book" w:eastAsia="Times New Roman" w:hAnsi="Franklin Gothic Book" w:cs="Times New Roman"/>
                <w:b/>
                <w:bCs/>
                <w:szCs w:val="24"/>
              </w:rPr>
            </w:pPr>
            <w:r w:rsidRPr="00F91D6E">
              <w:rPr>
                <w:rFonts w:ascii="Franklin Gothic Book" w:eastAsia="Times New Roman" w:hAnsi="Franklin Gothic Book" w:cs="Times New Roman"/>
                <w:b/>
                <w:bCs/>
                <w:szCs w:val="24"/>
              </w:rPr>
              <w:t xml:space="preserve">MSAC’s advice to the </w:t>
            </w:r>
            <w:proofErr w:type="gramStart"/>
            <w:r w:rsidRPr="00F91D6E">
              <w:rPr>
                <w:rFonts w:ascii="Franklin Gothic Book" w:eastAsia="Times New Roman" w:hAnsi="Franklin Gothic Book" w:cs="Times New Roman"/>
                <w:b/>
                <w:bCs/>
                <w:szCs w:val="24"/>
              </w:rPr>
              <w:t>Commonwealth Minister</w:t>
            </w:r>
            <w:proofErr w:type="gramEnd"/>
            <w:r w:rsidRPr="00F91D6E">
              <w:rPr>
                <w:rFonts w:ascii="Franklin Gothic Book" w:eastAsia="Times New Roman" w:hAnsi="Franklin Gothic Book" w:cs="Times New Roman"/>
                <w:b/>
                <w:bCs/>
                <w:szCs w:val="24"/>
              </w:rPr>
              <w:t xml:space="preserve"> for Health and Aged Care</w:t>
            </w:r>
          </w:p>
          <w:p w14:paraId="6599E3EA" w14:textId="03B8B45D" w:rsidR="00BD2A33" w:rsidRPr="00F91D6E" w:rsidRDefault="00025C8B" w:rsidP="00C6349A">
            <w:pPr>
              <w:spacing w:after="120" w:line="259" w:lineRule="auto"/>
              <w:jc w:val="left"/>
              <w:rPr>
                <w:rFonts w:ascii="Franklin Gothic Book" w:hAnsi="Franklin Gothic Book"/>
                <w:sz w:val="22"/>
              </w:rPr>
            </w:pPr>
            <w:r w:rsidRPr="00025C8B">
              <w:rPr>
                <w:rFonts w:ascii="Franklin Gothic Book" w:hAnsi="Franklin Gothic Book"/>
                <w:sz w:val="22"/>
              </w:rPr>
              <w:t>MSAC supported MBS listing of HDV RNA PCR testing to determine eligibility for treatment with bulevirtide and to monitor the response to treatment. MSAC considered that the test was safe and effective, and that the test and treatment would provide good value for money in these patients.</w:t>
            </w:r>
          </w:p>
        </w:tc>
      </w:tr>
    </w:tbl>
    <w:p w14:paraId="46375952" w14:textId="77777777" w:rsidR="00C314A3" w:rsidRDefault="00C314A3">
      <w:pPr>
        <w:spacing w:before="0" w:line="259" w:lineRule="auto"/>
        <w:jc w:val="left"/>
        <w:rPr>
          <w:rFonts w:ascii="Franklin Gothic Book" w:hAnsi="Franklin Gothic Book"/>
          <w:sz w:val="22"/>
        </w:rPr>
      </w:pPr>
      <w:r>
        <w:rPr>
          <w:rFonts w:ascii="Franklin Gothic Book" w:hAnsi="Franklin Gothic Book"/>
          <w:sz w:val="22"/>
        </w:rPr>
        <w:br w:type="page"/>
      </w:r>
    </w:p>
    <w:p w14:paraId="581A6F3C" w14:textId="2D7DE59F" w:rsidR="00BD2A33" w:rsidRPr="003A793E" w:rsidRDefault="00BD2A33" w:rsidP="00C314A3">
      <w:pPr>
        <w:pStyle w:val="Heading2"/>
        <w:numPr>
          <w:ilvl w:val="0"/>
          <w:numId w:val="25"/>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lastRenderedPageBreak/>
        <w:t>Summary of consideration and rationale for MSAC’s advice</w:t>
      </w:r>
    </w:p>
    <w:bookmarkEnd w:id="2"/>
    <w:p w14:paraId="7362D437" w14:textId="56AE3408" w:rsidR="00863CB9" w:rsidRPr="008F74AA" w:rsidRDefault="008F74AA" w:rsidP="00C314A3">
      <w:pPr>
        <w:keepNext/>
        <w:keepLines/>
        <w:jc w:val="left"/>
        <w:rPr>
          <w:rFonts w:ascii="Franklin Gothic Book" w:hAnsi="Franklin Gothic Book"/>
          <w:sz w:val="22"/>
        </w:rPr>
      </w:pPr>
      <w:r w:rsidRPr="1D19B68F">
        <w:rPr>
          <w:rFonts w:ascii="Franklin Gothic Book" w:hAnsi="Franklin Gothic Book"/>
          <w:sz w:val="22"/>
        </w:rPr>
        <w:t>MSAC noted that this application from Gilead Sciences was for Medicare Benefits Schedule (MBS) listing of ribonucleic acid (RNA) polymerase chain reaction (PCR) testing to detect hepatitis delta virus (HDV) RNA to determine eligibility for treatment with bulevirtide in patients with chronic HDV with compensated liver disease, and to quantify the levels of HDV RNA for monitoring the efficacy of bulevirtide treatment. This was a co-dependent application with the Pharmaceutical Benefits Advisory Committee (PBAC)</w:t>
      </w:r>
      <w:r w:rsidR="50829BE7" w:rsidRPr="1D19B68F">
        <w:rPr>
          <w:rFonts w:ascii="Franklin Gothic Book" w:hAnsi="Franklin Gothic Book"/>
          <w:sz w:val="22"/>
        </w:rPr>
        <w:t>,</w:t>
      </w:r>
      <w:r w:rsidRPr="1D19B68F">
        <w:rPr>
          <w:rFonts w:ascii="Franklin Gothic Book" w:hAnsi="Franklin Gothic Book"/>
          <w:sz w:val="22"/>
        </w:rPr>
        <w:t xml:space="preserve"> MSAC and the PBAC had previously considered this application in April 2024 and did not support listing </w:t>
      </w:r>
      <w:r w:rsidR="00802D61" w:rsidRPr="1D19B68F">
        <w:rPr>
          <w:rFonts w:ascii="Franklin Gothic Book" w:hAnsi="Franklin Gothic Book"/>
          <w:sz w:val="22"/>
        </w:rPr>
        <w:t>at the time</w:t>
      </w:r>
      <w:r w:rsidR="00C16CAE" w:rsidRPr="1D19B68F">
        <w:rPr>
          <w:rFonts w:ascii="Franklin Gothic Book" w:hAnsi="Franklin Gothic Book"/>
          <w:sz w:val="22"/>
        </w:rPr>
        <w:t xml:space="preserve">. </w:t>
      </w:r>
      <w:r w:rsidRPr="1D19B68F">
        <w:rPr>
          <w:rFonts w:ascii="Franklin Gothic Book" w:hAnsi="Franklin Gothic Book"/>
          <w:sz w:val="22"/>
        </w:rPr>
        <w:t>MSAC had considered that there was insufficient clinical justification for the RNA test since the PBAC did not support listing of bulevirtide</w:t>
      </w:r>
      <w:r w:rsidR="0048622B" w:rsidRPr="1D19B68F">
        <w:rPr>
          <w:rFonts w:ascii="Franklin Gothic Book" w:hAnsi="Franklin Gothic Book"/>
          <w:sz w:val="22"/>
        </w:rPr>
        <w:t xml:space="preserve">, </w:t>
      </w:r>
      <w:r w:rsidR="00584FA5" w:rsidRPr="1D19B68F">
        <w:rPr>
          <w:rFonts w:ascii="Franklin Gothic Book" w:hAnsi="Franklin Gothic Book"/>
          <w:sz w:val="22"/>
        </w:rPr>
        <w:t xml:space="preserve">and </w:t>
      </w:r>
      <w:r w:rsidR="0048622B" w:rsidRPr="1D19B68F">
        <w:rPr>
          <w:rFonts w:ascii="Franklin Gothic Book" w:hAnsi="Franklin Gothic Book"/>
          <w:sz w:val="22"/>
        </w:rPr>
        <w:t xml:space="preserve">the case for codependency </w:t>
      </w:r>
      <w:r w:rsidR="00F67794" w:rsidRPr="1D19B68F">
        <w:rPr>
          <w:rFonts w:ascii="Franklin Gothic Book" w:hAnsi="Franklin Gothic Book"/>
          <w:sz w:val="22"/>
        </w:rPr>
        <w:t xml:space="preserve">between testing and bulevirtide use </w:t>
      </w:r>
      <w:r w:rsidR="0048622B" w:rsidRPr="1D19B68F">
        <w:rPr>
          <w:rFonts w:ascii="Franklin Gothic Book" w:hAnsi="Franklin Gothic Book"/>
          <w:sz w:val="22"/>
        </w:rPr>
        <w:t xml:space="preserve">was not sufficiently established </w:t>
      </w:r>
      <w:r w:rsidRPr="1D19B68F">
        <w:rPr>
          <w:rFonts w:ascii="Franklin Gothic Book" w:hAnsi="Franklin Gothic Book"/>
          <w:sz w:val="22"/>
        </w:rPr>
        <w:t xml:space="preserve">(see the </w:t>
      </w:r>
      <w:hyperlink r:id="rId12" w:history="1">
        <w:r w:rsidRPr="005B1451">
          <w:rPr>
            <w:rStyle w:val="Hyperlink"/>
            <w:rFonts w:ascii="Franklin Gothic Book" w:hAnsi="Franklin Gothic Book"/>
            <w:color w:val="007BB8"/>
            <w:sz w:val="22"/>
          </w:rPr>
          <w:t>public summary document</w:t>
        </w:r>
      </w:hyperlink>
      <w:r w:rsidRPr="1D19B68F">
        <w:rPr>
          <w:rFonts w:ascii="Franklin Gothic Book" w:hAnsi="Franklin Gothic Book"/>
          <w:sz w:val="22"/>
        </w:rPr>
        <w:t xml:space="preserve"> on the </w:t>
      </w:r>
      <w:r w:rsidR="00E23341" w:rsidRPr="1D19B68F">
        <w:rPr>
          <w:rFonts w:ascii="Franklin Gothic Book" w:hAnsi="Franklin Gothic Book"/>
          <w:sz w:val="22"/>
        </w:rPr>
        <w:t xml:space="preserve">webpage for </w:t>
      </w:r>
      <w:r w:rsidRPr="1D19B68F">
        <w:rPr>
          <w:rFonts w:ascii="Franklin Gothic Book" w:hAnsi="Franklin Gothic Book"/>
          <w:sz w:val="22"/>
        </w:rPr>
        <w:t xml:space="preserve">application </w:t>
      </w:r>
      <w:r w:rsidR="00E23341" w:rsidRPr="1D19B68F">
        <w:rPr>
          <w:rFonts w:ascii="Franklin Gothic Book" w:hAnsi="Franklin Gothic Book"/>
          <w:sz w:val="22"/>
        </w:rPr>
        <w:t>1708</w:t>
      </w:r>
      <w:r w:rsidR="00C16CAE" w:rsidRPr="1D19B68F">
        <w:rPr>
          <w:rFonts w:ascii="Franklin Gothic Book" w:hAnsi="Franklin Gothic Book"/>
          <w:sz w:val="22"/>
        </w:rPr>
        <w:t xml:space="preserve"> </w:t>
      </w:r>
      <w:r w:rsidRPr="1D19B68F">
        <w:rPr>
          <w:rFonts w:ascii="Franklin Gothic Book" w:hAnsi="Franklin Gothic Book"/>
          <w:sz w:val="22"/>
        </w:rPr>
        <w:t>on the MSAC website).</w:t>
      </w:r>
      <w:r w:rsidR="00863CB9" w:rsidRPr="1D19B68F">
        <w:rPr>
          <w:rFonts w:ascii="Franklin Gothic Book" w:hAnsi="Franklin Gothic Book"/>
          <w:sz w:val="22"/>
        </w:rPr>
        <w:t xml:space="preserve"> MSAC noted that </w:t>
      </w:r>
      <w:r w:rsidR="00CD11AC" w:rsidRPr="1D19B68F">
        <w:rPr>
          <w:rFonts w:ascii="Franklin Gothic Book" w:hAnsi="Franklin Gothic Book"/>
          <w:sz w:val="22"/>
        </w:rPr>
        <w:t xml:space="preserve">the </w:t>
      </w:r>
      <w:r w:rsidR="00863CB9" w:rsidRPr="1D19B68F">
        <w:rPr>
          <w:rFonts w:ascii="Franklin Gothic Book" w:hAnsi="Franklin Gothic Book"/>
          <w:sz w:val="22"/>
        </w:rPr>
        <w:t xml:space="preserve">PBAC had deferred its decision on the resubmission in its March 2025 </w:t>
      </w:r>
      <w:proofErr w:type="gramStart"/>
      <w:r w:rsidR="00863CB9" w:rsidRPr="1D19B68F">
        <w:rPr>
          <w:rFonts w:ascii="Franklin Gothic Book" w:hAnsi="Franklin Gothic Book"/>
          <w:sz w:val="22"/>
        </w:rPr>
        <w:t>meeting, but</w:t>
      </w:r>
      <w:proofErr w:type="gramEnd"/>
      <w:r w:rsidR="00863CB9" w:rsidRPr="1D19B68F">
        <w:rPr>
          <w:rFonts w:ascii="Franklin Gothic Book" w:hAnsi="Franklin Gothic Book"/>
          <w:sz w:val="22"/>
        </w:rPr>
        <w:t xml:space="preserve"> was of a mind to support the application pending MSAC’s advice on the test</w:t>
      </w:r>
      <w:r w:rsidR="00B7687A" w:rsidRPr="1D19B68F">
        <w:rPr>
          <w:rFonts w:ascii="Franklin Gothic Book" w:hAnsi="Franklin Gothic Book"/>
          <w:sz w:val="22"/>
        </w:rPr>
        <w:t xml:space="preserve">. </w:t>
      </w:r>
      <w:r w:rsidR="00964332" w:rsidRPr="1D19B68F">
        <w:rPr>
          <w:rFonts w:ascii="Franklin Gothic Book" w:hAnsi="Franklin Gothic Book"/>
          <w:sz w:val="22"/>
        </w:rPr>
        <w:t>The PBAC considered that bulevirtide would be cost-effective with a further substantial price reduction, to reflect the remaining uncertainties in the economic mode</w:t>
      </w:r>
      <w:r w:rsidR="00C2076A">
        <w:rPr>
          <w:rFonts w:ascii="Franklin Gothic Book" w:hAnsi="Franklin Gothic Book"/>
          <w:sz w:val="22"/>
        </w:rPr>
        <w:t>l</w:t>
      </w:r>
      <w:r w:rsidR="00E02BE7">
        <w:rPr>
          <w:rFonts w:ascii="Franklin Gothic Book" w:hAnsi="Franklin Gothic Book"/>
          <w:sz w:val="22"/>
        </w:rPr>
        <w:t xml:space="preserve"> </w:t>
      </w:r>
      <w:r w:rsidR="00E02BE7" w:rsidRPr="00E02BE7">
        <w:rPr>
          <w:rFonts w:ascii="Franklin Gothic Book" w:hAnsi="Franklin Gothic Book"/>
          <w:sz w:val="22"/>
        </w:rPr>
        <w:t>and bring the ICER into an acceptable range</w:t>
      </w:r>
      <w:r w:rsidR="00863CB9" w:rsidRPr="1D19B68F">
        <w:rPr>
          <w:rFonts w:ascii="Franklin Gothic Book" w:hAnsi="Franklin Gothic Book"/>
          <w:sz w:val="22"/>
        </w:rPr>
        <w:t>.</w:t>
      </w:r>
    </w:p>
    <w:p w14:paraId="061D962B" w14:textId="02F14402" w:rsidR="001D4DC2" w:rsidRDefault="00A87647" w:rsidP="008F74AA">
      <w:pPr>
        <w:jc w:val="left"/>
        <w:rPr>
          <w:rFonts w:ascii="Franklin Gothic Book" w:hAnsi="Franklin Gothic Book"/>
          <w:sz w:val="22"/>
        </w:rPr>
      </w:pPr>
      <w:r>
        <w:rPr>
          <w:rFonts w:ascii="Franklin Gothic Book" w:hAnsi="Franklin Gothic Book"/>
          <w:sz w:val="22"/>
        </w:rPr>
        <w:t>MSAC noted that t</w:t>
      </w:r>
      <w:r w:rsidRPr="00A87647">
        <w:rPr>
          <w:rFonts w:ascii="Franklin Gothic Book" w:hAnsi="Franklin Gothic Book"/>
          <w:sz w:val="22"/>
        </w:rPr>
        <w:t>here is an unmet</w:t>
      </w:r>
      <w:r>
        <w:rPr>
          <w:rFonts w:ascii="Franklin Gothic Book" w:hAnsi="Franklin Gothic Book"/>
          <w:sz w:val="22"/>
        </w:rPr>
        <w:t xml:space="preserve"> clinical</w:t>
      </w:r>
      <w:r w:rsidR="008334A2">
        <w:rPr>
          <w:rFonts w:ascii="Franklin Gothic Book" w:hAnsi="Franklin Gothic Book"/>
          <w:sz w:val="22"/>
        </w:rPr>
        <w:t xml:space="preserve"> need</w:t>
      </w:r>
      <w:r w:rsidR="00B970E2">
        <w:rPr>
          <w:rFonts w:ascii="Franklin Gothic Book" w:hAnsi="Franklin Gothic Book"/>
          <w:sz w:val="22"/>
        </w:rPr>
        <w:t>, in terms of a</w:t>
      </w:r>
      <w:r>
        <w:rPr>
          <w:rFonts w:ascii="Franklin Gothic Book" w:hAnsi="Franklin Gothic Book"/>
          <w:sz w:val="22"/>
        </w:rPr>
        <w:t xml:space="preserve"> </w:t>
      </w:r>
      <w:r w:rsidRPr="00A87647">
        <w:rPr>
          <w:rFonts w:ascii="Franklin Gothic Book" w:hAnsi="Franklin Gothic Book"/>
          <w:sz w:val="22"/>
        </w:rPr>
        <w:t xml:space="preserve">need for the detection and treatment of patients with </w:t>
      </w:r>
      <w:r w:rsidR="00147AFB">
        <w:rPr>
          <w:rFonts w:ascii="Franklin Gothic Book" w:hAnsi="Franklin Gothic Book"/>
          <w:sz w:val="22"/>
        </w:rPr>
        <w:t>chronic hepatitis D virus (H</w:t>
      </w:r>
      <w:r w:rsidR="00ED7356">
        <w:rPr>
          <w:rFonts w:ascii="Franklin Gothic Book" w:hAnsi="Franklin Gothic Book"/>
          <w:sz w:val="22"/>
        </w:rPr>
        <w:t>D</w:t>
      </w:r>
      <w:r w:rsidR="00147AFB">
        <w:rPr>
          <w:rFonts w:ascii="Franklin Gothic Book" w:hAnsi="Franklin Gothic Book"/>
          <w:sz w:val="22"/>
        </w:rPr>
        <w:t>V) infection</w:t>
      </w:r>
      <w:r w:rsidR="00F43814">
        <w:rPr>
          <w:rFonts w:ascii="Franklin Gothic Book" w:hAnsi="Franklin Gothic Book"/>
          <w:sz w:val="22"/>
        </w:rPr>
        <w:t xml:space="preserve">. </w:t>
      </w:r>
      <w:r w:rsidR="001D4DC2">
        <w:rPr>
          <w:rFonts w:ascii="Franklin Gothic Book" w:hAnsi="Franklin Gothic Book"/>
          <w:sz w:val="22"/>
        </w:rPr>
        <w:t xml:space="preserve">MSAC noted that </w:t>
      </w:r>
      <w:r w:rsidR="001D4DC2" w:rsidRPr="001D4DC2">
        <w:rPr>
          <w:rFonts w:ascii="Franklin Gothic Book" w:hAnsi="Franklin Gothic Book"/>
          <w:sz w:val="22"/>
        </w:rPr>
        <w:t>HDV infections occur within a setting of a</w:t>
      </w:r>
      <w:r w:rsidR="008818ED">
        <w:rPr>
          <w:rFonts w:ascii="Franklin Gothic Book" w:hAnsi="Franklin Gothic Book"/>
          <w:sz w:val="22"/>
        </w:rPr>
        <w:t xml:space="preserve">n </w:t>
      </w:r>
      <w:r w:rsidR="001D4DC2" w:rsidRPr="001D4DC2">
        <w:rPr>
          <w:rFonts w:ascii="Franklin Gothic Book" w:hAnsi="Franklin Gothic Book"/>
          <w:sz w:val="22"/>
        </w:rPr>
        <w:t>infection with chronic hepatitis B virus (HBV)</w:t>
      </w:r>
      <w:r w:rsidR="00F95FC6">
        <w:rPr>
          <w:rFonts w:ascii="Franklin Gothic Book" w:hAnsi="Franklin Gothic Book"/>
          <w:sz w:val="22"/>
        </w:rPr>
        <w:t xml:space="preserve"> and</w:t>
      </w:r>
      <w:r w:rsidR="00B8700D">
        <w:rPr>
          <w:rFonts w:ascii="Franklin Gothic Book" w:hAnsi="Franklin Gothic Book"/>
          <w:sz w:val="22"/>
        </w:rPr>
        <w:t xml:space="preserve"> </w:t>
      </w:r>
      <w:r w:rsidR="00B970E2">
        <w:rPr>
          <w:rFonts w:ascii="Franklin Gothic Book" w:hAnsi="Franklin Gothic Book"/>
          <w:sz w:val="22"/>
        </w:rPr>
        <w:t>are</w:t>
      </w:r>
      <w:r w:rsidR="00B8700D" w:rsidRPr="00B9071C">
        <w:rPr>
          <w:rFonts w:ascii="Franklin Gothic Book" w:hAnsi="Franklin Gothic Book"/>
          <w:sz w:val="22"/>
        </w:rPr>
        <w:t xml:space="preserve"> associated with a more aggressive disease course compared with HBV mono-infection </w:t>
      </w:r>
      <w:r w:rsidR="00F95FC6">
        <w:rPr>
          <w:rFonts w:ascii="Franklin Gothic Book" w:hAnsi="Franklin Gothic Book"/>
          <w:sz w:val="22"/>
        </w:rPr>
        <w:t xml:space="preserve">including </w:t>
      </w:r>
      <w:r w:rsidR="00B8700D" w:rsidRPr="00B9071C">
        <w:rPr>
          <w:rFonts w:ascii="Franklin Gothic Book" w:hAnsi="Franklin Gothic Book"/>
          <w:sz w:val="22"/>
        </w:rPr>
        <w:t>an increased risk of development of acute hepatic failure, cirrhosis, hepatic decompensation and hepatocellular carcinoma</w:t>
      </w:r>
      <w:r w:rsidR="00F95FC6">
        <w:rPr>
          <w:rFonts w:ascii="Franklin Gothic Book" w:hAnsi="Franklin Gothic Book"/>
          <w:sz w:val="22"/>
        </w:rPr>
        <w:t>.</w:t>
      </w:r>
      <w:r w:rsidR="001A79AA" w:rsidRPr="001A79AA">
        <w:t xml:space="preserve"> </w:t>
      </w:r>
      <w:r w:rsidR="001A79AA" w:rsidRPr="001A79AA">
        <w:rPr>
          <w:rFonts w:ascii="Franklin Gothic Book" w:hAnsi="Franklin Gothic Book"/>
          <w:sz w:val="22"/>
        </w:rPr>
        <w:t xml:space="preserve">The 5-year mortality from </w:t>
      </w:r>
      <w:r w:rsidR="009953D5">
        <w:rPr>
          <w:rFonts w:ascii="Franklin Gothic Book" w:hAnsi="Franklin Gothic Book"/>
          <w:sz w:val="22"/>
        </w:rPr>
        <w:t xml:space="preserve">superinfection of </w:t>
      </w:r>
      <w:r w:rsidR="001A79AA" w:rsidRPr="001A79AA">
        <w:rPr>
          <w:rFonts w:ascii="Franklin Gothic Book" w:hAnsi="Franklin Gothic Book"/>
          <w:sz w:val="22"/>
        </w:rPr>
        <w:t>HDV</w:t>
      </w:r>
      <w:r w:rsidR="009953D5">
        <w:rPr>
          <w:rFonts w:ascii="Franklin Gothic Book" w:hAnsi="Franklin Gothic Book"/>
          <w:sz w:val="22"/>
        </w:rPr>
        <w:t xml:space="preserve"> in patients with </w:t>
      </w:r>
      <w:r w:rsidR="001A79AA" w:rsidRPr="001A79AA">
        <w:rPr>
          <w:rFonts w:ascii="Franklin Gothic Book" w:hAnsi="Franklin Gothic Book"/>
          <w:sz w:val="22"/>
        </w:rPr>
        <w:t>HBV is twice that of HBV mono-infection</w:t>
      </w:r>
      <w:r w:rsidR="001A79AA">
        <w:rPr>
          <w:rFonts w:ascii="Franklin Gothic Book" w:hAnsi="Franklin Gothic Book"/>
          <w:sz w:val="22"/>
        </w:rPr>
        <w:t>.</w:t>
      </w:r>
      <w:r w:rsidR="00F95FC6">
        <w:rPr>
          <w:rFonts w:ascii="Franklin Gothic Book" w:hAnsi="Franklin Gothic Book"/>
          <w:sz w:val="22"/>
        </w:rPr>
        <w:t xml:space="preserve"> </w:t>
      </w:r>
      <w:r w:rsidR="00B62686">
        <w:rPr>
          <w:rFonts w:ascii="Franklin Gothic Book" w:hAnsi="Franklin Gothic Book"/>
          <w:sz w:val="22"/>
        </w:rPr>
        <w:t xml:space="preserve">MSAC noted that </w:t>
      </w:r>
      <w:r w:rsidR="00B62686" w:rsidRPr="00B62686">
        <w:rPr>
          <w:rFonts w:ascii="Franklin Gothic Book" w:hAnsi="Franklin Gothic Book"/>
          <w:sz w:val="22"/>
        </w:rPr>
        <w:t>HDV infection</w:t>
      </w:r>
      <w:r w:rsidR="00B62686">
        <w:rPr>
          <w:rFonts w:ascii="Franklin Gothic Book" w:hAnsi="Franklin Gothic Book"/>
          <w:sz w:val="22"/>
        </w:rPr>
        <w:t xml:space="preserve"> is</w:t>
      </w:r>
      <w:r w:rsidR="00B62686" w:rsidRPr="00B62686">
        <w:rPr>
          <w:rFonts w:ascii="Franklin Gothic Book" w:hAnsi="Franklin Gothic Book"/>
          <w:sz w:val="22"/>
        </w:rPr>
        <w:t xml:space="preserve"> likely significantly higher in people born overseas,</w:t>
      </w:r>
      <w:r w:rsidR="00B62686">
        <w:rPr>
          <w:rFonts w:ascii="Franklin Gothic Book" w:hAnsi="Franklin Gothic Book"/>
          <w:sz w:val="22"/>
        </w:rPr>
        <w:t xml:space="preserve"> people from culturally and linguistically diverse (</w:t>
      </w:r>
      <w:r w:rsidR="00B62686" w:rsidRPr="00B62686">
        <w:rPr>
          <w:rFonts w:ascii="Franklin Gothic Book" w:hAnsi="Franklin Gothic Book"/>
          <w:sz w:val="22"/>
        </w:rPr>
        <w:t>CALD</w:t>
      </w:r>
      <w:r w:rsidR="00B62686">
        <w:rPr>
          <w:rFonts w:ascii="Franklin Gothic Book" w:hAnsi="Franklin Gothic Book"/>
          <w:sz w:val="22"/>
        </w:rPr>
        <w:t>) backgrounds</w:t>
      </w:r>
      <w:r w:rsidR="00B62686" w:rsidRPr="00B62686">
        <w:rPr>
          <w:rFonts w:ascii="Franklin Gothic Book" w:hAnsi="Franklin Gothic Book"/>
          <w:sz w:val="22"/>
        </w:rPr>
        <w:t>,</w:t>
      </w:r>
      <w:r w:rsidR="00B62686">
        <w:rPr>
          <w:rFonts w:ascii="Franklin Gothic Book" w:hAnsi="Franklin Gothic Book"/>
          <w:sz w:val="22"/>
        </w:rPr>
        <w:t xml:space="preserve"> intravenous drug users, </w:t>
      </w:r>
      <w:r w:rsidR="00B62686" w:rsidRPr="00B62686">
        <w:rPr>
          <w:rFonts w:ascii="Franklin Gothic Book" w:hAnsi="Franklin Gothic Book"/>
          <w:sz w:val="22"/>
        </w:rPr>
        <w:t xml:space="preserve">and </w:t>
      </w:r>
      <w:r w:rsidR="00B62686">
        <w:rPr>
          <w:rFonts w:ascii="Franklin Gothic Book" w:hAnsi="Franklin Gothic Book"/>
          <w:sz w:val="22"/>
        </w:rPr>
        <w:t>men who have sex with men (</w:t>
      </w:r>
      <w:r w:rsidR="00B62686" w:rsidRPr="00AF2BD1">
        <w:rPr>
          <w:rFonts w:ascii="Franklin Gothic Book" w:hAnsi="Franklin Gothic Book"/>
          <w:sz w:val="22"/>
        </w:rPr>
        <w:t>MSM</w:t>
      </w:r>
      <w:r w:rsidR="00B62686">
        <w:rPr>
          <w:rFonts w:ascii="Franklin Gothic Book" w:hAnsi="Franklin Gothic Book"/>
          <w:sz w:val="22"/>
        </w:rPr>
        <w:t xml:space="preserve">), </w:t>
      </w:r>
      <w:r w:rsidR="00B62686" w:rsidRPr="00B62686">
        <w:rPr>
          <w:rFonts w:ascii="Franklin Gothic Book" w:hAnsi="Franklin Gothic Book"/>
          <w:sz w:val="22"/>
        </w:rPr>
        <w:t>all of whom may experience barriers to healthcare</w:t>
      </w:r>
      <w:r w:rsidR="006D5542">
        <w:rPr>
          <w:rFonts w:ascii="Franklin Gothic Book" w:hAnsi="Franklin Gothic Book"/>
          <w:sz w:val="22"/>
        </w:rPr>
        <w:t xml:space="preserve"> access</w:t>
      </w:r>
      <w:r w:rsidR="00E12069">
        <w:rPr>
          <w:rFonts w:ascii="Franklin Gothic Book" w:hAnsi="Franklin Gothic Book"/>
          <w:sz w:val="22"/>
        </w:rPr>
        <w:t xml:space="preserve">. MSAC noted there is currently </w:t>
      </w:r>
      <w:r w:rsidR="007668B5">
        <w:rPr>
          <w:rFonts w:ascii="Franklin Gothic Book" w:hAnsi="Franklin Gothic Book"/>
          <w:sz w:val="22"/>
        </w:rPr>
        <w:t>no approved treatment</w:t>
      </w:r>
      <w:r w:rsidR="00EF5D80">
        <w:rPr>
          <w:rFonts w:ascii="Franklin Gothic Book" w:hAnsi="Franklin Gothic Book"/>
          <w:sz w:val="22"/>
        </w:rPr>
        <w:t xml:space="preserve"> for HDV</w:t>
      </w:r>
      <w:r w:rsidR="007668B5">
        <w:rPr>
          <w:rFonts w:ascii="Franklin Gothic Book" w:hAnsi="Franklin Gothic Book"/>
          <w:sz w:val="22"/>
        </w:rPr>
        <w:t xml:space="preserve"> in Australia. </w:t>
      </w:r>
    </w:p>
    <w:p w14:paraId="625DC6F7" w14:textId="11AA844B" w:rsidR="00683185" w:rsidRDefault="00073A09" w:rsidP="00DF2596">
      <w:pPr>
        <w:jc w:val="left"/>
        <w:rPr>
          <w:rFonts w:ascii="Franklin Gothic Book" w:hAnsi="Franklin Gothic Book"/>
          <w:sz w:val="22"/>
        </w:rPr>
      </w:pPr>
      <w:r w:rsidRPr="00073A09">
        <w:rPr>
          <w:rFonts w:ascii="Franklin Gothic Book" w:hAnsi="Franklin Gothic Book"/>
          <w:sz w:val="22"/>
        </w:rPr>
        <w:t>MSAC noted that the proposed test uses commercial or in-house reverse transcriptase</w:t>
      </w:r>
      <w:r>
        <w:rPr>
          <w:rFonts w:ascii="Franklin Gothic Book" w:hAnsi="Franklin Gothic Book"/>
          <w:sz w:val="22"/>
        </w:rPr>
        <w:t xml:space="preserve"> </w:t>
      </w:r>
      <w:r w:rsidRPr="00073A09">
        <w:rPr>
          <w:rFonts w:ascii="Franklin Gothic Book" w:hAnsi="Franklin Gothic Book"/>
          <w:sz w:val="22"/>
        </w:rPr>
        <w:t xml:space="preserve">polymerase chain reaction (PCR) assays. </w:t>
      </w:r>
      <w:r w:rsidR="00796241">
        <w:rPr>
          <w:rFonts w:ascii="Franklin Gothic Book" w:hAnsi="Franklin Gothic Book"/>
          <w:sz w:val="22"/>
        </w:rPr>
        <w:t>M</w:t>
      </w:r>
      <w:r w:rsidR="00355605">
        <w:rPr>
          <w:rFonts w:ascii="Franklin Gothic Book" w:hAnsi="Franklin Gothic Book"/>
          <w:sz w:val="22"/>
        </w:rPr>
        <w:t>SAC noted that while a</w:t>
      </w:r>
      <w:r w:rsidR="00355605" w:rsidRPr="00355605">
        <w:rPr>
          <w:rFonts w:ascii="Franklin Gothic Book" w:hAnsi="Franklin Gothic Book"/>
          <w:sz w:val="22"/>
        </w:rPr>
        <w:t xml:space="preserve"> decrease of 2 </w:t>
      </w:r>
      <w:r w:rsidR="00EC52DB" w:rsidRPr="00193386">
        <w:rPr>
          <w:rFonts w:ascii="Franklin Gothic Book" w:hAnsi="Franklin Gothic Book"/>
          <w:sz w:val="22"/>
        </w:rPr>
        <w:t>log</w:t>
      </w:r>
      <w:r w:rsidR="00EC52DB" w:rsidRPr="00193386">
        <w:rPr>
          <w:rFonts w:ascii="Franklin Gothic Book" w:hAnsi="Franklin Gothic Book"/>
          <w:sz w:val="22"/>
          <w:vertAlign w:val="subscript"/>
        </w:rPr>
        <w:t>10</w:t>
      </w:r>
      <w:r w:rsidR="00355605" w:rsidRPr="00355605">
        <w:rPr>
          <w:rFonts w:ascii="Franklin Gothic Book" w:hAnsi="Franklin Gothic Book"/>
          <w:sz w:val="22"/>
        </w:rPr>
        <w:t xml:space="preserve"> IU/ mL in the HDV RNA level from the original viremic titre is used in trials as a surrogate marker of potential benefit</w:t>
      </w:r>
      <w:r w:rsidR="00355605">
        <w:rPr>
          <w:rFonts w:ascii="Franklin Gothic Book" w:hAnsi="Franklin Gothic Book"/>
          <w:sz w:val="22"/>
        </w:rPr>
        <w:t xml:space="preserve"> from treatment with bulevirtide</w:t>
      </w:r>
      <w:r w:rsidR="0064475F">
        <w:rPr>
          <w:rFonts w:ascii="Franklin Gothic Book" w:hAnsi="Franklin Gothic Book"/>
          <w:sz w:val="22"/>
        </w:rPr>
        <w:t>,</w:t>
      </w:r>
      <w:r w:rsidR="00355605">
        <w:rPr>
          <w:rFonts w:ascii="Franklin Gothic Book" w:hAnsi="Franklin Gothic Book"/>
          <w:sz w:val="22"/>
        </w:rPr>
        <w:t xml:space="preserve"> this </w:t>
      </w:r>
      <w:r w:rsidR="00355605" w:rsidRPr="00355605">
        <w:rPr>
          <w:rFonts w:ascii="Franklin Gothic Book" w:hAnsi="Franklin Gothic Book"/>
          <w:sz w:val="22"/>
        </w:rPr>
        <w:t xml:space="preserve">ultimately requires confirmation with improvements in clinical end points such as progression to cirrhosis, </w:t>
      </w:r>
      <w:r w:rsidR="00C3726A" w:rsidRPr="00C3726A">
        <w:rPr>
          <w:rFonts w:ascii="Franklin Gothic Book" w:hAnsi="Franklin Gothic Book"/>
          <w:sz w:val="22"/>
        </w:rPr>
        <w:t>hepatocellular carcinoma</w:t>
      </w:r>
      <w:r w:rsidR="00C3726A">
        <w:rPr>
          <w:rFonts w:ascii="Franklin Gothic Book" w:hAnsi="Franklin Gothic Book"/>
          <w:sz w:val="22"/>
        </w:rPr>
        <w:t xml:space="preserve"> (</w:t>
      </w:r>
      <w:r w:rsidR="00355605" w:rsidRPr="00355605">
        <w:rPr>
          <w:rFonts w:ascii="Franklin Gothic Book" w:hAnsi="Franklin Gothic Book"/>
          <w:sz w:val="22"/>
        </w:rPr>
        <w:t>HCC</w:t>
      </w:r>
      <w:r w:rsidR="00C3726A">
        <w:rPr>
          <w:rFonts w:ascii="Franklin Gothic Book" w:hAnsi="Franklin Gothic Book"/>
          <w:sz w:val="22"/>
        </w:rPr>
        <w:t>)</w:t>
      </w:r>
      <w:r w:rsidR="00355605" w:rsidRPr="00355605">
        <w:rPr>
          <w:rFonts w:ascii="Franklin Gothic Book" w:hAnsi="Franklin Gothic Book"/>
          <w:sz w:val="22"/>
        </w:rPr>
        <w:t>, and death</w:t>
      </w:r>
      <w:r w:rsidR="00355605">
        <w:rPr>
          <w:rFonts w:ascii="Franklin Gothic Book" w:hAnsi="Franklin Gothic Book"/>
          <w:sz w:val="22"/>
        </w:rPr>
        <w:t xml:space="preserve">. </w:t>
      </w:r>
      <w:r w:rsidR="00A84C50">
        <w:rPr>
          <w:rFonts w:ascii="Franklin Gothic Book" w:hAnsi="Franklin Gothic Book"/>
          <w:sz w:val="22"/>
        </w:rPr>
        <w:t xml:space="preserve">MSAC noted that </w:t>
      </w:r>
      <w:r w:rsidR="00A84C50" w:rsidRPr="00A84C50">
        <w:rPr>
          <w:rFonts w:ascii="Franklin Gothic Book" w:hAnsi="Franklin Gothic Book"/>
          <w:sz w:val="22"/>
        </w:rPr>
        <w:t>that no threshold for a serum HDV RNA level (other than undetectable H</w:t>
      </w:r>
      <w:r w:rsidR="00F463FD">
        <w:rPr>
          <w:rFonts w:ascii="Franklin Gothic Book" w:hAnsi="Franklin Gothic Book"/>
          <w:sz w:val="22"/>
        </w:rPr>
        <w:t>D</w:t>
      </w:r>
      <w:r w:rsidR="00A84C50" w:rsidRPr="00A84C50">
        <w:rPr>
          <w:rFonts w:ascii="Franklin Gothic Book" w:hAnsi="Franklin Gothic Book"/>
          <w:sz w:val="22"/>
        </w:rPr>
        <w:t>V RNA) corresponding to a clinical benefit has yet been defined</w:t>
      </w:r>
      <w:r w:rsidR="00A84C50">
        <w:rPr>
          <w:rFonts w:ascii="Franklin Gothic Book" w:hAnsi="Franklin Gothic Book"/>
          <w:sz w:val="22"/>
        </w:rPr>
        <w:t xml:space="preserve">. </w:t>
      </w:r>
      <w:r w:rsidR="00683185">
        <w:rPr>
          <w:rFonts w:ascii="Franklin Gothic Book" w:hAnsi="Franklin Gothic Book"/>
          <w:sz w:val="22"/>
        </w:rPr>
        <w:t xml:space="preserve">MSAC recalled </w:t>
      </w:r>
      <w:r w:rsidR="00DF2596" w:rsidRPr="00DF2596">
        <w:rPr>
          <w:rFonts w:ascii="Franklin Gothic Book" w:hAnsi="Franklin Gothic Book"/>
          <w:sz w:val="22"/>
        </w:rPr>
        <w:t xml:space="preserve">that the test used in </w:t>
      </w:r>
      <w:r w:rsidR="00DF2596">
        <w:rPr>
          <w:rFonts w:ascii="Franklin Gothic Book" w:hAnsi="Franklin Gothic Book"/>
          <w:sz w:val="22"/>
        </w:rPr>
        <w:t>the key clinical trial (</w:t>
      </w:r>
      <w:r w:rsidR="00DF2596" w:rsidRPr="00DF2596">
        <w:rPr>
          <w:rFonts w:ascii="Franklin Gothic Book" w:hAnsi="Franklin Gothic Book"/>
          <w:sz w:val="22"/>
        </w:rPr>
        <w:t>MYR301</w:t>
      </w:r>
      <w:r w:rsidR="00DF2596">
        <w:rPr>
          <w:rFonts w:ascii="Franklin Gothic Book" w:hAnsi="Franklin Gothic Book"/>
          <w:sz w:val="22"/>
        </w:rPr>
        <w:t>)</w:t>
      </w:r>
      <w:r w:rsidR="00DF2596" w:rsidRPr="00DF2596">
        <w:rPr>
          <w:rFonts w:ascii="Franklin Gothic Book" w:hAnsi="Franklin Gothic Book"/>
          <w:sz w:val="22"/>
        </w:rPr>
        <w:t xml:space="preserve"> was </w:t>
      </w:r>
      <w:proofErr w:type="spellStart"/>
      <w:r w:rsidR="00DF2596" w:rsidRPr="00DF2596">
        <w:rPr>
          <w:rFonts w:ascii="Franklin Gothic Book" w:hAnsi="Franklin Gothic Book"/>
          <w:sz w:val="22"/>
        </w:rPr>
        <w:t>Robogene</w:t>
      </w:r>
      <w:proofErr w:type="spellEnd"/>
      <w:r w:rsidR="00DF2596" w:rsidRPr="00DF2596">
        <w:rPr>
          <w:rFonts w:ascii="Franklin Gothic Book" w:hAnsi="Franklin Gothic Book"/>
          <w:sz w:val="22"/>
        </w:rPr>
        <w:t xml:space="preserve"> HDV RNA PCR, with a lower limit of</w:t>
      </w:r>
      <w:r w:rsidR="00DF2596">
        <w:rPr>
          <w:rFonts w:ascii="Franklin Gothic Book" w:hAnsi="Franklin Gothic Book"/>
          <w:sz w:val="22"/>
        </w:rPr>
        <w:t xml:space="preserve"> </w:t>
      </w:r>
      <w:r w:rsidR="00DF2596" w:rsidRPr="00DF2596">
        <w:rPr>
          <w:rFonts w:ascii="Franklin Gothic Book" w:hAnsi="Franklin Gothic Book"/>
          <w:sz w:val="22"/>
        </w:rPr>
        <w:t>detection (LLOD) of 6 IU/</w:t>
      </w:r>
      <w:proofErr w:type="spellStart"/>
      <w:r w:rsidR="00DF2596" w:rsidRPr="00DF2596">
        <w:rPr>
          <w:rFonts w:ascii="Franklin Gothic Book" w:hAnsi="Franklin Gothic Book"/>
          <w:sz w:val="22"/>
        </w:rPr>
        <w:t>mL.</w:t>
      </w:r>
      <w:proofErr w:type="spellEnd"/>
      <w:r w:rsidR="00DF2596" w:rsidRPr="00DF2596">
        <w:rPr>
          <w:rFonts w:ascii="Franklin Gothic Book" w:hAnsi="Franklin Gothic Book"/>
          <w:sz w:val="22"/>
        </w:rPr>
        <w:t xml:space="preserve"> </w:t>
      </w:r>
      <w:r w:rsidR="00A807EA">
        <w:rPr>
          <w:rFonts w:ascii="Franklin Gothic Book" w:hAnsi="Franklin Gothic Book"/>
          <w:sz w:val="22"/>
        </w:rPr>
        <w:t xml:space="preserve">MSAC noted that although the commercially available </w:t>
      </w:r>
      <w:r w:rsidR="00352471">
        <w:rPr>
          <w:rFonts w:ascii="Franklin Gothic Book" w:hAnsi="Franklin Gothic Book"/>
          <w:sz w:val="22"/>
        </w:rPr>
        <w:t>Victorian Infectious Diseases Reference Laboratory (</w:t>
      </w:r>
      <w:r w:rsidR="00A807EA" w:rsidRPr="00A807EA">
        <w:rPr>
          <w:rFonts w:ascii="Franklin Gothic Book" w:hAnsi="Franklin Gothic Book"/>
          <w:sz w:val="22"/>
        </w:rPr>
        <w:t>VIDRL</w:t>
      </w:r>
      <w:r w:rsidR="00352471">
        <w:rPr>
          <w:rFonts w:ascii="Franklin Gothic Book" w:hAnsi="Franklin Gothic Book"/>
          <w:sz w:val="22"/>
        </w:rPr>
        <w:t>)</w:t>
      </w:r>
      <w:r w:rsidR="00A807EA" w:rsidRPr="00A807EA">
        <w:rPr>
          <w:rFonts w:ascii="Franklin Gothic Book" w:hAnsi="Franklin Gothic Book"/>
          <w:sz w:val="22"/>
        </w:rPr>
        <w:t xml:space="preserve"> test</w:t>
      </w:r>
      <w:r w:rsidR="006235DC">
        <w:rPr>
          <w:rFonts w:ascii="Franklin Gothic Book" w:hAnsi="Franklin Gothic Book"/>
          <w:sz w:val="22"/>
        </w:rPr>
        <w:t xml:space="preserve"> </w:t>
      </w:r>
      <w:r w:rsidR="00396630" w:rsidRPr="00396630">
        <w:rPr>
          <w:rFonts w:ascii="Franklin Gothic Book" w:hAnsi="Franklin Gothic Book"/>
          <w:b/>
          <w:bCs/>
          <w:sz w:val="22"/>
        </w:rPr>
        <w:t>redacted</w:t>
      </w:r>
      <w:r w:rsidR="00696C08" w:rsidRPr="00696C08">
        <w:rPr>
          <w:rFonts w:ascii="Franklin Gothic Book" w:hAnsi="Franklin Gothic Book"/>
          <w:b/>
          <w:bCs/>
          <w:sz w:val="22"/>
        </w:rPr>
        <w:t xml:space="preserve">. </w:t>
      </w:r>
      <w:r w:rsidR="00455019" w:rsidRPr="00696C08">
        <w:rPr>
          <w:rFonts w:ascii="Franklin Gothic Book" w:hAnsi="Franklin Gothic Book"/>
          <w:sz w:val="22"/>
        </w:rPr>
        <w:t>M</w:t>
      </w:r>
      <w:r w:rsidR="00F66FA8" w:rsidRPr="00455019">
        <w:rPr>
          <w:rFonts w:ascii="Franklin Gothic Book" w:hAnsi="Franklin Gothic Book"/>
          <w:sz w:val="22"/>
        </w:rPr>
        <w:t>S</w:t>
      </w:r>
      <w:r w:rsidR="00F3026B" w:rsidRPr="00455019">
        <w:rPr>
          <w:rFonts w:ascii="Franklin Gothic Book" w:hAnsi="Franklin Gothic Book"/>
          <w:sz w:val="22"/>
        </w:rPr>
        <w:t>AC</w:t>
      </w:r>
      <w:r w:rsidR="00F3026B">
        <w:rPr>
          <w:rFonts w:ascii="Franklin Gothic Book" w:hAnsi="Franklin Gothic Book"/>
          <w:sz w:val="22"/>
        </w:rPr>
        <w:t xml:space="preserve"> noted that </w:t>
      </w:r>
      <w:r w:rsidR="00F0749C">
        <w:rPr>
          <w:rFonts w:ascii="Franklin Gothic Book" w:hAnsi="Franklin Gothic Book"/>
          <w:sz w:val="22"/>
        </w:rPr>
        <w:t xml:space="preserve">in the key trial, </w:t>
      </w:r>
      <w:r w:rsidR="00F3026B">
        <w:rPr>
          <w:rFonts w:ascii="Franklin Gothic Book" w:hAnsi="Franklin Gothic Book"/>
          <w:sz w:val="22"/>
        </w:rPr>
        <w:t>c</w:t>
      </w:r>
      <w:r w:rsidR="00DF2596" w:rsidRPr="00DF2596">
        <w:rPr>
          <w:rFonts w:ascii="Franklin Gothic Book" w:hAnsi="Franklin Gothic Book"/>
          <w:sz w:val="22"/>
        </w:rPr>
        <w:t xml:space="preserve">ompared to patients in the control group, the treatment group had </w:t>
      </w:r>
      <w:r w:rsidR="009B7B48">
        <w:rPr>
          <w:rFonts w:ascii="Franklin Gothic Book" w:hAnsi="Franklin Gothic Book"/>
          <w:sz w:val="22"/>
        </w:rPr>
        <w:t xml:space="preserve">a </w:t>
      </w:r>
      <w:r w:rsidR="00DF2596" w:rsidRPr="00DF2596">
        <w:rPr>
          <w:rFonts w:ascii="Franklin Gothic Book" w:hAnsi="Franklin Gothic Book"/>
          <w:sz w:val="22"/>
        </w:rPr>
        <w:t xml:space="preserve">significantly higher </w:t>
      </w:r>
      <w:r w:rsidR="00BE5293">
        <w:rPr>
          <w:rFonts w:ascii="Franklin Gothic Book" w:hAnsi="Franklin Gothic Book"/>
          <w:sz w:val="22"/>
        </w:rPr>
        <w:t>proportion of patients with</w:t>
      </w:r>
      <w:r w:rsidR="00DF2596" w:rsidRPr="00DF2596">
        <w:rPr>
          <w:rFonts w:ascii="Franklin Gothic Book" w:hAnsi="Franklin Gothic Book"/>
          <w:sz w:val="22"/>
        </w:rPr>
        <w:t xml:space="preserve"> undetectable or at least a 2 </w:t>
      </w:r>
      <w:r w:rsidR="00EC52DB" w:rsidRPr="00193386">
        <w:rPr>
          <w:rFonts w:ascii="Franklin Gothic Book" w:hAnsi="Franklin Gothic Book"/>
          <w:sz w:val="22"/>
        </w:rPr>
        <w:t>log</w:t>
      </w:r>
      <w:r w:rsidR="00EC52DB" w:rsidRPr="00193386">
        <w:rPr>
          <w:rFonts w:ascii="Franklin Gothic Book" w:hAnsi="Franklin Gothic Book"/>
          <w:sz w:val="22"/>
          <w:vertAlign w:val="subscript"/>
        </w:rPr>
        <w:t>10</w:t>
      </w:r>
      <w:r w:rsidR="00DF2596" w:rsidRPr="00DF2596">
        <w:rPr>
          <w:rFonts w:ascii="Franklin Gothic Book" w:hAnsi="Franklin Gothic Book"/>
          <w:sz w:val="22"/>
        </w:rPr>
        <w:t xml:space="preserve"> decrease in HDV RNA</w:t>
      </w:r>
      <w:r w:rsidR="00DF2596">
        <w:rPr>
          <w:rFonts w:ascii="Franklin Gothic Book" w:hAnsi="Franklin Gothic Book"/>
          <w:sz w:val="22"/>
        </w:rPr>
        <w:t xml:space="preserve"> </w:t>
      </w:r>
      <w:r w:rsidR="00DF2596" w:rsidRPr="00DF2596">
        <w:rPr>
          <w:rFonts w:ascii="Franklin Gothic Book" w:hAnsi="Franklin Gothic Book"/>
          <w:sz w:val="22"/>
        </w:rPr>
        <w:t>and normalisation of alanine transaminase (ALT). However, MSAC considered that longer-term</w:t>
      </w:r>
      <w:r w:rsidR="00DF2596">
        <w:rPr>
          <w:rFonts w:ascii="Franklin Gothic Book" w:hAnsi="Franklin Gothic Book"/>
          <w:sz w:val="22"/>
        </w:rPr>
        <w:t xml:space="preserve"> </w:t>
      </w:r>
      <w:r w:rsidR="00DF2596" w:rsidRPr="00DF2596">
        <w:rPr>
          <w:rFonts w:ascii="Franklin Gothic Book" w:hAnsi="Franklin Gothic Book"/>
          <w:sz w:val="22"/>
        </w:rPr>
        <w:t>data w</w:t>
      </w:r>
      <w:r w:rsidR="00F0749C">
        <w:rPr>
          <w:rFonts w:ascii="Franklin Gothic Book" w:hAnsi="Franklin Gothic Book"/>
          <w:sz w:val="22"/>
        </w:rPr>
        <w:t>ould be</w:t>
      </w:r>
      <w:r w:rsidR="00DF2596" w:rsidRPr="00DF2596">
        <w:rPr>
          <w:rFonts w:ascii="Franklin Gothic Book" w:hAnsi="Franklin Gothic Book"/>
          <w:sz w:val="22"/>
        </w:rPr>
        <w:t xml:space="preserve"> needed to demonstrate clinical benefit.</w:t>
      </w:r>
    </w:p>
    <w:p w14:paraId="71AD6C87" w14:textId="1E61A994" w:rsidR="000D4E07" w:rsidRDefault="003C3084" w:rsidP="008F74AA">
      <w:pPr>
        <w:jc w:val="left"/>
        <w:rPr>
          <w:rFonts w:ascii="Franklin Gothic Book" w:hAnsi="Franklin Gothic Book"/>
          <w:sz w:val="22"/>
        </w:rPr>
      </w:pPr>
      <w:r>
        <w:rPr>
          <w:rFonts w:ascii="Franklin Gothic Book" w:hAnsi="Franklin Gothic Book"/>
          <w:sz w:val="22"/>
        </w:rPr>
        <w:t xml:space="preserve">MSAC noted </w:t>
      </w:r>
      <w:r w:rsidR="000D4E07">
        <w:rPr>
          <w:rFonts w:ascii="Franklin Gothic Book" w:hAnsi="Franklin Gothic Book"/>
          <w:sz w:val="22"/>
        </w:rPr>
        <w:t>n</w:t>
      </w:r>
      <w:r w:rsidR="000D4E07" w:rsidRPr="000D4E07">
        <w:rPr>
          <w:rFonts w:ascii="Franklin Gothic Book" w:hAnsi="Franklin Gothic Book"/>
          <w:sz w:val="22"/>
        </w:rPr>
        <w:t>o claims were made about the safety of HDV RNA PCR testing in the previous submission or in the resubmission</w:t>
      </w:r>
      <w:r w:rsidR="000D4E07">
        <w:rPr>
          <w:rFonts w:ascii="Franklin Gothic Book" w:hAnsi="Franklin Gothic Book"/>
          <w:sz w:val="22"/>
        </w:rPr>
        <w:t>.</w:t>
      </w:r>
      <w:r w:rsidR="00E35F83" w:rsidRPr="00E35F83">
        <w:t xml:space="preserve"> </w:t>
      </w:r>
      <w:r w:rsidR="00E35F83" w:rsidRPr="005F188B">
        <w:rPr>
          <w:rFonts w:ascii="Franklin Gothic Book" w:hAnsi="Franklin Gothic Book"/>
          <w:sz w:val="22"/>
        </w:rPr>
        <w:t>While the</w:t>
      </w:r>
      <w:r w:rsidR="00E35F83">
        <w:t xml:space="preserve"> </w:t>
      </w:r>
      <w:r w:rsidR="00E35F83">
        <w:rPr>
          <w:rFonts w:ascii="Franklin Gothic Book" w:hAnsi="Franklin Gothic Book"/>
          <w:sz w:val="22"/>
        </w:rPr>
        <w:t>c</w:t>
      </w:r>
      <w:r w:rsidR="00E35F83" w:rsidRPr="00E35F83">
        <w:rPr>
          <w:rFonts w:ascii="Franklin Gothic Book" w:hAnsi="Franklin Gothic Book"/>
          <w:sz w:val="22"/>
        </w:rPr>
        <w:t>ommentary raised the risks of false negative</w:t>
      </w:r>
      <w:r w:rsidR="00B520C6">
        <w:rPr>
          <w:rFonts w:ascii="Franklin Gothic Book" w:hAnsi="Franklin Gothic Book"/>
          <w:sz w:val="22"/>
        </w:rPr>
        <w:t xml:space="preserve"> results</w:t>
      </w:r>
      <w:r w:rsidR="00E35F83" w:rsidRPr="00E35F83">
        <w:rPr>
          <w:rFonts w:ascii="Franklin Gothic Book" w:hAnsi="Franklin Gothic Book"/>
          <w:sz w:val="22"/>
        </w:rPr>
        <w:t xml:space="preserve"> </w:t>
      </w:r>
      <w:r w:rsidR="002F4EDC">
        <w:rPr>
          <w:rFonts w:ascii="Franklin Gothic Book" w:hAnsi="Franklin Gothic Book"/>
          <w:sz w:val="22"/>
        </w:rPr>
        <w:t>due to the use of</w:t>
      </w:r>
      <w:r w:rsidR="00DF6B9E">
        <w:rPr>
          <w:rFonts w:ascii="Franklin Gothic Book" w:hAnsi="Franklin Gothic Book"/>
          <w:sz w:val="22"/>
        </w:rPr>
        <w:t xml:space="preserve"> </w:t>
      </w:r>
      <w:r w:rsidR="00E35F83" w:rsidRPr="00E35F83">
        <w:rPr>
          <w:rFonts w:ascii="Franklin Gothic Book" w:hAnsi="Franklin Gothic Book"/>
          <w:sz w:val="22"/>
        </w:rPr>
        <w:t xml:space="preserve">suboptimal assays and/or a higher LLOD </w:t>
      </w:r>
      <w:r w:rsidR="00721418">
        <w:rPr>
          <w:rFonts w:ascii="Franklin Gothic Book" w:hAnsi="Franklin Gothic Book"/>
          <w:sz w:val="22"/>
        </w:rPr>
        <w:t xml:space="preserve">associated </w:t>
      </w:r>
      <w:r w:rsidR="00E35F83" w:rsidRPr="00E35F83">
        <w:rPr>
          <w:rFonts w:ascii="Franklin Gothic Book" w:hAnsi="Franklin Gothic Book"/>
          <w:sz w:val="22"/>
        </w:rPr>
        <w:t>with in-house assays</w:t>
      </w:r>
      <w:r w:rsidR="00E35F83">
        <w:rPr>
          <w:rFonts w:ascii="Franklin Gothic Book" w:hAnsi="Franklin Gothic Book"/>
          <w:sz w:val="22"/>
        </w:rPr>
        <w:t xml:space="preserve"> </w:t>
      </w:r>
      <w:r w:rsidR="00721418">
        <w:rPr>
          <w:rFonts w:ascii="Franklin Gothic Book" w:hAnsi="Franklin Gothic Book"/>
          <w:sz w:val="22"/>
        </w:rPr>
        <w:t xml:space="preserve">in current use, </w:t>
      </w:r>
      <w:r w:rsidR="00E35F83">
        <w:rPr>
          <w:rFonts w:ascii="Franklin Gothic Book" w:hAnsi="Franklin Gothic Book"/>
          <w:sz w:val="22"/>
        </w:rPr>
        <w:t xml:space="preserve">MSAC considered that it was </w:t>
      </w:r>
      <w:r w:rsidR="00E35F83" w:rsidRPr="00E35F83">
        <w:rPr>
          <w:rFonts w:ascii="Franklin Gothic Book" w:hAnsi="Franklin Gothic Book"/>
          <w:sz w:val="22"/>
        </w:rPr>
        <w:t xml:space="preserve">unknown </w:t>
      </w:r>
      <w:r w:rsidR="00F00695">
        <w:rPr>
          <w:rFonts w:ascii="Franklin Gothic Book" w:hAnsi="Franklin Gothic Book"/>
          <w:sz w:val="22"/>
        </w:rPr>
        <w:t>whether this would result in</w:t>
      </w:r>
      <w:r w:rsidR="00E35F83" w:rsidRPr="00E35F83">
        <w:rPr>
          <w:rFonts w:ascii="Franklin Gothic Book" w:hAnsi="Franklin Gothic Book"/>
          <w:sz w:val="22"/>
        </w:rPr>
        <w:t xml:space="preserve"> a clinically important difference</w:t>
      </w:r>
      <w:r w:rsidR="00E35F83">
        <w:rPr>
          <w:rFonts w:ascii="Franklin Gothic Book" w:hAnsi="Franklin Gothic Book"/>
          <w:sz w:val="22"/>
        </w:rPr>
        <w:t xml:space="preserve">. </w:t>
      </w:r>
      <w:r w:rsidR="009332CD" w:rsidRPr="008F74AA">
        <w:rPr>
          <w:rFonts w:ascii="Franklin Gothic Book" w:hAnsi="Franklin Gothic Book"/>
          <w:sz w:val="22"/>
        </w:rPr>
        <w:t>MSAC noted that there is no accreditation or</w:t>
      </w:r>
      <w:r w:rsidR="00B1532A">
        <w:rPr>
          <w:rFonts w:ascii="Franklin Gothic Book" w:hAnsi="Franklin Gothic Book"/>
          <w:sz w:val="22"/>
        </w:rPr>
        <w:t xml:space="preserve"> external</w:t>
      </w:r>
      <w:r w:rsidR="009332CD" w:rsidRPr="008F74AA">
        <w:rPr>
          <w:rFonts w:ascii="Franklin Gothic Book" w:hAnsi="Franklin Gothic Book"/>
          <w:sz w:val="22"/>
        </w:rPr>
        <w:t xml:space="preserve"> quality assurance program</w:t>
      </w:r>
      <w:r w:rsidR="00180F7D">
        <w:rPr>
          <w:rFonts w:ascii="Franklin Gothic Book" w:hAnsi="Franklin Gothic Book"/>
          <w:sz w:val="22"/>
        </w:rPr>
        <w:t xml:space="preserve"> (QAP)</w:t>
      </w:r>
      <w:r w:rsidR="009332CD" w:rsidRPr="008F74AA">
        <w:rPr>
          <w:rFonts w:ascii="Franklin Gothic Book" w:hAnsi="Franklin Gothic Book"/>
          <w:sz w:val="22"/>
        </w:rPr>
        <w:t xml:space="preserve"> for HDV RNA testing</w:t>
      </w:r>
      <w:r w:rsidR="0027650D">
        <w:rPr>
          <w:rFonts w:ascii="Franklin Gothic Book" w:hAnsi="Franklin Gothic Book"/>
          <w:sz w:val="22"/>
        </w:rPr>
        <w:t xml:space="preserve"> in Australia</w:t>
      </w:r>
      <w:r w:rsidR="00491EDE">
        <w:rPr>
          <w:rFonts w:ascii="Franklin Gothic Book" w:hAnsi="Franklin Gothic Book"/>
          <w:sz w:val="22"/>
        </w:rPr>
        <w:t>.</w:t>
      </w:r>
      <w:r w:rsidR="009332CD" w:rsidRPr="008F74AA">
        <w:rPr>
          <w:rFonts w:ascii="Franklin Gothic Book" w:hAnsi="Franklin Gothic Book"/>
          <w:sz w:val="22"/>
        </w:rPr>
        <w:t xml:space="preserve"> </w:t>
      </w:r>
      <w:r w:rsidR="00491EDE">
        <w:rPr>
          <w:rFonts w:ascii="Franklin Gothic Book" w:hAnsi="Franklin Gothic Book"/>
          <w:sz w:val="22"/>
        </w:rPr>
        <w:t xml:space="preserve"> In addition, </w:t>
      </w:r>
      <w:r w:rsidR="00180F7D">
        <w:rPr>
          <w:rFonts w:ascii="Franklin Gothic Book" w:hAnsi="Franklin Gothic Book"/>
          <w:sz w:val="22"/>
        </w:rPr>
        <w:t xml:space="preserve">currently </w:t>
      </w:r>
      <w:r w:rsidR="00491EDE">
        <w:rPr>
          <w:rFonts w:ascii="Franklin Gothic Book" w:hAnsi="Franklin Gothic Book"/>
          <w:sz w:val="22"/>
        </w:rPr>
        <w:t xml:space="preserve">there is </w:t>
      </w:r>
      <w:r w:rsidR="009332CD" w:rsidRPr="008F74AA">
        <w:rPr>
          <w:rFonts w:ascii="Franklin Gothic Book" w:hAnsi="Franklin Gothic Book"/>
          <w:sz w:val="22"/>
        </w:rPr>
        <w:t xml:space="preserve">only one laboratory in Australia </w:t>
      </w:r>
      <w:r w:rsidR="00180F7D">
        <w:rPr>
          <w:rFonts w:ascii="Franklin Gothic Book" w:hAnsi="Franklin Gothic Book"/>
          <w:sz w:val="22"/>
        </w:rPr>
        <w:t xml:space="preserve">that </w:t>
      </w:r>
      <w:r w:rsidR="009332CD" w:rsidRPr="008F74AA">
        <w:rPr>
          <w:rFonts w:ascii="Franklin Gothic Book" w:hAnsi="Franklin Gothic Book"/>
          <w:sz w:val="22"/>
        </w:rPr>
        <w:t>conducts this testing,</w:t>
      </w:r>
      <w:r w:rsidR="004F0AC6">
        <w:rPr>
          <w:rFonts w:ascii="Franklin Gothic Book" w:hAnsi="Franklin Gothic Book"/>
          <w:sz w:val="22"/>
        </w:rPr>
        <w:t xml:space="preserve"> MSAC noted that this is unlikely to be a significant issue as </w:t>
      </w:r>
      <w:r w:rsidR="00AE6DBF">
        <w:rPr>
          <w:rFonts w:ascii="Franklin Gothic Book" w:hAnsi="Franklin Gothic Book"/>
          <w:sz w:val="22"/>
        </w:rPr>
        <w:t xml:space="preserve">uncommon tests frequently do not have their own QAP. </w:t>
      </w:r>
      <w:r w:rsidR="009332CD" w:rsidRPr="008F74AA">
        <w:rPr>
          <w:rFonts w:ascii="Franklin Gothic Book" w:hAnsi="Franklin Gothic Book"/>
          <w:sz w:val="22"/>
        </w:rPr>
        <w:t xml:space="preserve">The applicant advised that it would support an external </w:t>
      </w:r>
      <w:r w:rsidR="00180F7D">
        <w:rPr>
          <w:rFonts w:ascii="Franklin Gothic Book" w:hAnsi="Franklin Gothic Book"/>
          <w:sz w:val="22"/>
        </w:rPr>
        <w:t xml:space="preserve">QAP </w:t>
      </w:r>
      <w:r w:rsidR="009332CD" w:rsidRPr="008F74AA">
        <w:rPr>
          <w:rFonts w:ascii="Franklin Gothic Book" w:hAnsi="Franklin Gothic Book"/>
          <w:sz w:val="22"/>
        </w:rPr>
        <w:t>in the future if other laboratories decided to offer HDV testing.</w:t>
      </w:r>
    </w:p>
    <w:p w14:paraId="04A27879" w14:textId="30443992" w:rsidR="00652AF2" w:rsidRDefault="00484276" w:rsidP="00652AF2">
      <w:pPr>
        <w:jc w:val="left"/>
        <w:rPr>
          <w:rFonts w:ascii="Franklin Gothic Book" w:hAnsi="Franklin Gothic Book"/>
          <w:sz w:val="22"/>
        </w:rPr>
      </w:pPr>
      <w:r>
        <w:rPr>
          <w:rFonts w:ascii="Franklin Gothic Book" w:hAnsi="Franklin Gothic Book"/>
          <w:sz w:val="22"/>
        </w:rPr>
        <w:lastRenderedPageBreak/>
        <w:t xml:space="preserve">On the clinical effectiveness of the test, MSAC recalled that the </w:t>
      </w:r>
      <w:r w:rsidRPr="00484276">
        <w:rPr>
          <w:rFonts w:ascii="Franklin Gothic Book" w:hAnsi="Franklin Gothic Book"/>
          <w:sz w:val="22"/>
        </w:rPr>
        <w:t>presence of HDV RNA on PCR testing was inconsistently associated with poorer health outcomes (three out of five studies reported statistically significant assoc</w:t>
      </w:r>
      <w:r w:rsidR="005C6C23">
        <w:rPr>
          <w:rFonts w:ascii="Franklin Gothic Book" w:hAnsi="Franklin Gothic Book"/>
          <w:sz w:val="22"/>
        </w:rPr>
        <w:t xml:space="preserve">iations). MSAC </w:t>
      </w:r>
      <w:r w:rsidR="00BE67FF">
        <w:rPr>
          <w:rFonts w:ascii="Franklin Gothic Book" w:hAnsi="Franklin Gothic Book"/>
          <w:sz w:val="22"/>
        </w:rPr>
        <w:t>recalled</w:t>
      </w:r>
      <w:r w:rsidR="005C6C23">
        <w:rPr>
          <w:rFonts w:ascii="Franklin Gothic Book" w:hAnsi="Franklin Gothic Book"/>
          <w:sz w:val="22"/>
        </w:rPr>
        <w:t xml:space="preserve"> that </w:t>
      </w:r>
      <w:r w:rsidR="00BE67FF">
        <w:rPr>
          <w:rFonts w:ascii="Franklin Gothic Book" w:hAnsi="Franklin Gothic Book"/>
          <w:sz w:val="22"/>
        </w:rPr>
        <w:t>t</w:t>
      </w:r>
      <w:r w:rsidR="00BE67FF" w:rsidRPr="00BE67FF">
        <w:rPr>
          <w:rFonts w:ascii="Franklin Gothic Book" w:hAnsi="Franklin Gothic Book"/>
          <w:sz w:val="22"/>
        </w:rPr>
        <w:t>he evidence</w:t>
      </w:r>
      <w:r w:rsidR="00BE67FF">
        <w:rPr>
          <w:rFonts w:ascii="Franklin Gothic Book" w:hAnsi="Franklin Gothic Book"/>
          <w:sz w:val="22"/>
        </w:rPr>
        <w:t xml:space="preserve"> for </w:t>
      </w:r>
      <w:r w:rsidR="00D004B6">
        <w:rPr>
          <w:rFonts w:ascii="Franklin Gothic Book" w:hAnsi="Franklin Gothic Book"/>
          <w:sz w:val="22"/>
        </w:rPr>
        <w:t xml:space="preserve">the </w:t>
      </w:r>
      <w:r w:rsidR="00BE67FF">
        <w:rPr>
          <w:rFonts w:ascii="Franklin Gothic Book" w:hAnsi="Franklin Gothic Book"/>
          <w:sz w:val="22"/>
        </w:rPr>
        <w:t>prognostic benefit of testing</w:t>
      </w:r>
      <w:r w:rsidR="00BE67FF" w:rsidRPr="00BE67FF">
        <w:rPr>
          <w:rFonts w:ascii="Franklin Gothic Book" w:hAnsi="Franklin Gothic Book"/>
          <w:sz w:val="22"/>
        </w:rPr>
        <w:t xml:space="preserve"> using the baseline presence or absence of HDV RNA was severely confounded </w:t>
      </w:r>
      <w:r w:rsidR="0058289B">
        <w:rPr>
          <w:rFonts w:ascii="Franklin Gothic Book" w:hAnsi="Franklin Gothic Book"/>
          <w:sz w:val="22"/>
        </w:rPr>
        <w:t>b</w:t>
      </w:r>
      <w:r w:rsidR="005541F2">
        <w:rPr>
          <w:rFonts w:ascii="Franklin Gothic Book" w:hAnsi="Franklin Gothic Book"/>
          <w:sz w:val="22"/>
        </w:rPr>
        <w:t>y</w:t>
      </w:r>
      <w:r w:rsidR="00BE67FF" w:rsidRPr="00BE67FF">
        <w:rPr>
          <w:rFonts w:ascii="Franklin Gothic Book" w:hAnsi="Franklin Gothic Book"/>
          <w:sz w:val="22"/>
        </w:rPr>
        <w:t xml:space="preserve"> treatment variability</w:t>
      </w:r>
      <w:r w:rsidR="00652AF2">
        <w:rPr>
          <w:rFonts w:ascii="Franklin Gothic Book" w:hAnsi="Franklin Gothic Book"/>
          <w:sz w:val="22"/>
        </w:rPr>
        <w:t xml:space="preserve"> </w:t>
      </w:r>
      <w:r w:rsidR="005541F2">
        <w:rPr>
          <w:rFonts w:ascii="Franklin Gothic Book" w:hAnsi="Franklin Gothic Book"/>
          <w:sz w:val="22"/>
        </w:rPr>
        <w:t xml:space="preserve">across studies, </w:t>
      </w:r>
      <w:r w:rsidR="00652AF2">
        <w:rPr>
          <w:rFonts w:ascii="Franklin Gothic Book" w:hAnsi="Franklin Gothic Book"/>
          <w:sz w:val="22"/>
        </w:rPr>
        <w:t xml:space="preserve">and therefore </w:t>
      </w:r>
      <w:r w:rsidR="005541F2">
        <w:rPr>
          <w:rFonts w:ascii="Franklin Gothic Book" w:hAnsi="Franklin Gothic Book"/>
          <w:sz w:val="22"/>
        </w:rPr>
        <w:t>the evidence</w:t>
      </w:r>
      <w:r w:rsidR="00652AF2">
        <w:rPr>
          <w:rFonts w:ascii="Franklin Gothic Book" w:hAnsi="Franklin Gothic Book"/>
          <w:sz w:val="22"/>
        </w:rPr>
        <w:t xml:space="preserve"> </w:t>
      </w:r>
      <w:r w:rsidR="00646052">
        <w:rPr>
          <w:rFonts w:ascii="Franklin Gothic Book" w:hAnsi="Franklin Gothic Book"/>
          <w:sz w:val="22"/>
        </w:rPr>
        <w:t xml:space="preserve">was at </w:t>
      </w:r>
      <w:r w:rsidR="00652AF2">
        <w:rPr>
          <w:rFonts w:ascii="Franklin Gothic Book" w:hAnsi="Franklin Gothic Book"/>
          <w:sz w:val="22"/>
        </w:rPr>
        <w:t>a high risk of bias</w:t>
      </w:r>
      <w:r w:rsidR="00BE67FF">
        <w:rPr>
          <w:rFonts w:ascii="Franklin Gothic Book" w:hAnsi="Franklin Gothic Book"/>
          <w:sz w:val="22"/>
        </w:rPr>
        <w:t>.</w:t>
      </w:r>
      <w:r w:rsidR="00652AF2">
        <w:rPr>
          <w:rFonts w:ascii="Franklin Gothic Book" w:hAnsi="Franklin Gothic Book"/>
          <w:sz w:val="22"/>
        </w:rPr>
        <w:t xml:space="preserve"> </w:t>
      </w:r>
      <w:r w:rsidR="00652AF2" w:rsidRPr="003D70E1">
        <w:rPr>
          <w:rFonts w:ascii="Franklin Gothic Book" w:hAnsi="Franklin Gothic Book"/>
          <w:sz w:val="22"/>
        </w:rPr>
        <w:t xml:space="preserve">MSAC noted that this resubmission did not include significant new evidence or data to reduce </w:t>
      </w:r>
      <w:r w:rsidR="00652AF2">
        <w:rPr>
          <w:rFonts w:ascii="Franklin Gothic Book" w:hAnsi="Franklin Gothic Book"/>
          <w:sz w:val="22"/>
        </w:rPr>
        <w:t xml:space="preserve">the </w:t>
      </w:r>
      <w:r w:rsidR="00652AF2" w:rsidRPr="003D70E1">
        <w:rPr>
          <w:rFonts w:ascii="Franklin Gothic Book" w:hAnsi="Franklin Gothic Book"/>
          <w:sz w:val="22"/>
        </w:rPr>
        <w:t>uncertainty</w:t>
      </w:r>
      <w:r w:rsidR="00652AF2">
        <w:rPr>
          <w:rFonts w:ascii="Franklin Gothic Book" w:hAnsi="Franklin Gothic Book"/>
          <w:sz w:val="22"/>
        </w:rPr>
        <w:t xml:space="preserve"> of the previously assessed evidence</w:t>
      </w:r>
      <w:r w:rsidR="00652AF2" w:rsidRPr="003D70E1">
        <w:rPr>
          <w:rFonts w:ascii="Franklin Gothic Book" w:hAnsi="Franklin Gothic Book"/>
          <w:sz w:val="22"/>
        </w:rPr>
        <w:t>, as no new information was available (as noted in the applicant’s pre-MSAC response). MSAC accepted that the evidence is limited as HDV is relatively rare</w:t>
      </w:r>
      <w:r w:rsidR="009F07C1">
        <w:rPr>
          <w:rFonts w:ascii="Franklin Gothic Book" w:hAnsi="Franklin Gothic Book"/>
          <w:sz w:val="22"/>
        </w:rPr>
        <w:t xml:space="preserve"> and would require a prolonged follow-up time</w:t>
      </w:r>
      <w:r w:rsidR="00652AF2" w:rsidRPr="003D70E1">
        <w:rPr>
          <w:rFonts w:ascii="Franklin Gothic Book" w:hAnsi="Franklin Gothic Book"/>
          <w:sz w:val="22"/>
        </w:rPr>
        <w:t xml:space="preserve"> and the best available evidence has been considered. It is unlikely that there will be further on-treatment data available. </w:t>
      </w:r>
    </w:p>
    <w:p w14:paraId="56F5DA1B" w14:textId="22298D5C" w:rsidR="008F74AA" w:rsidRPr="008F74AA" w:rsidRDefault="008F74AA" w:rsidP="008F74AA">
      <w:pPr>
        <w:jc w:val="left"/>
        <w:rPr>
          <w:rFonts w:ascii="Franklin Gothic Book" w:hAnsi="Franklin Gothic Book"/>
          <w:sz w:val="22"/>
        </w:rPr>
      </w:pPr>
      <w:r w:rsidRPr="008F74AA">
        <w:rPr>
          <w:rFonts w:ascii="Franklin Gothic Book" w:hAnsi="Franklin Gothic Book"/>
          <w:sz w:val="22"/>
        </w:rPr>
        <w:t xml:space="preserve">MSAC </w:t>
      </w:r>
      <w:r w:rsidR="004C5D69">
        <w:rPr>
          <w:rFonts w:ascii="Franklin Gothic Book" w:hAnsi="Franklin Gothic Book"/>
          <w:sz w:val="22"/>
        </w:rPr>
        <w:t xml:space="preserve">recalled that it </w:t>
      </w:r>
      <w:r w:rsidRPr="008F74AA">
        <w:rPr>
          <w:rFonts w:ascii="Franklin Gothic Book" w:hAnsi="Franklin Gothic Book"/>
          <w:sz w:val="22"/>
        </w:rPr>
        <w:t>had previously specified that any resubmission should consider whether there was merit in proposing qualitative rather than quantitative testing, given the lack of evidence that the levels of HDV RNA inform decision making</w:t>
      </w:r>
      <w:r w:rsidR="00CE50AE">
        <w:rPr>
          <w:rFonts w:ascii="Franklin Gothic Book" w:hAnsi="Franklin Gothic Book"/>
          <w:sz w:val="22"/>
        </w:rPr>
        <w:t xml:space="preserve"> and the lack of a </w:t>
      </w:r>
      <w:r w:rsidR="00CE50AE" w:rsidRPr="00015474">
        <w:rPr>
          <w:rFonts w:ascii="Franklin Gothic Book" w:hAnsi="Franklin Gothic Book"/>
          <w:sz w:val="22"/>
        </w:rPr>
        <w:t>clear consensus on the threshold reduction in viral load that would inform changes in clinical management</w:t>
      </w:r>
      <w:r w:rsidRPr="008F74AA">
        <w:rPr>
          <w:rFonts w:ascii="Franklin Gothic Book" w:hAnsi="Franklin Gothic Book"/>
          <w:sz w:val="22"/>
        </w:rPr>
        <w:t>.</w:t>
      </w:r>
      <w:r w:rsidR="004C5D69">
        <w:rPr>
          <w:rFonts w:ascii="Franklin Gothic Book" w:hAnsi="Franklin Gothic Book"/>
          <w:sz w:val="22"/>
        </w:rPr>
        <w:t xml:space="preserve"> </w:t>
      </w:r>
      <w:r w:rsidR="004C5D69" w:rsidRPr="009F07C1">
        <w:rPr>
          <w:rFonts w:ascii="Franklin Gothic Book" w:hAnsi="Franklin Gothic Book"/>
          <w:sz w:val="22"/>
        </w:rPr>
        <w:t xml:space="preserve">MSAC agreed with ESC that the claim that a </w:t>
      </w:r>
      <w:r w:rsidR="00741C7D">
        <w:rPr>
          <w:rFonts w:ascii="Franklin Gothic Book" w:hAnsi="Franklin Gothic Book"/>
          <w:sz w:val="22"/>
        </w:rPr>
        <w:t>reduction</w:t>
      </w:r>
      <w:r w:rsidR="004C5D69" w:rsidRPr="009F07C1">
        <w:rPr>
          <w:rFonts w:ascii="Franklin Gothic Book" w:hAnsi="Franklin Gothic Book"/>
          <w:sz w:val="22"/>
        </w:rPr>
        <w:t xml:space="preserve"> in quantitative HDV viral load levels relative to baseline was indicative of clinical response to treatment was biologically plausible insofar as patients with lower detectable viral loads may have a reduced risk of developing liver-related clinical events </w:t>
      </w:r>
      <w:r w:rsidR="002306B1">
        <w:rPr>
          <w:rFonts w:ascii="Franklin Gothic Book" w:hAnsi="Franklin Gothic Book"/>
          <w:sz w:val="22"/>
        </w:rPr>
        <w:t>(e.g. cirrhosis</w:t>
      </w:r>
      <w:r w:rsidR="002E5755">
        <w:rPr>
          <w:rFonts w:ascii="Franklin Gothic Book" w:hAnsi="Franklin Gothic Book"/>
          <w:sz w:val="22"/>
        </w:rPr>
        <w:t>, hepatocellular carcinoma)</w:t>
      </w:r>
      <w:r w:rsidR="004C5D69" w:rsidRPr="009F07C1">
        <w:rPr>
          <w:rFonts w:ascii="Franklin Gothic Book" w:hAnsi="Franklin Gothic Book"/>
          <w:sz w:val="22"/>
        </w:rPr>
        <w:t xml:space="preserve"> compared to patients with higher detectable viral loads. </w:t>
      </w:r>
      <w:r w:rsidRPr="008F74AA">
        <w:rPr>
          <w:rFonts w:ascii="Franklin Gothic Book" w:hAnsi="Franklin Gothic Book"/>
          <w:sz w:val="22"/>
        </w:rPr>
        <w:t xml:space="preserve">MSAC </w:t>
      </w:r>
      <w:r w:rsidR="004C5D69">
        <w:rPr>
          <w:rFonts w:ascii="Franklin Gothic Book" w:hAnsi="Franklin Gothic Book"/>
          <w:sz w:val="22"/>
        </w:rPr>
        <w:t xml:space="preserve">also </w:t>
      </w:r>
      <w:r w:rsidRPr="008F74AA">
        <w:rPr>
          <w:rFonts w:ascii="Franklin Gothic Book" w:hAnsi="Franklin Gothic Book"/>
          <w:sz w:val="22"/>
        </w:rPr>
        <w:t>noted</w:t>
      </w:r>
      <w:r w:rsidR="00CE50AE">
        <w:rPr>
          <w:rFonts w:ascii="Franklin Gothic Book" w:hAnsi="Franklin Gothic Book"/>
          <w:sz w:val="22"/>
        </w:rPr>
        <w:t xml:space="preserve"> and considered reasonable</w:t>
      </w:r>
      <w:r w:rsidRPr="008F74AA">
        <w:rPr>
          <w:rFonts w:ascii="Franklin Gothic Book" w:hAnsi="Franklin Gothic Book"/>
          <w:sz w:val="22"/>
        </w:rPr>
        <w:t xml:space="preserve"> the applicant’s response that quantitative testing of viral load is the standard of care for </w:t>
      </w:r>
      <w:r w:rsidR="00CC5983">
        <w:rPr>
          <w:rFonts w:ascii="Franklin Gothic Book" w:hAnsi="Franklin Gothic Book"/>
          <w:sz w:val="22"/>
        </w:rPr>
        <w:t xml:space="preserve">patients with </w:t>
      </w:r>
      <w:r w:rsidRPr="008F74AA">
        <w:rPr>
          <w:rFonts w:ascii="Franklin Gothic Book" w:hAnsi="Franklin Gothic Book"/>
          <w:sz w:val="22"/>
        </w:rPr>
        <w:t>chronic viral hepatitis</w:t>
      </w:r>
      <w:r w:rsidR="005C3258">
        <w:rPr>
          <w:rFonts w:ascii="Franklin Gothic Book" w:hAnsi="Franklin Gothic Book"/>
          <w:sz w:val="22"/>
        </w:rPr>
        <w:t xml:space="preserve">, including </w:t>
      </w:r>
      <w:r w:rsidR="006F195D">
        <w:rPr>
          <w:rFonts w:ascii="Franklin Gothic Book" w:hAnsi="Franklin Gothic Book"/>
          <w:sz w:val="22"/>
        </w:rPr>
        <w:t>H</w:t>
      </w:r>
      <w:r w:rsidR="005C3258">
        <w:rPr>
          <w:rFonts w:ascii="Franklin Gothic Book" w:hAnsi="Franklin Gothic Book"/>
          <w:sz w:val="22"/>
        </w:rPr>
        <w:t xml:space="preserve">epatitis </w:t>
      </w:r>
      <w:r w:rsidR="006F195D">
        <w:rPr>
          <w:rFonts w:ascii="Franklin Gothic Book" w:hAnsi="Franklin Gothic Book"/>
          <w:sz w:val="22"/>
        </w:rPr>
        <w:t>B and C</w:t>
      </w:r>
      <w:r w:rsidR="00015474" w:rsidRPr="00015474">
        <w:rPr>
          <w:rFonts w:ascii="Franklin Gothic Book" w:hAnsi="Franklin Gothic Book"/>
          <w:sz w:val="22"/>
        </w:rPr>
        <w:t xml:space="preserve">, </w:t>
      </w:r>
      <w:r w:rsidRPr="008F74AA">
        <w:rPr>
          <w:rFonts w:ascii="Franklin Gothic Book" w:hAnsi="Franklin Gothic Book"/>
          <w:sz w:val="22"/>
        </w:rPr>
        <w:t xml:space="preserve">The Department had also received information from the Victorian Infectious Diseases Reference Laboratory (VIDRL) that there is no appropriate qualitative test </w:t>
      </w:r>
      <w:r w:rsidR="003C4C9A">
        <w:rPr>
          <w:rFonts w:ascii="Franklin Gothic Book" w:hAnsi="Franklin Gothic Book"/>
          <w:sz w:val="22"/>
        </w:rPr>
        <w:t xml:space="preserve">currently available </w:t>
      </w:r>
      <w:r w:rsidRPr="008F74AA">
        <w:rPr>
          <w:rFonts w:ascii="Franklin Gothic Book" w:hAnsi="Franklin Gothic Book"/>
          <w:sz w:val="22"/>
        </w:rPr>
        <w:t>for</w:t>
      </w:r>
      <w:r w:rsidR="003C4C9A">
        <w:rPr>
          <w:rFonts w:ascii="Franklin Gothic Book" w:hAnsi="Franklin Gothic Book"/>
          <w:sz w:val="22"/>
        </w:rPr>
        <w:t xml:space="preserve"> Hepatitis D</w:t>
      </w:r>
      <w:r w:rsidRPr="008F74AA">
        <w:rPr>
          <w:rFonts w:ascii="Franklin Gothic Book" w:hAnsi="Franklin Gothic Book"/>
          <w:sz w:val="22"/>
        </w:rPr>
        <w:t xml:space="preserve">. MSAC therefore concluded that quantitative testing was appropriate. </w:t>
      </w:r>
    </w:p>
    <w:p w14:paraId="30BD1986" w14:textId="342BD145" w:rsidR="008F74AA" w:rsidRDefault="008F74AA" w:rsidP="008F74AA">
      <w:pPr>
        <w:jc w:val="left"/>
        <w:rPr>
          <w:rFonts w:ascii="Franklin Gothic Book" w:hAnsi="Franklin Gothic Book"/>
          <w:sz w:val="22"/>
        </w:rPr>
      </w:pPr>
      <w:r w:rsidRPr="008F74AA">
        <w:rPr>
          <w:rFonts w:ascii="Franklin Gothic Book" w:hAnsi="Franklin Gothic Book"/>
          <w:sz w:val="22"/>
        </w:rPr>
        <w:t>MSAC had requested that the applicant identify continuation and discontinuation criteria</w:t>
      </w:r>
      <w:r w:rsidR="00453E1F">
        <w:rPr>
          <w:rFonts w:ascii="Franklin Gothic Book" w:hAnsi="Franklin Gothic Book"/>
          <w:sz w:val="22"/>
        </w:rPr>
        <w:t xml:space="preserve"> for bulevirtid</w:t>
      </w:r>
      <w:r w:rsidR="006B14B4">
        <w:rPr>
          <w:rFonts w:ascii="Franklin Gothic Book" w:hAnsi="Franklin Gothic Book"/>
          <w:sz w:val="22"/>
        </w:rPr>
        <w:t>e</w:t>
      </w:r>
      <w:r w:rsidRPr="008F74AA">
        <w:rPr>
          <w:rFonts w:ascii="Franklin Gothic Book" w:hAnsi="Franklin Gothic Book"/>
          <w:sz w:val="22"/>
        </w:rPr>
        <w:t xml:space="preserve">, to provide more certainty around the likely duration of treatment and the number of tests required for monitoring treatment. MSAC noted the applicant in the pre-MSAC response, had considered that this should be left to clinical judgement based on response to </w:t>
      </w:r>
      <w:r w:rsidR="000F49A0">
        <w:rPr>
          <w:rFonts w:ascii="Franklin Gothic Book" w:hAnsi="Franklin Gothic Book"/>
          <w:sz w:val="22"/>
        </w:rPr>
        <w:t xml:space="preserve">treatment and PBAC </w:t>
      </w:r>
      <w:r w:rsidR="00C53347">
        <w:rPr>
          <w:rFonts w:ascii="Franklin Gothic Book" w:hAnsi="Franklin Gothic Book"/>
          <w:sz w:val="22"/>
        </w:rPr>
        <w:t>had not recommended continuation criteria based on ongoing testing</w:t>
      </w:r>
      <w:r w:rsidRPr="008F74AA">
        <w:rPr>
          <w:rFonts w:ascii="Franklin Gothic Book" w:hAnsi="Franklin Gothic Book"/>
          <w:sz w:val="22"/>
        </w:rPr>
        <w:t xml:space="preserve">. However, MSAC considered that, given the benefits of the treatment </w:t>
      </w:r>
      <w:r w:rsidR="00C53347">
        <w:rPr>
          <w:rFonts w:ascii="Franklin Gothic Book" w:hAnsi="Franklin Gothic Book"/>
          <w:sz w:val="22"/>
        </w:rPr>
        <w:t>may be</w:t>
      </w:r>
      <w:r w:rsidR="00C53347" w:rsidRPr="008F74AA">
        <w:rPr>
          <w:rFonts w:ascii="Franklin Gothic Book" w:hAnsi="Franklin Gothic Book"/>
          <w:sz w:val="22"/>
        </w:rPr>
        <w:t xml:space="preserve"> </w:t>
      </w:r>
      <w:r w:rsidRPr="008F74AA">
        <w:rPr>
          <w:rFonts w:ascii="Franklin Gothic Book" w:hAnsi="Franklin Gothic Book"/>
          <w:sz w:val="22"/>
        </w:rPr>
        <w:t>driven by a reduction in viral load that can be measured with the quantitative test, the PBAC may wish to consider including continuation or discontinuation criteria</w:t>
      </w:r>
      <w:r w:rsidR="00E048C3">
        <w:rPr>
          <w:rFonts w:ascii="Franklin Gothic Book" w:hAnsi="Franklin Gothic Book"/>
          <w:sz w:val="22"/>
        </w:rPr>
        <w:t xml:space="preserve"> for bulevirtide</w:t>
      </w:r>
      <w:r w:rsidRPr="008F74AA">
        <w:rPr>
          <w:rFonts w:ascii="Franklin Gothic Book" w:hAnsi="Franklin Gothic Book"/>
          <w:sz w:val="22"/>
        </w:rPr>
        <w:t xml:space="preserve">. A decrease of 2 </w:t>
      </w:r>
      <w:r w:rsidR="00EC52DB" w:rsidRPr="00193386">
        <w:rPr>
          <w:rFonts w:ascii="Franklin Gothic Book" w:hAnsi="Franklin Gothic Book"/>
          <w:sz w:val="22"/>
        </w:rPr>
        <w:t>log</w:t>
      </w:r>
      <w:r w:rsidR="00EC52DB" w:rsidRPr="00193386">
        <w:rPr>
          <w:rFonts w:ascii="Franklin Gothic Book" w:hAnsi="Franklin Gothic Book"/>
          <w:sz w:val="22"/>
          <w:vertAlign w:val="subscript"/>
        </w:rPr>
        <w:t>10</w:t>
      </w:r>
      <w:r w:rsidR="00EC52DB" w:rsidRPr="00193386">
        <w:rPr>
          <w:rFonts w:ascii="Franklin Gothic Book" w:hAnsi="Franklin Gothic Book"/>
          <w:sz w:val="22"/>
        </w:rPr>
        <w:t xml:space="preserve"> </w:t>
      </w:r>
      <w:r w:rsidRPr="008F74AA">
        <w:rPr>
          <w:rFonts w:ascii="Franklin Gothic Book" w:hAnsi="Franklin Gothic Book"/>
          <w:sz w:val="22"/>
        </w:rPr>
        <w:t>international units (IU)/mL in the HDV RNA level from the original viremic titre indicates potential benefit. The applicant’s pre-MSAC response noted that the United States Food and Drug Administration had also adopted this threshold in its guidance for chronic HDV trial outcomes.</w:t>
      </w:r>
    </w:p>
    <w:p w14:paraId="6188E9BE" w14:textId="168E5102" w:rsidR="008F74AA" w:rsidRPr="008F74AA" w:rsidRDefault="008A4174" w:rsidP="1D19B68F">
      <w:pPr>
        <w:jc w:val="left"/>
        <w:rPr>
          <w:rFonts w:ascii="Franklin Gothic Book" w:hAnsi="Franklin Gothic Book"/>
          <w:sz w:val="22"/>
        </w:rPr>
      </w:pPr>
      <w:r w:rsidRPr="1D19B68F">
        <w:rPr>
          <w:rFonts w:ascii="Franklin Gothic Book" w:hAnsi="Franklin Gothic Book"/>
          <w:sz w:val="22"/>
        </w:rPr>
        <w:t xml:space="preserve">MSAC noted that the economic evaluation in the resubmission included </w:t>
      </w:r>
      <w:r w:rsidR="00B01203" w:rsidRPr="1D19B68F">
        <w:rPr>
          <w:rFonts w:ascii="Franklin Gothic Book" w:hAnsi="Franklin Gothic Book"/>
          <w:sz w:val="22"/>
        </w:rPr>
        <w:t xml:space="preserve">the </w:t>
      </w:r>
      <w:r w:rsidRPr="1D19B68F">
        <w:rPr>
          <w:rFonts w:ascii="Franklin Gothic Book" w:hAnsi="Franklin Gothic Book"/>
          <w:sz w:val="22"/>
        </w:rPr>
        <w:t>cost for</w:t>
      </w:r>
      <w:r w:rsidR="00B01203" w:rsidRPr="1D19B68F">
        <w:rPr>
          <w:rFonts w:ascii="Franklin Gothic Book" w:hAnsi="Franklin Gothic Book"/>
          <w:sz w:val="22"/>
        </w:rPr>
        <w:t xml:space="preserve"> 6 monthly</w:t>
      </w:r>
      <w:r w:rsidRPr="1D19B68F">
        <w:rPr>
          <w:rFonts w:ascii="Franklin Gothic Book" w:hAnsi="Franklin Gothic Book"/>
          <w:sz w:val="22"/>
        </w:rPr>
        <w:t xml:space="preserve"> HDV RNA testing but the only change in management that was modelled was to cease treatment in non-responders at week 144</w:t>
      </w:r>
      <w:r w:rsidR="00B01203" w:rsidRPr="1D19B68F">
        <w:rPr>
          <w:rFonts w:ascii="Franklin Gothic Book" w:hAnsi="Franklin Gothic Book"/>
          <w:sz w:val="22"/>
        </w:rPr>
        <w:t xml:space="preserve">. </w:t>
      </w:r>
      <w:r w:rsidR="008F74AA" w:rsidRPr="1D19B68F">
        <w:rPr>
          <w:rFonts w:ascii="Franklin Gothic Book" w:hAnsi="Franklin Gothic Book"/>
          <w:sz w:val="22"/>
        </w:rPr>
        <w:t xml:space="preserve">MSAC </w:t>
      </w:r>
      <w:r w:rsidR="00B01203" w:rsidRPr="1D19B68F">
        <w:rPr>
          <w:rFonts w:ascii="Franklin Gothic Book" w:hAnsi="Franklin Gothic Book"/>
          <w:sz w:val="22"/>
        </w:rPr>
        <w:t xml:space="preserve">recalled that it </w:t>
      </w:r>
      <w:r w:rsidR="008F74AA" w:rsidRPr="1D19B68F">
        <w:rPr>
          <w:rFonts w:ascii="Franklin Gothic Book" w:hAnsi="Franklin Gothic Book"/>
          <w:sz w:val="22"/>
        </w:rPr>
        <w:t xml:space="preserve">had requested that the applicant provide additional clarity around the likely pattern of testing and re-testing to better inform the economic evaluation. This had not been adequately addressed in the resubmission. However, MSAC considered that testing should be limited to twice per year, which is in line with viral load testing for hepatitis </w:t>
      </w:r>
      <w:proofErr w:type="gramStart"/>
      <w:r w:rsidR="008F74AA" w:rsidRPr="1D19B68F">
        <w:rPr>
          <w:rFonts w:ascii="Franklin Gothic Book" w:hAnsi="Franklin Gothic Book"/>
          <w:sz w:val="22"/>
        </w:rPr>
        <w:t>B, and</w:t>
      </w:r>
      <w:proofErr w:type="gramEnd"/>
      <w:r w:rsidR="008F74AA" w:rsidRPr="1D19B68F">
        <w:rPr>
          <w:rFonts w:ascii="Franklin Gothic Book" w:hAnsi="Franklin Gothic Book"/>
          <w:sz w:val="22"/>
        </w:rPr>
        <w:t xml:space="preserve"> would also be expected to be in line with patient preferences for testing frequency.</w:t>
      </w:r>
      <w:r w:rsidR="00396949" w:rsidRPr="1D19B68F">
        <w:rPr>
          <w:rFonts w:ascii="Franklin Gothic Book" w:hAnsi="Franklin Gothic Book"/>
          <w:sz w:val="22"/>
        </w:rPr>
        <w:t xml:space="preserve"> MSAC noted that the high ICER from the eco</w:t>
      </w:r>
      <w:r w:rsidR="00F51C24" w:rsidRPr="1D19B68F">
        <w:rPr>
          <w:rFonts w:ascii="Franklin Gothic Book" w:hAnsi="Franklin Gothic Book"/>
          <w:sz w:val="22"/>
        </w:rPr>
        <w:t>nomic evaluation</w:t>
      </w:r>
      <w:r w:rsidR="00396949" w:rsidRPr="1D19B68F">
        <w:rPr>
          <w:rFonts w:ascii="Franklin Gothic Book" w:hAnsi="Franklin Gothic Book"/>
          <w:sz w:val="22"/>
        </w:rPr>
        <w:t xml:space="preserve"> is still a concern</w:t>
      </w:r>
      <w:r w:rsidR="007F3C8E">
        <w:rPr>
          <w:rFonts w:ascii="Franklin Gothic Book" w:hAnsi="Franklin Gothic Book"/>
          <w:sz w:val="22"/>
        </w:rPr>
        <w:t xml:space="preserve"> although </w:t>
      </w:r>
      <w:r w:rsidR="00B96B0D">
        <w:rPr>
          <w:rFonts w:ascii="Franklin Gothic Book" w:hAnsi="Franklin Gothic Book"/>
          <w:sz w:val="22"/>
        </w:rPr>
        <w:t xml:space="preserve">the resubmission already included a reduction in the price of </w:t>
      </w:r>
      <w:r w:rsidR="00805805">
        <w:rPr>
          <w:rFonts w:ascii="Franklin Gothic Book" w:hAnsi="Franklin Gothic Book"/>
          <w:sz w:val="22"/>
        </w:rPr>
        <w:t>bulevirtide. MSAC also noted PBAC’s consideration (as discussed above) that bulevirtide would be cost-effective with a further reduction in its price</w:t>
      </w:r>
      <w:r w:rsidR="00F51C24" w:rsidRPr="1D19B68F">
        <w:rPr>
          <w:rFonts w:ascii="Franklin Gothic Book" w:hAnsi="Franklin Gothic Book"/>
          <w:sz w:val="22"/>
        </w:rPr>
        <w:t>.</w:t>
      </w:r>
    </w:p>
    <w:p w14:paraId="5ABC0BFB" w14:textId="2E009A30" w:rsidR="007D7560" w:rsidRPr="004C7406" w:rsidRDefault="00FE24DA" w:rsidP="004C7406">
      <w:pPr>
        <w:jc w:val="left"/>
        <w:rPr>
          <w:rFonts w:ascii="Franklin Gothic Book" w:hAnsi="Franklin Gothic Book"/>
          <w:sz w:val="22"/>
        </w:rPr>
      </w:pPr>
      <w:r>
        <w:rPr>
          <w:rFonts w:ascii="Franklin Gothic Book" w:hAnsi="Franklin Gothic Book"/>
          <w:sz w:val="22"/>
        </w:rPr>
        <w:t>MSAC noted that the cost of the codependent</w:t>
      </w:r>
      <w:r w:rsidRPr="008B6A9E">
        <w:rPr>
          <w:rFonts w:ascii="Franklin Gothic Book" w:hAnsi="Franklin Gothic Book"/>
          <w:sz w:val="22"/>
        </w:rPr>
        <w:t xml:space="preserve"> submission is</w:t>
      </w:r>
      <w:r>
        <w:rPr>
          <w:rFonts w:ascii="Franklin Gothic Book" w:hAnsi="Franklin Gothic Book"/>
          <w:sz w:val="22"/>
        </w:rPr>
        <w:t xml:space="preserve"> predominantly</w:t>
      </w:r>
      <w:r w:rsidRPr="008B6A9E">
        <w:rPr>
          <w:rFonts w:ascii="Franklin Gothic Book" w:hAnsi="Franklin Gothic Book"/>
          <w:sz w:val="22"/>
        </w:rPr>
        <w:t xml:space="preserve"> due to the treatment and not the testing</w:t>
      </w:r>
      <w:r w:rsidR="005B5C73">
        <w:rPr>
          <w:rFonts w:ascii="Franklin Gothic Book" w:hAnsi="Franklin Gothic Book"/>
          <w:sz w:val="22"/>
        </w:rPr>
        <w:t>,</w:t>
      </w:r>
      <w:r w:rsidRPr="008B6A9E">
        <w:rPr>
          <w:rFonts w:ascii="Franklin Gothic Book" w:hAnsi="Franklin Gothic Book"/>
          <w:sz w:val="22"/>
        </w:rPr>
        <w:t xml:space="preserve"> which has a very modest financial impact</w:t>
      </w:r>
      <w:r w:rsidR="004C7406">
        <w:rPr>
          <w:rFonts w:ascii="Franklin Gothic Book" w:hAnsi="Franklin Gothic Book"/>
          <w:sz w:val="22"/>
        </w:rPr>
        <w:t>. T</w:t>
      </w:r>
      <w:r w:rsidRPr="00FE24DA">
        <w:rPr>
          <w:rFonts w:ascii="Franklin Gothic Book" w:hAnsi="Franklin Gothic Book"/>
          <w:sz w:val="22"/>
        </w:rPr>
        <w:t xml:space="preserve">he total net cost to the Commonwealth over the first 6 years of MBS and PBS listings was </w:t>
      </w:r>
      <w:r w:rsidR="006C2E38" w:rsidRPr="006C2E38">
        <w:rPr>
          <w:rFonts w:ascii="Franklin Gothic Book" w:hAnsi="Franklin Gothic Book"/>
          <w:sz w:val="22"/>
        </w:rPr>
        <w:t>$100 million to &lt; $200 million</w:t>
      </w:r>
      <w:r w:rsidR="00090194">
        <w:rPr>
          <w:rFonts w:ascii="Franklin Gothic Book" w:hAnsi="Franklin Gothic Book"/>
          <w:sz w:val="22"/>
        </w:rPr>
        <w:t xml:space="preserve"> </w:t>
      </w:r>
      <w:r w:rsidRPr="00FE24DA">
        <w:rPr>
          <w:rFonts w:ascii="Franklin Gothic Book" w:hAnsi="Franklin Gothic Book"/>
          <w:sz w:val="22"/>
        </w:rPr>
        <w:t xml:space="preserve">of which only approximately </w:t>
      </w:r>
      <w:r w:rsidR="00632685" w:rsidRPr="00632685">
        <w:rPr>
          <w:rFonts w:ascii="Franklin Gothic Book" w:hAnsi="Franklin Gothic Book"/>
          <w:sz w:val="22"/>
        </w:rPr>
        <w:t>$0 to &lt; $10 million</w:t>
      </w:r>
      <w:r w:rsidR="00632685">
        <w:rPr>
          <w:rFonts w:ascii="Franklin Gothic Book" w:hAnsi="Franklin Gothic Book"/>
          <w:sz w:val="22"/>
        </w:rPr>
        <w:t xml:space="preserve"> </w:t>
      </w:r>
      <w:r w:rsidRPr="00FE24DA">
        <w:rPr>
          <w:rFonts w:ascii="Franklin Gothic Book" w:hAnsi="Franklin Gothic Book"/>
          <w:sz w:val="22"/>
        </w:rPr>
        <w:t xml:space="preserve">was the cost </w:t>
      </w:r>
      <w:r w:rsidR="00F66A09">
        <w:rPr>
          <w:rFonts w:ascii="Franklin Gothic Book" w:hAnsi="Franklin Gothic Book"/>
          <w:sz w:val="22"/>
        </w:rPr>
        <w:t xml:space="preserve">of testing </w:t>
      </w:r>
      <w:r w:rsidRPr="00FE24DA">
        <w:rPr>
          <w:rFonts w:ascii="Franklin Gothic Book" w:hAnsi="Franklin Gothic Book"/>
          <w:sz w:val="22"/>
        </w:rPr>
        <w:t xml:space="preserve">to the MBS. </w:t>
      </w:r>
      <w:r w:rsidR="00646765" w:rsidRPr="004C7406">
        <w:rPr>
          <w:rFonts w:ascii="Franklin Gothic Book" w:hAnsi="Franklin Gothic Book"/>
          <w:sz w:val="22"/>
        </w:rPr>
        <w:t xml:space="preserve">MSAC </w:t>
      </w:r>
      <w:r w:rsidRPr="004C7406">
        <w:rPr>
          <w:rFonts w:ascii="Franklin Gothic Book" w:hAnsi="Franklin Gothic Book"/>
          <w:sz w:val="22"/>
        </w:rPr>
        <w:t xml:space="preserve">noted </w:t>
      </w:r>
      <w:r w:rsidR="007D7560" w:rsidRPr="004C7406">
        <w:rPr>
          <w:rFonts w:ascii="Franklin Gothic Book" w:hAnsi="Franklin Gothic Book"/>
          <w:sz w:val="22"/>
        </w:rPr>
        <w:t>ESC’s advice that there is some uncertainty regarding the utilisation estimates presented in the ADAR regarding discontinuation of treatment but also considered that there was unlikely to be better data available</w:t>
      </w:r>
      <w:r w:rsidR="00F66A09">
        <w:rPr>
          <w:rFonts w:ascii="Franklin Gothic Book" w:hAnsi="Franklin Gothic Book"/>
          <w:sz w:val="22"/>
        </w:rPr>
        <w:t xml:space="preserve"> to inform this</w:t>
      </w:r>
      <w:r w:rsidR="007D7560" w:rsidRPr="004C7406">
        <w:rPr>
          <w:rFonts w:ascii="Franklin Gothic Book" w:hAnsi="Franklin Gothic Book"/>
          <w:sz w:val="22"/>
        </w:rPr>
        <w:t>.</w:t>
      </w:r>
    </w:p>
    <w:p w14:paraId="1C9E36EA" w14:textId="6953353F" w:rsidR="008F74AA" w:rsidRPr="008F74AA" w:rsidRDefault="004C7406" w:rsidP="008F74AA">
      <w:pPr>
        <w:jc w:val="left"/>
        <w:rPr>
          <w:rFonts w:ascii="Franklin Gothic Book" w:hAnsi="Franklin Gothic Book"/>
          <w:sz w:val="22"/>
        </w:rPr>
      </w:pPr>
      <w:r w:rsidRPr="1D19B68F">
        <w:rPr>
          <w:rFonts w:ascii="Franklin Gothic Book" w:hAnsi="Franklin Gothic Book"/>
          <w:sz w:val="22"/>
        </w:rPr>
        <w:lastRenderedPageBreak/>
        <w:t xml:space="preserve">Overall, MSAC considered that its concerns from the previous submission had been addressed as much as possible, and supported MBS listing of </w:t>
      </w:r>
      <w:r w:rsidR="00E17476">
        <w:rPr>
          <w:rFonts w:ascii="Franklin Gothic Book" w:hAnsi="Franklin Gothic Book"/>
          <w:sz w:val="22"/>
        </w:rPr>
        <w:t xml:space="preserve">HDV RNA </w:t>
      </w:r>
      <w:r w:rsidR="00DC44EF">
        <w:rPr>
          <w:rFonts w:ascii="Franklin Gothic Book" w:hAnsi="Franklin Gothic Book"/>
          <w:sz w:val="22"/>
        </w:rPr>
        <w:t xml:space="preserve">testing </w:t>
      </w:r>
      <w:r w:rsidRPr="1D19B68F">
        <w:rPr>
          <w:rFonts w:ascii="Franklin Gothic Book" w:hAnsi="Franklin Gothic Book"/>
          <w:sz w:val="22"/>
        </w:rPr>
        <w:t xml:space="preserve">alongside PBS listing of bulevirtide. </w:t>
      </w:r>
      <w:r w:rsidR="008F74AA" w:rsidRPr="1D19B68F">
        <w:rPr>
          <w:rFonts w:ascii="Franklin Gothic Book" w:hAnsi="Franklin Gothic Book"/>
          <w:sz w:val="22"/>
        </w:rPr>
        <w:t>MSAC confirmed that a single new MBS item should be created for the purpose of determining eligibility for treatment as well as for monitoring. MSAC also noted the PBAC’s request for MSAC to consider allowing general practitioners (GPs) to order the test, given that access to specialists is likely to be difficult for many patients with hepatitis D. These access issues were also highlighted in consultation inputs from several hepatitis organisations. MSAC considered that GPs would not be likely to order this test routinely without consulting with a specialist</w:t>
      </w:r>
      <w:r w:rsidR="0073395E" w:rsidRPr="1D19B68F">
        <w:rPr>
          <w:rFonts w:ascii="Franklin Gothic Book" w:hAnsi="Franklin Gothic Book"/>
          <w:sz w:val="22"/>
        </w:rPr>
        <w:t xml:space="preserve"> and given the small cohort of patients there would be unlikely to be issues with inappropriate ordering of the test and therefore there would not be a strong case for restricting ordering to specialists.</w:t>
      </w:r>
      <w:r w:rsidR="008F74AA" w:rsidRPr="1D19B68F">
        <w:rPr>
          <w:rFonts w:ascii="Franklin Gothic Book" w:hAnsi="Franklin Gothic Book"/>
          <w:sz w:val="22"/>
        </w:rPr>
        <w:t xml:space="preserve"> </w:t>
      </w:r>
      <w:proofErr w:type="gramStart"/>
      <w:r w:rsidR="00214A26" w:rsidRPr="1D19B68F">
        <w:rPr>
          <w:rFonts w:ascii="Franklin Gothic Book" w:hAnsi="Franklin Gothic Book"/>
          <w:sz w:val="22"/>
        </w:rPr>
        <w:t>Thus</w:t>
      </w:r>
      <w:proofErr w:type="gramEnd"/>
      <w:r w:rsidR="00214A26" w:rsidRPr="1D19B68F">
        <w:rPr>
          <w:rFonts w:ascii="Franklin Gothic Book" w:hAnsi="Franklin Gothic Book"/>
          <w:sz w:val="22"/>
        </w:rPr>
        <w:t xml:space="preserve"> MSAC </w:t>
      </w:r>
      <w:r w:rsidR="008F74AA" w:rsidRPr="1D19B68F">
        <w:rPr>
          <w:rFonts w:ascii="Franklin Gothic Book" w:hAnsi="Franklin Gothic Book"/>
          <w:sz w:val="22"/>
        </w:rPr>
        <w:t xml:space="preserve">confirmed that the </w:t>
      </w:r>
      <w:r w:rsidR="00DC44EF">
        <w:rPr>
          <w:rFonts w:ascii="Franklin Gothic Book" w:hAnsi="Franklin Gothic Book"/>
          <w:sz w:val="22"/>
        </w:rPr>
        <w:t xml:space="preserve">MBS </w:t>
      </w:r>
      <w:r w:rsidR="008F74AA" w:rsidRPr="1D19B68F">
        <w:rPr>
          <w:rFonts w:ascii="Franklin Gothic Book" w:hAnsi="Franklin Gothic Book"/>
          <w:sz w:val="22"/>
        </w:rPr>
        <w:t>descriptor should specify that the test can be ordered ‘by a specialist or consultant physician, or a GP in consultation with a specialist</w:t>
      </w:r>
      <w:r w:rsidR="6EDEDB03" w:rsidRPr="1D19B68F">
        <w:rPr>
          <w:rFonts w:ascii="Franklin Gothic Book" w:hAnsi="Franklin Gothic Book"/>
          <w:sz w:val="22"/>
        </w:rPr>
        <w:t xml:space="preserve"> or consultant physician</w:t>
      </w:r>
      <w:r w:rsidR="008F74AA" w:rsidRPr="1D19B68F">
        <w:rPr>
          <w:rFonts w:ascii="Franklin Gothic Book" w:hAnsi="Franklin Gothic Book"/>
          <w:sz w:val="22"/>
        </w:rPr>
        <w:t>’.</w:t>
      </w:r>
      <w:r w:rsidR="005215F4">
        <w:t xml:space="preserve"> </w:t>
      </w:r>
      <w:r w:rsidR="005215F4" w:rsidRPr="1D19B68F">
        <w:rPr>
          <w:rFonts w:ascii="Franklin Gothic Book" w:hAnsi="Franklin Gothic Book"/>
          <w:sz w:val="22"/>
        </w:rPr>
        <w:t xml:space="preserve">MSAC noted </w:t>
      </w:r>
      <w:r w:rsidR="00F226D9" w:rsidRPr="1D19B68F">
        <w:rPr>
          <w:rFonts w:ascii="Franklin Gothic Book" w:hAnsi="Franklin Gothic Book"/>
          <w:sz w:val="22"/>
        </w:rPr>
        <w:t xml:space="preserve">the Department’s advice </w:t>
      </w:r>
      <w:r w:rsidR="005215F4" w:rsidRPr="1D19B68F">
        <w:rPr>
          <w:rFonts w:ascii="Franklin Gothic Book" w:hAnsi="Franklin Gothic Book"/>
          <w:sz w:val="22"/>
        </w:rPr>
        <w:t xml:space="preserve">that access to </w:t>
      </w:r>
      <w:proofErr w:type="spellStart"/>
      <w:r w:rsidR="00852C49" w:rsidRPr="1D19B68F">
        <w:rPr>
          <w:rFonts w:ascii="Franklin Gothic Book" w:hAnsi="Franklin Gothic Book"/>
          <w:sz w:val="22"/>
        </w:rPr>
        <w:t>f</w:t>
      </w:r>
      <w:r w:rsidR="005215F4" w:rsidRPr="1D19B68F">
        <w:rPr>
          <w:rFonts w:ascii="Franklin Gothic Book" w:hAnsi="Franklin Gothic Book"/>
          <w:sz w:val="22"/>
        </w:rPr>
        <w:t>ibroscan</w:t>
      </w:r>
      <w:proofErr w:type="spellEnd"/>
      <w:r w:rsidR="005215F4" w:rsidRPr="1D19B68F">
        <w:rPr>
          <w:rFonts w:ascii="Franklin Gothic Book" w:hAnsi="Franklin Gothic Book"/>
          <w:sz w:val="22"/>
        </w:rPr>
        <w:t xml:space="preserve">/transient elastography </w:t>
      </w:r>
      <w:r w:rsidR="00F226D9" w:rsidRPr="1D19B68F">
        <w:rPr>
          <w:rFonts w:ascii="Franklin Gothic Book" w:hAnsi="Franklin Gothic Book"/>
          <w:sz w:val="22"/>
        </w:rPr>
        <w:t xml:space="preserve">is </w:t>
      </w:r>
      <w:r w:rsidR="005215F4" w:rsidRPr="1D19B68F">
        <w:rPr>
          <w:rFonts w:ascii="Franklin Gothic Book" w:hAnsi="Franklin Gothic Book"/>
          <w:sz w:val="22"/>
        </w:rPr>
        <w:t xml:space="preserve">not MBS funded </w:t>
      </w:r>
      <w:r w:rsidR="00852C49" w:rsidRPr="1D19B68F">
        <w:rPr>
          <w:rFonts w:ascii="Franklin Gothic Book" w:hAnsi="Franklin Gothic Book"/>
          <w:sz w:val="22"/>
        </w:rPr>
        <w:t xml:space="preserve">but is </w:t>
      </w:r>
      <w:r w:rsidR="005215F4" w:rsidRPr="1D19B68F">
        <w:rPr>
          <w:rFonts w:ascii="Franklin Gothic Book" w:hAnsi="Franklin Gothic Book"/>
          <w:sz w:val="22"/>
        </w:rPr>
        <w:t xml:space="preserve">not </w:t>
      </w:r>
      <w:r w:rsidR="00852C49" w:rsidRPr="1D19B68F">
        <w:rPr>
          <w:rFonts w:ascii="Franklin Gothic Book" w:hAnsi="Franklin Gothic Book"/>
          <w:sz w:val="22"/>
        </w:rPr>
        <w:t xml:space="preserve">a </w:t>
      </w:r>
      <w:r w:rsidR="005215F4" w:rsidRPr="1D19B68F">
        <w:rPr>
          <w:rFonts w:ascii="Franklin Gothic Book" w:hAnsi="Franklin Gothic Book"/>
          <w:sz w:val="22"/>
        </w:rPr>
        <w:t>requirement for access to bulevirtide</w:t>
      </w:r>
      <w:r w:rsidR="00852C49" w:rsidRPr="1D19B68F">
        <w:rPr>
          <w:rFonts w:ascii="Franklin Gothic Book" w:hAnsi="Franklin Gothic Book"/>
          <w:sz w:val="22"/>
        </w:rPr>
        <w:t>.</w:t>
      </w:r>
      <w:r w:rsidR="008F74AA" w:rsidRPr="1D19B68F">
        <w:rPr>
          <w:rFonts w:ascii="Franklin Gothic Book" w:hAnsi="Franklin Gothic Book"/>
          <w:sz w:val="22"/>
        </w:rPr>
        <w:t xml:space="preserve"> MSAC also confirmed that the item descriptor should be treatment agnostic to allow it to be used to determine eligibility for future PBS-listed treatments for this patient group. MSAC confirmed that the fee of $152.10 was appropriate.</w:t>
      </w:r>
    </w:p>
    <w:p w14:paraId="16B0C07A" w14:textId="12242EE7" w:rsidR="001E1827" w:rsidRPr="00BD2A33" w:rsidRDefault="001E1827"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3" w:name="_Toc188360775"/>
      <w:r w:rsidRPr="00BD2A33">
        <w:rPr>
          <w:rFonts w:ascii="Franklin Gothic Medium" w:hAnsi="Franklin Gothic Medium"/>
          <w:b w:val="0"/>
          <w:i w:val="0"/>
          <w:snapToGrid/>
          <w:color w:val="000000" w:themeColor="text1"/>
          <w:sz w:val="32"/>
          <w:szCs w:val="26"/>
        </w:rPr>
        <w:t>Background</w:t>
      </w:r>
      <w:bookmarkEnd w:id="3"/>
    </w:p>
    <w:p w14:paraId="44486F77" w14:textId="42EEDD9A" w:rsidR="00DD51D3" w:rsidRPr="00BD2A33" w:rsidRDefault="00927176" w:rsidP="00BD2A33">
      <w:pPr>
        <w:jc w:val="left"/>
        <w:rPr>
          <w:rFonts w:ascii="Franklin Gothic Book" w:hAnsi="Franklin Gothic Book"/>
          <w:sz w:val="22"/>
        </w:rPr>
      </w:pPr>
      <w:r w:rsidRPr="00BD2A33">
        <w:rPr>
          <w:rFonts w:ascii="Franklin Gothic Book" w:hAnsi="Franklin Gothic Book"/>
          <w:sz w:val="22"/>
        </w:rPr>
        <w:t xml:space="preserve">MSAC Application 1708 was considered </w:t>
      </w:r>
      <w:r w:rsidR="706E6BF1" w:rsidRPr="00BD2A33">
        <w:rPr>
          <w:rFonts w:ascii="Franklin Gothic Book" w:hAnsi="Franklin Gothic Book"/>
          <w:sz w:val="22"/>
        </w:rPr>
        <w:t xml:space="preserve">by MSAC </w:t>
      </w:r>
      <w:r w:rsidRPr="00BD2A33">
        <w:rPr>
          <w:rFonts w:ascii="Franklin Gothic Book" w:hAnsi="Franklin Gothic Book"/>
          <w:sz w:val="22"/>
        </w:rPr>
        <w:t xml:space="preserve">at a </w:t>
      </w:r>
      <w:r w:rsidR="6EC7F6E6" w:rsidRPr="00BD2A33">
        <w:rPr>
          <w:rFonts w:ascii="Franklin Gothic Book" w:hAnsi="Franklin Gothic Book"/>
          <w:sz w:val="22"/>
        </w:rPr>
        <w:t>meeting on</w:t>
      </w:r>
      <w:r w:rsidRPr="00BD2A33">
        <w:rPr>
          <w:rFonts w:ascii="Franklin Gothic Book" w:hAnsi="Franklin Gothic Book"/>
          <w:sz w:val="22"/>
        </w:rPr>
        <w:t xml:space="preserve"> 4-5 April 2024. The Public Summary Document (PSD) summarised the</w:t>
      </w:r>
      <w:r w:rsidR="3468B089" w:rsidRPr="00BD2A33">
        <w:rPr>
          <w:rFonts w:ascii="Franklin Gothic Book" w:hAnsi="Franklin Gothic Book"/>
          <w:sz w:val="22"/>
        </w:rPr>
        <w:t xml:space="preserve"> meeting outcomes</w:t>
      </w:r>
      <w:r w:rsidRPr="00BD2A33">
        <w:rPr>
          <w:rFonts w:ascii="Franklin Gothic Book" w:hAnsi="Franklin Gothic Book"/>
          <w:sz w:val="22"/>
        </w:rPr>
        <w:t xml:space="preserve"> on page 8. MSAC was not supportive of the application and identified </w:t>
      </w:r>
      <w:r w:rsidR="50CED541" w:rsidRPr="00BD2A33">
        <w:rPr>
          <w:rFonts w:ascii="Franklin Gothic Book" w:hAnsi="Franklin Gothic Book"/>
          <w:sz w:val="22"/>
        </w:rPr>
        <w:t>several</w:t>
      </w:r>
      <w:r w:rsidRPr="00BD2A33">
        <w:rPr>
          <w:rFonts w:ascii="Franklin Gothic Book" w:hAnsi="Franklin Gothic Book"/>
          <w:sz w:val="22"/>
        </w:rPr>
        <w:t xml:space="preserve"> deficiencies</w:t>
      </w:r>
      <w:r w:rsidR="50CED541" w:rsidRPr="00BD2A33">
        <w:rPr>
          <w:rFonts w:ascii="Franklin Gothic Book" w:hAnsi="Franklin Gothic Book"/>
          <w:sz w:val="22"/>
        </w:rPr>
        <w:t xml:space="preserve">. </w:t>
      </w:r>
      <w:r w:rsidRPr="00BD2A33">
        <w:rPr>
          <w:rFonts w:ascii="Franklin Gothic Book" w:hAnsi="Franklin Gothic Book"/>
          <w:sz w:val="22"/>
        </w:rPr>
        <w:t xml:space="preserve">These issues and any additional issues raised in the MSAC PSD, for Application number 1708 are outlined in </w:t>
      </w:r>
      <w:r w:rsidR="004F4406">
        <w:rPr>
          <w:rFonts w:ascii="Franklin Gothic Book" w:hAnsi="Franklin Gothic Book"/>
          <w:sz w:val="22"/>
        </w:rPr>
        <w:t>Table 1</w:t>
      </w:r>
      <w:r w:rsidRPr="00BD2A33">
        <w:rPr>
          <w:rFonts w:ascii="Franklin Gothic Book" w:hAnsi="Franklin Gothic Book"/>
          <w:sz w:val="22"/>
        </w:rPr>
        <w:t xml:space="preserve">. The response in the resubmission and the adequacy of this response </w:t>
      </w:r>
      <w:r w:rsidR="4C21A8E5" w:rsidRPr="00BD2A33">
        <w:rPr>
          <w:rFonts w:ascii="Franklin Gothic Book" w:hAnsi="Franklin Gothic Book"/>
          <w:sz w:val="22"/>
        </w:rPr>
        <w:t xml:space="preserve">as assessed by the commentary </w:t>
      </w:r>
      <w:r w:rsidRPr="00BD2A33">
        <w:rPr>
          <w:rFonts w:ascii="Franklin Gothic Book" w:hAnsi="Franklin Gothic Book"/>
          <w:sz w:val="22"/>
        </w:rPr>
        <w:t xml:space="preserve">are also summarised in </w:t>
      </w:r>
      <w:r w:rsidR="004F4406">
        <w:rPr>
          <w:rFonts w:ascii="Franklin Gothic Book" w:hAnsi="Franklin Gothic Book"/>
          <w:sz w:val="22"/>
        </w:rPr>
        <w:t>Table 1</w:t>
      </w:r>
      <w:r w:rsidRPr="00BD2A33">
        <w:rPr>
          <w:rFonts w:ascii="Franklin Gothic Book" w:hAnsi="Franklin Gothic Book"/>
          <w:sz w:val="22"/>
        </w:rPr>
        <w:t>.</w:t>
      </w:r>
      <w:r w:rsidR="004F4406" w:rsidRPr="004F4406">
        <w:t xml:space="preserve"> </w:t>
      </w:r>
      <w:r w:rsidR="004F4406" w:rsidRPr="004F4406">
        <w:rPr>
          <w:rFonts w:ascii="Franklin Gothic Book" w:hAnsi="Franklin Gothic Book"/>
          <w:sz w:val="22"/>
        </w:rPr>
        <w:t>Key components of the clinical issue addressed by the resubmission</w:t>
      </w:r>
      <w:r w:rsidR="004F4406">
        <w:rPr>
          <w:rFonts w:ascii="Franklin Gothic Book" w:hAnsi="Franklin Gothic Book"/>
          <w:sz w:val="22"/>
        </w:rPr>
        <w:t xml:space="preserve"> are summarised in Table 2.</w:t>
      </w:r>
    </w:p>
    <w:p w14:paraId="2367DA6F" w14:textId="73E936C0" w:rsidR="00927176" w:rsidRPr="00BD2A33" w:rsidRDefault="00927176" w:rsidP="00BD2A33">
      <w:pPr>
        <w:pStyle w:val="Caption"/>
      </w:pPr>
      <w:bookmarkStart w:id="4" w:name="_Ref183513872"/>
      <w:r w:rsidRPr="00BD2A33">
        <w:t>Table</w:t>
      </w:r>
      <w:r w:rsidR="00A41BB9">
        <w:t xml:space="preserve"> 1</w:t>
      </w:r>
      <w:bookmarkEnd w:id="4"/>
      <w:r w:rsidR="00A41BB9">
        <w:t xml:space="preserve"> </w:t>
      </w:r>
      <w:r w:rsidRPr="00BD2A33">
        <w:t>MSAC concerns and how these were addressed in the resubmission</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72"/>
        <w:gridCol w:w="3047"/>
        <w:gridCol w:w="3048"/>
      </w:tblGrid>
      <w:tr w:rsidR="00071E21" w:rsidRPr="00FD70DE" w14:paraId="3C7FA4AC" w14:textId="77777777" w:rsidTr="00AC3BE0">
        <w:trPr>
          <w:cnfStyle w:val="100000000000" w:firstRow="1" w:lastRow="0" w:firstColumn="0" w:lastColumn="0" w:oddVBand="0" w:evenVBand="0" w:oddHBand="0" w:evenHBand="0" w:firstRowFirstColumn="0" w:firstRowLastColumn="0" w:lastRowFirstColumn="0" w:lastRowLastColumn="0"/>
          <w:tblHeader/>
        </w:trPr>
        <w:tc>
          <w:tcPr>
            <w:tcW w:w="2972" w:type="dxa"/>
            <w:tcBorders>
              <w:bottom w:val="single" w:sz="4" w:space="0" w:color="auto"/>
            </w:tcBorders>
            <w:shd w:val="clear" w:color="auto" w:fill="FFFFFF" w:themeFill="background1"/>
            <w:vAlign w:val="bottom"/>
          </w:tcPr>
          <w:p w14:paraId="62339D3A" w14:textId="77777777" w:rsidR="00927176" w:rsidRPr="00FD70DE" w:rsidRDefault="00927176" w:rsidP="00AC3BE0">
            <w:pPr>
              <w:pStyle w:val="TableText"/>
              <w:spacing w:before="40" w:after="40"/>
              <w:rPr>
                <w:lang w:val="en-AU"/>
              </w:rPr>
            </w:pPr>
            <w:r w:rsidRPr="00FD70DE">
              <w:rPr>
                <w:lang w:val="en-AU"/>
              </w:rPr>
              <w:t>MSAC issue to be addressed</w:t>
            </w:r>
          </w:p>
        </w:tc>
        <w:tc>
          <w:tcPr>
            <w:tcW w:w="3047" w:type="dxa"/>
            <w:tcBorders>
              <w:bottom w:val="single" w:sz="4" w:space="0" w:color="auto"/>
            </w:tcBorders>
            <w:shd w:val="clear" w:color="auto" w:fill="FFFFFF" w:themeFill="background1"/>
            <w:vAlign w:val="bottom"/>
          </w:tcPr>
          <w:p w14:paraId="7123B028" w14:textId="77777777" w:rsidR="00927176" w:rsidRPr="00FD70DE" w:rsidRDefault="00927176" w:rsidP="00AC3BE0">
            <w:pPr>
              <w:pStyle w:val="TableText"/>
              <w:spacing w:before="40" w:after="40"/>
              <w:rPr>
                <w:lang w:val="en-AU"/>
              </w:rPr>
            </w:pPr>
            <w:r w:rsidRPr="00FD70DE">
              <w:rPr>
                <w:lang w:val="en-AU"/>
              </w:rPr>
              <w:t xml:space="preserve">How it is addressed in the resubmission </w:t>
            </w:r>
          </w:p>
        </w:tc>
        <w:tc>
          <w:tcPr>
            <w:tcW w:w="3048" w:type="dxa"/>
            <w:tcBorders>
              <w:bottom w:val="single" w:sz="4" w:space="0" w:color="auto"/>
            </w:tcBorders>
            <w:shd w:val="clear" w:color="auto" w:fill="FFFFFF" w:themeFill="background1"/>
          </w:tcPr>
          <w:p w14:paraId="0129D291" w14:textId="7E372B4C" w:rsidR="00927176" w:rsidRPr="00FD70DE" w:rsidRDefault="00927176" w:rsidP="00AC3BE0">
            <w:pPr>
              <w:pStyle w:val="TableText"/>
              <w:spacing w:before="40" w:after="40"/>
              <w:rPr>
                <w:lang w:val="en-AU"/>
              </w:rPr>
            </w:pPr>
            <w:r w:rsidRPr="00FD70DE">
              <w:rPr>
                <w:lang w:val="en-AU"/>
              </w:rPr>
              <w:t>Was the issue addressed</w:t>
            </w:r>
            <w:r w:rsidR="00950531" w:rsidRPr="00FD70DE">
              <w:rPr>
                <w:lang w:val="en-AU"/>
              </w:rPr>
              <w:t xml:space="preserve"> adequately</w:t>
            </w:r>
            <w:r w:rsidRPr="00FD70DE">
              <w:rPr>
                <w:lang w:val="en-AU"/>
              </w:rPr>
              <w:t>?</w:t>
            </w:r>
            <w:r w:rsidR="00D4614E">
              <w:rPr>
                <w:lang w:val="en-AU"/>
              </w:rPr>
              <w:t xml:space="preserve"> (as assessed by the commentary)</w:t>
            </w:r>
          </w:p>
        </w:tc>
      </w:tr>
      <w:tr w:rsidR="00071E21" w:rsidRPr="00FD70DE" w14:paraId="10E5A3DC"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9067" w:type="dxa"/>
            <w:gridSpan w:val="3"/>
            <w:tcBorders>
              <w:top w:val="single" w:sz="4" w:space="0" w:color="auto"/>
              <w:left w:val="single" w:sz="4" w:space="0" w:color="auto"/>
              <w:bottom w:val="single" w:sz="4" w:space="0" w:color="auto"/>
              <w:right w:val="single" w:sz="4" w:space="0" w:color="auto"/>
            </w:tcBorders>
          </w:tcPr>
          <w:p w14:paraId="07DD2378" w14:textId="77777777" w:rsidR="00927176" w:rsidRPr="00FD70DE" w:rsidRDefault="00927176" w:rsidP="00AC3BE0">
            <w:pPr>
              <w:pStyle w:val="TableText"/>
              <w:spacing w:before="40" w:after="40"/>
              <w:rPr>
                <w:b/>
                <w:bCs/>
                <w:lang w:val="en-AU"/>
              </w:rPr>
            </w:pPr>
            <w:r w:rsidRPr="00FD70DE">
              <w:rPr>
                <w:b/>
                <w:bCs/>
                <w:lang w:val="en-AU"/>
              </w:rPr>
              <w:t>MSAC considered that a resubmission would need to:</w:t>
            </w:r>
          </w:p>
          <w:p w14:paraId="49A66E63" w14:textId="77777777" w:rsidR="00927176" w:rsidRPr="00FD70DE" w:rsidRDefault="00927176" w:rsidP="00AC3BE0">
            <w:pPr>
              <w:pStyle w:val="TableText"/>
              <w:spacing w:before="40" w:after="40"/>
              <w:rPr>
                <w:lang w:val="en-AU"/>
              </w:rPr>
            </w:pPr>
            <w:r w:rsidRPr="00FD70DE">
              <w:rPr>
                <w:lang w:val="en-AU"/>
              </w:rPr>
              <w:t>(page 8-9 of the PSD)</w:t>
            </w:r>
          </w:p>
        </w:tc>
      </w:tr>
      <w:tr w:rsidR="00071E21" w:rsidRPr="00FD70DE" w14:paraId="2C185970"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2972" w:type="dxa"/>
            <w:tcBorders>
              <w:top w:val="single" w:sz="4" w:space="0" w:color="auto"/>
              <w:left w:val="single" w:sz="4" w:space="0" w:color="auto"/>
              <w:bottom w:val="single" w:sz="4" w:space="0" w:color="auto"/>
              <w:right w:val="single" w:sz="4" w:space="0" w:color="auto"/>
            </w:tcBorders>
          </w:tcPr>
          <w:p w14:paraId="0F3C435B" w14:textId="5A5AF5C3" w:rsidR="00927176" w:rsidRPr="00FD70DE" w:rsidRDefault="00927176" w:rsidP="00AC3BE0">
            <w:pPr>
              <w:pStyle w:val="TableText"/>
              <w:spacing w:before="40" w:after="40"/>
              <w:rPr>
                <w:lang w:val="en-AU"/>
              </w:rPr>
            </w:pPr>
            <w:r w:rsidRPr="00FD70DE">
              <w:rPr>
                <w:lang w:val="en-AU"/>
              </w:rPr>
              <w:t>Consider whether there was merit in proposing qualitative rather than quantitative testing</w:t>
            </w:r>
            <w:r w:rsidR="00950531" w:rsidRPr="00FD70DE">
              <w:rPr>
                <w:lang w:val="en-AU"/>
              </w:rPr>
              <w:t xml:space="preserve"> for treatment eligibility and monitoring</w:t>
            </w:r>
            <w:r w:rsidRPr="00FD70DE">
              <w:rPr>
                <w:lang w:val="en-AU"/>
              </w:rPr>
              <w:t xml:space="preserve">, given </w:t>
            </w:r>
            <w:r w:rsidR="00950531" w:rsidRPr="00FD70DE">
              <w:rPr>
                <w:lang w:val="en-AU"/>
              </w:rPr>
              <w:t xml:space="preserve">the </w:t>
            </w:r>
            <w:r w:rsidRPr="00FD70DE">
              <w:rPr>
                <w:lang w:val="en-AU"/>
              </w:rPr>
              <w:t>lack of evidence that the levels of HDV RNA inform decision making. (paragraph 3, page 5 of the PSD)</w:t>
            </w:r>
          </w:p>
        </w:tc>
        <w:tc>
          <w:tcPr>
            <w:tcW w:w="3047" w:type="dxa"/>
            <w:tcBorders>
              <w:top w:val="single" w:sz="4" w:space="0" w:color="auto"/>
              <w:left w:val="single" w:sz="4" w:space="0" w:color="auto"/>
              <w:bottom w:val="single" w:sz="4" w:space="0" w:color="auto"/>
              <w:right w:val="single" w:sz="4" w:space="0" w:color="auto"/>
            </w:tcBorders>
          </w:tcPr>
          <w:p w14:paraId="15F0AE49" w14:textId="75552636" w:rsidR="00927176" w:rsidRPr="00FD70DE" w:rsidRDefault="00927176" w:rsidP="00AC3BE0">
            <w:pPr>
              <w:pStyle w:val="TableText"/>
              <w:spacing w:before="40" w:after="40"/>
              <w:rPr>
                <w:lang w:val="en-AU"/>
              </w:rPr>
            </w:pPr>
            <w:r w:rsidRPr="00FD70DE">
              <w:rPr>
                <w:lang w:val="en-AU"/>
              </w:rPr>
              <w:t>Gilead are not aware of a qualitative test for HDV RNA available in Australia and have confirmed with VIDRL that they do not have</w:t>
            </w:r>
            <w:r w:rsidR="004F1473" w:rsidRPr="00FD70DE">
              <w:rPr>
                <w:lang w:val="en-AU"/>
              </w:rPr>
              <w:t>,</w:t>
            </w:r>
            <w:r w:rsidRPr="00FD70DE">
              <w:rPr>
                <w:lang w:val="en-AU"/>
              </w:rPr>
              <w:t xml:space="preserve"> nor are aware of</w:t>
            </w:r>
            <w:r w:rsidR="004F1473" w:rsidRPr="00FD70DE">
              <w:rPr>
                <w:lang w:val="en-AU"/>
              </w:rPr>
              <w:t>,</w:t>
            </w:r>
            <w:r w:rsidRPr="00FD70DE">
              <w:rPr>
                <w:lang w:val="en-AU"/>
              </w:rPr>
              <w:t xml:space="preserve"> a qualitative HDV RNA test. Therefore, any qualitative assessment of HDV RNA requires the HDV RNA PCR test proposed for MBS listing in this resubmission to be conducted to determine presence of (qualitative) HDV RNA which can also derive a HDV RNA viral load (quantitative)</w:t>
            </w:r>
            <w:r w:rsidR="00E50D29" w:rsidRPr="00FD70DE">
              <w:rPr>
                <w:lang w:val="en-AU"/>
              </w:rPr>
              <w:t>.</w:t>
            </w:r>
          </w:p>
          <w:p w14:paraId="55BCE89A" w14:textId="77777777" w:rsidR="004F1473" w:rsidRPr="00FD70DE" w:rsidRDefault="004F1473" w:rsidP="00AC3BE0">
            <w:pPr>
              <w:pStyle w:val="TableText"/>
              <w:spacing w:before="40" w:after="40"/>
              <w:rPr>
                <w:lang w:val="en-AU"/>
              </w:rPr>
            </w:pPr>
          </w:p>
          <w:p w14:paraId="4D5AF126" w14:textId="6744CEC2" w:rsidR="00927176" w:rsidRPr="00FD70DE" w:rsidRDefault="00927176" w:rsidP="00AC3BE0">
            <w:pPr>
              <w:pStyle w:val="TableText"/>
              <w:spacing w:before="40" w:after="40"/>
              <w:rPr>
                <w:highlight w:val="yellow"/>
                <w:lang w:val="en-AU"/>
              </w:rPr>
            </w:pPr>
            <w:proofErr w:type="gramStart"/>
            <w:r w:rsidRPr="00FD70DE">
              <w:rPr>
                <w:lang w:val="en-AU"/>
              </w:rPr>
              <w:t>In order to</w:t>
            </w:r>
            <w:proofErr w:type="gramEnd"/>
            <w:r w:rsidRPr="00FD70DE">
              <w:rPr>
                <w:lang w:val="en-AU"/>
              </w:rPr>
              <w:t xml:space="preserve"> determine the clinical benefit of HEPCLUDEX, change in HDV RNA viral load is required which means a quantitative assessment is necessary at baseline (i.e., prior to initiating treatment), and when </w:t>
            </w:r>
            <w:proofErr w:type="gramStart"/>
            <w:r w:rsidRPr="00FD70DE">
              <w:rPr>
                <w:lang w:val="en-AU"/>
              </w:rPr>
              <w:t>continuing on</w:t>
            </w:r>
            <w:proofErr w:type="gramEnd"/>
            <w:r w:rsidRPr="00FD70DE">
              <w:rPr>
                <w:lang w:val="en-AU"/>
              </w:rPr>
              <w:t xml:space="preserve"> treatment. If clinical benefit is observed (i.e., a reduction in </w:t>
            </w:r>
            <w:r w:rsidRPr="00FD70DE">
              <w:rPr>
                <w:lang w:val="en-AU"/>
              </w:rPr>
              <w:lastRenderedPageBreak/>
              <w:t>HDV RNA viral load from baseline), a decision is made to continue patients on HEPCLUDEX treatment. Conversely, if no clinical benefit (i.e., no reduction in HDV RNA viral load from baseline) is observed for patients treated with HEPCLUDEX, a decision is made to stop treatment.</w:t>
            </w:r>
          </w:p>
        </w:tc>
        <w:tc>
          <w:tcPr>
            <w:tcW w:w="3048" w:type="dxa"/>
            <w:tcBorders>
              <w:top w:val="single" w:sz="4" w:space="0" w:color="auto"/>
              <w:left w:val="single" w:sz="4" w:space="0" w:color="auto"/>
              <w:bottom w:val="single" w:sz="4" w:space="0" w:color="auto"/>
              <w:right w:val="single" w:sz="4" w:space="0" w:color="auto"/>
            </w:tcBorders>
          </w:tcPr>
          <w:p w14:paraId="34E21559" w14:textId="755BED0B" w:rsidR="00927176" w:rsidRPr="00FD70DE" w:rsidRDefault="00927176" w:rsidP="00AC3BE0">
            <w:pPr>
              <w:pStyle w:val="TableText"/>
              <w:spacing w:before="40" w:after="40"/>
              <w:rPr>
                <w:i/>
                <w:iCs/>
                <w:lang w:val="en-AU"/>
              </w:rPr>
            </w:pPr>
          </w:p>
          <w:p w14:paraId="6059C94D" w14:textId="62A1BF6C" w:rsidR="00927176" w:rsidRPr="00FD70DE" w:rsidRDefault="00927176" w:rsidP="00AC3BE0">
            <w:pPr>
              <w:pStyle w:val="TableText"/>
              <w:spacing w:before="40" w:after="40"/>
              <w:rPr>
                <w:i/>
                <w:iCs/>
                <w:lang w:val="en-AU"/>
              </w:rPr>
            </w:pPr>
            <w:r w:rsidRPr="00FD70DE">
              <w:rPr>
                <w:i/>
                <w:iCs/>
                <w:lang w:val="en-AU"/>
              </w:rPr>
              <w:t xml:space="preserve">Qualitative assessment of HDV RNA requires the reporting of HDV RNA being detectable vs undetectable. </w:t>
            </w:r>
            <w:r w:rsidR="00E72E86">
              <w:rPr>
                <w:i/>
                <w:iCs/>
                <w:lang w:val="en-AU"/>
              </w:rPr>
              <w:t>The commentary considered that t</w:t>
            </w:r>
            <w:r w:rsidRPr="00FD70DE">
              <w:rPr>
                <w:i/>
                <w:iCs/>
                <w:lang w:val="en-AU"/>
              </w:rPr>
              <w:t>his would likely be sufficient for determining eligibility for</w:t>
            </w:r>
            <w:r w:rsidR="004F1473" w:rsidRPr="00FD70DE">
              <w:rPr>
                <w:i/>
                <w:iCs/>
                <w:lang w:val="en-AU"/>
              </w:rPr>
              <w:t>, or cessation of</w:t>
            </w:r>
            <w:r w:rsidRPr="00FD70DE">
              <w:rPr>
                <w:i/>
                <w:iCs/>
                <w:lang w:val="en-AU"/>
              </w:rPr>
              <w:t xml:space="preserve"> treatment with bulevirtide. The qualitative concordance between different tests is high</w:t>
            </w:r>
            <w:r w:rsidR="001C23A7">
              <w:rPr>
                <w:i/>
                <w:iCs/>
                <w:lang w:val="en-AU"/>
              </w:rPr>
              <w:t xml:space="preserve">. </w:t>
            </w:r>
          </w:p>
          <w:p w14:paraId="13AA4F34" w14:textId="723978F5" w:rsidR="00927176" w:rsidRDefault="00E72E86" w:rsidP="000C5609">
            <w:pPr>
              <w:pStyle w:val="TableText"/>
              <w:spacing w:before="40" w:after="40"/>
              <w:rPr>
                <w:i/>
                <w:iCs/>
                <w:lang w:val="en-AU"/>
              </w:rPr>
            </w:pPr>
            <w:r>
              <w:rPr>
                <w:i/>
                <w:iCs/>
                <w:lang w:val="en-AU"/>
              </w:rPr>
              <w:t>The commentary considered that q</w:t>
            </w:r>
            <w:r w:rsidR="00927176" w:rsidRPr="00FD70DE">
              <w:rPr>
                <w:i/>
                <w:iCs/>
                <w:lang w:val="en-AU"/>
              </w:rPr>
              <w:t>ualitative assessment of HDV RNA would also be sufficient for monitoring treatment if the endpoint was</w:t>
            </w:r>
            <w:r w:rsidR="004F1473" w:rsidRPr="00FD70DE">
              <w:rPr>
                <w:i/>
                <w:iCs/>
                <w:lang w:val="en-AU"/>
              </w:rPr>
              <w:t xml:space="preserve"> sustained</w:t>
            </w:r>
            <w:r w:rsidR="00927176" w:rsidRPr="00FD70DE">
              <w:rPr>
                <w:i/>
                <w:iCs/>
                <w:lang w:val="en-AU"/>
              </w:rPr>
              <w:t xml:space="preserve"> undetectable HDV RNA. It also has prognostic value</w:t>
            </w:r>
            <w:r w:rsidR="00543835">
              <w:rPr>
                <w:i/>
                <w:iCs/>
                <w:lang w:val="en-AU"/>
              </w:rPr>
              <w:t xml:space="preserve">. </w:t>
            </w:r>
          </w:p>
          <w:p w14:paraId="362C6A35" w14:textId="77777777" w:rsidR="00D4614E" w:rsidRDefault="00D4614E" w:rsidP="000C5609">
            <w:pPr>
              <w:pStyle w:val="TableText"/>
              <w:spacing w:before="40" w:after="40"/>
              <w:rPr>
                <w:i/>
                <w:iCs/>
                <w:lang w:val="en-AU"/>
              </w:rPr>
            </w:pPr>
          </w:p>
          <w:p w14:paraId="105871F4" w14:textId="18FAD539" w:rsidR="00D4614E" w:rsidRPr="00FD70DE" w:rsidRDefault="00D4614E" w:rsidP="000C5609">
            <w:pPr>
              <w:pStyle w:val="TableText"/>
              <w:spacing w:before="40" w:after="40"/>
              <w:rPr>
                <w:lang w:val="en-AU"/>
              </w:rPr>
            </w:pPr>
            <w:proofErr w:type="gramStart"/>
            <w:r>
              <w:rPr>
                <w:i/>
                <w:iCs/>
                <w:lang w:val="en-AU"/>
              </w:rPr>
              <w:t>However</w:t>
            </w:r>
            <w:proofErr w:type="gramEnd"/>
            <w:r>
              <w:rPr>
                <w:i/>
                <w:iCs/>
                <w:lang w:val="en-AU"/>
              </w:rPr>
              <w:t xml:space="preserve"> </w:t>
            </w:r>
            <w:r w:rsidR="00E72E86">
              <w:rPr>
                <w:i/>
                <w:iCs/>
                <w:lang w:val="en-AU"/>
              </w:rPr>
              <w:t>refer to ‘</w:t>
            </w:r>
            <w:r w:rsidR="00E72E86" w:rsidRPr="00E72E86">
              <w:rPr>
                <w:i/>
                <w:iCs/>
                <w:lang w:val="en-AU"/>
              </w:rPr>
              <w:t>Summary of consideration and rationale for MSAC’s advice</w:t>
            </w:r>
            <w:r w:rsidR="00E72E86">
              <w:rPr>
                <w:i/>
                <w:iCs/>
                <w:lang w:val="en-AU"/>
              </w:rPr>
              <w:t xml:space="preserve">’. </w:t>
            </w:r>
          </w:p>
        </w:tc>
      </w:tr>
      <w:tr w:rsidR="000C5609" w:rsidRPr="00E96EDE" w14:paraId="31AA5ADC"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2972" w:type="dxa"/>
            <w:tcBorders>
              <w:top w:val="single" w:sz="4" w:space="0" w:color="auto"/>
              <w:left w:val="single" w:sz="4" w:space="0" w:color="auto"/>
              <w:bottom w:val="single" w:sz="4" w:space="0" w:color="auto"/>
              <w:right w:val="single" w:sz="4" w:space="0" w:color="auto"/>
            </w:tcBorders>
          </w:tcPr>
          <w:p w14:paraId="70E2B726" w14:textId="3283637D" w:rsidR="000C5609" w:rsidRPr="00A92988" w:rsidRDefault="000C5609" w:rsidP="00AC3BE0">
            <w:pPr>
              <w:pStyle w:val="TableText"/>
              <w:spacing w:before="40" w:after="40"/>
            </w:pPr>
            <w:r w:rsidRPr="00FD70DE">
              <w:rPr>
                <w:lang w:val="en-AU"/>
              </w:rPr>
              <w:t>In the key clinical trial, MYR301, a decrease of 2log</w:t>
            </w:r>
            <w:r w:rsidRPr="00FD70DE">
              <w:rPr>
                <w:vertAlign w:val="subscript"/>
                <w:lang w:val="en-AU"/>
              </w:rPr>
              <w:t>10</w:t>
            </w:r>
            <w:r w:rsidRPr="00FD70DE">
              <w:rPr>
                <w:lang w:val="en-AU"/>
              </w:rPr>
              <w:t xml:space="preserve"> international units [IU]/mL in the HDV RNA level from the original viremic titre was used as a surrogate marker of potential benefit. However, evidence was required that a decrease in HDV RNA levels of at least this magnitude correlated with improvements in clinical end points such as progression to cirrhosis, HCC and death. MSAC considered this important, and this was not confirmed in the key trial. MSAC also noted that a threshold had not yet been defined for a serum HDV RNA level (other than undetectable H</w:t>
            </w:r>
            <w:r>
              <w:rPr>
                <w:lang w:val="en-AU"/>
              </w:rPr>
              <w:t>D</w:t>
            </w:r>
            <w:r w:rsidRPr="00FD70DE">
              <w:rPr>
                <w:lang w:val="en-AU"/>
              </w:rPr>
              <w:t>V RNA) that corresponded to a clinical benefit. (paragraph 5, page 5 of the PSD)]</w:t>
            </w:r>
          </w:p>
        </w:tc>
        <w:tc>
          <w:tcPr>
            <w:tcW w:w="3047" w:type="dxa"/>
            <w:tcBorders>
              <w:top w:val="single" w:sz="4" w:space="0" w:color="auto"/>
              <w:left w:val="single" w:sz="4" w:space="0" w:color="auto"/>
              <w:bottom w:val="single" w:sz="4" w:space="0" w:color="auto"/>
              <w:right w:val="single" w:sz="4" w:space="0" w:color="auto"/>
            </w:tcBorders>
          </w:tcPr>
          <w:p w14:paraId="219B6EDD" w14:textId="77777777" w:rsidR="000C5609" w:rsidRPr="00FD70DE" w:rsidRDefault="000C5609" w:rsidP="000C5609">
            <w:pPr>
              <w:pStyle w:val="TableText"/>
              <w:spacing w:before="40" w:after="40"/>
              <w:rPr>
                <w:lang w:val="en-AU"/>
              </w:rPr>
            </w:pPr>
            <w:r w:rsidRPr="00FD70DE">
              <w:rPr>
                <w:lang w:val="en-AU"/>
              </w:rPr>
              <w:t xml:space="preserve">HEPCLUDEX is proposed for ongoing use </w:t>
            </w:r>
            <w:proofErr w:type="gramStart"/>
            <w:r w:rsidRPr="00FD70DE">
              <w:rPr>
                <w:lang w:val="en-AU"/>
              </w:rPr>
              <w:t>as long as</w:t>
            </w:r>
            <w:proofErr w:type="gramEnd"/>
            <w:r w:rsidRPr="00FD70DE">
              <w:rPr>
                <w:lang w:val="en-AU"/>
              </w:rPr>
              <w:t xml:space="preserve"> associated with clinical benefit which, as stated by the PBAC, considers the “decision to continue or cease treatment, based on response, [</w:t>
            </w:r>
            <w:proofErr w:type="spellStart"/>
            <w:r w:rsidRPr="00FD70DE">
              <w:rPr>
                <w:lang w:val="en-AU"/>
              </w:rPr>
              <w:t>i</w:t>
            </w:r>
            <w:proofErr w:type="spellEnd"/>
            <w:r w:rsidRPr="00FD70DE">
              <w:rPr>
                <w:lang w:val="en-AU"/>
              </w:rPr>
              <w:t xml:space="preserve">]s a matter of clinical judgement” [RATIFIED] 5.06 bulevirtide MINS 03-2024 Item 7.46 P 46, Attachment 01]. </w:t>
            </w:r>
          </w:p>
          <w:p w14:paraId="44992D3B" w14:textId="77777777" w:rsidR="000C5609" w:rsidRPr="00A92988" w:rsidRDefault="000C5609" w:rsidP="00AC3BE0">
            <w:pPr>
              <w:pStyle w:val="TableText"/>
              <w:spacing w:before="40" w:after="40"/>
            </w:pPr>
          </w:p>
        </w:tc>
        <w:tc>
          <w:tcPr>
            <w:tcW w:w="3048" w:type="dxa"/>
            <w:tcBorders>
              <w:top w:val="single" w:sz="4" w:space="0" w:color="auto"/>
              <w:left w:val="single" w:sz="4" w:space="0" w:color="auto"/>
              <w:bottom w:val="single" w:sz="4" w:space="0" w:color="auto"/>
              <w:right w:val="single" w:sz="4" w:space="0" w:color="auto"/>
            </w:tcBorders>
          </w:tcPr>
          <w:p w14:paraId="3E8541EE" w14:textId="21E25055" w:rsidR="000C5609" w:rsidRPr="00FD70DE" w:rsidRDefault="00E72E86" w:rsidP="000C5609">
            <w:pPr>
              <w:pStyle w:val="TableText"/>
              <w:spacing w:before="40" w:after="40"/>
              <w:rPr>
                <w:i/>
                <w:iCs/>
                <w:lang w:val="en-AU"/>
              </w:rPr>
            </w:pPr>
            <w:r>
              <w:rPr>
                <w:i/>
                <w:iCs/>
                <w:lang w:val="en-AU"/>
              </w:rPr>
              <w:t>The commentary considered that t</w:t>
            </w:r>
            <w:r w:rsidR="000C5609" w:rsidRPr="00FD70DE">
              <w:rPr>
                <w:i/>
                <w:iCs/>
                <w:lang w:val="en-AU"/>
              </w:rPr>
              <w:t>o date, there is little evidence to support a decline of &gt;2log</w:t>
            </w:r>
            <w:r w:rsidR="000C5609" w:rsidRPr="00FD70DE">
              <w:rPr>
                <w:i/>
                <w:iCs/>
                <w:vertAlign w:val="subscript"/>
                <w:lang w:val="en-AU"/>
              </w:rPr>
              <w:t>10</w:t>
            </w:r>
            <w:r w:rsidR="000C5609" w:rsidRPr="00FD70DE">
              <w:rPr>
                <w:i/>
                <w:iCs/>
                <w:lang w:val="en-AU"/>
              </w:rPr>
              <w:t xml:space="preserve"> IU/mL as having a prognostic effect</w:t>
            </w:r>
            <w:r w:rsidR="009F331A">
              <w:rPr>
                <w:i/>
                <w:iCs/>
                <w:lang w:val="en-AU"/>
              </w:rPr>
              <w:t>.</w:t>
            </w:r>
            <w:r w:rsidR="000C5609" w:rsidRPr="00FD70DE">
              <w:rPr>
                <w:i/>
                <w:iCs/>
                <w:lang w:val="en-AU"/>
              </w:rPr>
              <w:t xml:space="preserve"> However, there is some evidence to suggest that an early decrease in HDV RNA from baseline is predictive of treatment response. In this case quantitative HDV RNA values would be required to determine early virological decreases or non-re</w:t>
            </w:r>
            <w:r w:rsidR="000C5609">
              <w:rPr>
                <w:i/>
                <w:iCs/>
                <w:lang w:val="en-AU"/>
              </w:rPr>
              <w:t>s</w:t>
            </w:r>
            <w:r w:rsidR="000C5609" w:rsidRPr="00FD70DE">
              <w:rPr>
                <w:i/>
                <w:iCs/>
                <w:lang w:val="en-AU"/>
              </w:rPr>
              <w:t xml:space="preserve">ponse to treatment. </w:t>
            </w:r>
          </w:p>
          <w:p w14:paraId="193F1889" w14:textId="77777777" w:rsidR="000C5609" w:rsidRPr="00FD70DE" w:rsidRDefault="000C5609" w:rsidP="000C5609">
            <w:pPr>
              <w:pStyle w:val="TableText"/>
              <w:spacing w:before="40" w:after="40"/>
              <w:rPr>
                <w:i/>
                <w:iCs/>
                <w:lang w:val="en-AU"/>
              </w:rPr>
            </w:pPr>
            <w:r w:rsidRPr="00FD70DE">
              <w:rPr>
                <w:i/>
                <w:iCs/>
                <w:lang w:val="en-AU"/>
              </w:rPr>
              <w:t>If a decrease of &gt;2 log</w:t>
            </w:r>
            <w:r w:rsidRPr="00FD70DE">
              <w:rPr>
                <w:i/>
                <w:iCs/>
                <w:vertAlign w:val="subscript"/>
                <w:lang w:val="en-AU"/>
              </w:rPr>
              <w:t>10</w:t>
            </w:r>
            <w:r w:rsidRPr="00FD70DE">
              <w:rPr>
                <w:i/>
                <w:iCs/>
                <w:lang w:val="en-AU"/>
              </w:rPr>
              <w:t xml:space="preserve"> IU/mL is considered an accepted treatment endpoint, quantitative values would be required to determine this.</w:t>
            </w:r>
          </w:p>
          <w:p w14:paraId="43691729" w14:textId="1508320C" w:rsidR="000C5609" w:rsidRPr="00A92988" w:rsidRDefault="000C5609" w:rsidP="000C5609">
            <w:pPr>
              <w:pStyle w:val="TableText"/>
              <w:spacing w:before="40" w:after="40"/>
              <w:rPr>
                <w:i/>
                <w:iCs/>
              </w:rPr>
            </w:pPr>
            <w:r w:rsidRPr="00FD70DE">
              <w:rPr>
                <w:i/>
                <w:iCs/>
                <w:lang w:val="en-AU"/>
              </w:rPr>
              <w:t>Note: the concordance between tests for quantitative measurement of HDV RNA has several reliability issues</w:t>
            </w:r>
            <w:r w:rsidR="00543835">
              <w:rPr>
                <w:i/>
                <w:iCs/>
                <w:lang w:val="en-AU"/>
              </w:rPr>
              <w:t xml:space="preserve">. </w:t>
            </w:r>
          </w:p>
        </w:tc>
      </w:tr>
      <w:tr w:rsidR="00071E21" w:rsidRPr="00E96EDE" w14:paraId="62F45857"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2972" w:type="dxa"/>
            <w:tcBorders>
              <w:top w:val="single" w:sz="4" w:space="0" w:color="auto"/>
              <w:left w:val="single" w:sz="4" w:space="0" w:color="auto"/>
              <w:bottom w:val="single" w:sz="4" w:space="0" w:color="auto"/>
              <w:right w:val="single" w:sz="4" w:space="0" w:color="auto"/>
            </w:tcBorders>
          </w:tcPr>
          <w:p w14:paraId="3D2BDD95" w14:textId="77777777" w:rsidR="00927176" w:rsidRPr="00A92988" w:rsidRDefault="00927176" w:rsidP="00AC3BE0">
            <w:pPr>
              <w:pStyle w:val="TableText"/>
              <w:spacing w:before="40" w:after="40"/>
              <w:rPr>
                <w:lang w:val="en-AU"/>
              </w:rPr>
            </w:pPr>
            <w:r w:rsidRPr="00A92988">
              <w:rPr>
                <w:lang w:val="en-AU"/>
              </w:rPr>
              <w:t>Identify continuation and discontinuation criteria, to provide more certainty around the likely duration of treatment and the number of tests required for monitoring treatment.</w:t>
            </w:r>
          </w:p>
          <w:p w14:paraId="0EB83061" w14:textId="77777777" w:rsidR="00BC48A6" w:rsidRPr="00A92988" w:rsidRDefault="00BC48A6" w:rsidP="00AC3BE0">
            <w:pPr>
              <w:pStyle w:val="TableText"/>
              <w:spacing w:before="40" w:after="40"/>
              <w:rPr>
                <w:lang w:val="en-AU"/>
              </w:rPr>
            </w:pPr>
          </w:p>
          <w:p w14:paraId="56E07C83" w14:textId="590CFE48" w:rsidR="00927176" w:rsidRPr="00E96EDE" w:rsidRDefault="00927176" w:rsidP="00AC3BE0">
            <w:pPr>
              <w:pStyle w:val="TableText"/>
              <w:spacing w:before="40" w:after="40"/>
              <w:rPr>
                <w:highlight w:val="yellow"/>
                <w:lang w:val="en-AU"/>
              </w:rPr>
            </w:pPr>
            <w:r w:rsidRPr="00A92988">
              <w:rPr>
                <w:lang w:val="en-AU"/>
              </w:rPr>
              <w:t xml:space="preserve">[MSAC considered that there were no continuation or discontinuation criteria for treatment outlined in the application or included in the </w:t>
            </w:r>
            <w:r w:rsidR="00BC48A6" w:rsidRPr="00A92988">
              <w:rPr>
                <w:lang w:val="en-AU"/>
              </w:rPr>
              <w:t xml:space="preserve">clinical management </w:t>
            </w:r>
            <w:r w:rsidRPr="00A92988">
              <w:rPr>
                <w:lang w:val="en-AU"/>
              </w:rPr>
              <w:t xml:space="preserve">algorithm. As a result, there was uncertainty in </w:t>
            </w:r>
            <w:r w:rsidR="00BC48A6" w:rsidRPr="00A92988">
              <w:rPr>
                <w:lang w:val="en-AU"/>
              </w:rPr>
              <w:t xml:space="preserve">the </w:t>
            </w:r>
            <w:r w:rsidRPr="00A92988">
              <w:rPr>
                <w:lang w:val="en-AU"/>
              </w:rPr>
              <w:t>duration of treatment and the number of monitoring tests required per treated patient. MSAC disagreed with the pre-MSAC response, which stated that continuation and discontinuation criteria were unnecessary. (paragraph 7, page 5 of the PSD)]</w:t>
            </w:r>
          </w:p>
        </w:tc>
        <w:tc>
          <w:tcPr>
            <w:tcW w:w="3047" w:type="dxa"/>
            <w:tcBorders>
              <w:top w:val="single" w:sz="4" w:space="0" w:color="auto"/>
              <w:left w:val="single" w:sz="4" w:space="0" w:color="auto"/>
              <w:bottom w:val="single" w:sz="4" w:space="0" w:color="auto"/>
              <w:right w:val="single" w:sz="4" w:space="0" w:color="auto"/>
            </w:tcBorders>
          </w:tcPr>
          <w:p w14:paraId="7D159031" w14:textId="33F95C71" w:rsidR="00927176" w:rsidRPr="00A92988" w:rsidRDefault="00927176" w:rsidP="00AC3BE0">
            <w:pPr>
              <w:pStyle w:val="TableText"/>
              <w:spacing w:before="40" w:after="40"/>
              <w:rPr>
                <w:lang w:val="en-AU"/>
              </w:rPr>
            </w:pPr>
            <w:r w:rsidRPr="00A92988">
              <w:rPr>
                <w:lang w:val="en-AU"/>
              </w:rPr>
              <w:t xml:space="preserve">This is aligned with the TGA-registered HEPCLUDEX </w:t>
            </w:r>
            <w:r w:rsidR="00BC48A6" w:rsidRPr="00A92988">
              <w:rPr>
                <w:lang w:val="en-AU"/>
              </w:rPr>
              <w:t>product information (</w:t>
            </w:r>
            <w:r w:rsidRPr="00A92988">
              <w:rPr>
                <w:lang w:val="en-AU"/>
              </w:rPr>
              <w:t>PI</w:t>
            </w:r>
            <w:r w:rsidR="00BC48A6" w:rsidRPr="00A92988">
              <w:rPr>
                <w:lang w:val="en-AU"/>
              </w:rPr>
              <w:t>)</w:t>
            </w:r>
            <w:r w:rsidRPr="00A92988">
              <w:rPr>
                <w:lang w:val="en-AU"/>
              </w:rPr>
              <w:t xml:space="preserve"> which states clinically “treatment should be continued as long as associated with clinical benefit” and consistent with the restrictions for the treatment of patients with CHB on the PBS (who are managed by the same prescriber).</w:t>
            </w:r>
          </w:p>
          <w:p w14:paraId="54D340AD" w14:textId="77777777" w:rsidR="00BC48A6" w:rsidRPr="00A92988" w:rsidRDefault="00BC48A6" w:rsidP="00AC3BE0">
            <w:pPr>
              <w:pStyle w:val="TableText"/>
              <w:spacing w:before="40" w:after="40"/>
              <w:rPr>
                <w:lang w:val="en-AU"/>
              </w:rPr>
            </w:pPr>
          </w:p>
          <w:p w14:paraId="3F49A981" w14:textId="3AE84F44" w:rsidR="00927176" w:rsidRPr="00E96EDE" w:rsidRDefault="00927176" w:rsidP="00AC3BE0">
            <w:pPr>
              <w:pStyle w:val="TableText"/>
              <w:spacing w:before="40" w:after="40"/>
              <w:rPr>
                <w:highlight w:val="yellow"/>
                <w:lang w:val="en-AU"/>
              </w:rPr>
            </w:pPr>
            <w:proofErr w:type="gramStart"/>
            <w:r w:rsidRPr="00A92988">
              <w:rPr>
                <w:lang w:val="en-AU"/>
              </w:rPr>
              <w:t>Similar to</w:t>
            </w:r>
            <w:proofErr w:type="gramEnd"/>
            <w:r w:rsidRPr="00A92988">
              <w:rPr>
                <w:lang w:val="en-AU"/>
              </w:rPr>
              <w:t xml:space="preserve"> other viral hepatitis, the HDV RNA PCR test will be part of a battery of tests that will be used to assess and monitor </w:t>
            </w:r>
            <w:r w:rsidR="00BC48A6" w:rsidRPr="00A92988">
              <w:rPr>
                <w:lang w:val="en-AU"/>
              </w:rPr>
              <w:t xml:space="preserve">the </w:t>
            </w:r>
            <w:r w:rsidRPr="00A92988">
              <w:rPr>
                <w:lang w:val="en-AU"/>
              </w:rPr>
              <w:t xml:space="preserve">clinical benefit of chronic treatment with HEPCLUDEX. If there is no publicly funded test to quantify viral load, clinicians cannot assess whether clinical benefit is observed, and by association </w:t>
            </w:r>
            <w:r w:rsidR="00BC48A6" w:rsidRPr="00A92988">
              <w:rPr>
                <w:lang w:val="en-AU"/>
              </w:rPr>
              <w:t xml:space="preserve">determine </w:t>
            </w:r>
            <w:r w:rsidRPr="00A92988">
              <w:rPr>
                <w:lang w:val="en-AU"/>
              </w:rPr>
              <w:t xml:space="preserve">improved clinical outcomes. Additionally, the practicality of the PBS restriction in practice is maximised if aligned with </w:t>
            </w:r>
            <w:r w:rsidR="00BC48A6" w:rsidRPr="00A92988">
              <w:rPr>
                <w:lang w:val="en-AU"/>
              </w:rPr>
              <w:t xml:space="preserve">the </w:t>
            </w:r>
            <w:r w:rsidRPr="00A92988">
              <w:rPr>
                <w:lang w:val="en-AU"/>
              </w:rPr>
              <w:t>CHB PBS restriction since patients with CHD are coinfected with CHB and seen by the same physician who is highly experienced in the management of viral hepatitis and assessment of clinical benefit via CHB therapy on the PBS.</w:t>
            </w:r>
          </w:p>
        </w:tc>
        <w:tc>
          <w:tcPr>
            <w:tcW w:w="3048" w:type="dxa"/>
            <w:tcBorders>
              <w:top w:val="single" w:sz="4" w:space="0" w:color="auto"/>
              <w:left w:val="single" w:sz="4" w:space="0" w:color="auto"/>
              <w:bottom w:val="single" w:sz="4" w:space="0" w:color="auto"/>
              <w:right w:val="single" w:sz="4" w:space="0" w:color="auto"/>
            </w:tcBorders>
          </w:tcPr>
          <w:p w14:paraId="3DAF01F0" w14:textId="77777777" w:rsidR="00927176" w:rsidRPr="00A92988" w:rsidRDefault="00BC48A6" w:rsidP="00AC3BE0">
            <w:pPr>
              <w:pStyle w:val="TableText"/>
              <w:spacing w:before="40" w:after="40"/>
              <w:rPr>
                <w:i/>
                <w:iCs/>
                <w:lang w:val="en-AU"/>
              </w:rPr>
            </w:pPr>
            <w:r w:rsidRPr="00A92988">
              <w:rPr>
                <w:i/>
                <w:iCs/>
                <w:lang w:val="en-AU"/>
              </w:rPr>
              <w:t>No.</w:t>
            </w:r>
          </w:p>
          <w:p w14:paraId="07F87D87" w14:textId="02309424" w:rsidR="00BC48A6" w:rsidRPr="00E96EDE" w:rsidRDefault="00E72E86" w:rsidP="00AC3BE0">
            <w:pPr>
              <w:pStyle w:val="TableText"/>
              <w:spacing w:before="40" w:after="40"/>
              <w:rPr>
                <w:highlight w:val="yellow"/>
                <w:lang w:val="en-AU"/>
              </w:rPr>
            </w:pPr>
            <w:r>
              <w:rPr>
                <w:i/>
                <w:iCs/>
                <w:lang w:val="en-AU"/>
              </w:rPr>
              <w:t>The commentary considered that a</w:t>
            </w:r>
            <w:r w:rsidR="00BC48A6" w:rsidRPr="00A92988">
              <w:rPr>
                <w:i/>
                <w:iCs/>
                <w:lang w:val="en-AU"/>
              </w:rPr>
              <w:t>lignment with the TGA proposed usage of bulevirtide is not appropriate when that usage is not cost-effective. Continuation and discontinuation criteria are used to restrict the eligible population for treatment to those who would most benefit and, thus, where there is the greatest value for money.</w:t>
            </w:r>
          </w:p>
        </w:tc>
      </w:tr>
      <w:tr w:rsidR="00071E21" w:rsidRPr="00E96EDE" w14:paraId="47A1871B"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2972" w:type="dxa"/>
            <w:tcBorders>
              <w:top w:val="single" w:sz="4" w:space="0" w:color="auto"/>
              <w:left w:val="single" w:sz="4" w:space="0" w:color="auto"/>
              <w:bottom w:val="single" w:sz="4" w:space="0" w:color="auto"/>
              <w:right w:val="single" w:sz="4" w:space="0" w:color="auto"/>
            </w:tcBorders>
          </w:tcPr>
          <w:p w14:paraId="52EDF991" w14:textId="77777777" w:rsidR="00927176" w:rsidRPr="002D6502" w:rsidRDefault="00927176" w:rsidP="00AC3BE0">
            <w:pPr>
              <w:pStyle w:val="TableText"/>
              <w:spacing w:before="40" w:after="40"/>
              <w:rPr>
                <w:lang w:val="en-AU"/>
              </w:rPr>
            </w:pPr>
            <w:r w:rsidRPr="002D6502">
              <w:rPr>
                <w:lang w:val="en-AU"/>
              </w:rPr>
              <w:lastRenderedPageBreak/>
              <w:t>Provide additional clarity around the likely pattern of testing and retesting as per the EASL guidelines to better inform the economic evaluation.</w:t>
            </w:r>
          </w:p>
          <w:p w14:paraId="4D5EE4BD" w14:textId="77777777" w:rsidR="00BC48A6" w:rsidRPr="002D6502" w:rsidRDefault="00BC48A6" w:rsidP="00AC3BE0">
            <w:pPr>
              <w:pStyle w:val="TableText"/>
              <w:spacing w:before="40" w:after="40"/>
              <w:rPr>
                <w:lang w:val="en-AU"/>
              </w:rPr>
            </w:pPr>
          </w:p>
          <w:p w14:paraId="0E8C021A" w14:textId="17A16811" w:rsidR="00927176" w:rsidRPr="002D6502" w:rsidRDefault="00927176" w:rsidP="00AC3BE0">
            <w:pPr>
              <w:pStyle w:val="TableText"/>
              <w:spacing w:before="40" w:after="40"/>
              <w:rPr>
                <w:lang w:val="en-AU"/>
              </w:rPr>
            </w:pPr>
            <w:r w:rsidRPr="002D6502">
              <w:rPr>
                <w:lang w:val="en-AU"/>
              </w:rPr>
              <w:t xml:space="preserve">[MSAC noted the EASL guidelines suggest criteria for continuation or discontinuation of treatment if undetectable HDV RNA </w:t>
            </w:r>
            <w:r w:rsidR="00BC48A6" w:rsidRPr="002D6502">
              <w:rPr>
                <w:lang w:val="en-AU"/>
              </w:rPr>
              <w:t xml:space="preserve">occurs </w:t>
            </w:r>
            <w:r w:rsidRPr="002D6502">
              <w:rPr>
                <w:lang w:val="en-AU"/>
              </w:rPr>
              <w:t xml:space="preserve">beyond one year, and retesting recommendations </w:t>
            </w:r>
            <w:r w:rsidR="00BC48A6" w:rsidRPr="002D6502">
              <w:rPr>
                <w:lang w:val="en-AU"/>
              </w:rPr>
              <w:t xml:space="preserve">to </w:t>
            </w:r>
            <w:r w:rsidRPr="002D6502">
              <w:rPr>
                <w:lang w:val="en-AU"/>
              </w:rPr>
              <w:t>monitor for relapse. (paragraph 7, page 5 of the PSD)]</w:t>
            </w:r>
          </w:p>
        </w:tc>
        <w:tc>
          <w:tcPr>
            <w:tcW w:w="3047" w:type="dxa"/>
            <w:tcBorders>
              <w:top w:val="single" w:sz="4" w:space="0" w:color="auto"/>
              <w:left w:val="single" w:sz="4" w:space="0" w:color="auto"/>
              <w:bottom w:val="single" w:sz="4" w:space="0" w:color="auto"/>
              <w:right w:val="single" w:sz="4" w:space="0" w:color="auto"/>
            </w:tcBorders>
          </w:tcPr>
          <w:p w14:paraId="2C394B6E" w14:textId="10D12611" w:rsidR="00927176" w:rsidRPr="002D6502" w:rsidRDefault="003B3FA3" w:rsidP="00AC3BE0">
            <w:pPr>
              <w:pStyle w:val="TableText"/>
              <w:spacing w:before="40" w:after="40"/>
              <w:rPr>
                <w:lang w:val="en-AU"/>
              </w:rPr>
            </w:pPr>
            <w:r w:rsidRPr="002D6502">
              <w:rPr>
                <w:lang w:val="en-AU"/>
              </w:rPr>
              <w:t>No evidence was provided regarding</w:t>
            </w:r>
            <w:r w:rsidR="00BC48A6" w:rsidRPr="002D6502">
              <w:rPr>
                <w:lang w:val="en-AU"/>
              </w:rPr>
              <w:t xml:space="preserve"> a</w:t>
            </w:r>
            <w:r w:rsidRPr="002D6502">
              <w:rPr>
                <w:lang w:val="en-AU"/>
              </w:rPr>
              <w:t xml:space="preserve"> change in management based on the proportion of patients who had their treatment changed </w:t>
            </w:r>
            <w:r w:rsidR="00BC48A6" w:rsidRPr="002D6502">
              <w:rPr>
                <w:lang w:val="en-AU"/>
              </w:rPr>
              <w:t>due to</w:t>
            </w:r>
            <w:r w:rsidRPr="002D6502">
              <w:rPr>
                <w:lang w:val="en-AU"/>
              </w:rPr>
              <w:t xml:space="preserve"> </w:t>
            </w:r>
            <w:r w:rsidR="003B35EF" w:rsidRPr="002D6502">
              <w:rPr>
                <w:lang w:val="en-AU"/>
              </w:rPr>
              <w:t>lack of</w:t>
            </w:r>
            <w:r w:rsidRPr="002D6502">
              <w:rPr>
                <w:lang w:val="en-AU"/>
              </w:rPr>
              <w:t xml:space="preserve"> clinical benefit. </w:t>
            </w:r>
            <w:r w:rsidR="0060640E" w:rsidRPr="002D6502">
              <w:rPr>
                <w:lang w:val="en-AU"/>
              </w:rPr>
              <w:t xml:space="preserve">The economic evaluation assumed that </w:t>
            </w:r>
            <w:r w:rsidRPr="002D6502">
              <w:rPr>
                <w:lang w:val="en-AU"/>
              </w:rPr>
              <w:t xml:space="preserve">all </w:t>
            </w:r>
            <w:r w:rsidR="0060640E" w:rsidRPr="002D6502">
              <w:rPr>
                <w:lang w:val="en-AU"/>
              </w:rPr>
              <w:t>patients in the bulevirtide arm received 144 weeks of bulevirtide treatment, unless they experience</w:t>
            </w:r>
            <w:r w:rsidR="003B35EF" w:rsidRPr="002D6502">
              <w:rPr>
                <w:lang w:val="en-AU"/>
              </w:rPr>
              <w:t>d</w:t>
            </w:r>
            <w:r w:rsidR="0060640E" w:rsidRPr="002D6502">
              <w:rPr>
                <w:lang w:val="en-AU"/>
              </w:rPr>
              <w:t xml:space="preserve"> HBsAg </w:t>
            </w:r>
            <w:proofErr w:type="spellStart"/>
            <w:r w:rsidR="0060640E" w:rsidRPr="002D6502">
              <w:rPr>
                <w:lang w:val="en-AU"/>
              </w:rPr>
              <w:t>seroclearance</w:t>
            </w:r>
            <w:proofErr w:type="spellEnd"/>
            <w:r w:rsidR="0060640E" w:rsidRPr="002D6502">
              <w:rPr>
                <w:lang w:val="en-AU"/>
              </w:rPr>
              <w:t>, disease progression or d</w:t>
            </w:r>
            <w:r w:rsidR="003B35EF" w:rsidRPr="002D6502">
              <w:rPr>
                <w:lang w:val="en-AU"/>
              </w:rPr>
              <w:t>eath</w:t>
            </w:r>
            <w:r w:rsidR="0060640E" w:rsidRPr="002D6502">
              <w:rPr>
                <w:lang w:val="en-AU"/>
              </w:rPr>
              <w:t xml:space="preserve">. After Week 144, non-responders were assumed to cease treatment. </w:t>
            </w:r>
          </w:p>
        </w:tc>
        <w:tc>
          <w:tcPr>
            <w:tcW w:w="3048" w:type="dxa"/>
            <w:tcBorders>
              <w:top w:val="single" w:sz="4" w:space="0" w:color="auto"/>
              <w:left w:val="single" w:sz="4" w:space="0" w:color="auto"/>
              <w:bottom w:val="single" w:sz="4" w:space="0" w:color="auto"/>
              <w:right w:val="single" w:sz="4" w:space="0" w:color="auto"/>
            </w:tcBorders>
          </w:tcPr>
          <w:p w14:paraId="3A897535" w14:textId="77777777" w:rsidR="0021265F" w:rsidRPr="002D6502" w:rsidRDefault="0060640E" w:rsidP="0060640E">
            <w:pPr>
              <w:pStyle w:val="TableText"/>
              <w:spacing w:before="40" w:after="40"/>
              <w:rPr>
                <w:lang w:val="en-AU"/>
              </w:rPr>
            </w:pPr>
            <w:r w:rsidRPr="002D6502">
              <w:rPr>
                <w:i/>
                <w:iCs/>
                <w:lang w:val="en-AU"/>
              </w:rPr>
              <w:t>No.</w:t>
            </w:r>
            <w:r w:rsidR="003B3FA3" w:rsidRPr="002D6502">
              <w:rPr>
                <w:lang w:val="en-AU"/>
              </w:rPr>
              <w:t xml:space="preserve"> </w:t>
            </w:r>
          </w:p>
          <w:p w14:paraId="59ED7729" w14:textId="1CAFD297" w:rsidR="0060640E" w:rsidRPr="002D6502" w:rsidRDefault="00387A04" w:rsidP="0060640E">
            <w:pPr>
              <w:pStyle w:val="TableText"/>
              <w:spacing w:before="40" w:after="40"/>
              <w:rPr>
                <w:i/>
                <w:iCs/>
                <w:lang w:val="en-AU"/>
              </w:rPr>
            </w:pPr>
            <w:r>
              <w:rPr>
                <w:i/>
                <w:iCs/>
                <w:lang w:val="en-AU"/>
              </w:rPr>
              <w:t>The commentary considered that t</w:t>
            </w:r>
            <w:r w:rsidR="0021265F" w:rsidRPr="002D6502">
              <w:rPr>
                <w:i/>
                <w:iCs/>
                <w:lang w:val="en-AU"/>
              </w:rPr>
              <w:t>here is little evidence (only four patients) that HDV RNA PCR testing will lead to a change in patient managemen</w:t>
            </w:r>
            <w:r w:rsidR="00543835">
              <w:rPr>
                <w:i/>
                <w:iCs/>
                <w:lang w:val="en-AU"/>
              </w:rPr>
              <w:t xml:space="preserve">t. </w:t>
            </w:r>
          </w:p>
          <w:p w14:paraId="032605FC" w14:textId="77777777" w:rsidR="00927176" w:rsidRDefault="0060640E" w:rsidP="0060640E">
            <w:pPr>
              <w:pStyle w:val="TableText"/>
              <w:spacing w:before="40" w:after="40"/>
              <w:rPr>
                <w:i/>
                <w:iCs/>
                <w:lang w:val="en-AU"/>
              </w:rPr>
            </w:pPr>
            <w:r w:rsidRPr="002D6502">
              <w:rPr>
                <w:i/>
                <w:iCs/>
                <w:lang w:val="en-AU"/>
              </w:rPr>
              <w:t>Aside from the modelled stopping rule for treatment in non-responders at Week 144</w:t>
            </w:r>
            <w:r w:rsidR="003B35EF" w:rsidRPr="002D6502">
              <w:rPr>
                <w:i/>
                <w:iCs/>
                <w:lang w:val="en-AU"/>
              </w:rPr>
              <w:t xml:space="preserve"> (which affected costs but not outcomes)</w:t>
            </w:r>
            <w:r w:rsidRPr="002D6502">
              <w:rPr>
                <w:i/>
                <w:iCs/>
                <w:lang w:val="en-AU"/>
              </w:rPr>
              <w:t xml:space="preserve">, the purpose of continued monitoring in the model was not clear. </w:t>
            </w:r>
          </w:p>
          <w:p w14:paraId="017ED651" w14:textId="77777777" w:rsidR="00387A04" w:rsidRDefault="00387A04" w:rsidP="0060640E">
            <w:pPr>
              <w:pStyle w:val="TableText"/>
              <w:spacing w:before="40" w:after="40"/>
              <w:rPr>
                <w:lang w:val="en-AU"/>
              </w:rPr>
            </w:pPr>
          </w:p>
          <w:p w14:paraId="2D0F8657" w14:textId="7A9B65B5" w:rsidR="00387A04" w:rsidRPr="002D6502" w:rsidRDefault="00387A04" w:rsidP="0060640E">
            <w:pPr>
              <w:pStyle w:val="TableText"/>
              <w:spacing w:before="40" w:after="40"/>
              <w:rPr>
                <w:lang w:val="en-AU"/>
              </w:rPr>
            </w:pPr>
            <w:proofErr w:type="gramStart"/>
            <w:r>
              <w:rPr>
                <w:i/>
                <w:iCs/>
                <w:lang w:val="en-AU"/>
              </w:rPr>
              <w:t>However</w:t>
            </w:r>
            <w:proofErr w:type="gramEnd"/>
            <w:r>
              <w:rPr>
                <w:i/>
                <w:iCs/>
                <w:lang w:val="en-AU"/>
              </w:rPr>
              <w:t xml:space="preserve"> refer to ‘</w:t>
            </w:r>
            <w:r w:rsidRPr="00E72E86">
              <w:rPr>
                <w:i/>
                <w:iCs/>
                <w:lang w:val="en-AU"/>
              </w:rPr>
              <w:t>Summary of consideration and rationale for MSAC’s advice</w:t>
            </w:r>
            <w:r>
              <w:rPr>
                <w:i/>
                <w:iCs/>
                <w:lang w:val="en-AU"/>
              </w:rPr>
              <w:t>’.</w:t>
            </w:r>
          </w:p>
        </w:tc>
      </w:tr>
      <w:tr w:rsidR="00071E21" w:rsidRPr="00E96EDE" w14:paraId="09ED8D2C"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2972" w:type="dxa"/>
            <w:tcBorders>
              <w:top w:val="single" w:sz="4" w:space="0" w:color="auto"/>
              <w:left w:val="single" w:sz="4" w:space="0" w:color="auto"/>
              <w:bottom w:val="single" w:sz="4" w:space="0" w:color="auto"/>
              <w:right w:val="single" w:sz="4" w:space="0" w:color="auto"/>
            </w:tcBorders>
          </w:tcPr>
          <w:p w14:paraId="1AC8E5EF" w14:textId="77777777" w:rsidR="00927176" w:rsidRPr="002D6502" w:rsidRDefault="00927176" w:rsidP="00AC3BE0">
            <w:pPr>
              <w:pStyle w:val="TableText"/>
              <w:spacing w:before="40" w:after="40"/>
              <w:rPr>
                <w:lang w:val="en-AU"/>
              </w:rPr>
            </w:pPr>
            <w:r w:rsidRPr="002D6502">
              <w:rPr>
                <w:lang w:val="en-AU"/>
              </w:rPr>
              <w:t>Identify and include any further new evidence of the test given the high risk of bias in the submitted evidence.</w:t>
            </w:r>
          </w:p>
          <w:p w14:paraId="3FBE3877" w14:textId="77777777" w:rsidR="00BC48A6" w:rsidRPr="002D6502" w:rsidRDefault="00BC48A6" w:rsidP="00AC3BE0">
            <w:pPr>
              <w:pStyle w:val="TableText"/>
              <w:spacing w:before="40" w:after="40"/>
              <w:rPr>
                <w:lang w:val="en-AU"/>
              </w:rPr>
            </w:pPr>
          </w:p>
          <w:p w14:paraId="2829D479" w14:textId="071BBC72" w:rsidR="00927176" w:rsidRPr="002D6502" w:rsidRDefault="00927176" w:rsidP="00AC3BE0">
            <w:pPr>
              <w:pStyle w:val="TableText"/>
              <w:spacing w:before="40" w:after="40"/>
              <w:rPr>
                <w:lang w:val="en-AU"/>
              </w:rPr>
            </w:pPr>
            <w:r w:rsidRPr="002D6502">
              <w:rPr>
                <w:lang w:val="en-AU"/>
              </w:rPr>
              <w:t>[MSAC noted that the linked evidence for clinical effectiveness (test accuracy and performance, prognostic evidence and change in patient management) was considered</w:t>
            </w:r>
            <w:r w:rsidR="00DD5770" w:rsidRPr="002D6502">
              <w:rPr>
                <w:lang w:val="en-AU"/>
              </w:rPr>
              <w:t xml:space="preserve"> </w:t>
            </w:r>
            <w:r w:rsidRPr="002D6502">
              <w:rPr>
                <w:lang w:val="en-AU"/>
              </w:rPr>
              <w:t>at high risk of bias in all domains and its generalisability was uncertain as no Australian studies were included. There was no evidence presented for clinical utility or treatment effect variation. (paragraph 3, page 6 of the PSD)]</w:t>
            </w:r>
          </w:p>
        </w:tc>
        <w:tc>
          <w:tcPr>
            <w:tcW w:w="3047" w:type="dxa"/>
            <w:tcBorders>
              <w:top w:val="single" w:sz="4" w:space="0" w:color="auto"/>
              <w:left w:val="single" w:sz="4" w:space="0" w:color="auto"/>
              <w:bottom w:val="single" w:sz="4" w:space="0" w:color="auto"/>
              <w:right w:val="single" w:sz="4" w:space="0" w:color="auto"/>
            </w:tcBorders>
          </w:tcPr>
          <w:p w14:paraId="67C8E6D8" w14:textId="77777777" w:rsidR="00927176" w:rsidRPr="002D6502" w:rsidRDefault="00927176" w:rsidP="00AC3BE0">
            <w:pPr>
              <w:pStyle w:val="TableText"/>
              <w:spacing w:before="40" w:after="40"/>
              <w:rPr>
                <w:lang w:val="en-AU"/>
              </w:rPr>
            </w:pPr>
            <w:r w:rsidRPr="002D6502">
              <w:rPr>
                <w:lang w:val="en-AU"/>
              </w:rPr>
              <w:t>Addressed in Section 2</w:t>
            </w:r>
          </w:p>
          <w:p w14:paraId="214CD1D9" w14:textId="77777777" w:rsidR="00927176" w:rsidRPr="002D6502" w:rsidRDefault="00927176" w:rsidP="00AC3BE0">
            <w:pPr>
              <w:pStyle w:val="TableText"/>
              <w:spacing w:before="40" w:after="40"/>
              <w:rPr>
                <w:lang w:val="en-AU"/>
              </w:rPr>
            </w:pPr>
            <w:r w:rsidRPr="002D6502">
              <w:rPr>
                <w:lang w:val="en-AU"/>
              </w:rPr>
              <w:t>Additional studies reporting on the prognostic value of testing and on the change in management following testing were included</w:t>
            </w:r>
          </w:p>
          <w:p w14:paraId="1B1B4275" w14:textId="77777777" w:rsidR="00927176" w:rsidRPr="002D6502" w:rsidRDefault="00927176" w:rsidP="00AC3BE0">
            <w:pPr>
              <w:pStyle w:val="TableText"/>
              <w:spacing w:before="40" w:after="40"/>
              <w:rPr>
                <w:lang w:val="en-AU"/>
              </w:rPr>
            </w:pPr>
            <w:r w:rsidRPr="002D6502">
              <w:rPr>
                <w:lang w:val="en-AU"/>
              </w:rPr>
              <w:t>Search date: 2nd July 2024</w:t>
            </w:r>
          </w:p>
        </w:tc>
        <w:tc>
          <w:tcPr>
            <w:tcW w:w="3048" w:type="dxa"/>
            <w:tcBorders>
              <w:top w:val="single" w:sz="4" w:space="0" w:color="auto"/>
              <w:left w:val="single" w:sz="4" w:space="0" w:color="auto"/>
              <w:bottom w:val="single" w:sz="4" w:space="0" w:color="auto"/>
              <w:right w:val="single" w:sz="4" w:space="0" w:color="auto"/>
            </w:tcBorders>
          </w:tcPr>
          <w:p w14:paraId="7FD1470F" w14:textId="77777777" w:rsidR="00927176" w:rsidRPr="002D6502" w:rsidRDefault="00927176" w:rsidP="00AC3BE0">
            <w:pPr>
              <w:pStyle w:val="TableText"/>
              <w:spacing w:before="40" w:after="40"/>
              <w:rPr>
                <w:i/>
                <w:iCs/>
                <w:lang w:val="en-AU"/>
              </w:rPr>
            </w:pPr>
            <w:r w:rsidRPr="002D6502">
              <w:rPr>
                <w:i/>
                <w:iCs/>
                <w:lang w:val="en-AU"/>
              </w:rPr>
              <w:t>Yes.</w:t>
            </w:r>
          </w:p>
          <w:p w14:paraId="1AA0125F" w14:textId="2BB9560A" w:rsidR="00927176" w:rsidRPr="002D6502" w:rsidRDefault="00927176" w:rsidP="00AC3BE0">
            <w:pPr>
              <w:pStyle w:val="TableText"/>
              <w:spacing w:before="40" w:after="40"/>
              <w:rPr>
                <w:i/>
                <w:iCs/>
                <w:lang w:val="en-AU"/>
              </w:rPr>
            </w:pPr>
            <w:r w:rsidRPr="002D6502">
              <w:rPr>
                <w:i/>
                <w:iCs/>
                <w:lang w:val="en-AU"/>
              </w:rPr>
              <w:t xml:space="preserve">However, the </w:t>
            </w:r>
            <w:r w:rsidR="00387A04">
              <w:rPr>
                <w:i/>
                <w:iCs/>
                <w:lang w:val="en-AU"/>
              </w:rPr>
              <w:t xml:space="preserve">commentary considered that the </w:t>
            </w:r>
            <w:r w:rsidRPr="002D6502">
              <w:rPr>
                <w:i/>
                <w:iCs/>
                <w:lang w:val="en-AU"/>
              </w:rPr>
              <w:t>additional studies provided no additional evidence on the prognostic value of a &gt;2 log</w:t>
            </w:r>
            <w:r w:rsidRPr="002D6502">
              <w:rPr>
                <w:i/>
                <w:iCs/>
                <w:vertAlign w:val="subscript"/>
                <w:lang w:val="en-AU"/>
              </w:rPr>
              <w:t>10</w:t>
            </w:r>
            <w:r w:rsidRPr="002D6502">
              <w:rPr>
                <w:i/>
                <w:iCs/>
                <w:lang w:val="en-AU"/>
              </w:rPr>
              <w:t xml:space="preserve"> IU/mL decrease in HDV RNA</w:t>
            </w:r>
            <w:r w:rsidR="00387A04">
              <w:rPr>
                <w:i/>
                <w:iCs/>
                <w:lang w:val="en-AU"/>
              </w:rPr>
              <w:t xml:space="preserve"> and </w:t>
            </w:r>
            <w:r w:rsidRPr="002D6502">
              <w:rPr>
                <w:i/>
                <w:iCs/>
                <w:lang w:val="en-AU"/>
              </w:rPr>
              <w:t>did not provide any new evidence of HDV RNA values influencing patient management</w:t>
            </w:r>
            <w:r w:rsidR="00387A04">
              <w:rPr>
                <w:i/>
                <w:iCs/>
                <w:lang w:val="en-AU"/>
              </w:rPr>
              <w:t>.</w:t>
            </w:r>
          </w:p>
        </w:tc>
      </w:tr>
      <w:tr w:rsidR="00071E21" w:rsidRPr="00FD70DE" w14:paraId="6F4B022A"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2972" w:type="dxa"/>
            <w:tcBorders>
              <w:top w:val="single" w:sz="4" w:space="0" w:color="auto"/>
              <w:left w:val="single" w:sz="4" w:space="0" w:color="auto"/>
              <w:bottom w:val="single" w:sz="4" w:space="0" w:color="auto"/>
              <w:right w:val="single" w:sz="4" w:space="0" w:color="auto"/>
            </w:tcBorders>
          </w:tcPr>
          <w:p w14:paraId="794D8F79" w14:textId="77777777" w:rsidR="00927176" w:rsidRPr="002D6502" w:rsidRDefault="00927176" w:rsidP="00AC3BE0">
            <w:pPr>
              <w:pStyle w:val="TableText"/>
              <w:spacing w:before="40" w:after="40"/>
              <w:rPr>
                <w:lang w:val="en-AU"/>
              </w:rPr>
            </w:pPr>
            <w:r w:rsidRPr="002D6502">
              <w:rPr>
                <w:lang w:val="en-AU"/>
              </w:rPr>
              <w:t>Provide updated economic evaluation and financial assessments that address MSAC’s advice.</w:t>
            </w:r>
          </w:p>
          <w:p w14:paraId="79F78189" w14:textId="77777777" w:rsidR="00DD5770" w:rsidRPr="002D6502" w:rsidRDefault="00DD5770" w:rsidP="00AC3BE0">
            <w:pPr>
              <w:pStyle w:val="TableText"/>
              <w:spacing w:before="40" w:after="40"/>
              <w:rPr>
                <w:lang w:val="en-AU"/>
              </w:rPr>
            </w:pPr>
          </w:p>
          <w:p w14:paraId="2F860188" w14:textId="4B5523EE" w:rsidR="00927176" w:rsidRPr="002D6502" w:rsidRDefault="00927176" w:rsidP="00AC3BE0">
            <w:pPr>
              <w:pStyle w:val="TableText"/>
              <w:spacing w:before="40" w:after="40"/>
              <w:rPr>
                <w:lang w:val="en-AU"/>
              </w:rPr>
            </w:pPr>
            <w:r w:rsidRPr="002D6502">
              <w:rPr>
                <w:lang w:val="en-AU"/>
              </w:rPr>
              <w:t>[MSAC noted that the only change in management that was modelled was to cease treatment in non-responders at week 96 (</w:t>
            </w:r>
            <w:r w:rsidR="00B036FC">
              <w:rPr>
                <w:lang w:val="en-AU"/>
              </w:rPr>
              <w:t>1.8</w:t>
            </w:r>
            <w:r w:rsidRPr="002D6502">
              <w:rPr>
                <w:lang w:val="en-AU"/>
              </w:rPr>
              <w:t xml:space="preserve"> years). MSAC considered it likely that uptake and adherence to drug treatment had been overestimated by the ADAR, because drug administration is a daily injection for about 8 years. MSAC considered that the recommendations in the EASL guidelines on retesting had additional implications for the projected utilisation of the test that had not been captured in the economic model or the financial implications. (paragraph </w:t>
            </w:r>
            <w:r w:rsidR="00DF4862">
              <w:rPr>
                <w:lang w:val="en-AU"/>
              </w:rPr>
              <w:t>3</w:t>
            </w:r>
            <w:r w:rsidRPr="002D6502">
              <w:rPr>
                <w:lang w:val="en-AU"/>
              </w:rPr>
              <w:t>, page 7 of the PSD)]</w:t>
            </w:r>
          </w:p>
        </w:tc>
        <w:tc>
          <w:tcPr>
            <w:tcW w:w="3047" w:type="dxa"/>
            <w:tcBorders>
              <w:top w:val="single" w:sz="4" w:space="0" w:color="auto"/>
              <w:left w:val="single" w:sz="4" w:space="0" w:color="auto"/>
              <w:bottom w:val="single" w:sz="4" w:space="0" w:color="auto"/>
              <w:right w:val="single" w:sz="4" w:space="0" w:color="auto"/>
            </w:tcBorders>
          </w:tcPr>
          <w:p w14:paraId="39D7353D" w14:textId="77777777" w:rsidR="00927176" w:rsidRPr="002D6502" w:rsidRDefault="0060640E" w:rsidP="00AC3BE0">
            <w:pPr>
              <w:pStyle w:val="TableText"/>
              <w:spacing w:before="40" w:after="40"/>
              <w:rPr>
                <w:lang w:val="en-AU"/>
              </w:rPr>
            </w:pPr>
            <w:r w:rsidRPr="002D6502">
              <w:rPr>
                <w:lang w:val="en-AU"/>
              </w:rPr>
              <w:t>The economic evaluation in the resubmission included cost for HDV RNA testing 6-monthly; but the only change in management that was modelled was to cease treatment in non-responders at week 144.</w:t>
            </w:r>
          </w:p>
          <w:p w14:paraId="0A485229" w14:textId="77777777" w:rsidR="00CE261E" w:rsidRPr="002D6502" w:rsidRDefault="00CE261E" w:rsidP="00AC3BE0">
            <w:pPr>
              <w:pStyle w:val="TableText"/>
              <w:spacing w:before="40" w:after="40"/>
              <w:rPr>
                <w:lang w:val="en-AU"/>
              </w:rPr>
            </w:pPr>
          </w:p>
          <w:p w14:paraId="42F57986" w14:textId="3DD68EF2" w:rsidR="00CE261E" w:rsidRPr="002D6502" w:rsidRDefault="00CE261E" w:rsidP="00AC3BE0">
            <w:pPr>
              <w:pStyle w:val="TableText"/>
              <w:spacing w:before="40" w:after="40"/>
              <w:rPr>
                <w:lang w:val="en-AU"/>
              </w:rPr>
            </w:pPr>
            <w:r w:rsidRPr="002D6502">
              <w:t>The financial evaluation in the resubmission addressed most issues raised following the March 2024 submission.</w:t>
            </w:r>
          </w:p>
        </w:tc>
        <w:tc>
          <w:tcPr>
            <w:tcW w:w="3048" w:type="dxa"/>
            <w:tcBorders>
              <w:top w:val="single" w:sz="4" w:space="0" w:color="auto"/>
              <w:left w:val="single" w:sz="4" w:space="0" w:color="auto"/>
              <w:bottom w:val="single" w:sz="4" w:space="0" w:color="auto"/>
              <w:right w:val="single" w:sz="4" w:space="0" w:color="auto"/>
            </w:tcBorders>
          </w:tcPr>
          <w:p w14:paraId="3A26A423" w14:textId="77777777" w:rsidR="003B3FA3" w:rsidRPr="002D6502" w:rsidRDefault="003B3FA3" w:rsidP="003B3FA3">
            <w:pPr>
              <w:pStyle w:val="TableText"/>
              <w:spacing w:before="40" w:after="40"/>
              <w:rPr>
                <w:i/>
                <w:iCs/>
                <w:lang w:val="en-AU"/>
              </w:rPr>
            </w:pPr>
            <w:r w:rsidRPr="002D6502">
              <w:rPr>
                <w:i/>
                <w:iCs/>
                <w:lang w:val="en-AU"/>
              </w:rPr>
              <w:t xml:space="preserve">No. </w:t>
            </w:r>
          </w:p>
          <w:p w14:paraId="2E07D45D" w14:textId="00267A2E" w:rsidR="00927176" w:rsidRPr="002D6502" w:rsidRDefault="00454B57" w:rsidP="003B3FA3">
            <w:pPr>
              <w:pStyle w:val="TableText"/>
              <w:spacing w:before="40" w:after="40"/>
              <w:rPr>
                <w:i/>
                <w:iCs/>
                <w:lang w:val="en-AU"/>
              </w:rPr>
            </w:pPr>
            <w:r>
              <w:rPr>
                <w:i/>
                <w:iCs/>
                <w:lang w:val="en-AU"/>
              </w:rPr>
              <w:t>The commentary considered that t</w:t>
            </w:r>
            <w:r w:rsidR="003B3FA3" w:rsidRPr="002D6502">
              <w:rPr>
                <w:i/>
                <w:iCs/>
                <w:lang w:val="en-AU"/>
              </w:rPr>
              <w:t>he purpose of continued monitoring in the economic model was not clear.</w:t>
            </w:r>
            <w:r w:rsidR="003B3FA3" w:rsidRPr="002D6502">
              <w:rPr>
                <w:lang w:val="en-AU"/>
              </w:rPr>
              <w:t xml:space="preserve"> </w:t>
            </w:r>
          </w:p>
          <w:p w14:paraId="3062183B" w14:textId="77777777" w:rsidR="00E96EDE" w:rsidRPr="002D6502" w:rsidRDefault="00E96EDE" w:rsidP="003B3FA3">
            <w:pPr>
              <w:pStyle w:val="TableText"/>
              <w:spacing w:before="40" w:after="40"/>
              <w:rPr>
                <w:i/>
                <w:iCs/>
              </w:rPr>
            </w:pPr>
          </w:p>
          <w:p w14:paraId="5E43EF95" w14:textId="7042090D" w:rsidR="00CE261E" w:rsidRPr="002D6502" w:rsidRDefault="00CE261E" w:rsidP="003B3FA3">
            <w:pPr>
              <w:pStyle w:val="TableText"/>
              <w:spacing w:before="40" w:after="40"/>
              <w:rPr>
                <w:i/>
                <w:iCs/>
                <w:lang w:val="en-AU"/>
              </w:rPr>
            </w:pPr>
            <w:r w:rsidRPr="002D6502">
              <w:rPr>
                <w:i/>
                <w:iCs/>
              </w:rPr>
              <w:t xml:space="preserve">The financial estimates are structurally </w:t>
            </w:r>
            <w:r w:rsidR="005842D8" w:rsidRPr="002D6502">
              <w:rPr>
                <w:i/>
                <w:iCs/>
              </w:rPr>
              <w:t>sound but</w:t>
            </w:r>
            <w:r w:rsidRPr="002D6502">
              <w:rPr>
                <w:i/>
                <w:iCs/>
              </w:rPr>
              <w:t xml:space="preserve"> will require reassessment </w:t>
            </w:r>
            <w:proofErr w:type="gramStart"/>
            <w:r w:rsidRPr="002D6502">
              <w:rPr>
                <w:i/>
                <w:iCs/>
              </w:rPr>
              <w:t>in light of</w:t>
            </w:r>
            <w:proofErr w:type="gramEnd"/>
            <w:r w:rsidRPr="002D6502">
              <w:rPr>
                <w:i/>
                <w:iCs/>
              </w:rPr>
              <w:t xml:space="preserve"> any MSAC recommendations that change the frequency or duration of monitoring and its impact on </w:t>
            </w:r>
            <w:r w:rsidR="005773D6" w:rsidRPr="002D6502">
              <w:rPr>
                <w:i/>
                <w:iCs/>
              </w:rPr>
              <w:t xml:space="preserve">the </w:t>
            </w:r>
            <w:r w:rsidRPr="002D6502">
              <w:rPr>
                <w:i/>
                <w:iCs/>
              </w:rPr>
              <w:t>duration of treatment.</w:t>
            </w:r>
          </w:p>
        </w:tc>
      </w:tr>
      <w:tr w:rsidR="00071E21" w:rsidRPr="00FD70DE" w14:paraId="0CDE05FF"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9067" w:type="dxa"/>
            <w:gridSpan w:val="3"/>
            <w:tcBorders>
              <w:top w:val="single" w:sz="4" w:space="0" w:color="auto"/>
              <w:left w:val="single" w:sz="4" w:space="0" w:color="auto"/>
              <w:bottom w:val="single" w:sz="4" w:space="0" w:color="auto"/>
              <w:right w:val="single" w:sz="4" w:space="0" w:color="auto"/>
            </w:tcBorders>
          </w:tcPr>
          <w:p w14:paraId="2B9EF9B3" w14:textId="77777777" w:rsidR="00927176" w:rsidRPr="002D6502" w:rsidRDefault="00927176" w:rsidP="00AC3BE0">
            <w:pPr>
              <w:pStyle w:val="TableText"/>
              <w:spacing w:before="40" w:after="40"/>
              <w:rPr>
                <w:b/>
                <w:bCs/>
                <w:lang w:val="en-AU"/>
              </w:rPr>
            </w:pPr>
            <w:r w:rsidRPr="002D6502">
              <w:rPr>
                <w:b/>
                <w:bCs/>
                <w:lang w:val="en-AU"/>
              </w:rPr>
              <w:t>Other issues of concern identified by the MSAC in the PSD:</w:t>
            </w:r>
          </w:p>
        </w:tc>
      </w:tr>
      <w:tr w:rsidR="00071E21" w:rsidRPr="00FD70DE" w14:paraId="162B1E56" w14:textId="77777777" w:rsidTr="00AC3BE0">
        <w:tc>
          <w:tcPr>
            <w:tcW w:w="2972" w:type="dxa"/>
            <w:tcBorders>
              <w:top w:val="single" w:sz="4" w:space="0" w:color="auto"/>
            </w:tcBorders>
            <w:shd w:val="clear" w:color="auto" w:fill="FFFFFF" w:themeFill="background1"/>
          </w:tcPr>
          <w:p w14:paraId="3C98C36E" w14:textId="77777777" w:rsidR="00927176" w:rsidRPr="002D6502" w:rsidRDefault="00927176" w:rsidP="00AC3BE0">
            <w:pPr>
              <w:pStyle w:val="TableText"/>
              <w:spacing w:before="40" w:after="40"/>
              <w:rPr>
                <w:lang w:val="en-AU"/>
              </w:rPr>
            </w:pPr>
            <w:r w:rsidRPr="002D6502">
              <w:rPr>
                <w:lang w:val="en-AU"/>
              </w:rPr>
              <w:t xml:space="preserve">MSAC noted that standard practice is </w:t>
            </w:r>
            <w:r w:rsidRPr="002D6502">
              <w:rPr>
                <w:lang w:val="en-AU"/>
              </w:rPr>
              <w:lastRenderedPageBreak/>
              <w:t>if anti-HDV antibodies are detected, the patient should be tested for serum HDV RNA to determine whether an active infection is present – however there is currently no international standard for threshold levels of anti-HDV antibodies that are indicative of HDV exposure. There is also a lack of uniform international recommendations for screening for HDV infection in people with HBV.</w:t>
            </w:r>
          </w:p>
          <w:p w14:paraId="4B8E2ADA" w14:textId="77777777" w:rsidR="00927176" w:rsidRPr="002D6502" w:rsidRDefault="00927176" w:rsidP="00AC3BE0">
            <w:pPr>
              <w:pStyle w:val="TableText"/>
              <w:spacing w:before="40" w:after="40"/>
              <w:rPr>
                <w:lang w:val="en-AU"/>
              </w:rPr>
            </w:pPr>
            <w:r w:rsidRPr="002D6502">
              <w:rPr>
                <w:lang w:val="en-AU"/>
              </w:rPr>
              <w:t>(paragraph 5, page 4 of the PSD)</w:t>
            </w:r>
          </w:p>
        </w:tc>
        <w:tc>
          <w:tcPr>
            <w:tcW w:w="3047" w:type="dxa"/>
            <w:tcBorders>
              <w:top w:val="single" w:sz="4" w:space="0" w:color="auto"/>
            </w:tcBorders>
            <w:shd w:val="clear" w:color="auto" w:fill="FFFFFF" w:themeFill="background1"/>
          </w:tcPr>
          <w:p w14:paraId="280EC982" w14:textId="655BE118" w:rsidR="00927176" w:rsidRPr="002D6502" w:rsidRDefault="00B420ED" w:rsidP="00AC3BE0">
            <w:pPr>
              <w:pStyle w:val="TableText"/>
              <w:spacing w:before="40" w:after="40"/>
              <w:rPr>
                <w:lang w:val="en-AU"/>
              </w:rPr>
            </w:pPr>
            <w:r w:rsidRPr="002D6502">
              <w:rPr>
                <w:lang w:val="en-AU"/>
              </w:rPr>
              <w:lastRenderedPageBreak/>
              <w:t xml:space="preserve">This was not considered in the </w:t>
            </w:r>
            <w:r w:rsidRPr="002D6502">
              <w:rPr>
                <w:lang w:val="en-AU"/>
              </w:rPr>
              <w:lastRenderedPageBreak/>
              <w:t xml:space="preserve">resubmission. </w:t>
            </w:r>
          </w:p>
        </w:tc>
        <w:tc>
          <w:tcPr>
            <w:tcW w:w="3048" w:type="dxa"/>
            <w:tcBorders>
              <w:top w:val="single" w:sz="4" w:space="0" w:color="auto"/>
            </w:tcBorders>
            <w:shd w:val="clear" w:color="auto" w:fill="FFFFFF" w:themeFill="background1"/>
          </w:tcPr>
          <w:p w14:paraId="5A5551AC" w14:textId="46BACCAC" w:rsidR="00927176" w:rsidRPr="002D6502" w:rsidRDefault="00B420ED" w:rsidP="00AC3BE0">
            <w:pPr>
              <w:pStyle w:val="TableText"/>
              <w:spacing w:before="40" w:after="40"/>
              <w:rPr>
                <w:i/>
                <w:iCs/>
                <w:lang w:val="en-AU"/>
              </w:rPr>
            </w:pPr>
            <w:r w:rsidRPr="002D6502">
              <w:rPr>
                <w:i/>
                <w:iCs/>
                <w:lang w:val="en-AU"/>
              </w:rPr>
              <w:lastRenderedPageBreak/>
              <w:t>No.</w:t>
            </w:r>
            <w:r w:rsidR="00CC102D" w:rsidRPr="002D6502">
              <w:rPr>
                <w:i/>
                <w:iCs/>
                <w:lang w:val="en-AU"/>
              </w:rPr>
              <w:t xml:space="preserve"> This has not been addressed.</w:t>
            </w:r>
          </w:p>
        </w:tc>
      </w:tr>
      <w:tr w:rsidR="00071E21" w:rsidRPr="00FD70DE" w14:paraId="0460286B" w14:textId="77777777" w:rsidTr="00AC3BE0">
        <w:tc>
          <w:tcPr>
            <w:tcW w:w="2972" w:type="dxa"/>
            <w:shd w:val="clear" w:color="auto" w:fill="FFFFFF" w:themeFill="background1"/>
          </w:tcPr>
          <w:p w14:paraId="0F377D78" w14:textId="77777777" w:rsidR="00927176" w:rsidRPr="002D6502" w:rsidRDefault="00927176" w:rsidP="00AC3BE0">
            <w:pPr>
              <w:pStyle w:val="TableText"/>
              <w:spacing w:before="40" w:after="40"/>
              <w:rPr>
                <w:lang w:val="en-AU"/>
              </w:rPr>
            </w:pPr>
            <w:r w:rsidRPr="002D6502">
              <w:rPr>
                <w:lang w:val="en-AU"/>
              </w:rPr>
              <w:t>MSAC noted that HDV RNA levels are often very low and can be difficult to detect, although the sensitivity of available tests is improving. A 2016 international quality-control study showed a high variation in the detection and quantification of HDV RNA among assays, with consistent underestimations of the viral load.</w:t>
            </w:r>
          </w:p>
          <w:p w14:paraId="5ED52F39" w14:textId="77777777" w:rsidR="00927176" w:rsidRPr="002D6502" w:rsidRDefault="00927176" w:rsidP="00AC3BE0">
            <w:pPr>
              <w:pStyle w:val="TableText"/>
              <w:spacing w:before="40" w:after="40"/>
              <w:rPr>
                <w:lang w:val="en-AU"/>
              </w:rPr>
            </w:pPr>
            <w:r w:rsidRPr="002D6502">
              <w:rPr>
                <w:lang w:val="en-AU"/>
              </w:rPr>
              <w:t>(paragraph 7, page 4 of the PSD)</w:t>
            </w:r>
          </w:p>
        </w:tc>
        <w:tc>
          <w:tcPr>
            <w:tcW w:w="3047" w:type="dxa"/>
            <w:shd w:val="clear" w:color="auto" w:fill="FFFFFF" w:themeFill="background1"/>
          </w:tcPr>
          <w:p w14:paraId="33817440" w14:textId="1D546A46" w:rsidR="00927176" w:rsidRPr="002D6502" w:rsidRDefault="00CC102D" w:rsidP="00264DF9">
            <w:pPr>
              <w:pStyle w:val="TableText"/>
              <w:spacing w:before="40" w:after="40"/>
              <w:rPr>
                <w:lang w:val="en-AU"/>
              </w:rPr>
            </w:pPr>
            <w:r w:rsidRPr="002D6502">
              <w:rPr>
                <w:lang w:val="en-AU"/>
              </w:rPr>
              <w:t>This was not considered in the resubmission.</w:t>
            </w:r>
          </w:p>
        </w:tc>
        <w:tc>
          <w:tcPr>
            <w:tcW w:w="3048" w:type="dxa"/>
            <w:shd w:val="clear" w:color="auto" w:fill="FFFFFF" w:themeFill="background1"/>
          </w:tcPr>
          <w:p w14:paraId="5517929B" w14:textId="2338CD6B" w:rsidR="00927176" w:rsidRPr="002D6502" w:rsidRDefault="00DA67F6" w:rsidP="00AC3BE0">
            <w:pPr>
              <w:pStyle w:val="TableText"/>
              <w:spacing w:before="40" w:after="40"/>
              <w:rPr>
                <w:lang w:val="en-AU"/>
              </w:rPr>
            </w:pPr>
            <w:r w:rsidRPr="002D6502">
              <w:rPr>
                <w:i/>
                <w:iCs/>
                <w:lang w:val="en-AU"/>
              </w:rPr>
              <w:t>No.</w:t>
            </w:r>
            <w:r w:rsidR="00264DF9" w:rsidRPr="002D6502">
              <w:rPr>
                <w:i/>
                <w:iCs/>
                <w:lang w:val="en-AU"/>
              </w:rPr>
              <w:t xml:space="preserve"> </w:t>
            </w:r>
            <w:r w:rsidR="00927176" w:rsidRPr="002D6502">
              <w:rPr>
                <w:i/>
                <w:iCs/>
                <w:lang w:val="en-AU"/>
              </w:rPr>
              <w:t>However, reliability of the PCR tests to quantitate HDV RNA levels was addressed by the evaluatio</w:t>
            </w:r>
            <w:r w:rsidR="00927176" w:rsidRPr="00552E87">
              <w:rPr>
                <w:i/>
                <w:iCs/>
                <w:lang w:val="en-AU"/>
              </w:rPr>
              <w:t>n.</w:t>
            </w:r>
          </w:p>
        </w:tc>
      </w:tr>
      <w:tr w:rsidR="00071E21" w:rsidRPr="00FD70DE" w14:paraId="4411E9EE" w14:textId="77777777" w:rsidTr="00AC3BE0">
        <w:tc>
          <w:tcPr>
            <w:tcW w:w="2972" w:type="dxa"/>
            <w:shd w:val="clear" w:color="auto" w:fill="FFFFFF" w:themeFill="background1"/>
          </w:tcPr>
          <w:p w14:paraId="77FB37C1" w14:textId="37A9743A" w:rsidR="00927176" w:rsidRPr="002D6502" w:rsidRDefault="00927176" w:rsidP="00AC3BE0">
            <w:pPr>
              <w:pStyle w:val="TableText"/>
              <w:spacing w:before="40" w:after="40"/>
              <w:rPr>
                <w:lang w:val="en-AU"/>
              </w:rPr>
            </w:pPr>
            <w:r w:rsidRPr="002D6502">
              <w:rPr>
                <w:lang w:val="en-AU"/>
              </w:rPr>
              <w:t xml:space="preserve">MSAC considered </w:t>
            </w:r>
            <w:r w:rsidR="00DA67F6" w:rsidRPr="002D6502">
              <w:rPr>
                <w:lang w:val="en-AU"/>
              </w:rPr>
              <w:t xml:space="preserve">that </w:t>
            </w:r>
            <w:r w:rsidRPr="002D6502">
              <w:rPr>
                <w:lang w:val="en-AU"/>
              </w:rPr>
              <w:t xml:space="preserve">the test not being pathologist-determinable </w:t>
            </w:r>
            <w:r w:rsidR="00DA67F6" w:rsidRPr="002D6502">
              <w:rPr>
                <w:lang w:val="en-AU"/>
              </w:rPr>
              <w:t xml:space="preserve">was </w:t>
            </w:r>
            <w:r w:rsidRPr="002D6502">
              <w:rPr>
                <w:lang w:val="en-AU"/>
              </w:rPr>
              <w:t>appropriate. MSAC also considered that the MBS descriptor would appropriately specify the exclusion of patients with decompensated liver disease (Child Pugh B or C), as eligibility for treatment with bulevirtide is not being sought for these patient groups.</w:t>
            </w:r>
          </w:p>
          <w:p w14:paraId="7B96F1BA" w14:textId="77777777" w:rsidR="00927176" w:rsidRPr="002D6502" w:rsidRDefault="00927176" w:rsidP="00AC3BE0">
            <w:pPr>
              <w:pStyle w:val="TableText"/>
              <w:spacing w:before="40" w:after="40"/>
              <w:rPr>
                <w:lang w:val="en-AU"/>
              </w:rPr>
            </w:pPr>
            <w:r w:rsidRPr="002D6502">
              <w:rPr>
                <w:lang w:val="en-AU"/>
              </w:rPr>
              <w:t>(paragraph 2, page 5 of the PSD)</w:t>
            </w:r>
          </w:p>
        </w:tc>
        <w:tc>
          <w:tcPr>
            <w:tcW w:w="3047" w:type="dxa"/>
            <w:shd w:val="clear" w:color="auto" w:fill="FFFFFF" w:themeFill="background1"/>
          </w:tcPr>
          <w:p w14:paraId="68C46E45" w14:textId="77777777" w:rsidR="00927176" w:rsidRPr="002D6502" w:rsidRDefault="00927176" w:rsidP="00AC3BE0">
            <w:pPr>
              <w:pStyle w:val="TableText"/>
              <w:spacing w:before="40" w:after="40"/>
              <w:rPr>
                <w:lang w:val="en-AU"/>
              </w:rPr>
            </w:pPr>
            <w:r w:rsidRPr="002D6502">
              <w:rPr>
                <w:lang w:val="en-AU"/>
              </w:rPr>
              <w:t>MBS item descriptor reflects that the test is not pathologist determinable.</w:t>
            </w:r>
          </w:p>
        </w:tc>
        <w:tc>
          <w:tcPr>
            <w:tcW w:w="3048" w:type="dxa"/>
            <w:shd w:val="clear" w:color="auto" w:fill="FFFFFF" w:themeFill="background1"/>
          </w:tcPr>
          <w:p w14:paraId="3F994805" w14:textId="0478852A" w:rsidR="00927176" w:rsidRPr="002D6502" w:rsidRDefault="00927176" w:rsidP="00AC3BE0">
            <w:pPr>
              <w:pStyle w:val="TableText"/>
              <w:spacing w:before="40" w:after="40"/>
              <w:rPr>
                <w:i/>
                <w:iCs/>
                <w:lang w:val="en-AU"/>
              </w:rPr>
            </w:pPr>
            <w:r w:rsidRPr="002D6502">
              <w:rPr>
                <w:i/>
                <w:iCs/>
                <w:lang w:val="en-AU"/>
              </w:rPr>
              <w:t>Yes.</w:t>
            </w:r>
          </w:p>
          <w:p w14:paraId="329799D3" w14:textId="77777777" w:rsidR="00927176" w:rsidRDefault="00927176" w:rsidP="00AC3BE0">
            <w:pPr>
              <w:pStyle w:val="TableText"/>
              <w:spacing w:before="40" w:after="40"/>
              <w:rPr>
                <w:i/>
                <w:iCs/>
                <w:lang w:val="en-AU"/>
              </w:rPr>
            </w:pPr>
            <w:r w:rsidRPr="002D6502">
              <w:rPr>
                <w:i/>
                <w:iCs/>
                <w:lang w:val="en-AU"/>
              </w:rPr>
              <w:t>However,</w:t>
            </w:r>
            <w:r w:rsidR="00DA67F6" w:rsidRPr="002D6502">
              <w:rPr>
                <w:i/>
                <w:iCs/>
                <w:lang w:val="en-AU"/>
              </w:rPr>
              <w:t xml:space="preserve"> there were</w:t>
            </w:r>
            <w:r w:rsidRPr="002D6502">
              <w:rPr>
                <w:i/>
                <w:iCs/>
                <w:lang w:val="en-AU"/>
              </w:rPr>
              <w:t xml:space="preserve"> no restrictions on testing patients with decompensated liver disease (Child Pugh B or C) included.</w:t>
            </w:r>
          </w:p>
          <w:p w14:paraId="766CB969" w14:textId="742773D8" w:rsidR="00203363" w:rsidRPr="002D6502" w:rsidRDefault="00203363" w:rsidP="00AC3BE0">
            <w:pPr>
              <w:pStyle w:val="TableText"/>
              <w:spacing w:before="40" w:after="40"/>
              <w:rPr>
                <w:i/>
                <w:iCs/>
                <w:lang w:val="en-AU"/>
              </w:rPr>
            </w:pPr>
            <w:r>
              <w:rPr>
                <w:rFonts w:ascii="Calibri" w:hAnsi="Calibri"/>
                <w:i/>
                <w:iCs/>
              </w:rPr>
              <w:t>Note: This information</w:t>
            </w:r>
            <w:r w:rsidRPr="0020711E">
              <w:rPr>
                <w:rFonts w:ascii="Calibri" w:hAnsi="Calibri"/>
                <w:i/>
                <w:iCs/>
              </w:rPr>
              <w:t xml:space="preserve"> is included in the PBS indication, so if patients are only being tested for access to </w:t>
            </w:r>
            <w:proofErr w:type="spellStart"/>
            <w:r w:rsidRPr="0020711E">
              <w:rPr>
                <w:rFonts w:ascii="Calibri" w:hAnsi="Calibri"/>
                <w:i/>
                <w:iCs/>
              </w:rPr>
              <w:t>bulevirtide</w:t>
            </w:r>
            <w:proofErr w:type="spellEnd"/>
            <w:r w:rsidRPr="0020711E">
              <w:rPr>
                <w:rFonts w:ascii="Calibri" w:hAnsi="Calibri"/>
                <w:i/>
                <w:iCs/>
              </w:rPr>
              <w:t xml:space="preserve"> this should exclude testing in patients with decompensated liver disease.</w:t>
            </w:r>
          </w:p>
        </w:tc>
      </w:tr>
      <w:tr w:rsidR="00071E21" w:rsidRPr="00FD70DE" w14:paraId="53FFCB71" w14:textId="77777777" w:rsidTr="00AC3BE0">
        <w:tc>
          <w:tcPr>
            <w:tcW w:w="2972" w:type="dxa"/>
            <w:shd w:val="clear" w:color="auto" w:fill="FFFFFF" w:themeFill="background1"/>
          </w:tcPr>
          <w:p w14:paraId="7E4821CE" w14:textId="77777777" w:rsidR="00927176" w:rsidRPr="002D6502" w:rsidRDefault="00927176" w:rsidP="00AC3BE0">
            <w:pPr>
              <w:pStyle w:val="TableText"/>
              <w:spacing w:before="40" w:after="40"/>
              <w:rPr>
                <w:lang w:val="en-AU"/>
              </w:rPr>
            </w:pPr>
            <w:r w:rsidRPr="002D6502">
              <w:rPr>
                <w:lang w:val="en-AU"/>
              </w:rPr>
              <w:t>MSAC agreed with ESC that codependency between testing and bulevirtide use had not been sufficiently established.</w:t>
            </w:r>
          </w:p>
          <w:p w14:paraId="3045CD94" w14:textId="77777777" w:rsidR="00927176" w:rsidRPr="002D6502" w:rsidRDefault="00927176" w:rsidP="00AC3BE0">
            <w:pPr>
              <w:pStyle w:val="TableText"/>
              <w:spacing w:before="40" w:after="40"/>
              <w:rPr>
                <w:lang w:val="en-AU"/>
              </w:rPr>
            </w:pPr>
            <w:r w:rsidRPr="002D6502">
              <w:rPr>
                <w:lang w:val="en-AU"/>
              </w:rPr>
              <w:t>MSAC considered it was unknown whether the level of HDV RNA (other than the presence of HDV RNA) would be used to alter patient management in non-responders or partial responders.</w:t>
            </w:r>
          </w:p>
          <w:p w14:paraId="00EC766B" w14:textId="77777777" w:rsidR="00927176" w:rsidRPr="002D6502" w:rsidRDefault="00927176" w:rsidP="00AC3BE0">
            <w:pPr>
              <w:pStyle w:val="TableText"/>
              <w:spacing w:before="40" w:after="40"/>
              <w:rPr>
                <w:lang w:val="en-AU"/>
              </w:rPr>
            </w:pPr>
            <w:r w:rsidRPr="002D6502">
              <w:rPr>
                <w:lang w:val="en-AU"/>
              </w:rPr>
              <w:t>(paragraph 5, page 6 of the PSD)</w:t>
            </w:r>
          </w:p>
        </w:tc>
        <w:tc>
          <w:tcPr>
            <w:tcW w:w="3047" w:type="dxa"/>
            <w:shd w:val="clear" w:color="auto" w:fill="FFFFFF" w:themeFill="background1"/>
          </w:tcPr>
          <w:p w14:paraId="0A879D93" w14:textId="0034868D" w:rsidR="00927176" w:rsidRPr="002D6502" w:rsidRDefault="00927176" w:rsidP="00AC3BE0">
            <w:pPr>
              <w:pStyle w:val="TableText"/>
              <w:spacing w:before="40" w:after="40"/>
              <w:rPr>
                <w:lang w:val="en-AU"/>
              </w:rPr>
            </w:pPr>
            <w:r w:rsidRPr="002D6502">
              <w:rPr>
                <w:lang w:val="en-AU"/>
              </w:rPr>
              <w:t>The claim of co-dependence will be met when HEPCLUDEX and the HDV RNA PCR test are both recommended and available on the PBS and MBS respectively. Further in order for continuation of HEPCL</w:t>
            </w:r>
            <w:r w:rsidR="00DA67F6" w:rsidRPr="002D6502">
              <w:rPr>
                <w:lang w:val="en-AU"/>
              </w:rPr>
              <w:t>U</w:t>
            </w:r>
            <w:r w:rsidRPr="002D6502">
              <w:rPr>
                <w:lang w:val="en-AU"/>
              </w:rPr>
              <w:t xml:space="preserve">DEX treatment (refer to both the PBAC and MSAC discussions on continuation of treatment in this resubmission), viral load reduction is required to be measured to ensure </w:t>
            </w:r>
            <w:r w:rsidR="00DA67F6" w:rsidRPr="002D6502">
              <w:rPr>
                <w:lang w:val="en-AU"/>
              </w:rPr>
              <w:t xml:space="preserve">the </w:t>
            </w:r>
            <w:r w:rsidRPr="002D6502">
              <w:rPr>
                <w:lang w:val="en-AU"/>
              </w:rPr>
              <w:t>patient is benefitting from treatment, and so there is co-dependence of the test with HEPCLUDEX for both establishing the presence of chronic HDV and the monitoring of viral load for continued treatment with HEPCLUDEX.</w:t>
            </w:r>
          </w:p>
        </w:tc>
        <w:tc>
          <w:tcPr>
            <w:tcW w:w="3048" w:type="dxa"/>
            <w:shd w:val="clear" w:color="auto" w:fill="FFFFFF" w:themeFill="background1"/>
          </w:tcPr>
          <w:p w14:paraId="0FB4B473" w14:textId="77777777" w:rsidR="00927176" w:rsidRPr="002D6502" w:rsidRDefault="00927176" w:rsidP="00AC3BE0">
            <w:pPr>
              <w:pStyle w:val="TableText"/>
              <w:spacing w:before="40" w:after="40"/>
              <w:rPr>
                <w:i/>
                <w:iCs/>
                <w:lang w:val="en-AU"/>
              </w:rPr>
            </w:pPr>
            <w:r w:rsidRPr="002D6502">
              <w:rPr>
                <w:i/>
                <w:iCs/>
                <w:lang w:val="en-AU"/>
              </w:rPr>
              <w:t>No.</w:t>
            </w:r>
          </w:p>
          <w:p w14:paraId="2D7EA37F" w14:textId="5F29E132" w:rsidR="00927176" w:rsidRDefault="000F7BCF" w:rsidP="00AC3BE0">
            <w:pPr>
              <w:pStyle w:val="TableText"/>
              <w:spacing w:before="40" w:after="40"/>
              <w:rPr>
                <w:i/>
                <w:iCs/>
                <w:lang w:val="en-AU"/>
              </w:rPr>
            </w:pPr>
            <w:r>
              <w:rPr>
                <w:i/>
                <w:iCs/>
                <w:lang w:val="en-AU"/>
              </w:rPr>
              <w:t>The commentary considered that a</w:t>
            </w:r>
            <w:r w:rsidR="00DA67F6" w:rsidRPr="002D6502">
              <w:rPr>
                <w:i/>
                <w:iCs/>
                <w:lang w:val="en-AU"/>
              </w:rPr>
              <w:t xml:space="preserve"> claim of co-dependence is met when there is substantiation of bulevirtide treatment effect modification </w:t>
            </w:r>
            <w:proofErr w:type="gramStart"/>
            <w:r w:rsidR="00DA67F6" w:rsidRPr="002D6502">
              <w:rPr>
                <w:i/>
                <w:iCs/>
                <w:lang w:val="en-AU"/>
              </w:rPr>
              <w:t>as a consequence of</w:t>
            </w:r>
            <w:proofErr w:type="gramEnd"/>
            <w:r w:rsidR="00DA67F6" w:rsidRPr="002D6502">
              <w:rPr>
                <w:i/>
                <w:iCs/>
                <w:lang w:val="en-AU"/>
              </w:rPr>
              <w:t xml:space="preserve"> variation in a companion diagnostic biomarker (in this case HDV RNA). </w:t>
            </w:r>
            <w:r w:rsidR="00927176" w:rsidRPr="002D6502">
              <w:rPr>
                <w:i/>
                <w:iCs/>
                <w:lang w:val="en-AU"/>
              </w:rPr>
              <w:t>There has been no further discussion on the level of HDV RNA decline required at any time point to determine a treatment benefit or the likelihood of a having a sufficient response to reach the desired endpoint for obtaining a clinical benefit.</w:t>
            </w:r>
          </w:p>
          <w:p w14:paraId="6E4E7C34" w14:textId="266172A1" w:rsidR="000F7BCF" w:rsidRPr="002D6502" w:rsidRDefault="000F7BCF" w:rsidP="00AC3BE0">
            <w:pPr>
              <w:pStyle w:val="TableText"/>
              <w:spacing w:before="40" w:after="40"/>
              <w:rPr>
                <w:i/>
                <w:iCs/>
                <w:lang w:val="en-AU"/>
              </w:rPr>
            </w:pPr>
            <w:proofErr w:type="gramStart"/>
            <w:r>
              <w:rPr>
                <w:i/>
                <w:iCs/>
                <w:lang w:val="en-AU"/>
              </w:rPr>
              <w:t>However</w:t>
            </w:r>
            <w:proofErr w:type="gramEnd"/>
            <w:r>
              <w:rPr>
                <w:i/>
                <w:iCs/>
                <w:lang w:val="en-AU"/>
              </w:rPr>
              <w:t xml:space="preserve"> refer to ‘</w:t>
            </w:r>
            <w:r w:rsidRPr="00E72E86">
              <w:rPr>
                <w:i/>
                <w:iCs/>
                <w:lang w:val="en-AU"/>
              </w:rPr>
              <w:t>Summary of consideration and rationale for MSAC’s advice</w:t>
            </w:r>
            <w:r>
              <w:rPr>
                <w:i/>
                <w:iCs/>
                <w:lang w:val="en-AU"/>
              </w:rPr>
              <w:t>’.</w:t>
            </w:r>
          </w:p>
        </w:tc>
      </w:tr>
      <w:tr w:rsidR="00071E21" w:rsidRPr="00FD70DE" w14:paraId="56AE7DF5" w14:textId="77777777" w:rsidTr="00AC3BE0">
        <w:tc>
          <w:tcPr>
            <w:tcW w:w="2972" w:type="dxa"/>
            <w:shd w:val="clear" w:color="auto" w:fill="FFFFFF" w:themeFill="background1"/>
          </w:tcPr>
          <w:p w14:paraId="172C898B" w14:textId="6D9634AA" w:rsidR="00927176" w:rsidRPr="002D6502" w:rsidRDefault="00927176" w:rsidP="00AC3BE0">
            <w:pPr>
              <w:pStyle w:val="TableText"/>
              <w:spacing w:before="40" w:after="40"/>
              <w:rPr>
                <w:lang w:val="en-AU"/>
              </w:rPr>
            </w:pPr>
            <w:r w:rsidRPr="002D6502">
              <w:rPr>
                <w:lang w:val="en-AU"/>
              </w:rPr>
              <w:t xml:space="preserve">MSAC noted that the ADAR did not explore alternative scenarios of test and treatment provision. MSAC </w:t>
            </w:r>
            <w:r w:rsidRPr="002D6502">
              <w:rPr>
                <w:lang w:val="en-AU"/>
              </w:rPr>
              <w:lastRenderedPageBreak/>
              <w:t>considered that there may be benefits of testing</w:t>
            </w:r>
            <w:r w:rsidR="00811D37" w:rsidRPr="002D6502">
              <w:rPr>
                <w:lang w:val="en-AU"/>
              </w:rPr>
              <w:t>,</w:t>
            </w:r>
            <w:r w:rsidRPr="002D6502">
              <w:rPr>
                <w:lang w:val="en-AU"/>
              </w:rPr>
              <w:t xml:space="preserve"> independent of treatment, given the prognostic information that HDV RNA testing may provide. MSAC noted that public consultation supported this approach at the PICO confirmation stage, yet the ADAR had not subsequently addressed it.</w:t>
            </w:r>
          </w:p>
          <w:p w14:paraId="22A544A8" w14:textId="77777777" w:rsidR="00927176" w:rsidRPr="002D6502" w:rsidRDefault="00927176" w:rsidP="00AC3BE0">
            <w:pPr>
              <w:pStyle w:val="TableText"/>
              <w:spacing w:before="40" w:after="40"/>
              <w:rPr>
                <w:lang w:val="en-AU"/>
              </w:rPr>
            </w:pPr>
            <w:r w:rsidRPr="002D6502">
              <w:rPr>
                <w:lang w:val="en-AU"/>
              </w:rPr>
              <w:t>(paragraph 2, page 7 of the PSD)</w:t>
            </w:r>
          </w:p>
        </w:tc>
        <w:tc>
          <w:tcPr>
            <w:tcW w:w="3047" w:type="dxa"/>
            <w:shd w:val="clear" w:color="auto" w:fill="FFFFFF" w:themeFill="background1"/>
          </w:tcPr>
          <w:p w14:paraId="3947AC7C" w14:textId="6ECC7E35" w:rsidR="00927176" w:rsidRPr="002D6502" w:rsidRDefault="003B3FA3" w:rsidP="00AC3BE0">
            <w:pPr>
              <w:pStyle w:val="TableText"/>
              <w:spacing w:before="40" w:after="40"/>
              <w:rPr>
                <w:lang w:val="en-AU"/>
              </w:rPr>
            </w:pPr>
            <w:proofErr w:type="gramStart"/>
            <w:r w:rsidRPr="002D6502">
              <w:rPr>
                <w:lang w:val="en-AU"/>
              </w:rPr>
              <w:lastRenderedPageBreak/>
              <w:t>Similar to</w:t>
            </w:r>
            <w:proofErr w:type="gramEnd"/>
            <w:r w:rsidRPr="002D6502">
              <w:rPr>
                <w:lang w:val="en-AU"/>
              </w:rPr>
              <w:t xml:space="preserve"> the original submission, the resubmission did not explore alternative scenarios of test and </w:t>
            </w:r>
            <w:r w:rsidRPr="002D6502">
              <w:rPr>
                <w:lang w:val="en-AU"/>
              </w:rPr>
              <w:lastRenderedPageBreak/>
              <w:t>treatment provision.</w:t>
            </w:r>
          </w:p>
        </w:tc>
        <w:tc>
          <w:tcPr>
            <w:tcW w:w="3048" w:type="dxa"/>
            <w:shd w:val="clear" w:color="auto" w:fill="FFFFFF" w:themeFill="background1"/>
          </w:tcPr>
          <w:p w14:paraId="0DB0E784" w14:textId="7A1A8AF0" w:rsidR="00927176" w:rsidRPr="002D6502" w:rsidRDefault="003B3FA3" w:rsidP="00264DF9">
            <w:pPr>
              <w:pStyle w:val="TableText"/>
              <w:spacing w:before="40" w:after="40"/>
              <w:rPr>
                <w:lang w:val="en-AU"/>
              </w:rPr>
            </w:pPr>
            <w:r w:rsidRPr="002D6502">
              <w:rPr>
                <w:i/>
                <w:iCs/>
                <w:lang w:val="en-AU"/>
              </w:rPr>
              <w:lastRenderedPageBreak/>
              <w:t xml:space="preserve">No. </w:t>
            </w:r>
            <w:r w:rsidR="00811D37" w:rsidRPr="002D6502">
              <w:rPr>
                <w:i/>
                <w:iCs/>
                <w:lang w:val="en-AU"/>
              </w:rPr>
              <w:t>This was not addressed in the resubmission.</w:t>
            </w:r>
          </w:p>
        </w:tc>
      </w:tr>
      <w:tr w:rsidR="00071E21" w:rsidRPr="00FD70DE" w14:paraId="3DF41E2D" w14:textId="77777777" w:rsidTr="00AC3BE0">
        <w:tc>
          <w:tcPr>
            <w:tcW w:w="2972" w:type="dxa"/>
            <w:shd w:val="clear" w:color="auto" w:fill="FFFFFF" w:themeFill="background1"/>
          </w:tcPr>
          <w:p w14:paraId="428A619C" w14:textId="77777777" w:rsidR="000E48FD" w:rsidRPr="002D6502" w:rsidRDefault="000E48FD" w:rsidP="000E48FD">
            <w:pPr>
              <w:pStyle w:val="TableText"/>
              <w:spacing w:before="40" w:after="40"/>
              <w:rPr>
                <w:lang w:val="en-AU"/>
              </w:rPr>
            </w:pPr>
            <w:r w:rsidRPr="002D6502">
              <w:rPr>
                <w:lang w:val="en-AU"/>
              </w:rPr>
              <w:t xml:space="preserve">MSAC noted that patients entered the economic model at the point of treatment and considered that this was not its preferred approach as described in the MSAC Guidelines for submissions of codependent technologies, because it omits consideration of the impact of false results. </w:t>
            </w:r>
          </w:p>
          <w:p w14:paraId="5B84DB3A" w14:textId="51CF84FF" w:rsidR="000E48FD" w:rsidRPr="002D6502" w:rsidRDefault="000E48FD" w:rsidP="000E48FD">
            <w:pPr>
              <w:pStyle w:val="TableText"/>
              <w:spacing w:before="40" w:after="40"/>
              <w:rPr>
                <w:lang w:val="en-AU"/>
              </w:rPr>
            </w:pPr>
            <w:r w:rsidRPr="002D6502">
              <w:rPr>
                <w:lang w:val="en-AU"/>
              </w:rPr>
              <w:t>(paragraph 3, page 7 of the PSD)</w:t>
            </w:r>
          </w:p>
        </w:tc>
        <w:tc>
          <w:tcPr>
            <w:tcW w:w="3047" w:type="dxa"/>
            <w:shd w:val="clear" w:color="auto" w:fill="FFFFFF" w:themeFill="background1"/>
          </w:tcPr>
          <w:p w14:paraId="212E16FC" w14:textId="77777777" w:rsidR="000E48FD" w:rsidRPr="002D6502" w:rsidRDefault="000E48FD" w:rsidP="000E48FD">
            <w:pPr>
              <w:pStyle w:val="TableText"/>
              <w:spacing w:before="40" w:after="40"/>
              <w:rPr>
                <w:lang w:val="en-AU"/>
              </w:rPr>
            </w:pPr>
            <w:r w:rsidRPr="002D6502">
              <w:rPr>
                <w:lang w:val="en-AU"/>
              </w:rPr>
              <w:t>Addressed in Section 3</w:t>
            </w:r>
          </w:p>
          <w:p w14:paraId="12DB1B09" w14:textId="5D3CC17B" w:rsidR="000E48FD" w:rsidRPr="002D6502" w:rsidRDefault="000E48FD" w:rsidP="000E48FD">
            <w:pPr>
              <w:pStyle w:val="TableText"/>
              <w:spacing w:before="40" w:after="40"/>
              <w:rPr>
                <w:lang w:val="en-AU"/>
              </w:rPr>
            </w:pPr>
            <w:r w:rsidRPr="002D6502">
              <w:rPr>
                <w:lang w:val="en-AU"/>
              </w:rPr>
              <w:t>The resubmission presented a scenario analysis star</w:t>
            </w:r>
            <w:r w:rsidR="00811D37" w:rsidRPr="002D6502">
              <w:rPr>
                <w:lang w:val="en-AU"/>
              </w:rPr>
              <w:t>t</w:t>
            </w:r>
            <w:r w:rsidRPr="002D6502">
              <w:rPr>
                <w:lang w:val="en-AU"/>
              </w:rPr>
              <w:t xml:space="preserve">ing at the point of testing to explore the impact of </w:t>
            </w:r>
            <w:r w:rsidR="00811D37" w:rsidRPr="002D6502">
              <w:rPr>
                <w:lang w:val="en-AU"/>
              </w:rPr>
              <w:t xml:space="preserve">false positive </w:t>
            </w:r>
            <w:r w:rsidRPr="002D6502">
              <w:rPr>
                <w:lang w:val="en-AU"/>
              </w:rPr>
              <w:t xml:space="preserve">and </w:t>
            </w:r>
            <w:r w:rsidR="00811D37" w:rsidRPr="002D6502">
              <w:rPr>
                <w:lang w:val="en-AU"/>
              </w:rPr>
              <w:t>false negative</w:t>
            </w:r>
            <w:r w:rsidRPr="002D6502">
              <w:rPr>
                <w:lang w:val="en-AU"/>
              </w:rPr>
              <w:t xml:space="preserve"> results on the ICER, by assuming 95% sensitivity and 95% specificity for HDV RNA testing at diagnosis to determine eligibility for starting bulevirtide treatment. </w:t>
            </w:r>
          </w:p>
        </w:tc>
        <w:tc>
          <w:tcPr>
            <w:tcW w:w="3048" w:type="dxa"/>
            <w:shd w:val="clear" w:color="auto" w:fill="FFFFFF" w:themeFill="background1"/>
          </w:tcPr>
          <w:p w14:paraId="7B3A4DA7" w14:textId="77777777" w:rsidR="000E48FD" w:rsidRPr="002D6502" w:rsidRDefault="000E48FD" w:rsidP="000E48FD">
            <w:pPr>
              <w:pStyle w:val="TableText"/>
              <w:spacing w:before="40" w:after="40"/>
              <w:rPr>
                <w:i/>
                <w:iCs/>
                <w:lang w:val="en-AU"/>
              </w:rPr>
            </w:pPr>
            <w:r w:rsidRPr="002D6502">
              <w:rPr>
                <w:i/>
                <w:iCs/>
                <w:lang w:val="en-AU"/>
              </w:rPr>
              <w:t xml:space="preserve">Partially. </w:t>
            </w:r>
          </w:p>
          <w:p w14:paraId="06C20412" w14:textId="4561A3E5" w:rsidR="000E48FD" w:rsidRPr="002D6502" w:rsidRDefault="000E48FD" w:rsidP="000E48FD">
            <w:pPr>
              <w:pStyle w:val="TableText"/>
              <w:spacing w:before="40" w:after="40"/>
              <w:rPr>
                <w:i/>
                <w:iCs/>
                <w:lang w:val="en-AU"/>
              </w:rPr>
            </w:pPr>
            <w:r w:rsidRPr="002D6502">
              <w:rPr>
                <w:i/>
                <w:iCs/>
                <w:lang w:val="en-AU"/>
              </w:rPr>
              <w:t>The structure of the scenario analysis presented in the resubmission was fundamentally flawed</w:t>
            </w:r>
            <w:r w:rsidR="0021265F" w:rsidRPr="002D6502">
              <w:rPr>
                <w:i/>
                <w:iCs/>
                <w:lang w:val="en-AU"/>
              </w:rPr>
              <w:t xml:space="preserve"> as bulevirtide and BSC were compared in different populations (HDV RNA tested positive vs. tested negative).</w:t>
            </w:r>
            <w:r w:rsidRPr="002D6502">
              <w:rPr>
                <w:i/>
                <w:iCs/>
                <w:lang w:val="en-AU"/>
              </w:rPr>
              <w:t xml:space="preserve"> In addition, some of the assumptions used in the scenario analysis were not reasonable. A revised scenario analysis was conducted during the evaluation, with an ICER of $</w:t>
            </w:r>
            <w:r w:rsidR="00140AF6">
              <w:rPr>
                <w:i/>
                <w:iCs/>
                <w:lang w:val="en-AU"/>
              </w:rPr>
              <w:t>95,000 to &lt;$115,000</w:t>
            </w:r>
            <w:r w:rsidRPr="002D6502">
              <w:rPr>
                <w:i/>
                <w:iCs/>
                <w:lang w:val="en-AU"/>
              </w:rPr>
              <w:t>/QALY, compared with an ICER of $</w:t>
            </w:r>
            <w:r w:rsidR="00140AF6" w:rsidRPr="002D6502">
              <w:rPr>
                <w:i/>
                <w:iCs/>
                <w:lang w:val="en-AU"/>
              </w:rPr>
              <w:t>$</w:t>
            </w:r>
            <w:r w:rsidR="00140AF6">
              <w:rPr>
                <w:i/>
                <w:iCs/>
                <w:lang w:val="en-AU"/>
              </w:rPr>
              <w:t>95,000 to &lt;$115,000</w:t>
            </w:r>
            <w:r w:rsidRPr="002D6502">
              <w:rPr>
                <w:i/>
                <w:iCs/>
                <w:lang w:val="en-AU"/>
              </w:rPr>
              <w:t xml:space="preserve">/QALY in the base case where 100% test accuracy was assumed. </w:t>
            </w:r>
          </w:p>
          <w:p w14:paraId="7AA8EF60" w14:textId="5C22E6E7" w:rsidR="000E48FD" w:rsidRPr="002D6502" w:rsidRDefault="000E48FD" w:rsidP="000E48FD">
            <w:pPr>
              <w:pStyle w:val="TableText"/>
              <w:spacing w:before="40" w:after="40"/>
              <w:rPr>
                <w:i/>
                <w:iCs/>
                <w:lang w:val="en-AU"/>
              </w:rPr>
            </w:pPr>
            <w:r w:rsidRPr="002D6502">
              <w:rPr>
                <w:i/>
                <w:iCs/>
                <w:lang w:val="en-AU"/>
              </w:rPr>
              <w:t>The implication of false results from the test to monitor treatment was not examined.</w:t>
            </w:r>
          </w:p>
        </w:tc>
      </w:tr>
      <w:tr w:rsidR="00071E21" w:rsidRPr="00FD70DE" w14:paraId="1E40D395" w14:textId="77777777" w:rsidTr="00264DF9">
        <w:trPr>
          <w:cantSplit/>
        </w:trPr>
        <w:tc>
          <w:tcPr>
            <w:tcW w:w="2972" w:type="dxa"/>
            <w:shd w:val="clear" w:color="auto" w:fill="FFFFFF" w:themeFill="background1"/>
          </w:tcPr>
          <w:p w14:paraId="7F22F305" w14:textId="3D189008" w:rsidR="000E48FD" w:rsidRPr="002D6502" w:rsidRDefault="000E48FD" w:rsidP="000E48FD">
            <w:pPr>
              <w:pStyle w:val="TableText"/>
              <w:spacing w:before="40" w:after="40"/>
              <w:rPr>
                <w:lang w:val="en-AU"/>
              </w:rPr>
            </w:pPr>
            <w:r w:rsidRPr="002D6502">
              <w:rPr>
                <w:lang w:val="en-AU"/>
              </w:rPr>
              <w:t xml:space="preserve">MSAC also noted that there is high genetic variability among </w:t>
            </w:r>
            <w:r w:rsidR="00FD51F6">
              <w:rPr>
                <w:lang w:val="en-AU"/>
              </w:rPr>
              <w:t xml:space="preserve">HDV </w:t>
            </w:r>
            <w:r w:rsidRPr="002D6502">
              <w:rPr>
                <w:lang w:val="en-AU"/>
              </w:rPr>
              <w:t>genotypes, which can lead to underestimating the viral load. This can sometimes be by as much as &gt;2 log</w:t>
            </w:r>
            <w:r w:rsidRPr="002D6502">
              <w:rPr>
                <w:vertAlign w:val="subscript"/>
                <w:lang w:val="en-AU"/>
              </w:rPr>
              <w:t>10</w:t>
            </w:r>
            <w:r w:rsidRPr="002D6502">
              <w:rPr>
                <w:lang w:val="en-AU"/>
              </w:rPr>
              <w:t>, which is a clinically important difference.</w:t>
            </w:r>
          </w:p>
          <w:p w14:paraId="7AD210E8" w14:textId="77777777" w:rsidR="000E48FD" w:rsidRPr="002D6502" w:rsidRDefault="000E48FD" w:rsidP="000E48FD">
            <w:pPr>
              <w:pStyle w:val="TableText"/>
              <w:spacing w:before="40" w:after="40"/>
              <w:rPr>
                <w:lang w:val="en-AU"/>
              </w:rPr>
            </w:pPr>
            <w:r w:rsidRPr="002D6502">
              <w:rPr>
                <w:lang w:val="en-AU"/>
              </w:rPr>
              <w:t>(paragraph 4, page 8 of the PSD)</w:t>
            </w:r>
          </w:p>
        </w:tc>
        <w:tc>
          <w:tcPr>
            <w:tcW w:w="3047" w:type="dxa"/>
            <w:shd w:val="clear" w:color="auto" w:fill="FFFFFF" w:themeFill="background1"/>
          </w:tcPr>
          <w:p w14:paraId="67DF8B7D" w14:textId="7948FE91" w:rsidR="000E48FD" w:rsidRPr="002D6502" w:rsidRDefault="00811D37" w:rsidP="00264DF9">
            <w:pPr>
              <w:pStyle w:val="TableText"/>
              <w:spacing w:before="40" w:after="40"/>
              <w:rPr>
                <w:lang w:val="en-AU"/>
              </w:rPr>
            </w:pPr>
            <w:r w:rsidRPr="002D6502">
              <w:rPr>
                <w:lang w:val="en-AU"/>
              </w:rPr>
              <w:t>T</w:t>
            </w:r>
            <w:r w:rsidRPr="002D6502">
              <w:rPr>
                <w:i/>
                <w:iCs/>
                <w:lang w:val="en-AU"/>
              </w:rPr>
              <w:t>his was not considered in the resubmission.</w:t>
            </w:r>
          </w:p>
        </w:tc>
        <w:tc>
          <w:tcPr>
            <w:tcW w:w="3048" w:type="dxa"/>
            <w:shd w:val="clear" w:color="auto" w:fill="FFFFFF" w:themeFill="background1"/>
          </w:tcPr>
          <w:p w14:paraId="7884EB39" w14:textId="2511CD9A" w:rsidR="000E48FD" w:rsidRPr="002D6502" w:rsidRDefault="00811D37" w:rsidP="000E48FD">
            <w:pPr>
              <w:pStyle w:val="TableText"/>
              <w:spacing w:before="40" w:after="40"/>
              <w:rPr>
                <w:i/>
                <w:iCs/>
                <w:lang w:val="en-AU"/>
              </w:rPr>
            </w:pPr>
            <w:r w:rsidRPr="002D6502">
              <w:rPr>
                <w:i/>
                <w:iCs/>
                <w:lang w:val="en-AU"/>
              </w:rPr>
              <w:t>No.</w:t>
            </w:r>
            <w:r w:rsidR="00264DF9" w:rsidRPr="002D6502">
              <w:rPr>
                <w:i/>
                <w:iCs/>
                <w:lang w:val="en-AU"/>
              </w:rPr>
              <w:t xml:space="preserve"> </w:t>
            </w:r>
          </w:p>
        </w:tc>
      </w:tr>
    </w:tbl>
    <w:p w14:paraId="3801C7EE" w14:textId="37095B3F" w:rsidR="00927176" w:rsidRPr="00FD70DE" w:rsidRDefault="00927176" w:rsidP="00B178E4">
      <w:pPr>
        <w:pStyle w:val="TableFooter"/>
      </w:pPr>
      <w:r w:rsidRPr="00FD70DE">
        <w:t>Source: Table 1.2-1, page 9 of the resubmission; “Key aspects of the submission considered in April 2024 to be addressed for the MSAC” page v of the resubmission; the MSAC PSD for Application No. 1708.</w:t>
      </w:r>
    </w:p>
    <w:p w14:paraId="51F9A741" w14:textId="7E0F729C" w:rsidR="002413BE" w:rsidRDefault="00927176" w:rsidP="00B178E4">
      <w:pPr>
        <w:pStyle w:val="TableFooter"/>
      </w:pPr>
      <w:r w:rsidRPr="00FD70DE">
        <w:t xml:space="preserve">ADAR = Applicant developed assessment report; CHB = chronic hepatitis B; CHD = chronic hepatitis D; EASL = European Association for the Study of the Liver; ESC = Evaluation Sub-committee; </w:t>
      </w:r>
      <w:r w:rsidR="003B3FA3" w:rsidRPr="00FD70DE">
        <w:t xml:space="preserve">FN = false negative; FP = false positive; HBsAg = hepatitis B surface antigen; </w:t>
      </w:r>
      <w:r w:rsidRPr="00FD70DE">
        <w:t xml:space="preserve">HCC = hepatocellular carcinoma; HDV = Hepatitis Delta Virus; </w:t>
      </w:r>
      <w:r w:rsidR="003B3FA3" w:rsidRPr="00FD70DE">
        <w:t xml:space="preserve">ICER = incremental cost-effectiveness ratio; </w:t>
      </w:r>
      <w:r w:rsidRPr="00FD70DE">
        <w:t xml:space="preserve">MBS = Medicare Benefits Schedule; MSAC = Medical Services Advisory Committee; PBS = Pharmaceutical Benefits Scheme; PCR = polymerase chain reaction; PICO = Population, Intervention, Comparator, Outcomes; PSD = Public Summary Document; </w:t>
      </w:r>
      <w:bookmarkStart w:id="5" w:name="_Hlk184890352"/>
      <w:r w:rsidR="000E48FD" w:rsidRPr="00FD70DE">
        <w:t xml:space="preserve">QALY = quality-adjusted life year; </w:t>
      </w:r>
      <w:bookmarkEnd w:id="5"/>
      <w:r w:rsidRPr="00FD70DE">
        <w:t xml:space="preserve">RNA = ribonucleic acid; VIDRL = Victorian Infectious Diseases Reference Laboratory. </w:t>
      </w:r>
    </w:p>
    <w:p w14:paraId="46A2E9DD" w14:textId="31ACD8F6" w:rsidR="002413BE" w:rsidRPr="00FD70DE" w:rsidRDefault="002413BE" w:rsidP="002413BE">
      <w:pPr>
        <w:keepNext/>
        <w:tabs>
          <w:tab w:val="left" w:pos="1276"/>
        </w:tabs>
        <w:spacing w:before="240" w:after="0" w:line="259" w:lineRule="auto"/>
        <w:ind w:left="1276" w:hanging="1276"/>
        <w:contextualSpacing/>
        <w:rPr>
          <w:rFonts w:ascii="Arial Narrow" w:hAnsi="Arial Narrow"/>
          <w:b/>
          <w:iCs/>
          <w:sz w:val="20"/>
          <w:szCs w:val="18"/>
        </w:rPr>
      </w:pPr>
      <w:r w:rsidRPr="00FD70DE">
        <w:rPr>
          <w:rFonts w:ascii="Arial Narrow" w:hAnsi="Arial Narrow"/>
          <w:b/>
          <w:iCs/>
          <w:sz w:val="20"/>
          <w:szCs w:val="18"/>
        </w:rPr>
        <w:lastRenderedPageBreak/>
        <w:t xml:space="preserve">Table </w:t>
      </w:r>
      <w:r>
        <w:rPr>
          <w:rFonts w:ascii="Arial Narrow" w:hAnsi="Arial Narrow"/>
          <w:b/>
          <w:iCs/>
          <w:sz w:val="20"/>
          <w:szCs w:val="18"/>
        </w:rPr>
        <w:t>2</w:t>
      </w:r>
      <w:r w:rsidR="00A41BB9">
        <w:rPr>
          <w:rFonts w:ascii="Arial Narrow" w:hAnsi="Arial Narrow"/>
          <w:b/>
          <w:iCs/>
          <w:sz w:val="20"/>
          <w:szCs w:val="18"/>
        </w:rPr>
        <w:t xml:space="preserve"> </w:t>
      </w:r>
      <w:r w:rsidRPr="00FD70DE">
        <w:rPr>
          <w:rFonts w:ascii="Arial Narrow" w:hAnsi="Arial Narrow"/>
          <w:b/>
          <w:iCs/>
          <w:sz w:val="20"/>
          <w:szCs w:val="18"/>
        </w:rPr>
        <w:t>Key components of the clinical issue addressed by the resubmission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2413BE" w:rsidRPr="00FD70DE" w14:paraId="10FA5209" w14:textId="77777777" w:rsidTr="00DB68A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14:paraId="72F2A4B0"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sz w:val="20"/>
                <w:szCs w:val="20"/>
                <w:lang w:val="en-AU"/>
              </w:rPr>
              <w:t>Component</w:t>
            </w:r>
          </w:p>
        </w:tc>
        <w:tc>
          <w:tcPr>
            <w:tcW w:w="7320" w:type="dxa"/>
            <w:shd w:val="clear" w:color="auto" w:fill="auto"/>
          </w:tcPr>
          <w:p w14:paraId="61A4F93C"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sz w:val="20"/>
                <w:szCs w:val="20"/>
                <w:lang w:val="en-AU"/>
              </w:rPr>
              <w:t>Description</w:t>
            </w:r>
          </w:p>
        </w:tc>
      </w:tr>
      <w:tr w:rsidR="002413BE" w:rsidRPr="00FD70DE" w14:paraId="3CA1E736" w14:textId="77777777" w:rsidTr="00DB68A1">
        <w:trPr>
          <w:cantSplit/>
        </w:trPr>
        <w:tc>
          <w:tcPr>
            <w:tcW w:w="1696" w:type="dxa"/>
            <w:shd w:val="clear" w:color="auto" w:fill="BDD6EE" w:themeFill="accent1" w:themeFillTint="66"/>
          </w:tcPr>
          <w:p w14:paraId="6E29D193"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sz w:val="20"/>
                <w:szCs w:val="20"/>
                <w:lang w:val="en-AU"/>
              </w:rPr>
              <w:t>Population</w:t>
            </w:r>
          </w:p>
        </w:tc>
        <w:tc>
          <w:tcPr>
            <w:tcW w:w="7320" w:type="dxa"/>
            <w:shd w:val="clear" w:color="auto" w:fill="BDD6EE" w:themeFill="accent1" w:themeFillTint="66"/>
          </w:tcPr>
          <w:p w14:paraId="5559D7FB" w14:textId="77777777" w:rsidR="002413BE" w:rsidRPr="00FD70DE" w:rsidRDefault="002413BE" w:rsidP="00DB68A1">
            <w:pPr>
              <w:keepNext/>
              <w:widowControl w:val="0"/>
              <w:autoSpaceDE w:val="0"/>
              <w:autoSpaceDN w:val="0"/>
              <w:adjustRightInd w:val="0"/>
              <w:spacing w:before="0"/>
              <w:jc w:val="left"/>
              <w:rPr>
                <w:rFonts w:ascii="Arial Narrow" w:eastAsia="Times New Roman" w:hAnsi="Arial Narrow" w:cstheme="minorHAnsi"/>
                <w:sz w:val="20"/>
                <w:szCs w:val="20"/>
                <w:lang w:val="en-AU"/>
              </w:rPr>
            </w:pPr>
            <w:r w:rsidRPr="00FD70DE">
              <w:rPr>
                <w:rFonts w:ascii="Arial Narrow" w:eastAsia="Times New Roman" w:hAnsi="Arial Narrow" w:cstheme="minorHAnsi"/>
                <w:b/>
                <w:bCs/>
                <w:sz w:val="20"/>
                <w:szCs w:val="20"/>
                <w:lang w:val="en-AU"/>
              </w:rPr>
              <w:t>Test:</w:t>
            </w:r>
            <w:r w:rsidRPr="00FD70DE">
              <w:rPr>
                <w:rFonts w:ascii="Arial Narrow" w:eastAsia="Times New Roman" w:hAnsi="Arial Narrow" w:cstheme="minorHAnsi"/>
                <w:sz w:val="20"/>
                <w:szCs w:val="20"/>
                <w:lang w:val="en-AU"/>
              </w:rPr>
              <w:t xml:space="preserve"> People diagnosed with chronic hepatitis B who have tested positive for serum anti-hepatitis D virus (anti-HDV) antibodies and are suspected of having chronic hepatitis D (CHD)</w:t>
            </w:r>
          </w:p>
          <w:p w14:paraId="72BFA174"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bCs/>
                <w:sz w:val="20"/>
                <w:szCs w:val="20"/>
                <w:lang w:val="en-AU"/>
              </w:rPr>
              <w:t>Medicine:</w:t>
            </w:r>
            <w:r w:rsidRPr="00FD70DE">
              <w:rPr>
                <w:rFonts w:ascii="Arial Narrow" w:hAnsi="Arial Narrow" w:cstheme="minorHAnsi"/>
                <w:sz w:val="20"/>
                <w:szCs w:val="20"/>
                <w:lang w:val="en-AU"/>
              </w:rPr>
              <w:t xml:space="preserve"> Patients with positive CHD with detectable polymerase chain reaction (PCR) results for serum/plasma HDV ribonucleic acid (RNA)</w:t>
            </w:r>
          </w:p>
        </w:tc>
      </w:tr>
      <w:tr w:rsidR="002413BE" w:rsidRPr="00FD70DE" w14:paraId="50506349" w14:textId="77777777" w:rsidTr="00DB68A1">
        <w:tc>
          <w:tcPr>
            <w:tcW w:w="1696" w:type="dxa"/>
            <w:shd w:val="clear" w:color="auto" w:fill="BDD6EE" w:themeFill="accent1" w:themeFillTint="66"/>
          </w:tcPr>
          <w:p w14:paraId="2A2FD710"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sz w:val="20"/>
                <w:szCs w:val="20"/>
                <w:lang w:val="en-AU"/>
              </w:rPr>
              <w:t>Prior tests</w:t>
            </w:r>
          </w:p>
        </w:tc>
        <w:tc>
          <w:tcPr>
            <w:tcW w:w="7320" w:type="dxa"/>
            <w:shd w:val="clear" w:color="auto" w:fill="BDD6EE" w:themeFill="accent1" w:themeFillTint="66"/>
          </w:tcPr>
          <w:p w14:paraId="085A4F7E" w14:textId="77777777" w:rsidR="002413BE" w:rsidRPr="00FD70DE" w:rsidRDefault="002413BE" w:rsidP="00DB68A1">
            <w:pPr>
              <w:keepNext/>
              <w:widowControl w:val="0"/>
              <w:autoSpaceDE w:val="0"/>
              <w:autoSpaceDN w:val="0"/>
              <w:adjustRightInd w:val="0"/>
              <w:spacing w:before="0"/>
              <w:jc w:val="left"/>
              <w:rPr>
                <w:rFonts w:ascii="Arial Narrow" w:eastAsia="Times New Roman" w:hAnsi="Arial Narrow" w:cstheme="minorHAnsi"/>
                <w:sz w:val="20"/>
                <w:szCs w:val="20"/>
                <w:lang w:val="en-AU"/>
              </w:rPr>
            </w:pPr>
            <w:r w:rsidRPr="00FD70DE">
              <w:rPr>
                <w:rFonts w:ascii="Arial Narrow" w:eastAsia="Times New Roman" w:hAnsi="Arial Narrow" w:cstheme="minorHAnsi"/>
                <w:sz w:val="20"/>
                <w:szCs w:val="20"/>
                <w:lang w:val="en-AU"/>
              </w:rPr>
              <w:t xml:space="preserve">Diagnosis of HBV by hepatitis B surface antigen (HBsAg), </w:t>
            </w:r>
          </w:p>
          <w:p w14:paraId="0BA83D9D"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sz w:val="20"/>
                <w:szCs w:val="20"/>
                <w:lang w:val="en-AU"/>
              </w:rPr>
              <w:t xml:space="preserve">Anti-HDV antibody testing </w:t>
            </w:r>
          </w:p>
        </w:tc>
      </w:tr>
      <w:tr w:rsidR="002413BE" w:rsidRPr="00FD70DE" w14:paraId="6FFCBB8A" w14:textId="77777777" w:rsidTr="00DB68A1">
        <w:tc>
          <w:tcPr>
            <w:tcW w:w="1696" w:type="dxa"/>
            <w:shd w:val="clear" w:color="auto" w:fill="BDD6EE" w:themeFill="accent1" w:themeFillTint="66"/>
          </w:tcPr>
          <w:p w14:paraId="36FDCAA7"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sz w:val="20"/>
                <w:szCs w:val="20"/>
                <w:lang w:val="en-AU"/>
              </w:rPr>
              <w:t>Intervention</w:t>
            </w:r>
          </w:p>
        </w:tc>
        <w:tc>
          <w:tcPr>
            <w:tcW w:w="7320" w:type="dxa"/>
            <w:shd w:val="clear" w:color="auto" w:fill="BDD6EE" w:themeFill="accent1" w:themeFillTint="66"/>
          </w:tcPr>
          <w:p w14:paraId="4154280F" w14:textId="77777777" w:rsidR="002413BE" w:rsidRPr="00FD70DE" w:rsidRDefault="002413BE" w:rsidP="00DB68A1">
            <w:pPr>
              <w:keepNext/>
              <w:widowControl w:val="0"/>
              <w:autoSpaceDE w:val="0"/>
              <w:autoSpaceDN w:val="0"/>
              <w:adjustRightInd w:val="0"/>
              <w:spacing w:before="0"/>
              <w:jc w:val="left"/>
              <w:rPr>
                <w:rFonts w:ascii="Arial Narrow" w:eastAsia="Times New Roman" w:hAnsi="Arial Narrow" w:cstheme="minorHAnsi"/>
                <w:sz w:val="20"/>
                <w:szCs w:val="20"/>
                <w:lang w:val="en-AU"/>
              </w:rPr>
            </w:pPr>
            <w:r w:rsidRPr="00FD70DE">
              <w:rPr>
                <w:rFonts w:ascii="Arial Narrow" w:eastAsia="Times New Roman" w:hAnsi="Arial Narrow" w:cstheme="minorHAnsi"/>
                <w:b/>
                <w:bCs/>
                <w:sz w:val="20"/>
                <w:szCs w:val="20"/>
                <w:lang w:val="en-AU"/>
              </w:rPr>
              <w:t>Test:</w:t>
            </w:r>
            <w:r w:rsidRPr="00FD70DE">
              <w:rPr>
                <w:rFonts w:ascii="Arial Narrow" w:eastAsia="Times New Roman" w:hAnsi="Arial Narrow" w:cstheme="minorHAnsi"/>
                <w:sz w:val="20"/>
                <w:szCs w:val="20"/>
                <w:lang w:val="en-AU"/>
              </w:rPr>
              <w:t xml:space="preserve"> HDV RNA PCR on serum or blood </w:t>
            </w:r>
          </w:p>
          <w:p w14:paraId="5491948D"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bCs/>
                <w:sz w:val="20"/>
                <w:szCs w:val="20"/>
                <w:lang w:val="en-AU"/>
              </w:rPr>
              <w:t>Medicine:</w:t>
            </w:r>
            <w:r w:rsidRPr="00FD70DE">
              <w:rPr>
                <w:rFonts w:ascii="Arial Narrow" w:hAnsi="Arial Narrow" w:cstheme="minorHAnsi"/>
                <w:sz w:val="20"/>
                <w:szCs w:val="20"/>
                <w:lang w:val="en-AU"/>
              </w:rPr>
              <w:t xml:space="preserve"> HEPCLUDEX (bulevirtide)</w:t>
            </w:r>
          </w:p>
        </w:tc>
      </w:tr>
      <w:tr w:rsidR="002413BE" w:rsidRPr="00FD70DE" w14:paraId="5F4A9A75" w14:textId="77777777" w:rsidTr="00DB68A1">
        <w:tc>
          <w:tcPr>
            <w:tcW w:w="1696" w:type="dxa"/>
            <w:shd w:val="clear" w:color="auto" w:fill="BDD6EE" w:themeFill="accent1" w:themeFillTint="66"/>
          </w:tcPr>
          <w:p w14:paraId="4DB38090"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sz w:val="20"/>
                <w:szCs w:val="20"/>
                <w:lang w:val="en-AU"/>
              </w:rPr>
              <w:t>Comparator</w:t>
            </w:r>
          </w:p>
        </w:tc>
        <w:tc>
          <w:tcPr>
            <w:tcW w:w="7320" w:type="dxa"/>
            <w:shd w:val="clear" w:color="auto" w:fill="BDD6EE" w:themeFill="accent1" w:themeFillTint="66"/>
          </w:tcPr>
          <w:p w14:paraId="7A57EFA6" w14:textId="77777777" w:rsidR="002413BE" w:rsidRPr="00FD70DE" w:rsidRDefault="002413BE" w:rsidP="00DB68A1">
            <w:pPr>
              <w:keepNext/>
              <w:widowControl w:val="0"/>
              <w:autoSpaceDE w:val="0"/>
              <w:autoSpaceDN w:val="0"/>
              <w:adjustRightInd w:val="0"/>
              <w:spacing w:before="0"/>
              <w:jc w:val="left"/>
              <w:rPr>
                <w:rFonts w:ascii="Arial Narrow" w:eastAsia="Times New Roman" w:hAnsi="Arial Narrow" w:cstheme="minorHAnsi"/>
                <w:sz w:val="20"/>
                <w:szCs w:val="20"/>
                <w:lang w:val="en-AU"/>
              </w:rPr>
            </w:pPr>
            <w:r w:rsidRPr="00FD70DE">
              <w:rPr>
                <w:rFonts w:ascii="Arial Narrow" w:eastAsia="Times New Roman" w:hAnsi="Arial Narrow" w:cstheme="minorHAnsi"/>
                <w:b/>
                <w:bCs/>
                <w:sz w:val="20"/>
                <w:szCs w:val="20"/>
                <w:lang w:val="en-AU"/>
              </w:rPr>
              <w:t>Test:</w:t>
            </w:r>
            <w:r w:rsidRPr="00FD70DE">
              <w:rPr>
                <w:rFonts w:ascii="Arial Narrow" w:eastAsia="Times New Roman" w:hAnsi="Arial Narrow" w:cstheme="minorHAnsi"/>
                <w:sz w:val="20"/>
                <w:szCs w:val="20"/>
                <w:lang w:val="en-AU"/>
              </w:rPr>
              <w:t xml:space="preserve"> No HDV RNA testing </w:t>
            </w:r>
          </w:p>
          <w:p w14:paraId="1A919D42"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bCs/>
                <w:sz w:val="20"/>
                <w:szCs w:val="20"/>
                <w:lang w:val="en-AU"/>
              </w:rPr>
              <w:t>Medicine:</w:t>
            </w:r>
            <w:r w:rsidRPr="00FD70DE">
              <w:rPr>
                <w:rFonts w:ascii="Arial Narrow" w:hAnsi="Arial Narrow" w:cstheme="minorHAnsi"/>
                <w:sz w:val="20"/>
                <w:szCs w:val="20"/>
                <w:lang w:val="en-AU"/>
              </w:rPr>
              <w:t xml:space="preserve"> Symptomatic chronic HDV management </w:t>
            </w:r>
          </w:p>
        </w:tc>
      </w:tr>
      <w:tr w:rsidR="002413BE" w:rsidRPr="00FD70DE" w14:paraId="090CABE3" w14:textId="77777777" w:rsidTr="00DB68A1">
        <w:tc>
          <w:tcPr>
            <w:tcW w:w="1696" w:type="dxa"/>
            <w:shd w:val="clear" w:color="auto" w:fill="BDD6EE" w:themeFill="accent1" w:themeFillTint="66"/>
          </w:tcPr>
          <w:p w14:paraId="4C145E28"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b/>
                <w:sz w:val="20"/>
                <w:szCs w:val="20"/>
                <w:lang w:val="en-AU"/>
              </w:rPr>
              <w:t>Clinical utility standard</w:t>
            </w:r>
          </w:p>
        </w:tc>
        <w:tc>
          <w:tcPr>
            <w:tcW w:w="7320" w:type="dxa"/>
            <w:shd w:val="clear" w:color="auto" w:fill="BDD6EE" w:themeFill="accent1" w:themeFillTint="66"/>
          </w:tcPr>
          <w:p w14:paraId="446D14B3" w14:textId="77777777" w:rsidR="002413BE" w:rsidRPr="00FD70DE" w:rsidRDefault="002413BE" w:rsidP="00DB68A1">
            <w:pPr>
              <w:keepNext/>
              <w:widowControl w:val="0"/>
              <w:autoSpaceDE w:val="0"/>
              <w:autoSpaceDN w:val="0"/>
              <w:adjustRightInd w:val="0"/>
              <w:spacing w:before="0"/>
              <w:jc w:val="left"/>
              <w:rPr>
                <w:rFonts w:ascii="Arial Narrow" w:eastAsia="Times New Roman" w:hAnsi="Arial Narrow" w:cstheme="minorHAnsi"/>
                <w:sz w:val="20"/>
                <w:szCs w:val="20"/>
                <w:lang w:val="en-AU"/>
              </w:rPr>
            </w:pPr>
            <w:proofErr w:type="spellStart"/>
            <w:r w:rsidRPr="00FD70DE">
              <w:rPr>
                <w:rFonts w:ascii="Arial Narrow" w:eastAsia="Times New Roman" w:hAnsi="Arial Narrow" w:cstheme="minorHAnsi"/>
                <w:sz w:val="20"/>
                <w:szCs w:val="20"/>
                <w:lang w:val="en-AU"/>
              </w:rPr>
              <w:t>Robogene</w:t>
            </w:r>
            <w:proofErr w:type="spellEnd"/>
            <w:r w:rsidRPr="00FD70DE">
              <w:rPr>
                <w:rFonts w:ascii="Arial Narrow" w:eastAsia="Times New Roman" w:hAnsi="Arial Narrow" w:cstheme="minorHAnsi"/>
                <w:sz w:val="20"/>
                <w:szCs w:val="20"/>
                <w:lang w:val="en-AU"/>
              </w:rPr>
              <w:t>® HDV RNA Quantification Kit 2.0 with a lower limit of detection (</w:t>
            </w:r>
            <w:proofErr w:type="spellStart"/>
            <w:r w:rsidRPr="00FD70DE">
              <w:rPr>
                <w:rFonts w:ascii="Arial Narrow" w:eastAsia="Times New Roman" w:hAnsi="Arial Narrow" w:cstheme="minorHAnsi"/>
                <w:sz w:val="20"/>
                <w:szCs w:val="20"/>
                <w:lang w:val="en-AU"/>
              </w:rPr>
              <w:t>LLoD</w:t>
            </w:r>
            <w:proofErr w:type="spellEnd"/>
            <w:r w:rsidRPr="00FD70DE">
              <w:rPr>
                <w:rFonts w:ascii="Arial Narrow" w:eastAsia="Times New Roman" w:hAnsi="Arial Narrow" w:cstheme="minorHAnsi"/>
                <w:sz w:val="20"/>
                <w:szCs w:val="20"/>
                <w:lang w:val="en-AU"/>
              </w:rPr>
              <w:t>) of 6 IU/mL</w:t>
            </w:r>
          </w:p>
          <w:p w14:paraId="27BFEDA5" w14:textId="77777777" w:rsidR="002413BE" w:rsidRPr="00FD70DE" w:rsidRDefault="002413BE" w:rsidP="00DB68A1">
            <w:pPr>
              <w:keepNext/>
              <w:widowControl w:val="0"/>
              <w:spacing w:before="0"/>
              <w:jc w:val="left"/>
              <w:rPr>
                <w:rFonts w:ascii="Arial Narrow" w:hAnsi="Arial Narrow"/>
                <w:sz w:val="20"/>
                <w:szCs w:val="20"/>
                <w:lang w:val="en-AU"/>
              </w:rPr>
            </w:pPr>
            <w:r w:rsidRPr="00FD70DE">
              <w:rPr>
                <w:rFonts w:ascii="Arial Narrow" w:hAnsi="Arial Narrow" w:cstheme="minorHAnsi"/>
                <w:sz w:val="20"/>
                <w:szCs w:val="20"/>
                <w:lang w:val="en-AU"/>
              </w:rPr>
              <w:t xml:space="preserve">Test used in key clinical trial MYR301 </w:t>
            </w:r>
          </w:p>
        </w:tc>
      </w:tr>
      <w:tr w:rsidR="002413BE" w:rsidRPr="00FD70DE" w14:paraId="1513B708" w14:textId="77777777" w:rsidTr="00DB68A1">
        <w:tc>
          <w:tcPr>
            <w:tcW w:w="1696" w:type="dxa"/>
            <w:shd w:val="clear" w:color="auto" w:fill="BDD6EE" w:themeFill="accent1" w:themeFillTint="66"/>
          </w:tcPr>
          <w:p w14:paraId="462AC7E1" w14:textId="77777777" w:rsidR="002413BE" w:rsidRPr="00FD70DE" w:rsidRDefault="002413BE" w:rsidP="00DB68A1">
            <w:pPr>
              <w:keepNext/>
              <w:widowControl w:val="0"/>
              <w:spacing w:before="0"/>
              <w:jc w:val="left"/>
              <w:rPr>
                <w:rFonts w:ascii="Arial Narrow" w:hAnsi="Arial Narrow" w:cstheme="minorHAnsi"/>
                <w:b/>
                <w:sz w:val="20"/>
                <w:szCs w:val="20"/>
                <w:lang w:val="en-AU"/>
              </w:rPr>
            </w:pPr>
            <w:r w:rsidRPr="00FD70DE">
              <w:rPr>
                <w:rFonts w:ascii="Arial Narrow" w:hAnsi="Arial Narrow" w:cstheme="minorHAnsi"/>
                <w:b/>
                <w:sz w:val="20"/>
                <w:szCs w:val="20"/>
                <w:lang w:val="en-AU"/>
              </w:rPr>
              <w:t>Outcomes</w:t>
            </w:r>
          </w:p>
        </w:tc>
        <w:tc>
          <w:tcPr>
            <w:tcW w:w="7320" w:type="dxa"/>
            <w:shd w:val="clear" w:color="auto" w:fill="BDD6EE" w:themeFill="accent1" w:themeFillTint="66"/>
          </w:tcPr>
          <w:p w14:paraId="7242E737" w14:textId="77777777" w:rsidR="002413BE" w:rsidRPr="00FD70DE" w:rsidRDefault="002413BE" w:rsidP="00DB68A1">
            <w:pPr>
              <w:keepNext/>
              <w:widowControl w:val="0"/>
              <w:spacing w:before="20" w:after="20"/>
              <w:jc w:val="left"/>
              <w:rPr>
                <w:rFonts w:ascii="Arial Narrow" w:hAnsi="Arial Narrow" w:cstheme="minorHAnsi"/>
                <w:sz w:val="20"/>
                <w:szCs w:val="20"/>
                <w:lang w:val="en-AU"/>
              </w:rPr>
            </w:pPr>
            <w:r w:rsidRPr="00FD70DE">
              <w:rPr>
                <w:rFonts w:ascii="Arial Narrow" w:hAnsi="Arial Narrow" w:cstheme="minorHAnsi"/>
                <w:b/>
                <w:bCs/>
                <w:sz w:val="20"/>
                <w:szCs w:val="20"/>
                <w:lang w:val="en-AU"/>
              </w:rPr>
              <w:t>Test:</w:t>
            </w:r>
          </w:p>
          <w:p w14:paraId="0BAD1914" w14:textId="77777777" w:rsidR="002413BE" w:rsidRPr="00FD70DE" w:rsidRDefault="002413BE" w:rsidP="00DB68A1">
            <w:pPr>
              <w:keepNext/>
              <w:widowControl w:val="0"/>
              <w:numPr>
                <w:ilvl w:val="0"/>
                <w:numId w:val="16"/>
              </w:numPr>
              <w:spacing w:before="20" w:after="20"/>
              <w:jc w:val="left"/>
              <w:rPr>
                <w:rFonts w:ascii="Arial Narrow" w:hAnsi="Arial Narrow" w:cstheme="minorHAnsi"/>
                <w:sz w:val="20"/>
                <w:szCs w:val="20"/>
                <w:lang w:val="en-AU"/>
              </w:rPr>
            </w:pPr>
            <w:r w:rsidRPr="00FD70DE">
              <w:rPr>
                <w:rFonts w:ascii="Arial Narrow" w:hAnsi="Arial Narrow" w:cstheme="minorHAnsi"/>
                <w:sz w:val="20"/>
                <w:szCs w:val="20"/>
                <w:lang w:val="en-AU"/>
              </w:rPr>
              <w:t>Concordance of the test with the clinical utility standard</w:t>
            </w:r>
          </w:p>
          <w:p w14:paraId="0AA7BD8E" w14:textId="77777777" w:rsidR="002413BE" w:rsidRPr="00FD70DE" w:rsidRDefault="002413BE" w:rsidP="00DB68A1">
            <w:pPr>
              <w:keepNext/>
              <w:widowControl w:val="0"/>
              <w:numPr>
                <w:ilvl w:val="0"/>
                <w:numId w:val="16"/>
              </w:numPr>
              <w:spacing w:before="20" w:after="20"/>
              <w:jc w:val="left"/>
              <w:rPr>
                <w:rFonts w:ascii="Arial Narrow" w:hAnsi="Arial Narrow" w:cstheme="minorHAnsi"/>
                <w:sz w:val="20"/>
                <w:szCs w:val="20"/>
                <w:lang w:val="en-AU"/>
              </w:rPr>
            </w:pPr>
            <w:r w:rsidRPr="00FD70DE">
              <w:rPr>
                <w:rFonts w:ascii="Arial Narrow" w:hAnsi="Arial Narrow" w:cstheme="minorHAnsi"/>
                <w:sz w:val="20"/>
                <w:szCs w:val="20"/>
                <w:lang w:val="en-AU"/>
              </w:rPr>
              <w:t>Predictive validity of the test (distinguished from HDV as a prognostic marker)</w:t>
            </w:r>
          </w:p>
          <w:p w14:paraId="601FA748" w14:textId="77777777" w:rsidR="002413BE" w:rsidRPr="00FD70DE" w:rsidRDefault="002413BE" w:rsidP="00DB68A1">
            <w:pPr>
              <w:keepNext/>
              <w:widowControl w:val="0"/>
              <w:numPr>
                <w:ilvl w:val="0"/>
                <w:numId w:val="16"/>
              </w:numPr>
              <w:spacing w:before="20" w:after="20"/>
              <w:jc w:val="left"/>
              <w:rPr>
                <w:rFonts w:ascii="Arial Narrow" w:hAnsi="Arial Narrow" w:cstheme="minorHAnsi"/>
                <w:sz w:val="20"/>
                <w:szCs w:val="20"/>
                <w:lang w:val="en-AU"/>
              </w:rPr>
            </w:pPr>
            <w:r w:rsidRPr="00FD70DE">
              <w:rPr>
                <w:rFonts w:ascii="Arial Narrow" w:hAnsi="Arial Narrow" w:cstheme="minorHAnsi"/>
                <w:sz w:val="20"/>
                <w:szCs w:val="20"/>
                <w:lang w:val="en-AU"/>
              </w:rPr>
              <w:t>Suitability of the test for monitoring (ability to distinguish response to treatment from background random variation, i.e. signal to noise ratio).</w:t>
            </w:r>
          </w:p>
          <w:p w14:paraId="396165ED" w14:textId="77777777" w:rsidR="002413BE" w:rsidRPr="00FD70DE" w:rsidRDefault="002413BE" w:rsidP="00DB68A1">
            <w:pPr>
              <w:keepNext/>
              <w:widowControl w:val="0"/>
              <w:numPr>
                <w:ilvl w:val="0"/>
                <w:numId w:val="16"/>
              </w:numPr>
              <w:spacing w:before="20" w:after="20"/>
              <w:jc w:val="left"/>
              <w:rPr>
                <w:rFonts w:ascii="Arial Narrow" w:hAnsi="Arial Narrow" w:cstheme="minorHAnsi"/>
                <w:sz w:val="20"/>
                <w:szCs w:val="20"/>
                <w:lang w:val="en-AU"/>
              </w:rPr>
            </w:pPr>
            <w:r w:rsidRPr="00FD70DE">
              <w:rPr>
                <w:rFonts w:ascii="Arial Narrow" w:hAnsi="Arial Narrow" w:cstheme="minorHAnsi"/>
                <w:sz w:val="20"/>
                <w:szCs w:val="20"/>
                <w:lang w:val="en-AU"/>
              </w:rPr>
              <w:t>Change in clinical management from initial and ongoing testing</w:t>
            </w:r>
          </w:p>
          <w:p w14:paraId="688FF6BC" w14:textId="77777777" w:rsidR="002413BE" w:rsidRPr="00FD70DE" w:rsidRDefault="002413BE" w:rsidP="00DB68A1">
            <w:pPr>
              <w:keepNext/>
              <w:widowControl w:val="0"/>
              <w:spacing w:before="20" w:after="20"/>
              <w:jc w:val="left"/>
              <w:rPr>
                <w:rFonts w:ascii="Arial Narrow" w:hAnsi="Arial Narrow" w:cstheme="minorHAnsi"/>
                <w:b/>
                <w:bCs/>
                <w:sz w:val="20"/>
                <w:szCs w:val="20"/>
                <w:lang w:val="en-AU"/>
              </w:rPr>
            </w:pPr>
            <w:r w:rsidRPr="00FD70DE">
              <w:rPr>
                <w:rFonts w:ascii="Arial Narrow" w:hAnsi="Arial Narrow" w:cstheme="minorHAnsi"/>
                <w:b/>
                <w:bCs/>
                <w:sz w:val="20"/>
                <w:szCs w:val="20"/>
                <w:lang w:val="en-AU"/>
              </w:rPr>
              <w:t>Medicine:</w:t>
            </w:r>
          </w:p>
          <w:p w14:paraId="75F968A1" w14:textId="77777777" w:rsidR="002413BE" w:rsidRPr="00FD70DE" w:rsidRDefault="002413BE" w:rsidP="00DB68A1">
            <w:pPr>
              <w:keepNext/>
              <w:widowControl w:val="0"/>
              <w:numPr>
                <w:ilvl w:val="0"/>
                <w:numId w:val="17"/>
              </w:numPr>
              <w:spacing w:before="20" w:after="20"/>
              <w:jc w:val="left"/>
              <w:rPr>
                <w:rFonts w:ascii="Arial Narrow" w:hAnsi="Arial Narrow" w:cstheme="minorHAnsi"/>
                <w:sz w:val="20"/>
                <w:szCs w:val="20"/>
                <w:lang w:val="en-AU"/>
              </w:rPr>
            </w:pPr>
            <w:r w:rsidRPr="00FD70DE">
              <w:rPr>
                <w:rFonts w:ascii="Arial Narrow" w:hAnsi="Arial Narrow" w:cstheme="minorHAnsi"/>
                <w:sz w:val="20"/>
                <w:szCs w:val="20"/>
                <w:lang w:val="en-AU"/>
              </w:rPr>
              <w:t>Primary endpoint, composite endpoint at Week 48 of:</w:t>
            </w:r>
          </w:p>
          <w:p w14:paraId="7C2FDCA0" w14:textId="77777777" w:rsidR="002413BE" w:rsidRPr="00FD70DE" w:rsidRDefault="002413BE" w:rsidP="00DB68A1">
            <w:pPr>
              <w:keepNext/>
              <w:widowControl w:val="0"/>
              <w:numPr>
                <w:ilvl w:val="1"/>
                <w:numId w:val="17"/>
              </w:numPr>
              <w:spacing w:before="20" w:after="20"/>
              <w:ind w:left="742"/>
              <w:jc w:val="left"/>
              <w:rPr>
                <w:rFonts w:ascii="Arial Narrow" w:hAnsi="Arial Narrow" w:cs="Calibri (Body)"/>
                <w:sz w:val="20"/>
                <w:szCs w:val="20"/>
                <w:lang w:val="en-AU"/>
              </w:rPr>
            </w:pPr>
            <w:r w:rsidRPr="00FD70DE">
              <w:rPr>
                <w:rFonts w:ascii="Arial Narrow" w:hAnsi="Arial Narrow" w:cstheme="minorHAnsi"/>
                <w:sz w:val="20"/>
                <w:szCs w:val="20"/>
                <w:lang w:val="en-AU"/>
              </w:rPr>
              <w:t xml:space="preserve">Undetectable HDV RNA (HDV RNA &lt; </w:t>
            </w:r>
            <w:proofErr w:type="spellStart"/>
            <w:r w:rsidRPr="00FD70DE">
              <w:rPr>
                <w:rFonts w:ascii="Arial Narrow" w:hAnsi="Arial Narrow" w:cstheme="minorHAnsi"/>
                <w:sz w:val="20"/>
                <w:szCs w:val="20"/>
                <w:lang w:val="en-AU"/>
              </w:rPr>
              <w:t>LLoD</w:t>
            </w:r>
            <w:proofErr w:type="spellEnd"/>
            <w:r w:rsidRPr="00FD70DE">
              <w:rPr>
                <w:rFonts w:ascii="Arial Narrow" w:hAnsi="Arial Narrow" w:cstheme="minorHAnsi"/>
                <w:sz w:val="20"/>
                <w:szCs w:val="20"/>
                <w:lang w:val="en-AU"/>
              </w:rPr>
              <w:t>) or decrease in HDV RNA by ≥2 log</w:t>
            </w:r>
            <w:r w:rsidRPr="00FD70DE">
              <w:rPr>
                <w:rFonts w:ascii="Arial Narrow" w:hAnsi="Arial Narrow" w:cstheme="minorHAnsi"/>
                <w:sz w:val="20"/>
                <w:szCs w:val="20"/>
                <w:vertAlign w:val="subscript"/>
                <w:lang w:val="en-AU"/>
              </w:rPr>
              <w:t>10</w:t>
            </w:r>
            <w:r w:rsidRPr="00FD70DE">
              <w:rPr>
                <w:rFonts w:ascii="Arial Narrow" w:hAnsi="Arial Narrow" w:cstheme="minorHAnsi"/>
                <w:sz w:val="20"/>
                <w:szCs w:val="20"/>
                <w:lang w:val="en-AU"/>
              </w:rPr>
              <w:t xml:space="preserve"> IU/mL from baseline, and </w:t>
            </w:r>
          </w:p>
          <w:p w14:paraId="532FD4F1" w14:textId="77777777" w:rsidR="002413BE" w:rsidRPr="00FD70DE" w:rsidRDefault="002413BE" w:rsidP="00DB68A1">
            <w:pPr>
              <w:keepNext/>
              <w:widowControl w:val="0"/>
              <w:numPr>
                <w:ilvl w:val="1"/>
                <w:numId w:val="17"/>
              </w:numPr>
              <w:spacing w:before="20" w:after="20"/>
              <w:ind w:left="742"/>
              <w:jc w:val="left"/>
              <w:rPr>
                <w:rFonts w:ascii="Arial Narrow" w:hAnsi="Arial Narrow" w:cs="Calibri (Body)"/>
                <w:sz w:val="20"/>
                <w:szCs w:val="20"/>
                <w:lang w:val="en-AU"/>
              </w:rPr>
            </w:pPr>
            <w:r w:rsidRPr="00FD70DE">
              <w:rPr>
                <w:rFonts w:ascii="Arial Narrow" w:hAnsi="Arial Narrow" w:cstheme="minorHAnsi"/>
                <w:sz w:val="20"/>
                <w:szCs w:val="20"/>
                <w:lang w:val="en-AU"/>
              </w:rPr>
              <w:t xml:space="preserve">ALT normalisation (i.e. below the central laboratory defined ULN). </w:t>
            </w:r>
          </w:p>
          <w:p w14:paraId="6D091443" w14:textId="77777777" w:rsidR="002413BE" w:rsidRPr="00FD70DE" w:rsidRDefault="002413BE" w:rsidP="00DB68A1">
            <w:pPr>
              <w:keepNext/>
              <w:widowControl w:val="0"/>
              <w:numPr>
                <w:ilvl w:val="0"/>
                <w:numId w:val="17"/>
              </w:numPr>
              <w:spacing w:before="20" w:after="20"/>
              <w:jc w:val="left"/>
              <w:rPr>
                <w:rFonts w:ascii="Arial Narrow" w:hAnsi="Arial Narrow" w:cs="Calibri (Body)"/>
                <w:sz w:val="20"/>
                <w:szCs w:val="20"/>
                <w:lang w:val="en-AU"/>
              </w:rPr>
            </w:pPr>
            <w:r w:rsidRPr="00FD70DE">
              <w:rPr>
                <w:rFonts w:ascii="Arial Narrow" w:hAnsi="Arial Narrow" w:cstheme="minorHAnsi"/>
                <w:sz w:val="20"/>
                <w:szCs w:val="20"/>
                <w:lang w:val="en-AU"/>
              </w:rPr>
              <w:t>Secondary endpoints at Week 48 of:</w:t>
            </w:r>
          </w:p>
          <w:p w14:paraId="105B5211" w14:textId="77777777" w:rsidR="002413BE" w:rsidRPr="00FD70DE" w:rsidRDefault="002413BE" w:rsidP="00DB68A1">
            <w:pPr>
              <w:keepNext/>
              <w:widowControl w:val="0"/>
              <w:numPr>
                <w:ilvl w:val="1"/>
                <w:numId w:val="17"/>
              </w:numPr>
              <w:spacing w:before="20" w:after="20"/>
              <w:ind w:left="742"/>
              <w:jc w:val="left"/>
              <w:rPr>
                <w:rFonts w:ascii="Arial Narrow" w:hAnsi="Arial Narrow" w:cs="Calibri (Body)"/>
                <w:sz w:val="20"/>
                <w:szCs w:val="20"/>
                <w:lang w:val="en-AU"/>
              </w:rPr>
            </w:pPr>
            <w:r w:rsidRPr="00FD70DE">
              <w:rPr>
                <w:rFonts w:ascii="Arial Narrow" w:hAnsi="Arial Narrow" w:cstheme="minorHAnsi"/>
                <w:sz w:val="20"/>
                <w:szCs w:val="20"/>
                <w:lang w:val="en-AU"/>
              </w:rPr>
              <w:t>Undetectable HDV RNA at Week 48</w:t>
            </w:r>
          </w:p>
          <w:p w14:paraId="1A68163E" w14:textId="77777777" w:rsidR="002413BE" w:rsidRPr="00FD70DE" w:rsidRDefault="002413BE" w:rsidP="00DB68A1">
            <w:pPr>
              <w:keepNext/>
              <w:widowControl w:val="0"/>
              <w:numPr>
                <w:ilvl w:val="1"/>
                <w:numId w:val="17"/>
              </w:numPr>
              <w:spacing w:before="20" w:after="20"/>
              <w:ind w:left="742"/>
              <w:jc w:val="left"/>
              <w:rPr>
                <w:rFonts w:ascii="Arial Narrow" w:hAnsi="Arial Narrow" w:cs="Calibri (Body)"/>
                <w:sz w:val="20"/>
                <w:szCs w:val="20"/>
                <w:lang w:val="en-AU"/>
              </w:rPr>
            </w:pPr>
            <w:r w:rsidRPr="00FD70DE">
              <w:rPr>
                <w:rFonts w:ascii="Arial Narrow" w:hAnsi="Arial Narrow" w:cstheme="minorHAnsi"/>
                <w:sz w:val="20"/>
                <w:szCs w:val="20"/>
                <w:lang w:val="en-AU"/>
              </w:rPr>
              <w:t>ALT normalisation at Week 48</w:t>
            </w:r>
          </w:p>
          <w:p w14:paraId="262A079D" w14:textId="77777777" w:rsidR="002413BE" w:rsidRPr="00FD70DE" w:rsidRDefault="002413BE" w:rsidP="00DB68A1">
            <w:pPr>
              <w:keepNext/>
              <w:widowControl w:val="0"/>
              <w:numPr>
                <w:ilvl w:val="1"/>
                <w:numId w:val="17"/>
              </w:numPr>
              <w:spacing w:before="20" w:after="20"/>
              <w:ind w:left="742"/>
              <w:jc w:val="left"/>
              <w:rPr>
                <w:rFonts w:ascii="Arial Narrow" w:hAnsi="Arial Narrow" w:cs="Calibri (Body)"/>
                <w:sz w:val="20"/>
                <w:szCs w:val="20"/>
                <w:lang w:val="en-AU"/>
              </w:rPr>
            </w:pPr>
            <w:r w:rsidRPr="00FD70DE">
              <w:rPr>
                <w:rFonts w:ascii="Arial Narrow" w:hAnsi="Arial Narrow" w:cstheme="minorHAnsi"/>
                <w:sz w:val="20"/>
                <w:szCs w:val="20"/>
                <w:lang w:val="en-AU"/>
              </w:rPr>
              <w:t>Proportions of patients achieving HDV RNA decrease by ≥2 log</w:t>
            </w:r>
            <w:r w:rsidRPr="00FD70DE">
              <w:rPr>
                <w:rFonts w:ascii="Arial Narrow" w:hAnsi="Arial Narrow" w:cstheme="minorHAnsi"/>
                <w:sz w:val="20"/>
                <w:szCs w:val="20"/>
                <w:vertAlign w:val="subscript"/>
                <w:lang w:val="en-AU"/>
              </w:rPr>
              <w:t>10</w:t>
            </w:r>
            <w:r w:rsidRPr="00FD70DE">
              <w:rPr>
                <w:rFonts w:ascii="Arial Narrow" w:hAnsi="Arial Narrow" w:cstheme="minorHAnsi"/>
                <w:sz w:val="20"/>
                <w:szCs w:val="20"/>
                <w:lang w:val="en-AU"/>
              </w:rPr>
              <w:t xml:space="preserve"> IU/mL,</w:t>
            </w:r>
          </w:p>
          <w:p w14:paraId="3572E9A1" w14:textId="77777777" w:rsidR="002413BE" w:rsidRPr="00FD70DE" w:rsidRDefault="002413BE" w:rsidP="00DB68A1">
            <w:pPr>
              <w:keepNext/>
              <w:widowControl w:val="0"/>
              <w:numPr>
                <w:ilvl w:val="1"/>
                <w:numId w:val="17"/>
              </w:numPr>
              <w:spacing w:before="20" w:after="20"/>
              <w:ind w:left="742"/>
              <w:jc w:val="left"/>
              <w:rPr>
                <w:rFonts w:ascii="Arial Narrow" w:hAnsi="Arial Narrow" w:cs="Calibri (Body)"/>
                <w:sz w:val="20"/>
                <w:szCs w:val="20"/>
                <w:lang w:val="en-AU"/>
              </w:rPr>
            </w:pPr>
            <w:r w:rsidRPr="00FD70DE">
              <w:rPr>
                <w:rFonts w:ascii="Arial Narrow" w:hAnsi="Arial Narrow" w:cstheme="minorHAnsi"/>
                <w:sz w:val="20"/>
                <w:szCs w:val="20"/>
                <w:lang w:val="en-AU"/>
              </w:rPr>
              <w:t>Quality of life using EQ-5D, FSS and HQLQ</w:t>
            </w:r>
          </w:p>
          <w:p w14:paraId="147985EE" w14:textId="77777777" w:rsidR="002413BE" w:rsidRPr="00FD70DE" w:rsidRDefault="002413BE" w:rsidP="00DB68A1">
            <w:pPr>
              <w:keepNext/>
              <w:widowControl w:val="0"/>
              <w:autoSpaceDE w:val="0"/>
              <w:autoSpaceDN w:val="0"/>
              <w:adjustRightInd w:val="0"/>
              <w:spacing w:before="0"/>
              <w:jc w:val="left"/>
              <w:rPr>
                <w:rFonts w:ascii="Arial Narrow" w:eastAsia="Times New Roman" w:hAnsi="Arial Narrow" w:cstheme="minorHAnsi"/>
                <w:sz w:val="20"/>
                <w:szCs w:val="20"/>
                <w:lang w:val="en-AU"/>
              </w:rPr>
            </w:pPr>
            <w:r w:rsidRPr="00FD70DE">
              <w:rPr>
                <w:rFonts w:ascii="Arial Narrow" w:eastAsia="Times New Roman" w:hAnsi="Arial Narrow" w:cstheme="minorHAnsi"/>
                <w:sz w:val="20"/>
                <w:szCs w:val="20"/>
                <w:lang w:val="en-AU"/>
              </w:rPr>
              <w:t>Safety (adverse events, physical examinations, laboratory findings)</w:t>
            </w:r>
          </w:p>
        </w:tc>
      </w:tr>
      <w:tr w:rsidR="002413BE" w:rsidRPr="00FD70DE" w14:paraId="62A38C7C" w14:textId="77777777" w:rsidTr="00DB68A1">
        <w:trPr>
          <w:cantSplit/>
        </w:trPr>
        <w:tc>
          <w:tcPr>
            <w:tcW w:w="1696" w:type="dxa"/>
            <w:shd w:val="clear" w:color="auto" w:fill="BDD6EE" w:themeFill="accent1" w:themeFillTint="66"/>
          </w:tcPr>
          <w:p w14:paraId="306170E5" w14:textId="77777777" w:rsidR="002413BE" w:rsidRPr="00FD70DE" w:rsidRDefault="002413BE" w:rsidP="00DB68A1">
            <w:pPr>
              <w:keepNext/>
              <w:widowControl w:val="0"/>
              <w:spacing w:before="0"/>
              <w:jc w:val="left"/>
              <w:rPr>
                <w:rFonts w:ascii="Arial Narrow" w:hAnsi="Arial Narrow" w:cstheme="minorHAnsi"/>
                <w:b/>
                <w:sz w:val="20"/>
                <w:szCs w:val="20"/>
                <w:lang w:val="en-AU"/>
              </w:rPr>
            </w:pPr>
            <w:r w:rsidRPr="00FD70DE">
              <w:rPr>
                <w:rFonts w:ascii="Arial Narrow" w:hAnsi="Arial Narrow" w:cstheme="minorHAnsi"/>
                <w:b/>
                <w:sz w:val="20"/>
                <w:szCs w:val="20"/>
                <w:lang w:val="en-AU"/>
              </w:rPr>
              <w:t>Clinical claims</w:t>
            </w:r>
          </w:p>
        </w:tc>
        <w:tc>
          <w:tcPr>
            <w:tcW w:w="7320" w:type="dxa"/>
            <w:shd w:val="clear" w:color="auto" w:fill="BDD6EE" w:themeFill="accent1" w:themeFillTint="66"/>
          </w:tcPr>
          <w:p w14:paraId="2534C381" w14:textId="77777777" w:rsidR="002413BE" w:rsidRPr="00FD70DE" w:rsidRDefault="002413BE" w:rsidP="00DB68A1">
            <w:pPr>
              <w:keepNext/>
              <w:widowControl w:val="0"/>
              <w:spacing w:before="0"/>
              <w:rPr>
                <w:rFonts w:ascii="Arial Narrow" w:eastAsia="Times New Roman" w:hAnsi="Arial Narrow" w:cstheme="minorHAnsi"/>
                <w:snapToGrid w:val="0"/>
                <w:sz w:val="20"/>
                <w:szCs w:val="20"/>
                <w:lang w:val="en-AU" w:eastAsia="en-AU"/>
              </w:rPr>
            </w:pPr>
            <w:r w:rsidRPr="00FD70DE">
              <w:rPr>
                <w:rFonts w:ascii="Arial Narrow" w:eastAsia="Times New Roman" w:hAnsi="Arial Narrow" w:cstheme="minorHAnsi"/>
                <w:snapToGrid w:val="0"/>
                <w:sz w:val="20"/>
                <w:szCs w:val="20"/>
                <w:lang w:val="en-AU" w:eastAsia="en-AU"/>
              </w:rPr>
              <w:t>In adults with chronic HDV infection, HEPCLUDEX (bulevirtide) is superior to current chronic HDV symptom management and is associated with a favourable safety profile.</w:t>
            </w:r>
          </w:p>
          <w:p w14:paraId="743CFC2F" w14:textId="77777777" w:rsidR="002413BE" w:rsidRPr="00FD70DE" w:rsidRDefault="002413BE" w:rsidP="00DB68A1">
            <w:pPr>
              <w:keepNext/>
              <w:widowControl w:val="0"/>
              <w:autoSpaceDE w:val="0"/>
              <w:autoSpaceDN w:val="0"/>
              <w:adjustRightInd w:val="0"/>
              <w:spacing w:before="0"/>
              <w:jc w:val="left"/>
              <w:rPr>
                <w:rFonts w:ascii="Arial Narrow" w:eastAsia="Times New Roman" w:hAnsi="Arial Narrow" w:cstheme="minorHAnsi"/>
                <w:sz w:val="20"/>
                <w:szCs w:val="20"/>
                <w:lang w:val="en-AU"/>
              </w:rPr>
            </w:pPr>
            <w:r w:rsidRPr="00FD70DE">
              <w:rPr>
                <w:rFonts w:ascii="Arial Narrow" w:eastAsia="Times New Roman" w:hAnsi="Arial Narrow" w:cstheme="minorHAnsi"/>
                <w:sz w:val="20"/>
                <w:szCs w:val="20"/>
                <w:lang w:val="en-AU"/>
              </w:rPr>
              <w:t>The MBS listing of HDV RNA PCR testing and the PBS listing of HEPCLUDEX (bulevirtide) for the diagnosis and the treatment of chronic HDV will result in superior health outcomes compared to no testing and no access to HEPCLUDEX.</w:t>
            </w:r>
          </w:p>
        </w:tc>
      </w:tr>
    </w:tbl>
    <w:p w14:paraId="3751632A" w14:textId="77777777" w:rsidR="002413BE" w:rsidRPr="00FD70DE" w:rsidRDefault="002413BE" w:rsidP="002413BE">
      <w:pPr>
        <w:widowControl w:val="0"/>
        <w:tabs>
          <w:tab w:val="left" w:pos="3320"/>
        </w:tabs>
        <w:spacing w:before="0" w:after="0"/>
        <w:contextualSpacing/>
        <w:rPr>
          <w:rFonts w:ascii="Arial Narrow" w:eastAsia="Times New Roman" w:hAnsi="Arial Narrow" w:cs="Arial"/>
          <w:snapToGrid w:val="0"/>
          <w:sz w:val="18"/>
          <w:szCs w:val="20"/>
        </w:rPr>
      </w:pPr>
      <w:r w:rsidRPr="00FD70DE">
        <w:rPr>
          <w:rFonts w:ascii="Arial Narrow" w:eastAsia="Times New Roman" w:hAnsi="Arial Narrow" w:cs="Arial"/>
          <w:snapToGrid w:val="0"/>
          <w:sz w:val="18"/>
          <w:szCs w:val="20"/>
        </w:rPr>
        <w:t>Source: Table 1.1-1, p3 of the resubmission</w:t>
      </w:r>
    </w:p>
    <w:p w14:paraId="48560E3C" w14:textId="77777777" w:rsidR="002413BE" w:rsidRPr="00FD70DE" w:rsidRDefault="002413BE" w:rsidP="002413BE">
      <w:pPr>
        <w:widowControl w:val="0"/>
        <w:tabs>
          <w:tab w:val="left" w:pos="3320"/>
        </w:tabs>
        <w:spacing w:before="0" w:after="0"/>
        <w:contextualSpacing/>
        <w:rPr>
          <w:rFonts w:ascii="Arial Narrow" w:eastAsia="Times New Roman" w:hAnsi="Arial Narrow" w:cs="Arial"/>
          <w:snapToGrid w:val="0"/>
          <w:sz w:val="18"/>
          <w:szCs w:val="18"/>
        </w:rPr>
      </w:pPr>
      <w:r w:rsidRPr="4904BCD2">
        <w:rPr>
          <w:rFonts w:ascii="Arial Narrow" w:eastAsia="Times New Roman" w:hAnsi="Arial Narrow" w:cs="Arial"/>
          <w:snapToGrid w:val="0"/>
          <w:sz w:val="18"/>
          <w:szCs w:val="18"/>
        </w:rPr>
        <w:t xml:space="preserve">ALT = Alanine Aminotransferase; CHD = Chronic Hepatitis D; EQ-5D = </w:t>
      </w:r>
      <w:proofErr w:type="spellStart"/>
      <w:r w:rsidRPr="4904BCD2">
        <w:rPr>
          <w:rFonts w:ascii="Arial Narrow" w:eastAsia="Times New Roman" w:hAnsi="Arial Narrow" w:cs="Arial"/>
          <w:snapToGrid w:val="0"/>
          <w:sz w:val="18"/>
          <w:szCs w:val="18"/>
        </w:rPr>
        <w:t>EuroQol</w:t>
      </w:r>
      <w:proofErr w:type="spellEnd"/>
      <w:r w:rsidRPr="4904BCD2">
        <w:rPr>
          <w:rFonts w:ascii="Arial Narrow" w:eastAsia="Times New Roman" w:hAnsi="Arial Narrow" w:cs="Arial"/>
          <w:snapToGrid w:val="0"/>
          <w:sz w:val="18"/>
          <w:szCs w:val="18"/>
        </w:rPr>
        <w:t xml:space="preserve"> 5-Dimensions; FSS = Fatigue Severity Scale; HBV = Hepatitis B Virus; HBsAg = Hepatitis B Surface Antigen; HDV = Hepatitis Delta Virus; HQLQ = Hepatitis Quality of Life Questionnaire; LOD = Limit of Detection; </w:t>
      </w:r>
      <w:proofErr w:type="spellStart"/>
      <w:r w:rsidRPr="4904BCD2">
        <w:rPr>
          <w:rFonts w:ascii="Arial Narrow" w:eastAsia="Times New Roman" w:hAnsi="Arial Narrow" w:cs="Arial"/>
          <w:snapToGrid w:val="0"/>
          <w:sz w:val="18"/>
          <w:szCs w:val="18"/>
        </w:rPr>
        <w:t>LLoD</w:t>
      </w:r>
      <w:proofErr w:type="spellEnd"/>
      <w:r w:rsidRPr="4904BCD2">
        <w:rPr>
          <w:rFonts w:ascii="Arial Narrow" w:eastAsia="Times New Roman" w:hAnsi="Arial Narrow" w:cs="Arial"/>
          <w:snapToGrid w:val="0"/>
          <w:sz w:val="18"/>
          <w:szCs w:val="18"/>
        </w:rPr>
        <w:t xml:space="preserve"> = Lower Limit of Detection; MBS = Medical Benefits Schedule; PCR = Polymerase Chain Reaction; PBS = Pharmaceutical Benefits Scheme; RNA = Ribonucleic Acid; ULN = Upper Level of Normal.</w:t>
      </w:r>
    </w:p>
    <w:p w14:paraId="22AA16C3" w14:textId="5DFD81FC" w:rsidR="002413BE" w:rsidRPr="00FD70DE" w:rsidRDefault="002413BE" w:rsidP="00B178E4">
      <w:pPr>
        <w:pStyle w:val="TableFooter"/>
      </w:pPr>
      <w:r w:rsidRPr="4904BCD2">
        <w:t xml:space="preserve">Note: </w:t>
      </w:r>
      <w:r w:rsidRPr="4904BCD2">
        <w:rPr>
          <w:shd w:val="clear" w:color="auto" w:fill="BDD6EE" w:themeFill="accent1" w:themeFillTint="66"/>
        </w:rPr>
        <w:t>Blue</w:t>
      </w:r>
      <w:r w:rsidRPr="4904BCD2">
        <w:t xml:space="preserve"> shading indicates components and descriptions unchanged from the previous submission.</w:t>
      </w:r>
    </w:p>
    <w:p w14:paraId="6CFE4A9C" w14:textId="77777777" w:rsidR="00BE3D49" w:rsidRPr="00BD2A33" w:rsidRDefault="00BE3D49"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6" w:name="_Toc188360776"/>
      <w:r w:rsidRPr="00BD2A33">
        <w:rPr>
          <w:rFonts w:ascii="Franklin Gothic Medium" w:hAnsi="Franklin Gothic Medium"/>
          <w:b w:val="0"/>
          <w:i w:val="0"/>
          <w:snapToGrid/>
          <w:color w:val="000000" w:themeColor="text1"/>
          <w:sz w:val="32"/>
          <w:szCs w:val="26"/>
        </w:rPr>
        <w:t>Prerequisites to implementation of any funding advice</w:t>
      </w:r>
      <w:bookmarkEnd w:id="6"/>
    </w:p>
    <w:p w14:paraId="58CCFE4E" w14:textId="77777777" w:rsidR="00927176" w:rsidRPr="00BD2A33" w:rsidRDefault="00927176" w:rsidP="00BD2A33">
      <w:pPr>
        <w:spacing w:before="0" w:after="120"/>
        <w:jc w:val="left"/>
        <w:rPr>
          <w:rFonts w:ascii="Franklin Gothic Book" w:eastAsia="Times New Roman" w:hAnsi="Franklin Gothic Book" w:cs="Calibri"/>
          <w:sz w:val="22"/>
          <w:lang w:eastAsia="en-GB"/>
        </w:rPr>
      </w:pPr>
      <w:bookmarkStart w:id="7" w:name="_Toc93044754"/>
      <w:bookmarkStart w:id="8" w:name="_Toc93322888"/>
      <w:bookmarkEnd w:id="7"/>
      <w:bookmarkEnd w:id="8"/>
      <w:r w:rsidRPr="00BD2A33">
        <w:rPr>
          <w:rFonts w:ascii="Franklin Gothic Book" w:eastAsia="Times New Roman" w:hAnsi="Franklin Gothic Book" w:cs="Calibri"/>
          <w:sz w:val="22"/>
          <w:lang w:eastAsia="en-GB"/>
        </w:rPr>
        <w:t>The TGA granted HEPCLUDEX Priority Review Determination and Orphan Drug Designation on 15</w:t>
      </w:r>
      <w:r w:rsidRPr="00BD2A33">
        <w:rPr>
          <w:rFonts w:ascii="Franklin Gothic Book" w:eastAsia="Times New Roman" w:hAnsi="Franklin Gothic Book" w:cs="Calibri"/>
          <w:sz w:val="22"/>
          <w:vertAlign w:val="superscript"/>
          <w:lang w:eastAsia="en-GB"/>
        </w:rPr>
        <w:t>th</w:t>
      </w:r>
      <w:r w:rsidRPr="00BD2A33">
        <w:rPr>
          <w:rFonts w:ascii="Franklin Gothic Book" w:eastAsia="Times New Roman" w:hAnsi="Franklin Gothic Book" w:cs="Calibri"/>
          <w:sz w:val="22"/>
          <w:lang w:eastAsia="en-GB"/>
        </w:rPr>
        <w:t xml:space="preserve"> March 2023. </w:t>
      </w:r>
      <w:r w:rsidRPr="00BD2A33">
        <w:rPr>
          <w:rFonts w:ascii="Franklin Gothic Book" w:eastAsia="Times New Roman" w:hAnsi="Franklin Gothic Book" w:cs="Calibri"/>
          <w:sz w:val="22"/>
        </w:rPr>
        <w:t xml:space="preserve">The TGA Priority Review dossier for HEPCLUDEX was lodged on the 15 March 2023. The Australian Register of Therapeutic Goods (ARTG) registration commenced 30 July 2024, as the date of first approval. </w:t>
      </w:r>
      <w:r w:rsidRPr="00BD2A33">
        <w:rPr>
          <w:rFonts w:ascii="Franklin Gothic Book" w:eastAsia="Times New Roman" w:hAnsi="Franklin Gothic Book" w:cs="Calibri"/>
          <w:sz w:val="22"/>
          <w:lang w:eastAsia="en-GB"/>
        </w:rPr>
        <w:t>The approved TGA indication is as follows:</w:t>
      </w:r>
    </w:p>
    <w:p w14:paraId="4B44DD5D" w14:textId="77777777" w:rsidR="00927176" w:rsidRPr="00BD2A33" w:rsidRDefault="00927176" w:rsidP="00BD2A33">
      <w:pPr>
        <w:spacing w:before="0" w:after="120"/>
        <w:ind w:left="720"/>
        <w:jc w:val="left"/>
        <w:rPr>
          <w:rFonts w:ascii="Franklin Gothic Book" w:eastAsia="Times New Roman" w:hAnsi="Franklin Gothic Book" w:cs="Calibri"/>
          <w:i/>
          <w:iCs/>
          <w:sz w:val="22"/>
          <w:lang w:eastAsia="en-GB"/>
        </w:rPr>
      </w:pPr>
      <w:r w:rsidRPr="00BD2A33">
        <w:rPr>
          <w:rFonts w:ascii="Franklin Gothic Book" w:eastAsia="Times New Roman" w:hAnsi="Franklin Gothic Book" w:cs="Calibri"/>
          <w:i/>
          <w:iCs/>
          <w:sz w:val="22"/>
          <w:lang w:eastAsia="en-GB"/>
        </w:rPr>
        <w:t>HEPCLUDEX is indicated for the treatment of chronic hepatitis delta virus (HDV) infection in adults with compensated liver disease.</w:t>
      </w:r>
    </w:p>
    <w:p w14:paraId="2BED0942" w14:textId="7CFE529B" w:rsidR="00927176" w:rsidRPr="00AA2749" w:rsidRDefault="00927176" w:rsidP="00BD2A33">
      <w:pPr>
        <w:pStyle w:val="Instructionaltext0"/>
        <w:rPr>
          <w:color w:val="auto"/>
        </w:rPr>
      </w:pPr>
      <w:r w:rsidRPr="00BD2A33">
        <w:rPr>
          <w:color w:val="auto"/>
        </w:rPr>
        <w:t xml:space="preserve">In Australia, the only HDV RNA PCR test currently available is an in-house assay developed by the Victorian Infectious Disease Reference Laboratory (VIDRL), which is accredited by the National Association of Testing Authorities (NATA). </w:t>
      </w:r>
      <w:r w:rsidR="00AA2749" w:rsidRPr="00AA2749">
        <w:rPr>
          <w:color w:val="auto"/>
        </w:rPr>
        <w:t>The commentary noted that t</w:t>
      </w:r>
      <w:r w:rsidRPr="00AA2749">
        <w:rPr>
          <w:color w:val="auto"/>
        </w:rPr>
        <w:t xml:space="preserve">he test is a Class 3 in-house in vitro diagnostic (IVD) and therefore does not need to be included in the ARTG, although </w:t>
      </w:r>
      <w:r w:rsidRPr="00AA2749">
        <w:rPr>
          <w:color w:val="auto"/>
        </w:rPr>
        <w:lastRenderedPageBreak/>
        <w:t xml:space="preserve">Class 3 </w:t>
      </w:r>
      <w:r w:rsidRPr="00AA2749">
        <w:rPr>
          <w:color w:val="auto"/>
          <w:u w:val="double"/>
        </w:rPr>
        <w:t>IVDs</w:t>
      </w:r>
      <w:r w:rsidRPr="00AA2749">
        <w:rPr>
          <w:color w:val="auto"/>
        </w:rPr>
        <w:t xml:space="preserve"> do require NATA accreditation and need to meet the National Pathology Accreditation Advisory Council (NPAAC) standards. </w:t>
      </w:r>
    </w:p>
    <w:p w14:paraId="02C93F27" w14:textId="77777777" w:rsidR="001E1827" w:rsidRPr="00BD2A33" w:rsidRDefault="00EE5014"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9" w:name="_Toc188360777"/>
      <w:r w:rsidRPr="00BD2A33">
        <w:rPr>
          <w:rFonts w:ascii="Franklin Gothic Medium" w:hAnsi="Franklin Gothic Medium"/>
          <w:b w:val="0"/>
          <w:i w:val="0"/>
          <w:snapToGrid/>
          <w:color w:val="000000" w:themeColor="text1"/>
          <w:sz w:val="32"/>
          <w:szCs w:val="26"/>
        </w:rPr>
        <w:t>Proposal for public funding</w:t>
      </w:r>
      <w:bookmarkEnd w:id="9"/>
    </w:p>
    <w:p w14:paraId="4DEDCB12" w14:textId="242E7C36" w:rsidR="00927176" w:rsidRPr="00AA2749" w:rsidRDefault="00927176" w:rsidP="00BD2A33">
      <w:pPr>
        <w:tabs>
          <w:tab w:val="left" w:pos="2172"/>
        </w:tabs>
        <w:spacing w:line="259" w:lineRule="auto"/>
        <w:jc w:val="left"/>
        <w:rPr>
          <w:rFonts w:ascii="Franklin Gothic Book" w:hAnsi="Franklin Gothic Book"/>
          <w:sz w:val="22"/>
        </w:rPr>
      </w:pPr>
      <w:r w:rsidRPr="00BD2A33">
        <w:rPr>
          <w:rFonts w:ascii="Franklin Gothic Book" w:hAnsi="Franklin Gothic Book"/>
          <w:sz w:val="22"/>
        </w:rPr>
        <w:t xml:space="preserve">The proposed new MBS listing (as per the ratified PICO confirmation) is shown in </w:t>
      </w:r>
      <w:r w:rsidRPr="00BD2A33">
        <w:rPr>
          <w:rFonts w:ascii="Franklin Gothic Book" w:hAnsi="Franklin Gothic Book"/>
          <w:sz w:val="22"/>
        </w:rPr>
        <w:fldChar w:fldCharType="begin"/>
      </w:r>
      <w:r w:rsidRPr="00BD2A33">
        <w:rPr>
          <w:rFonts w:ascii="Franklin Gothic Book" w:hAnsi="Franklin Gothic Book"/>
          <w:sz w:val="22"/>
        </w:rPr>
        <w:instrText xml:space="preserve"> REF _Ref183523413 \h </w:instrText>
      </w:r>
      <w:r w:rsidR="00BD2A33" w:rsidRPr="00BD2A33">
        <w:rPr>
          <w:rFonts w:ascii="Franklin Gothic Book" w:hAnsi="Franklin Gothic Book"/>
          <w:sz w:val="22"/>
        </w:rPr>
        <w:instrText xml:space="preserve"> \* MERGEFORMAT </w:instrText>
      </w:r>
      <w:r w:rsidRPr="00BD2A33">
        <w:rPr>
          <w:rFonts w:ascii="Franklin Gothic Book" w:hAnsi="Franklin Gothic Book"/>
          <w:sz w:val="22"/>
        </w:rPr>
      </w:r>
      <w:r w:rsidRPr="00BD2A33">
        <w:rPr>
          <w:rFonts w:ascii="Franklin Gothic Book" w:hAnsi="Franklin Gothic Book"/>
          <w:sz w:val="22"/>
        </w:rPr>
        <w:fldChar w:fldCharType="separate"/>
      </w:r>
      <w:r w:rsidR="00815583" w:rsidRPr="00BD2A33">
        <w:rPr>
          <w:rFonts w:ascii="Franklin Gothic Book" w:hAnsi="Franklin Gothic Book"/>
          <w:sz w:val="22"/>
        </w:rPr>
        <w:t xml:space="preserve">Table MSAC </w:t>
      </w:r>
      <w:r w:rsidR="00815583" w:rsidRPr="00BD2A33">
        <w:rPr>
          <w:rFonts w:ascii="Franklin Gothic Book" w:hAnsi="Franklin Gothic Book"/>
          <w:noProof/>
          <w:sz w:val="22"/>
        </w:rPr>
        <w:t>3</w:t>
      </w:r>
      <w:r w:rsidRPr="00BD2A33">
        <w:rPr>
          <w:rFonts w:ascii="Franklin Gothic Book" w:hAnsi="Franklin Gothic Book"/>
          <w:sz w:val="22"/>
        </w:rPr>
        <w:fldChar w:fldCharType="end"/>
      </w:r>
      <w:r w:rsidRPr="00BD2A33">
        <w:rPr>
          <w:rFonts w:ascii="Franklin Gothic Book" w:hAnsi="Franklin Gothic Book"/>
          <w:sz w:val="22"/>
        </w:rPr>
        <w:t xml:space="preserve">. </w:t>
      </w:r>
      <w:r w:rsidRPr="00BD2A33">
        <w:rPr>
          <w:rFonts w:ascii="Franklin Gothic Book" w:hAnsi="Franklin Gothic Book"/>
          <w:i/>
          <w:iCs/>
          <w:sz w:val="22"/>
        </w:rPr>
        <w:t>This has not changed from the previous submission.</w:t>
      </w:r>
      <w:r w:rsidRPr="00BD2A33">
        <w:rPr>
          <w:rFonts w:ascii="Franklin Gothic Book" w:hAnsi="Franklin Gothic Book"/>
          <w:sz w:val="22"/>
        </w:rPr>
        <w:t xml:space="preserve"> The test proposed is an in vitro diagnostic test which measures the amount of HDV RNA present in the blood. If HDV RNA is detected, then the patient is considered to have a current Hepatitis D infection and may be eligible for bulevirtide (if other clinical criteria are also met). </w:t>
      </w:r>
      <w:r w:rsidRPr="00AA2749">
        <w:rPr>
          <w:rFonts w:ascii="Franklin Gothic Book" w:hAnsi="Franklin Gothic Book"/>
          <w:sz w:val="22"/>
        </w:rPr>
        <w:t xml:space="preserve">The test is also proposed for monitoring the effectiveness of </w:t>
      </w:r>
      <w:proofErr w:type="gramStart"/>
      <w:r w:rsidRPr="00AA2749">
        <w:rPr>
          <w:rFonts w:ascii="Franklin Gothic Book" w:hAnsi="Franklin Gothic Book"/>
          <w:sz w:val="22"/>
        </w:rPr>
        <w:t>treatment,</w:t>
      </w:r>
      <w:proofErr w:type="gramEnd"/>
      <w:r w:rsidRPr="00AA2749">
        <w:rPr>
          <w:rFonts w:ascii="Franklin Gothic Book" w:hAnsi="Franklin Gothic Book"/>
          <w:sz w:val="22"/>
        </w:rPr>
        <w:t xml:space="preserve"> however no separate treatment continuation criteria were </w:t>
      </w:r>
      <w:r w:rsidR="3675684A" w:rsidRPr="00AA2749">
        <w:rPr>
          <w:rFonts w:ascii="Franklin Gothic Book" w:hAnsi="Franklin Gothic Book"/>
          <w:sz w:val="22"/>
        </w:rPr>
        <w:t>proposed in the PBS restrictions</w:t>
      </w:r>
      <w:r w:rsidRPr="00AA2749">
        <w:rPr>
          <w:rFonts w:ascii="Franklin Gothic Book" w:hAnsi="Franklin Gothic Book"/>
          <w:sz w:val="22"/>
        </w:rPr>
        <w:t xml:space="preserve">. </w:t>
      </w:r>
    </w:p>
    <w:p w14:paraId="36944DC7" w14:textId="43B3F287" w:rsidR="00927176" w:rsidRPr="00FD70DE" w:rsidRDefault="00927176" w:rsidP="00BD2A33">
      <w:pPr>
        <w:pStyle w:val="Caption"/>
      </w:pPr>
      <w:bookmarkStart w:id="10" w:name="_Ref183523413"/>
      <w:bookmarkStart w:id="11" w:name="_Ref151107113"/>
      <w:r w:rsidRPr="00FD70DE">
        <w:t xml:space="preserve">Table  </w:t>
      </w:r>
      <w:r>
        <w:fldChar w:fldCharType="begin"/>
      </w:r>
      <w:r>
        <w:instrText>SEQ Table_MSAC \* ARABIC</w:instrText>
      </w:r>
      <w:r>
        <w:fldChar w:fldCharType="separate"/>
      </w:r>
      <w:r w:rsidR="00815583">
        <w:rPr>
          <w:noProof/>
        </w:rPr>
        <w:t>3</w:t>
      </w:r>
      <w:r>
        <w:fldChar w:fldCharType="end"/>
      </w:r>
      <w:bookmarkEnd w:id="10"/>
      <w:r w:rsidRPr="00FD70DE">
        <w:tab/>
        <w:t>Newly proposed MBS item for testing HDV RNA</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71E21" w:rsidRPr="00FD70DE" w14:paraId="5873830F" w14:textId="77777777" w:rsidTr="4904BCD2">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895C5" w14:textId="77777777" w:rsidR="00927176" w:rsidRPr="00FD70DE" w:rsidRDefault="00927176" w:rsidP="00927176">
            <w:pPr>
              <w:widowControl w:val="0"/>
              <w:spacing w:before="0" w:after="0"/>
              <w:jc w:val="right"/>
              <w:rPr>
                <w:rFonts w:ascii="Arial Narrow" w:hAnsi="Arial Narrow"/>
                <w:sz w:val="20"/>
              </w:rPr>
            </w:pPr>
            <w:r w:rsidRPr="00FD70DE">
              <w:rPr>
                <w:rFonts w:ascii="Arial Narrow" w:hAnsi="Arial Narrow"/>
                <w:sz w:val="20"/>
              </w:rPr>
              <w:t>Category 6 – PATHOLOGY SERVICES</w:t>
            </w:r>
          </w:p>
          <w:p w14:paraId="1716958A" w14:textId="77777777" w:rsidR="00927176" w:rsidRPr="00FD70DE" w:rsidRDefault="00927176" w:rsidP="00927176">
            <w:pPr>
              <w:widowControl w:val="0"/>
              <w:spacing w:before="0" w:after="0"/>
              <w:jc w:val="right"/>
              <w:rPr>
                <w:rFonts w:ascii="Arial Narrow" w:hAnsi="Arial Narrow"/>
              </w:rPr>
            </w:pPr>
            <w:r w:rsidRPr="00FD70DE">
              <w:rPr>
                <w:rFonts w:ascii="Arial Narrow" w:hAnsi="Arial Narrow"/>
                <w:sz w:val="20"/>
              </w:rPr>
              <w:t>Group P3 - Microbiology</w:t>
            </w:r>
          </w:p>
        </w:tc>
      </w:tr>
      <w:tr w:rsidR="00071E21" w:rsidRPr="00FD70DE" w14:paraId="36C20A68" w14:textId="77777777" w:rsidTr="4904BCD2">
        <w:trPr>
          <w:cantSplit/>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7AB91" w14:textId="77777777" w:rsidR="00927176" w:rsidRPr="00FD70DE" w:rsidRDefault="00927176" w:rsidP="00927176">
            <w:pPr>
              <w:spacing w:before="40" w:after="40"/>
              <w:rPr>
                <w:rFonts w:ascii="Arial Narrow" w:hAnsi="Arial Narrow"/>
                <w:sz w:val="20"/>
                <w:szCs w:val="20"/>
                <w:lang w:eastAsia="ja-JP"/>
              </w:rPr>
            </w:pPr>
            <w:r w:rsidRPr="00FD70DE">
              <w:rPr>
                <w:rFonts w:ascii="Arial Narrow" w:hAnsi="Arial Narrow"/>
                <w:sz w:val="20"/>
                <w:szCs w:val="20"/>
                <w:lang w:eastAsia="ja-JP"/>
              </w:rPr>
              <w:t>MBS item *XXXX</w:t>
            </w:r>
          </w:p>
          <w:p w14:paraId="23FDC0B4" w14:textId="77777777" w:rsidR="00927176" w:rsidRPr="00FD70DE" w:rsidRDefault="00927176" w:rsidP="00927176">
            <w:pPr>
              <w:spacing w:before="40" w:after="40"/>
              <w:rPr>
                <w:rFonts w:ascii="Arial Narrow" w:hAnsi="Arial Narrow"/>
                <w:sz w:val="20"/>
                <w:szCs w:val="20"/>
                <w:lang w:eastAsia="ja-JP"/>
              </w:rPr>
            </w:pPr>
            <w:r w:rsidRPr="00FD70DE">
              <w:rPr>
                <w:rFonts w:ascii="Arial Narrow" w:hAnsi="Arial Narrow"/>
                <w:sz w:val="20"/>
                <w:szCs w:val="20"/>
                <w:lang w:eastAsia="ja-JP"/>
              </w:rPr>
              <w:t>Quantitation of Hepatitis D viral RNA load in plasma or serum in:</w:t>
            </w:r>
          </w:p>
          <w:p w14:paraId="58D689DD" w14:textId="77777777" w:rsidR="00927176" w:rsidRPr="00FD70DE" w:rsidRDefault="00927176" w:rsidP="00C6349A">
            <w:pPr>
              <w:numPr>
                <w:ilvl w:val="0"/>
                <w:numId w:val="18"/>
              </w:numPr>
              <w:spacing w:before="40" w:after="40"/>
              <w:rPr>
                <w:rFonts w:ascii="Arial Narrow" w:hAnsi="Arial Narrow"/>
                <w:sz w:val="20"/>
                <w:szCs w:val="20"/>
                <w:lang w:eastAsia="ja-JP"/>
              </w:rPr>
            </w:pPr>
            <w:r w:rsidRPr="00FD70DE">
              <w:rPr>
                <w:rFonts w:ascii="Arial Narrow" w:hAnsi="Arial Narrow"/>
                <w:sz w:val="20"/>
                <w:szCs w:val="20"/>
                <w:lang w:eastAsia="ja-JP"/>
              </w:rPr>
              <w:t>The pre-treatment evaluation for access to therapy for chronic HDV in patients who are Hepatitis D viral antibody positive and suspected of having chronic hepatitis D; or</w:t>
            </w:r>
          </w:p>
          <w:p w14:paraId="3973C046" w14:textId="77777777" w:rsidR="00927176" w:rsidRPr="00FD70DE" w:rsidRDefault="00927176" w:rsidP="00C6349A">
            <w:pPr>
              <w:numPr>
                <w:ilvl w:val="0"/>
                <w:numId w:val="18"/>
              </w:numPr>
              <w:spacing w:before="40" w:after="40"/>
              <w:rPr>
                <w:rFonts w:ascii="Arial Narrow" w:hAnsi="Arial Narrow"/>
                <w:sz w:val="20"/>
                <w:szCs w:val="20"/>
                <w:lang w:eastAsia="ja-JP"/>
              </w:rPr>
            </w:pPr>
            <w:r w:rsidRPr="37C20EEE">
              <w:rPr>
                <w:rFonts w:ascii="Arial Narrow" w:hAnsi="Arial Narrow"/>
                <w:sz w:val="20"/>
                <w:szCs w:val="20"/>
                <w:lang w:eastAsia="ja-JP"/>
              </w:rPr>
              <w:t>A patient undertaking viral therapy for chronic hepatitis D with bulevirtide for the purpose of assessing treatment effectiveness.</w:t>
            </w:r>
          </w:p>
          <w:p w14:paraId="28A400DE" w14:textId="64A721AA" w:rsidR="00927176" w:rsidRPr="00FD70DE" w:rsidRDefault="00927176" w:rsidP="4904BCD2">
            <w:pPr>
              <w:spacing w:before="40" w:after="40"/>
              <w:rPr>
                <w:rFonts w:ascii="Arial Narrow" w:hAnsi="Arial Narrow"/>
                <w:sz w:val="20"/>
                <w:szCs w:val="20"/>
                <w:lang w:eastAsia="ja-JP"/>
              </w:rPr>
            </w:pPr>
            <w:r w:rsidRPr="4904BCD2">
              <w:rPr>
                <w:rFonts w:ascii="Arial Narrow" w:hAnsi="Arial Narrow"/>
                <w:sz w:val="20"/>
                <w:szCs w:val="20"/>
                <w:lang w:eastAsia="ja-JP"/>
              </w:rPr>
              <w:t xml:space="preserve">To a maximum of 2 tests in a </w:t>
            </w:r>
            <w:proofErr w:type="gramStart"/>
            <w:r w:rsidRPr="4904BCD2">
              <w:rPr>
                <w:rFonts w:ascii="Arial Narrow" w:hAnsi="Arial Narrow"/>
                <w:sz w:val="20"/>
                <w:szCs w:val="20"/>
                <w:lang w:eastAsia="ja-JP"/>
              </w:rPr>
              <w:t>12 month</w:t>
            </w:r>
            <w:proofErr w:type="gramEnd"/>
            <w:r w:rsidRPr="4904BCD2">
              <w:rPr>
                <w:rFonts w:ascii="Arial Narrow" w:hAnsi="Arial Narrow"/>
                <w:sz w:val="20"/>
                <w:szCs w:val="20"/>
                <w:lang w:eastAsia="ja-JP"/>
              </w:rPr>
              <w:t xml:space="preserve"> period</w:t>
            </w:r>
          </w:p>
        </w:tc>
      </w:tr>
      <w:tr w:rsidR="00927176" w:rsidRPr="00FD70DE" w14:paraId="634CEB52" w14:textId="77777777" w:rsidTr="4904BCD2">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615BE" w14:textId="7CA5FB0E" w:rsidR="00927176" w:rsidRPr="00FD70DE" w:rsidRDefault="00927176" w:rsidP="4904BCD2">
            <w:pPr>
              <w:widowControl w:val="0"/>
              <w:spacing w:before="0" w:after="0"/>
              <w:jc w:val="left"/>
              <w:rPr>
                <w:rFonts w:ascii="Arial Narrow" w:hAnsi="Arial Narrow"/>
                <w:sz w:val="20"/>
                <w:szCs w:val="20"/>
              </w:rPr>
            </w:pPr>
            <w:r w:rsidRPr="4904BCD2">
              <w:rPr>
                <w:rFonts w:ascii="Arial Narrow" w:hAnsi="Arial Narrow"/>
                <w:sz w:val="20"/>
                <w:szCs w:val="20"/>
              </w:rPr>
              <w:t>Fee: $152.</w:t>
            </w:r>
            <w:r w:rsidR="00860F79" w:rsidRPr="4904BCD2">
              <w:rPr>
                <w:rFonts w:ascii="Arial Narrow" w:hAnsi="Arial Narrow"/>
                <w:sz w:val="20"/>
                <w:szCs w:val="20"/>
              </w:rPr>
              <w:t>10 Benefit</w:t>
            </w:r>
            <w:r w:rsidRPr="4904BCD2">
              <w:rPr>
                <w:rFonts w:ascii="Arial Narrow" w:hAnsi="Arial Narrow"/>
                <w:sz w:val="20"/>
                <w:szCs w:val="20"/>
              </w:rPr>
              <w:t>: 75% $114.10   85% = $129.30</w:t>
            </w:r>
          </w:p>
        </w:tc>
      </w:tr>
    </w:tbl>
    <w:p w14:paraId="44D206DC" w14:textId="77777777" w:rsidR="00927176" w:rsidRPr="00F83F5C" w:rsidRDefault="00927176" w:rsidP="00BD2A33">
      <w:pPr>
        <w:tabs>
          <w:tab w:val="left" w:pos="2172"/>
        </w:tabs>
        <w:spacing w:before="240" w:line="259" w:lineRule="auto"/>
        <w:jc w:val="left"/>
        <w:rPr>
          <w:rFonts w:ascii="Franklin Gothic Book" w:hAnsi="Franklin Gothic Book" w:cstheme="minorHAnsi"/>
          <w:sz w:val="22"/>
        </w:rPr>
      </w:pPr>
      <w:r w:rsidRPr="00F83F5C">
        <w:rPr>
          <w:rFonts w:ascii="Franklin Gothic Book" w:hAnsi="Franklin Gothic Book" w:cstheme="minorHAnsi"/>
          <w:sz w:val="22"/>
        </w:rPr>
        <w:t>PASC agreed that the fee was reasonable for HDV RNA PCR testing in Australia. The wording and fee are consistent with MBS item 69482 for hepatitis B viral DNA testing. MSAC considered that “the test not being pathologist-determinable appeared appropriate.”</w:t>
      </w:r>
    </w:p>
    <w:p w14:paraId="485DEFCD" w14:textId="77777777" w:rsidR="00927176" w:rsidRPr="00F83F5C" w:rsidRDefault="00927176" w:rsidP="00BD2A33">
      <w:pPr>
        <w:tabs>
          <w:tab w:val="left" w:pos="2172"/>
        </w:tabs>
        <w:spacing w:line="259" w:lineRule="auto"/>
        <w:jc w:val="left"/>
        <w:rPr>
          <w:rFonts w:ascii="Franklin Gothic Book" w:hAnsi="Franklin Gothic Book" w:cstheme="minorHAnsi"/>
          <w:sz w:val="22"/>
        </w:rPr>
      </w:pPr>
      <w:r w:rsidRPr="00F83F5C">
        <w:rPr>
          <w:rFonts w:ascii="Franklin Gothic Book" w:hAnsi="Franklin Gothic Book" w:cstheme="minorHAnsi"/>
          <w:sz w:val="22"/>
        </w:rPr>
        <w:t>In the PSD, MSAC considered that:</w:t>
      </w:r>
    </w:p>
    <w:p w14:paraId="56C5690F" w14:textId="77777777" w:rsidR="00927176" w:rsidRPr="00F83F5C" w:rsidRDefault="00927176" w:rsidP="00C6349A">
      <w:pPr>
        <w:numPr>
          <w:ilvl w:val="0"/>
          <w:numId w:val="6"/>
        </w:numPr>
        <w:spacing w:before="0" w:after="120"/>
        <w:jc w:val="left"/>
        <w:rPr>
          <w:rFonts w:ascii="Franklin Gothic Book" w:hAnsi="Franklin Gothic Book"/>
          <w:sz w:val="22"/>
        </w:rPr>
      </w:pPr>
      <w:r w:rsidRPr="00F83F5C">
        <w:rPr>
          <w:rFonts w:ascii="Franklin Gothic Book" w:hAnsi="Franklin Gothic Book"/>
          <w:sz w:val="22"/>
        </w:rPr>
        <w:t>“</w:t>
      </w:r>
      <w:proofErr w:type="gramStart"/>
      <w:r w:rsidRPr="00F83F5C">
        <w:rPr>
          <w:rFonts w:ascii="Franklin Gothic Book" w:hAnsi="Franklin Gothic Book"/>
          <w:sz w:val="22"/>
        </w:rPr>
        <w:t>testing</w:t>
      </w:r>
      <w:proofErr w:type="gramEnd"/>
      <w:r w:rsidRPr="00F83F5C">
        <w:rPr>
          <w:rFonts w:ascii="Franklin Gothic Book" w:hAnsi="Franklin Gothic Book"/>
          <w:sz w:val="22"/>
        </w:rPr>
        <w:t xml:space="preserve"> may potentially have prognostic value independent of its use for access to bulevirtide, although this had not been claimed in the submission.”</w:t>
      </w:r>
    </w:p>
    <w:p w14:paraId="6E5C3944" w14:textId="77777777" w:rsidR="00927176" w:rsidRPr="00F83F5C" w:rsidRDefault="00927176" w:rsidP="00BD2A33">
      <w:pPr>
        <w:spacing w:before="0" w:after="120"/>
        <w:ind w:left="720"/>
        <w:jc w:val="left"/>
        <w:rPr>
          <w:rFonts w:ascii="Franklin Gothic Book" w:hAnsi="Franklin Gothic Book" w:cstheme="minorHAnsi"/>
          <w:sz w:val="22"/>
        </w:rPr>
      </w:pPr>
      <w:r w:rsidRPr="00F83F5C">
        <w:rPr>
          <w:rFonts w:ascii="Franklin Gothic Book" w:hAnsi="Franklin Gothic Book" w:cstheme="minorHAnsi"/>
          <w:sz w:val="22"/>
        </w:rPr>
        <w:t>This was not further explored in the resubmission.</w:t>
      </w:r>
    </w:p>
    <w:p w14:paraId="630DD738" w14:textId="1B3212AF" w:rsidR="00927176" w:rsidRPr="00F83F5C" w:rsidRDefault="00927176" w:rsidP="00C6349A">
      <w:pPr>
        <w:numPr>
          <w:ilvl w:val="0"/>
          <w:numId w:val="6"/>
        </w:numPr>
        <w:spacing w:before="0" w:after="120"/>
        <w:jc w:val="left"/>
        <w:rPr>
          <w:rFonts w:ascii="Franklin Gothic Book" w:hAnsi="Franklin Gothic Book"/>
          <w:sz w:val="22"/>
        </w:rPr>
      </w:pPr>
      <w:r w:rsidRPr="00F83F5C">
        <w:rPr>
          <w:rFonts w:ascii="Franklin Gothic Book" w:hAnsi="Franklin Gothic Book"/>
          <w:sz w:val="22"/>
        </w:rPr>
        <w:t>“</w:t>
      </w:r>
      <w:proofErr w:type="gramStart"/>
      <w:r w:rsidRPr="00F83F5C">
        <w:rPr>
          <w:rFonts w:ascii="Franklin Gothic Book" w:hAnsi="Franklin Gothic Book"/>
          <w:sz w:val="22"/>
        </w:rPr>
        <w:t>the</w:t>
      </w:r>
      <w:proofErr w:type="gramEnd"/>
      <w:r w:rsidRPr="00F83F5C">
        <w:rPr>
          <w:rFonts w:ascii="Franklin Gothic Book" w:hAnsi="Franklin Gothic Book"/>
          <w:sz w:val="22"/>
        </w:rPr>
        <w:t xml:space="preserve"> MBS descriptor should appropriately specify the exclusion of patients with decompensated liver disease (Child Pugh B or C), as eligibility for treatment with bulevirtide is not being sought for this patient group.”</w:t>
      </w:r>
    </w:p>
    <w:p w14:paraId="25066061" w14:textId="77777777" w:rsidR="00927176" w:rsidRPr="00F83F5C" w:rsidRDefault="00927176" w:rsidP="00BD2A33">
      <w:pPr>
        <w:spacing w:before="0" w:after="120"/>
        <w:ind w:left="720"/>
        <w:jc w:val="left"/>
        <w:rPr>
          <w:rFonts w:ascii="Franklin Gothic Book" w:hAnsi="Franklin Gothic Book"/>
          <w:sz w:val="22"/>
        </w:rPr>
      </w:pPr>
      <w:r w:rsidRPr="00F83F5C">
        <w:rPr>
          <w:rFonts w:ascii="Franklin Gothic Book" w:hAnsi="Franklin Gothic Book"/>
          <w:sz w:val="22"/>
        </w:rPr>
        <w:t>This was not discussed in the resubmission.</w:t>
      </w:r>
    </w:p>
    <w:p w14:paraId="7C36CBCB" w14:textId="2BB60637" w:rsidR="0020711E" w:rsidRPr="00F83F5C" w:rsidRDefault="50CED541" w:rsidP="00BD2A33">
      <w:pPr>
        <w:spacing w:before="0" w:after="120"/>
        <w:ind w:left="720"/>
        <w:jc w:val="left"/>
        <w:rPr>
          <w:rFonts w:ascii="Franklin Gothic Book" w:hAnsi="Franklin Gothic Book"/>
          <w:sz w:val="22"/>
        </w:rPr>
      </w:pPr>
      <w:r w:rsidRPr="00F83F5C">
        <w:rPr>
          <w:rFonts w:ascii="Franklin Gothic Book" w:hAnsi="Franklin Gothic Book"/>
          <w:sz w:val="22"/>
        </w:rPr>
        <w:t xml:space="preserve">Note: This information is included in the PBS indication, so if patients are only being tested for access to bulevirtide this should exclude testing in patients with decompensated liver disease.  </w:t>
      </w:r>
    </w:p>
    <w:p w14:paraId="00AC2556" w14:textId="3463169D" w:rsidR="00927176" w:rsidRPr="00F83F5C" w:rsidRDefault="00927176" w:rsidP="00C6349A">
      <w:pPr>
        <w:numPr>
          <w:ilvl w:val="0"/>
          <w:numId w:val="6"/>
        </w:numPr>
        <w:spacing w:before="0" w:after="120"/>
        <w:jc w:val="left"/>
        <w:rPr>
          <w:rFonts w:ascii="Franklin Gothic Book" w:hAnsi="Franklin Gothic Book"/>
          <w:sz w:val="22"/>
        </w:rPr>
      </w:pPr>
      <w:r w:rsidRPr="00F83F5C">
        <w:rPr>
          <w:rFonts w:ascii="Franklin Gothic Book" w:hAnsi="Franklin Gothic Book"/>
          <w:sz w:val="22"/>
        </w:rPr>
        <w:t>“</w:t>
      </w:r>
      <w:proofErr w:type="gramStart"/>
      <w:r w:rsidRPr="00F83F5C">
        <w:rPr>
          <w:rFonts w:ascii="Franklin Gothic Book" w:hAnsi="Franklin Gothic Book"/>
          <w:sz w:val="22"/>
        </w:rPr>
        <w:t>there</w:t>
      </w:r>
      <w:proofErr w:type="gramEnd"/>
      <w:r w:rsidRPr="00F83F5C">
        <w:rPr>
          <w:rFonts w:ascii="Franklin Gothic Book" w:hAnsi="Franklin Gothic Book"/>
          <w:sz w:val="22"/>
        </w:rPr>
        <w:t xml:space="preserve"> would be no need for a practice note to provide clinical guidance on determination of Hepatitis D chronicity as it is very unlikely in practice that cases of acute infection would be detected by an HDV RNA test.”</w:t>
      </w:r>
    </w:p>
    <w:p w14:paraId="6720FB47" w14:textId="09A74E66" w:rsidR="00927176" w:rsidRPr="00F83F5C" w:rsidRDefault="00264DF9" w:rsidP="00C6349A">
      <w:pPr>
        <w:numPr>
          <w:ilvl w:val="0"/>
          <w:numId w:val="6"/>
        </w:numPr>
        <w:spacing w:before="0" w:after="120"/>
        <w:jc w:val="left"/>
        <w:rPr>
          <w:rFonts w:ascii="Franklin Gothic Book" w:hAnsi="Franklin Gothic Book"/>
          <w:sz w:val="22"/>
        </w:rPr>
      </w:pPr>
      <w:r w:rsidRPr="00F83F5C">
        <w:rPr>
          <w:rFonts w:ascii="Franklin Gothic Book" w:hAnsi="Franklin Gothic Book"/>
          <w:sz w:val="22"/>
        </w:rPr>
        <w:t>i</w:t>
      </w:r>
      <w:r w:rsidR="00927176" w:rsidRPr="00F83F5C">
        <w:rPr>
          <w:rFonts w:ascii="Franklin Gothic Book" w:hAnsi="Franklin Gothic Book"/>
          <w:sz w:val="22"/>
        </w:rPr>
        <w:t>n response to the ESC recommendation to futureproof the item descriptor, MSAC considered that as “there were presently no other equivalent medications under consideration, there was no current need to amend the descriptor to refer to PBS-listed chronic hepatitis D treatments in general.”</w:t>
      </w:r>
    </w:p>
    <w:p w14:paraId="793E8994" w14:textId="77777777" w:rsidR="00FD07C6" w:rsidRPr="00BD2A33" w:rsidRDefault="00FD07C6"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12" w:name="_Toc93044759"/>
      <w:bookmarkStart w:id="13" w:name="_Toc93322893"/>
      <w:bookmarkStart w:id="14" w:name="_Toc188360778"/>
      <w:bookmarkEnd w:id="12"/>
      <w:bookmarkEnd w:id="13"/>
      <w:r w:rsidRPr="00BD2A33">
        <w:rPr>
          <w:rFonts w:ascii="Franklin Gothic Medium" w:hAnsi="Franklin Gothic Medium"/>
          <w:b w:val="0"/>
          <w:i w:val="0"/>
          <w:snapToGrid/>
          <w:color w:val="000000" w:themeColor="text1"/>
          <w:sz w:val="32"/>
          <w:szCs w:val="26"/>
        </w:rPr>
        <w:lastRenderedPageBreak/>
        <w:t>Population</w:t>
      </w:r>
      <w:bookmarkEnd w:id="14"/>
    </w:p>
    <w:p w14:paraId="41E74D18" w14:textId="77777777" w:rsidR="00927176" w:rsidRPr="00BD2A33" w:rsidRDefault="00927176" w:rsidP="00BD2A33">
      <w:pPr>
        <w:spacing w:before="0" w:after="240"/>
        <w:jc w:val="left"/>
        <w:rPr>
          <w:rFonts w:ascii="Franklin Gothic Book" w:hAnsi="Franklin Gothic Book" w:cstheme="minorHAnsi"/>
          <w:sz w:val="22"/>
        </w:rPr>
      </w:pPr>
      <w:r w:rsidRPr="00BD2A33">
        <w:rPr>
          <w:rFonts w:ascii="Franklin Gothic Book" w:hAnsi="Franklin Gothic Book" w:cstheme="minorHAnsi"/>
          <w:sz w:val="22"/>
        </w:rPr>
        <w:t xml:space="preserve">There are two populations proposed for HDV RNA PCR testing: </w:t>
      </w:r>
    </w:p>
    <w:p w14:paraId="61856DE1" w14:textId="77777777" w:rsidR="00927176" w:rsidRPr="00BD2A33" w:rsidRDefault="00927176" w:rsidP="00C6349A">
      <w:pPr>
        <w:numPr>
          <w:ilvl w:val="0"/>
          <w:numId w:val="19"/>
        </w:numPr>
        <w:spacing w:before="0" w:after="240"/>
        <w:jc w:val="left"/>
        <w:rPr>
          <w:rFonts w:ascii="Franklin Gothic Book" w:hAnsi="Franklin Gothic Book"/>
          <w:sz w:val="22"/>
        </w:rPr>
      </w:pPr>
      <w:r w:rsidRPr="00BD2A33">
        <w:rPr>
          <w:rFonts w:ascii="Franklin Gothic Book" w:hAnsi="Franklin Gothic Book"/>
          <w:sz w:val="22"/>
        </w:rPr>
        <w:t xml:space="preserve">Patients who are hepatitis B surface antigen (HBsAg) positive and anti-HDV antibody positive (where testing is performed to confirm the diagnosis of CHD infection status and assist in determining eligibility for bulevirtide); and </w:t>
      </w:r>
    </w:p>
    <w:p w14:paraId="56D53A9C" w14:textId="77777777" w:rsidR="00927176" w:rsidRPr="00BD2A33" w:rsidRDefault="00927176" w:rsidP="00C6349A">
      <w:pPr>
        <w:numPr>
          <w:ilvl w:val="0"/>
          <w:numId w:val="19"/>
        </w:numPr>
        <w:spacing w:before="0" w:after="240"/>
        <w:jc w:val="left"/>
        <w:rPr>
          <w:rFonts w:ascii="Franklin Gothic Book" w:hAnsi="Franklin Gothic Book"/>
          <w:sz w:val="22"/>
        </w:rPr>
      </w:pPr>
      <w:r w:rsidRPr="00BD2A33">
        <w:rPr>
          <w:rFonts w:ascii="Franklin Gothic Book" w:hAnsi="Franklin Gothic Book"/>
          <w:sz w:val="22"/>
        </w:rPr>
        <w:t xml:space="preserve">Patients undertaking antiviral therapy for CHD with bulevirtide to measure the clinical benefit of treatment. </w:t>
      </w:r>
    </w:p>
    <w:p w14:paraId="4D3665C3" w14:textId="712AA6FE" w:rsidR="00927176" w:rsidRPr="00D4614E" w:rsidRDefault="00927176" w:rsidP="00BD2A33">
      <w:pPr>
        <w:jc w:val="left"/>
        <w:rPr>
          <w:rFonts w:ascii="Franklin Gothic Book" w:hAnsi="Franklin Gothic Book"/>
          <w:sz w:val="22"/>
        </w:rPr>
      </w:pPr>
      <w:r w:rsidRPr="00D4614E">
        <w:rPr>
          <w:rFonts w:ascii="Franklin Gothic Book" w:hAnsi="Franklin Gothic Book"/>
          <w:sz w:val="22"/>
        </w:rPr>
        <w:t>This is the same as for the previous submission considered by MSAC in April 2024. PASC had agreed that these populations were appropriate testing populations. The purpose of the second population is to assess treatment response.</w:t>
      </w:r>
    </w:p>
    <w:p w14:paraId="3AEAC3AE" w14:textId="77777777" w:rsidR="00927176" w:rsidRPr="00BD2A33" w:rsidRDefault="00927176" w:rsidP="00927176">
      <w:pPr>
        <w:rPr>
          <w:rFonts w:ascii="Franklin Gothic Book" w:hAnsi="Franklin Gothic Book"/>
          <w:b/>
          <w:bCs/>
        </w:rPr>
      </w:pPr>
      <w:r w:rsidRPr="00BD2A33">
        <w:rPr>
          <w:rFonts w:ascii="Franklin Gothic Book" w:hAnsi="Franklin Gothic Book"/>
          <w:b/>
          <w:bCs/>
        </w:rPr>
        <w:t>Prevalence of HDV</w:t>
      </w:r>
    </w:p>
    <w:p w14:paraId="5B61BBE2" w14:textId="12B0BD53" w:rsidR="00927176" w:rsidRPr="00E41BD4" w:rsidRDefault="00927176" w:rsidP="00E41BD4">
      <w:pPr>
        <w:jc w:val="left"/>
        <w:rPr>
          <w:rFonts w:ascii="Franklin Gothic Book" w:hAnsi="Franklin Gothic Book"/>
          <w:sz w:val="22"/>
        </w:rPr>
      </w:pPr>
      <w:r w:rsidRPr="00E41BD4">
        <w:rPr>
          <w:rFonts w:ascii="Franklin Gothic Book" w:hAnsi="Franklin Gothic Book"/>
          <w:sz w:val="22"/>
        </w:rPr>
        <w:t>A study by Wong et al. (2024)</w:t>
      </w:r>
      <w:r w:rsidR="00853201" w:rsidRPr="00E41BD4">
        <w:rPr>
          <w:rFonts w:ascii="Franklin Gothic Book" w:hAnsi="Franklin Gothic Book"/>
          <w:sz w:val="22"/>
        </w:rPr>
        <w:footnoteReference w:id="2"/>
      </w:r>
      <w:r w:rsidRPr="00E41BD4">
        <w:rPr>
          <w:rFonts w:ascii="Franklin Gothic Book" w:hAnsi="Franklin Gothic Book"/>
          <w:sz w:val="22"/>
        </w:rPr>
        <w:t xml:space="preserve">, that was identified during </w:t>
      </w:r>
      <w:r w:rsidR="221BD1D3" w:rsidRPr="00E41BD4">
        <w:rPr>
          <w:rFonts w:ascii="Franklin Gothic Book" w:hAnsi="Franklin Gothic Book"/>
          <w:sz w:val="22"/>
        </w:rPr>
        <w:t>the commentary’s</w:t>
      </w:r>
      <w:r w:rsidRPr="00E41BD4">
        <w:rPr>
          <w:rFonts w:ascii="Franklin Gothic Book" w:hAnsi="Franklin Gothic Book"/>
          <w:sz w:val="22"/>
        </w:rPr>
        <w:t xml:space="preserve"> evaluation, conducted a meta-analysis to estimate the prevalence of HDV in CHB populations in many countries, including Australia. The pooled HDV prevalence estimates were calculated using fixed effect (FE) meta-analyses. The Australian estimate was based on the three studies used to estimate the prevalence in the previous submission. The prevalence of CHB in Australia was estimated to be 0.37% (95% CI 0.36, 0.37</w:t>
      </w:r>
      <w:r w:rsidR="0D9D120B" w:rsidRPr="00E41BD4">
        <w:rPr>
          <w:rFonts w:ascii="Franklin Gothic Book" w:hAnsi="Franklin Gothic Book"/>
          <w:sz w:val="22"/>
        </w:rPr>
        <w:t>)</w:t>
      </w:r>
      <w:r w:rsidRPr="00E41BD4">
        <w:rPr>
          <w:rFonts w:ascii="Franklin Gothic Book" w:hAnsi="Franklin Gothic Book"/>
          <w:sz w:val="22"/>
        </w:rPr>
        <w:t xml:space="preserve">, </w:t>
      </w:r>
      <w:r w:rsidR="13F6AE9C" w:rsidRPr="00E41BD4">
        <w:rPr>
          <w:rFonts w:ascii="Franklin Gothic Book" w:hAnsi="Franklin Gothic Book"/>
          <w:sz w:val="22"/>
        </w:rPr>
        <w:t xml:space="preserve">and </w:t>
      </w:r>
      <w:r w:rsidRPr="00E41BD4">
        <w:rPr>
          <w:rFonts w:ascii="Franklin Gothic Book" w:hAnsi="Franklin Gothic Book"/>
          <w:sz w:val="22"/>
        </w:rPr>
        <w:t>it was estimated that 4.1% (95% CI 3.65, 4.54)</w:t>
      </w:r>
      <w:r w:rsidR="0D9D120B" w:rsidRPr="00E41BD4">
        <w:rPr>
          <w:rFonts w:ascii="Franklin Gothic Book" w:hAnsi="Franklin Gothic Book"/>
          <w:sz w:val="22"/>
        </w:rPr>
        <w:t xml:space="preserve"> of individuals with CHB </w:t>
      </w:r>
      <w:r w:rsidRPr="00E41BD4">
        <w:rPr>
          <w:rFonts w:ascii="Franklin Gothic Book" w:hAnsi="Franklin Gothic Book"/>
          <w:sz w:val="22"/>
        </w:rPr>
        <w:t xml:space="preserve">had HDV. However, these updated estimates do not include any new data from recently published Australian studies and </w:t>
      </w:r>
      <w:r w:rsidR="13F6AE9C" w:rsidRPr="00E41BD4">
        <w:rPr>
          <w:rFonts w:ascii="Franklin Gothic Book" w:hAnsi="Franklin Gothic Book"/>
          <w:sz w:val="22"/>
        </w:rPr>
        <w:t>may not reflect</w:t>
      </w:r>
      <w:r w:rsidRPr="00E41BD4">
        <w:rPr>
          <w:rFonts w:ascii="Franklin Gothic Book" w:hAnsi="Franklin Gothic Book"/>
          <w:sz w:val="22"/>
        </w:rPr>
        <w:t xml:space="preserve"> the true prevalence of HDV in Australia</w:t>
      </w:r>
      <w:r w:rsidR="13F6AE9C" w:rsidRPr="00E41BD4">
        <w:rPr>
          <w:rFonts w:ascii="Franklin Gothic Book" w:hAnsi="Franklin Gothic Book"/>
          <w:sz w:val="22"/>
        </w:rPr>
        <w:t xml:space="preserve"> due to lack of ascertainment</w:t>
      </w:r>
      <w:r w:rsidRPr="00E41BD4">
        <w:rPr>
          <w:rFonts w:ascii="Franklin Gothic Book" w:hAnsi="Franklin Gothic Book"/>
          <w:sz w:val="22"/>
        </w:rPr>
        <w:t>.</w:t>
      </w:r>
    </w:p>
    <w:p w14:paraId="4F71A67E" w14:textId="3A14C81D" w:rsidR="00927176" w:rsidRPr="00E41BD4" w:rsidRDefault="00927176" w:rsidP="00E41BD4">
      <w:pPr>
        <w:jc w:val="left"/>
        <w:rPr>
          <w:rFonts w:ascii="Franklin Gothic Book" w:hAnsi="Franklin Gothic Book"/>
          <w:sz w:val="22"/>
        </w:rPr>
      </w:pPr>
      <w:r w:rsidRPr="00E41BD4">
        <w:rPr>
          <w:rFonts w:ascii="Franklin Gothic Book" w:hAnsi="Franklin Gothic Book"/>
          <w:sz w:val="22"/>
        </w:rPr>
        <w:t>In the PSD</w:t>
      </w:r>
      <w:r w:rsidR="00D4614E" w:rsidRPr="00E41BD4">
        <w:rPr>
          <w:rFonts w:ascii="Franklin Gothic Book" w:hAnsi="Franklin Gothic Book"/>
          <w:sz w:val="22"/>
        </w:rPr>
        <w:t xml:space="preserve"> for 1708</w:t>
      </w:r>
      <w:r w:rsidRPr="00E41BD4">
        <w:rPr>
          <w:rFonts w:ascii="Franklin Gothic Book" w:hAnsi="Franklin Gothic Book"/>
          <w:sz w:val="22"/>
        </w:rPr>
        <w:t>, MSAC agreed that “the prevalence of HDV is likely to be low in Australia due to high rates of vaccination against HBV, but prevalence is likely to be much higher in high-risk populations, such as people born overseas, people from culturally and linguistically diverse backgrounds, people who inject drugs, and/or in men who have sex with men.”</w:t>
      </w:r>
    </w:p>
    <w:p w14:paraId="4ABF7510" w14:textId="77777777" w:rsidR="00FD07C6" w:rsidRPr="00BD2A33" w:rsidRDefault="00FD07C6"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15" w:name="_Toc188360779"/>
      <w:r w:rsidRPr="00BD2A33">
        <w:rPr>
          <w:rFonts w:ascii="Franklin Gothic Medium" w:hAnsi="Franklin Gothic Medium"/>
          <w:b w:val="0"/>
          <w:i w:val="0"/>
          <w:snapToGrid/>
          <w:color w:val="000000" w:themeColor="text1"/>
          <w:sz w:val="32"/>
          <w:szCs w:val="26"/>
        </w:rPr>
        <w:t>Comparator</w:t>
      </w:r>
      <w:bookmarkEnd w:id="15"/>
    </w:p>
    <w:p w14:paraId="31A3EF2A" w14:textId="006EAD0A" w:rsidR="00927176" w:rsidRPr="00523610" w:rsidRDefault="13F6AE9C" w:rsidP="00BD2A33">
      <w:pPr>
        <w:jc w:val="left"/>
        <w:rPr>
          <w:rFonts w:ascii="Franklin Gothic Book" w:hAnsi="Franklin Gothic Book"/>
          <w:sz w:val="22"/>
        </w:rPr>
      </w:pPr>
      <w:r w:rsidRPr="00BD2A33">
        <w:rPr>
          <w:rFonts w:ascii="Franklin Gothic Book" w:hAnsi="Franklin Gothic Book"/>
          <w:sz w:val="22"/>
        </w:rPr>
        <w:t>There was n</w:t>
      </w:r>
      <w:r w:rsidR="00927176" w:rsidRPr="00BD2A33">
        <w:rPr>
          <w:rFonts w:ascii="Franklin Gothic Book" w:hAnsi="Franklin Gothic Book"/>
          <w:sz w:val="22"/>
        </w:rPr>
        <w:t xml:space="preserve">o change from the previous submission </w:t>
      </w:r>
      <w:r w:rsidRPr="00BD2A33">
        <w:rPr>
          <w:rFonts w:ascii="Franklin Gothic Book" w:hAnsi="Franklin Gothic Book"/>
          <w:sz w:val="22"/>
        </w:rPr>
        <w:t>in</w:t>
      </w:r>
      <w:r w:rsidR="00927176" w:rsidRPr="00BD2A33">
        <w:rPr>
          <w:rFonts w:ascii="Franklin Gothic Book" w:hAnsi="Franklin Gothic Book"/>
          <w:sz w:val="22"/>
        </w:rPr>
        <w:t xml:space="preserve"> the </w:t>
      </w:r>
      <w:r w:rsidRPr="00BD2A33">
        <w:rPr>
          <w:rFonts w:ascii="Franklin Gothic Book" w:hAnsi="Franklin Gothic Book"/>
          <w:sz w:val="22"/>
        </w:rPr>
        <w:t xml:space="preserve">proposed </w:t>
      </w:r>
      <w:r w:rsidR="00927176" w:rsidRPr="00BD2A33">
        <w:rPr>
          <w:rFonts w:ascii="Franklin Gothic Book" w:hAnsi="Franklin Gothic Book"/>
          <w:sz w:val="22"/>
        </w:rPr>
        <w:t xml:space="preserve">comparator </w:t>
      </w:r>
      <w:r w:rsidRPr="00BD2A33">
        <w:rPr>
          <w:rFonts w:ascii="Franklin Gothic Book" w:hAnsi="Franklin Gothic Book"/>
          <w:sz w:val="22"/>
        </w:rPr>
        <w:t>of</w:t>
      </w:r>
      <w:r w:rsidR="00927176" w:rsidRPr="00BD2A33">
        <w:rPr>
          <w:rFonts w:ascii="Franklin Gothic Book" w:hAnsi="Franklin Gothic Book"/>
          <w:sz w:val="22"/>
        </w:rPr>
        <w:t xml:space="preserve"> ‘no HDV RNA PCR testing’. </w:t>
      </w:r>
      <w:r w:rsidR="00523610" w:rsidRPr="00523610">
        <w:rPr>
          <w:rFonts w:ascii="Franklin Gothic Book" w:hAnsi="Franklin Gothic Book"/>
          <w:sz w:val="22"/>
        </w:rPr>
        <w:t>The commentary noted that t</w:t>
      </w:r>
      <w:r w:rsidR="00927176" w:rsidRPr="00523610">
        <w:rPr>
          <w:rFonts w:ascii="Franklin Gothic Book" w:hAnsi="Franklin Gothic Book"/>
          <w:sz w:val="22"/>
        </w:rPr>
        <w:t xml:space="preserve">his </w:t>
      </w:r>
      <w:r w:rsidRPr="00523610">
        <w:rPr>
          <w:rFonts w:ascii="Franklin Gothic Book" w:hAnsi="Franklin Gothic Book"/>
          <w:sz w:val="22"/>
        </w:rPr>
        <w:t xml:space="preserve">comparator </w:t>
      </w:r>
      <w:r w:rsidR="00927176" w:rsidRPr="00523610">
        <w:rPr>
          <w:rFonts w:ascii="Franklin Gothic Book" w:hAnsi="Franklin Gothic Book"/>
          <w:sz w:val="22"/>
        </w:rPr>
        <w:t>is appropriate.</w:t>
      </w:r>
    </w:p>
    <w:p w14:paraId="0D2E2B4F" w14:textId="77777777" w:rsidR="00BD2A33" w:rsidRPr="003A793E" w:rsidRDefault="00BD2A33" w:rsidP="00C6349A">
      <w:pPr>
        <w:pStyle w:val="Heading2"/>
        <w:numPr>
          <w:ilvl w:val="0"/>
          <w:numId w:val="25"/>
        </w:numPr>
        <w:spacing w:after="240"/>
        <w:ind w:hanging="720"/>
        <w:rPr>
          <w:rFonts w:ascii="Franklin Gothic Medium" w:hAnsi="Franklin Gothic Medium"/>
          <w:b w:val="0"/>
          <w:i w:val="0"/>
          <w:snapToGrid/>
          <w:color w:val="000000" w:themeColor="text1"/>
          <w:sz w:val="32"/>
          <w:szCs w:val="32"/>
        </w:rPr>
      </w:pPr>
      <w:bookmarkStart w:id="16" w:name="_Toc69491421"/>
      <w:bookmarkStart w:id="17" w:name="_Hlk193982804"/>
      <w:r w:rsidRPr="73D7C100">
        <w:rPr>
          <w:rFonts w:ascii="Franklin Gothic Medium" w:hAnsi="Franklin Gothic Medium"/>
          <w:b w:val="0"/>
          <w:i w:val="0"/>
          <w:snapToGrid/>
          <w:color w:val="000000" w:themeColor="text1"/>
          <w:sz w:val="32"/>
          <w:szCs w:val="32"/>
        </w:rPr>
        <w:t>Summary of public consultation input</w:t>
      </w:r>
      <w:bookmarkEnd w:id="16"/>
    </w:p>
    <w:p w14:paraId="699E03E1" w14:textId="7CD9ABA8" w:rsidR="000B552D" w:rsidRPr="000B552D" w:rsidRDefault="0DE4CDF4" w:rsidP="7604EF14">
      <w:pPr>
        <w:tabs>
          <w:tab w:val="left" w:pos="3686"/>
        </w:tabs>
        <w:spacing w:line="256" w:lineRule="auto"/>
        <w:jc w:val="left"/>
        <w:rPr>
          <w:rFonts w:ascii="Franklin Gothic Book" w:hAnsi="Franklin Gothic Book"/>
          <w:sz w:val="22"/>
        </w:rPr>
      </w:pPr>
      <w:r w:rsidRPr="7604EF14">
        <w:rPr>
          <w:rFonts w:ascii="Franklin Gothic Book" w:hAnsi="Franklin Gothic Book"/>
          <w:sz w:val="22"/>
        </w:rPr>
        <w:t xml:space="preserve">Consultation input was welcomed for </w:t>
      </w:r>
      <w:r w:rsidR="5652B0FA" w:rsidRPr="7604EF14">
        <w:rPr>
          <w:rFonts w:ascii="Franklin Gothic Book" w:hAnsi="Franklin Gothic Book"/>
          <w:sz w:val="22"/>
        </w:rPr>
        <w:t xml:space="preserve">MSAC Application </w:t>
      </w:r>
      <w:r w:rsidRPr="7604EF14">
        <w:rPr>
          <w:rFonts w:ascii="Franklin Gothic Book" w:hAnsi="Franklin Gothic Book"/>
          <w:sz w:val="22"/>
        </w:rPr>
        <w:t>1708 from three professional organisations, three consumer organisations, and one individual, who was a medical professional.</w:t>
      </w:r>
    </w:p>
    <w:p w14:paraId="39779529" w14:textId="6DB3C98D" w:rsidR="000B552D" w:rsidRPr="000B552D" w:rsidRDefault="0DE4CDF4" w:rsidP="7604EF14">
      <w:pPr>
        <w:tabs>
          <w:tab w:val="left" w:pos="3686"/>
        </w:tabs>
        <w:spacing w:line="256" w:lineRule="auto"/>
        <w:jc w:val="left"/>
        <w:rPr>
          <w:rFonts w:ascii="Franklin Gothic Book" w:hAnsi="Franklin Gothic Book"/>
          <w:sz w:val="22"/>
        </w:rPr>
      </w:pPr>
      <w:r w:rsidRPr="7604EF14">
        <w:rPr>
          <w:rFonts w:ascii="Franklin Gothic Book" w:hAnsi="Franklin Gothic Book"/>
          <w:sz w:val="22"/>
        </w:rPr>
        <w:t>The five organisations that submitted input were:</w:t>
      </w:r>
    </w:p>
    <w:p w14:paraId="4132F367" w14:textId="5258789A" w:rsidR="000B552D" w:rsidRPr="000B552D" w:rsidRDefault="0DE4CDF4" w:rsidP="00C51954">
      <w:pPr>
        <w:numPr>
          <w:ilvl w:val="0"/>
          <w:numId w:val="28"/>
        </w:numPr>
        <w:tabs>
          <w:tab w:val="left" w:pos="3686"/>
        </w:tabs>
        <w:spacing w:after="0" w:line="256" w:lineRule="auto"/>
        <w:jc w:val="left"/>
        <w:rPr>
          <w:rFonts w:ascii="Franklin Gothic Book" w:hAnsi="Franklin Gothic Book"/>
          <w:szCs w:val="24"/>
        </w:rPr>
      </w:pPr>
      <w:r w:rsidRPr="7604EF14">
        <w:rPr>
          <w:rFonts w:ascii="Franklin Gothic Book" w:hAnsi="Franklin Gothic Book"/>
          <w:sz w:val="22"/>
        </w:rPr>
        <w:t>Australian Pathology (AP)</w:t>
      </w:r>
    </w:p>
    <w:p w14:paraId="181504CC" w14:textId="0115754B" w:rsidR="000B552D" w:rsidRPr="000B552D" w:rsidRDefault="0DE4CDF4" w:rsidP="00C6349A">
      <w:pPr>
        <w:numPr>
          <w:ilvl w:val="0"/>
          <w:numId w:val="28"/>
        </w:numPr>
        <w:tabs>
          <w:tab w:val="left" w:pos="3686"/>
        </w:tabs>
        <w:spacing w:line="256" w:lineRule="auto"/>
        <w:contextualSpacing/>
        <w:jc w:val="left"/>
        <w:rPr>
          <w:rFonts w:ascii="Franklin Gothic Book" w:hAnsi="Franklin Gothic Book"/>
          <w:sz w:val="22"/>
        </w:rPr>
      </w:pPr>
      <w:r w:rsidRPr="7604EF14">
        <w:rPr>
          <w:rFonts w:ascii="Franklin Gothic Book" w:hAnsi="Franklin Gothic Book"/>
          <w:sz w:val="22"/>
        </w:rPr>
        <w:t>Gastroenterological Society of Australia (GESA)</w:t>
      </w:r>
    </w:p>
    <w:p w14:paraId="507FB18D" w14:textId="14F1A879" w:rsidR="000B552D" w:rsidRPr="000B552D" w:rsidRDefault="0DE4CDF4" w:rsidP="00C6349A">
      <w:pPr>
        <w:numPr>
          <w:ilvl w:val="0"/>
          <w:numId w:val="28"/>
        </w:numPr>
        <w:tabs>
          <w:tab w:val="left" w:pos="3686"/>
        </w:tabs>
        <w:spacing w:line="256" w:lineRule="auto"/>
        <w:contextualSpacing/>
        <w:jc w:val="left"/>
        <w:rPr>
          <w:rFonts w:ascii="Franklin Gothic Book" w:hAnsi="Franklin Gothic Book"/>
          <w:sz w:val="22"/>
        </w:rPr>
      </w:pPr>
      <w:r w:rsidRPr="7604EF14">
        <w:rPr>
          <w:rFonts w:ascii="Franklin Gothic Book" w:hAnsi="Franklin Gothic Book"/>
          <w:sz w:val="22"/>
        </w:rPr>
        <w:t>Hepatitis SA</w:t>
      </w:r>
    </w:p>
    <w:p w14:paraId="6E64C7DB" w14:textId="4BACDA30" w:rsidR="000B552D" w:rsidRPr="000B552D" w:rsidRDefault="0DE4CDF4" w:rsidP="00C6349A">
      <w:pPr>
        <w:numPr>
          <w:ilvl w:val="0"/>
          <w:numId w:val="28"/>
        </w:numPr>
        <w:tabs>
          <w:tab w:val="left" w:pos="3686"/>
        </w:tabs>
        <w:spacing w:line="256" w:lineRule="auto"/>
        <w:contextualSpacing/>
        <w:jc w:val="left"/>
        <w:rPr>
          <w:rFonts w:ascii="Franklin Gothic Book" w:hAnsi="Franklin Gothic Book"/>
          <w:sz w:val="22"/>
        </w:rPr>
      </w:pPr>
      <w:r w:rsidRPr="7604EF14">
        <w:rPr>
          <w:rFonts w:ascii="Franklin Gothic Book" w:hAnsi="Franklin Gothic Book"/>
          <w:sz w:val="22"/>
        </w:rPr>
        <w:t>Hepatitis Queensland (HQ)</w:t>
      </w:r>
    </w:p>
    <w:p w14:paraId="4AD19E47" w14:textId="394B3784" w:rsidR="000B552D" w:rsidRPr="000B552D" w:rsidRDefault="0DE4CDF4" w:rsidP="00C6349A">
      <w:pPr>
        <w:numPr>
          <w:ilvl w:val="0"/>
          <w:numId w:val="28"/>
        </w:numPr>
        <w:tabs>
          <w:tab w:val="left" w:pos="3686"/>
        </w:tabs>
        <w:spacing w:line="256" w:lineRule="auto"/>
        <w:contextualSpacing/>
        <w:jc w:val="left"/>
        <w:rPr>
          <w:rFonts w:ascii="Franklin Gothic Book" w:hAnsi="Franklin Gothic Book"/>
          <w:sz w:val="22"/>
        </w:rPr>
      </w:pPr>
      <w:r w:rsidRPr="7604EF14">
        <w:rPr>
          <w:rFonts w:ascii="Franklin Gothic Book" w:hAnsi="Franklin Gothic Book"/>
          <w:sz w:val="22"/>
        </w:rPr>
        <w:t>Public Pathology Australia (PPA)</w:t>
      </w:r>
    </w:p>
    <w:p w14:paraId="4040F48D" w14:textId="65A629BB" w:rsidR="000B552D" w:rsidRPr="00E41BD4" w:rsidRDefault="0DE4CDF4" w:rsidP="7604EF14">
      <w:pPr>
        <w:numPr>
          <w:ilvl w:val="0"/>
          <w:numId w:val="28"/>
        </w:numPr>
        <w:tabs>
          <w:tab w:val="left" w:pos="3686"/>
        </w:tabs>
        <w:spacing w:line="256" w:lineRule="auto"/>
        <w:jc w:val="left"/>
        <w:rPr>
          <w:rFonts w:ascii="Franklin Gothic Book" w:hAnsi="Franklin Gothic Book"/>
          <w:szCs w:val="24"/>
        </w:rPr>
      </w:pPr>
      <w:r w:rsidRPr="7604EF14">
        <w:rPr>
          <w:rFonts w:ascii="Franklin Gothic Book" w:hAnsi="Franklin Gothic Book"/>
          <w:sz w:val="22"/>
        </w:rPr>
        <w:lastRenderedPageBreak/>
        <w:t>Hepatitis NSW</w:t>
      </w:r>
    </w:p>
    <w:p w14:paraId="0736AC0C" w14:textId="550056E2" w:rsidR="000B552D" w:rsidRPr="000B552D" w:rsidRDefault="0DE4CDF4" w:rsidP="7604EF14">
      <w:pPr>
        <w:tabs>
          <w:tab w:val="left" w:pos="3686"/>
        </w:tabs>
        <w:spacing w:line="256" w:lineRule="auto"/>
        <w:jc w:val="left"/>
        <w:rPr>
          <w:rFonts w:ascii="Franklin Gothic Book" w:hAnsi="Franklin Gothic Book"/>
          <w:sz w:val="22"/>
        </w:rPr>
      </w:pPr>
      <w:r w:rsidRPr="7604EF14">
        <w:rPr>
          <w:rFonts w:ascii="Franklin Gothic Book" w:hAnsi="Franklin Gothic Book"/>
          <w:sz w:val="22"/>
        </w:rPr>
        <w:t xml:space="preserve">Upon resubmission for </w:t>
      </w:r>
      <w:r w:rsidR="3FD7E858" w:rsidRPr="7604EF14">
        <w:rPr>
          <w:rFonts w:ascii="Franklin Gothic Book" w:hAnsi="Franklin Gothic Book"/>
          <w:sz w:val="22"/>
        </w:rPr>
        <w:t xml:space="preserve">MSAC Application </w:t>
      </w:r>
      <w:r w:rsidRPr="7604EF14">
        <w:rPr>
          <w:rFonts w:ascii="Franklin Gothic Book" w:hAnsi="Franklin Gothic Book"/>
          <w:sz w:val="22"/>
        </w:rPr>
        <w:t>1708.1, c</w:t>
      </w:r>
      <w:r w:rsidR="6AF83197" w:rsidRPr="7604EF14">
        <w:rPr>
          <w:rFonts w:ascii="Franklin Gothic Book" w:hAnsi="Franklin Gothic Book"/>
          <w:sz w:val="22"/>
        </w:rPr>
        <w:t xml:space="preserve">onsultation input was received from </w:t>
      </w:r>
      <w:r w:rsidR="0B47FC1A" w:rsidRPr="7604EF14">
        <w:rPr>
          <w:rFonts w:ascii="Franklin Gothic Book" w:hAnsi="Franklin Gothic Book"/>
          <w:sz w:val="22"/>
        </w:rPr>
        <w:t xml:space="preserve">four consumer </w:t>
      </w:r>
      <w:r w:rsidR="2043EEC1" w:rsidRPr="7604EF14">
        <w:rPr>
          <w:rFonts w:ascii="Franklin Gothic Book" w:hAnsi="Franklin Gothic Book"/>
          <w:sz w:val="22"/>
        </w:rPr>
        <w:t xml:space="preserve">groups or </w:t>
      </w:r>
      <w:r w:rsidR="0B47FC1A" w:rsidRPr="7604EF14">
        <w:rPr>
          <w:rFonts w:ascii="Franklin Gothic Book" w:hAnsi="Franklin Gothic Book"/>
          <w:sz w:val="22"/>
        </w:rPr>
        <w:t>organisations</w:t>
      </w:r>
      <w:r w:rsidR="2043EEC1" w:rsidRPr="7604EF14">
        <w:rPr>
          <w:rFonts w:ascii="Franklin Gothic Book" w:hAnsi="Franklin Gothic Book"/>
          <w:sz w:val="22"/>
        </w:rPr>
        <w:t xml:space="preserve"> </w:t>
      </w:r>
      <w:r w:rsidR="0B47FC1A" w:rsidRPr="7604EF14">
        <w:rPr>
          <w:rFonts w:ascii="Franklin Gothic Book" w:hAnsi="Franklin Gothic Book"/>
          <w:sz w:val="22"/>
        </w:rPr>
        <w:t>and two</w:t>
      </w:r>
      <w:r w:rsidR="6AF83197" w:rsidRPr="7604EF14">
        <w:rPr>
          <w:rFonts w:ascii="Franklin Gothic Book" w:hAnsi="Franklin Gothic Book"/>
          <w:sz w:val="22"/>
        </w:rPr>
        <w:t xml:space="preserve"> medical, health, or other (non-consumer) organisations. </w:t>
      </w:r>
    </w:p>
    <w:p w14:paraId="57730114" w14:textId="77777777" w:rsidR="000B552D" w:rsidRPr="000B552D" w:rsidRDefault="000B552D" w:rsidP="000B552D">
      <w:pPr>
        <w:tabs>
          <w:tab w:val="left" w:pos="3686"/>
        </w:tabs>
        <w:spacing w:line="256" w:lineRule="auto"/>
        <w:jc w:val="left"/>
        <w:rPr>
          <w:rFonts w:ascii="Franklin Gothic Book" w:hAnsi="Franklin Gothic Book" w:cstheme="minorHAnsi"/>
          <w:sz w:val="22"/>
        </w:rPr>
      </w:pPr>
      <w:r w:rsidRPr="000B552D">
        <w:rPr>
          <w:rFonts w:ascii="Franklin Gothic Book" w:hAnsi="Franklin Gothic Book" w:cstheme="minorHAnsi"/>
          <w:sz w:val="22"/>
        </w:rPr>
        <w:t>The organisations that submitted input were:</w:t>
      </w:r>
    </w:p>
    <w:p w14:paraId="606B450C" w14:textId="536A57D2" w:rsidR="000B552D" w:rsidRDefault="001D694C"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Roche Diagnostics Australia</w:t>
      </w:r>
    </w:p>
    <w:p w14:paraId="1005DA6D" w14:textId="1DD9AF5B" w:rsidR="001D694C" w:rsidRDefault="001D694C"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Hepatitis SA</w:t>
      </w:r>
    </w:p>
    <w:p w14:paraId="1326C35C" w14:textId="3C23DD54" w:rsidR="001D694C" w:rsidRDefault="001D694C"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Hepatitis NSW</w:t>
      </w:r>
    </w:p>
    <w:p w14:paraId="4F0A6C93" w14:textId="5C62639F" w:rsidR="001D694C" w:rsidRDefault="001D694C"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Hepatitis Australia</w:t>
      </w:r>
    </w:p>
    <w:p w14:paraId="7492218F" w14:textId="23F6B42A" w:rsidR="001D694C" w:rsidRDefault="001D694C"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Gastroenterological Society of Au</w:t>
      </w:r>
      <w:r w:rsidR="00E17453">
        <w:rPr>
          <w:rFonts w:ascii="Franklin Gothic Book" w:hAnsi="Franklin Gothic Book" w:cstheme="minorHAnsi"/>
          <w:sz w:val="22"/>
        </w:rPr>
        <w:t>stralia (GESA)</w:t>
      </w:r>
    </w:p>
    <w:p w14:paraId="2D16F756" w14:textId="408D2031" w:rsidR="7604EF14" w:rsidRPr="00E41BD4" w:rsidRDefault="00E17453" w:rsidP="00E41BD4">
      <w:pPr>
        <w:numPr>
          <w:ilvl w:val="0"/>
          <w:numId w:val="28"/>
        </w:numPr>
        <w:tabs>
          <w:tab w:val="left" w:pos="3686"/>
        </w:tabs>
        <w:spacing w:line="257" w:lineRule="auto"/>
        <w:ind w:left="714" w:hanging="357"/>
        <w:jc w:val="left"/>
        <w:rPr>
          <w:rFonts w:ascii="Franklin Gothic Book" w:hAnsi="Franklin Gothic Book" w:cstheme="minorHAnsi"/>
          <w:sz w:val="22"/>
        </w:rPr>
      </w:pPr>
      <w:r>
        <w:rPr>
          <w:rFonts w:ascii="Franklin Gothic Book" w:hAnsi="Franklin Gothic Book" w:cstheme="minorHAnsi"/>
          <w:sz w:val="22"/>
        </w:rPr>
        <w:t>Liver Foundation</w:t>
      </w:r>
    </w:p>
    <w:p w14:paraId="0E44C61D" w14:textId="77777777" w:rsidR="000B552D" w:rsidRPr="000B552D" w:rsidRDefault="000B552D" w:rsidP="000B552D">
      <w:pPr>
        <w:spacing w:line="259" w:lineRule="auto"/>
        <w:jc w:val="left"/>
        <w:rPr>
          <w:rFonts w:ascii="Franklin Gothic Book" w:hAnsi="Franklin Gothic Book" w:cstheme="minorHAnsi"/>
          <w:color w:val="FF0000"/>
          <w:szCs w:val="24"/>
        </w:rPr>
      </w:pPr>
      <w:r w:rsidRPr="000B552D">
        <w:rPr>
          <w:rFonts w:ascii="Franklin Gothic Book" w:hAnsi="Franklin Gothic Book" w:cstheme="minorHAnsi"/>
          <w:b/>
          <w:szCs w:val="24"/>
        </w:rPr>
        <w:t xml:space="preserve">Level of support for public funding </w:t>
      </w:r>
    </w:p>
    <w:p w14:paraId="68E426C0" w14:textId="1595F2E3" w:rsidR="00441A84" w:rsidRPr="00E41BD4" w:rsidRDefault="271F405C" w:rsidP="000B552D">
      <w:pPr>
        <w:spacing w:line="259" w:lineRule="auto"/>
        <w:jc w:val="left"/>
        <w:rPr>
          <w:rFonts w:ascii="Franklin Gothic Book" w:hAnsi="Franklin Gothic Book"/>
          <w:sz w:val="22"/>
        </w:rPr>
      </w:pPr>
      <w:r w:rsidRPr="7604EF14">
        <w:rPr>
          <w:rFonts w:ascii="Franklin Gothic Book" w:hAnsi="Franklin Gothic Book"/>
          <w:sz w:val="22"/>
        </w:rPr>
        <w:t xml:space="preserve">All organisations were supportive of the public funding of this </w:t>
      </w:r>
      <w:r w:rsidR="44BA1306" w:rsidRPr="7604EF14">
        <w:rPr>
          <w:rFonts w:ascii="Franklin Gothic Book" w:hAnsi="Franklin Gothic Book"/>
          <w:sz w:val="22"/>
        </w:rPr>
        <w:t>service</w:t>
      </w:r>
      <w:r w:rsidRPr="7604EF14">
        <w:rPr>
          <w:rFonts w:ascii="Franklin Gothic Book" w:hAnsi="Franklin Gothic Book"/>
          <w:sz w:val="22"/>
        </w:rPr>
        <w:t>.</w:t>
      </w:r>
    </w:p>
    <w:p w14:paraId="2BD25B29" w14:textId="300C74A8" w:rsidR="000B552D" w:rsidRPr="000B552D" w:rsidRDefault="000B552D" w:rsidP="000B552D">
      <w:pPr>
        <w:spacing w:line="259" w:lineRule="auto"/>
        <w:jc w:val="left"/>
        <w:rPr>
          <w:rFonts w:ascii="Franklin Gothic Book" w:hAnsi="Franklin Gothic Book" w:cstheme="minorHAnsi"/>
          <w:b/>
          <w:szCs w:val="24"/>
        </w:rPr>
      </w:pPr>
      <w:r w:rsidRPr="000B552D">
        <w:rPr>
          <w:rFonts w:ascii="Franklin Gothic Book" w:hAnsi="Franklin Gothic Book" w:cstheme="minorHAnsi"/>
          <w:b/>
          <w:szCs w:val="24"/>
        </w:rPr>
        <w:t xml:space="preserve">Comments on PICO </w:t>
      </w:r>
    </w:p>
    <w:p w14:paraId="5A4A97F8" w14:textId="77777777" w:rsidR="003155D7" w:rsidRDefault="00885576" w:rsidP="00C6349A">
      <w:pPr>
        <w:numPr>
          <w:ilvl w:val="0"/>
          <w:numId w:val="26"/>
        </w:numPr>
        <w:spacing w:before="0" w:line="259" w:lineRule="auto"/>
        <w:ind w:left="709"/>
        <w:contextualSpacing/>
        <w:jc w:val="left"/>
        <w:rPr>
          <w:rFonts w:ascii="Franklin Gothic Book" w:hAnsi="Franklin Gothic Book"/>
          <w:sz w:val="22"/>
        </w:rPr>
      </w:pPr>
      <w:r>
        <w:rPr>
          <w:rFonts w:ascii="Franklin Gothic Book" w:hAnsi="Franklin Gothic Book"/>
          <w:sz w:val="22"/>
        </w:rPr>
        <w:t xml:space="preserve">Roche Diagnostics Australia, </w:t>
      </w:r>
      <w:r w:rsidR="009F05D8">
        <w:rPr>
          <w:rFonts w:ascii="Franklin Gothic Book" w:hAnsi="Franklin Gothic Book"/>
          <w:sz w:val="22"/>
        </w:rPr>
        <w:t>Liver Foundation</w:t>
      </w:r>
      <w:r>
        <w:rPr>
          <w:rFonts w:ascii="Franklin Gothic Book" w:hAnsi="Franklin Gothic Book"/>
          <w:sz w:val="22"/>
        </w:rPr>
        <w:t>,</w:t>
      </w:r>
      <w:r w:rsidR="009F05D8">
        <w:rPr>
          <w:rFonts w:ascii="Franklin Gothic Book" w:hAnsi="Franklin Gothic Book"/>
          <w:sz w:val="22"/>
        </w:rPr>
        <w:t xml:space="preserve"> </w:t>
      </w:r>
      <w:r w:rsidR="00E5002A">
        <w:rPr>
          <w:rFonts w:ascii="Franklin Gothic Book" w:hAnsi="Franklin Gothic Book"/>
          <w:sz w:val="22"/>
        </w:rPr>
        <w:t xml:space="preserve">and Hepatitis NSW </w:t>
      </w:r>
      <w:r w:rsidR="009F05D8">
        <w:rPr>
          <w:rFonts w:ascii="Franklin Gothic Book" w:hAnsi="Franklin Gothic Book"/>
          <w:sz w:val="22"/>
        </w:rPr>
        <w:t xml:space="preserve">considered the proposed population and </w:t>
      </w:r>
      <w:r w:rsidR="00441A84">
        <w:rPr>
          <w:rFonts w:ascii="Franklin Gothic Book" w:hAnsi="Franklin Gothic Book"/>
          <w:sz w:val="22"/>
        </w:rPr>
        <w:t xml:space="preserve">proposed </w:t>
      </w:r>
      <w:r w:rsidR="009F05D8">
        <w:rPr>
          <w:rFonts w:ascii="Franklin Gothic Book" w:hAnsi="Franklin Gothic Book"/>
          <w:sz w:val="22"/>
        </w:rPr>
        <w:t>approach appropriate.</w:t>
      </w:r>
      <w:r w:rsidR="00A17675">
        <w:rPr>
          <w:rFonts w:ascii="Franklin Gothic Book" w:hAnsi="Franklin Gothic Book"/>
          <w:sz w:val="22"/>
        </w:rPr>
        <w:t xml:space="preserve"> </w:t>
      </w:r>
    </w:p>
    <w:p w14:paraId="42F93129" w14:textId="674FAB91" w:rsidR="009F05D8" w:rsidRDefault="003155D7" w:rsidP="00C6349A">
      <w:pPr>
        <w:numPr>
          <w:ilvl w:val="0"/>
          <w:numId w:val="26"/>
        </w:numPr>
        <w:spacing w:before="0" w:line="259" w:lineRule="auto"/>
        <w:ind w:left="709"/>
        <w:contextualSpacing/>
        <w:jc w:val="left"/>
        <w:rPr>
          <w:rFonts w:ascii="Franklin Gothic Book" w:hAnsi="Franklin Gothic Book"/>
          <w:sz w:val="22"/>
        </w:rPr>
      </w:pPr>
      <w:r>
        <w:rPr>
          <w:rFonts w:ascii="Franklin Gothic Book" w:hAnsi="Franklin Gothic Book"/>
          <w:sz w:val="22"/>
        </w:rPr>
        <w:t xml:space="preserve">In terms of the proposed approach, </w:t>
      </w:r>
      <w:r w:rsidR="00A17675">
        <w:rPr>
          <w:rFonts w:ascii="Franklin Gothic Book" w:hAnsi="Franklin Gothic Book"/>
          <w:sz w:val="22"/>
        </w:rPr>
        <w:t xml:space="preserve">GESA </w:t>
      </w:r>
      <w:r w:rsidR="00542CF5">
        <w:rPr>
          <w:rFonts w:ascii="Franklin Gothic Book" w:hAnsi="Franklin Gothic Book"/>
          <w:sz w:val="22"/>
        </w:rPr>
        <w:t>noted that without Medicare reimbursement for HDV RNA testing, hepatitis D testing uptake</w:t>
      </w:r>
      <w:r w:rsidR="001A6B91">
        <w:rPr>
          <w:rFonts w:ascii="Franklin Gothic Book" w:hAnsi="Franklin Gothic Book"/>
          <w:sz w:val="22"/>
        </w:rPr>
        <w:t xml:space="preserve"> </w:t>
      </w:r>
      <w:r w:rsidR="00542CF5">
        <w:rPr>
          <w:rFonts w:ascii="Franklin Gothic Book" w:hAnsi="Franklin Gothic Book"/>
          <w:sz w:val="22"/>
        </w:rPr>
        <w:t>will remain very low</w:t>
      </w:r>
      <w:r>
        <w:rPr>
          <w:rFonts w:ascii="Franklin Gothic Book" w:hAnsi="Franklin Gothic Book"/>
          <w:sz w:val="22"/>
        </w:rPr>
        <w:t>. GESA also stated that no additional management beyond the HDV RNA test is required,</w:t>
      </w:r>
      <w:r w:rsidR="006153CE">
        <w:rPr>
          <w:rFonts w:ascii="Franklin Gothic Book" w:hAnsi="Franklin Gothic Book"/>
          <w:sz w:val="22"/>
        </w:rPr>
        <w:t xml:space="preserve"> and for those who are shown to have only past infection,</w:t>
      </w:r>
      <w:r w:rsidR="00134BA2">
        <w:rPr>
          <w:rFonts w:ascii="Franklin Gothic Book" w:hAnsi="Franklin Gothic Book"/>
          <w:sz w:val="22"/>
        </w:rPr>
        <w:t xml:space="preserve"> management costs for hepatitis D and related liver cancer surveillance can be avoided. </w:t>
      </w:r>
    </w:p>
    <w:p w14:paraId="21DB426C" w14:textId="0B5D86D7" w:rsidR="00134BA2" w:rsidRDefault="00885576" w:rsidP="00C6349A">
      <w:pPr>
        <w:numPr>
          <w:ilvl w:val="0"/>
          <w:numId w:val="26"/>
        </w:numPr>
        <w:spacing w:before="0" w:line="259" w:lineRule="auto"/>
        <w:ind w:left="709"/>
        <w:contextualSpacing/>
        <w:jc w:val="left"/>
        <w:rPr>
          <w:rFonts w:ascii="Franklin Gothic Book" w:hAnsi="Franklin Gothic Book"/>
          <w:sz w:val="22"/>
        </w:rPr>
      </w:pPr>
      <w:r>
        <w:rPr>
          <w:rFonts w:ascii="Franklin Gothic Book" w:hAnsi="Franklin Gothic Book"/>
          <w:sz w:val="22"/>
        </w:rPr>
        <w:t>Roche Diagnostics Australia agreed the comparator accurately reflected Australian practice, noting that while HDV RNA PCR testing is not currently standard practice, it is recommended in both</w:t>
      </w:r>
      <w:r w:rsidR="002D6924">
        <w:rPr>
          <w:rFonts w:ascii="Franklin Gothic Book" w:hAnsi="Franklin Gothic Book"/>
          <w:sz w:val="22"/>
        </w:rPr>
        <w:t xml:space="preserve"> relevant RACGP and GESA recommendations.</w:t>
      </w:r>
    </w:p>
    <w:p w14:paraId="79D758CB" w14:textId="4824CAE8" w:rsidR="009F05D8" w:rsidRPr="00E41BD4" w:rsidRDefault="00B952F2" w:rsidP="00E41BD4">
      <w:pPr>
        <w:numPr>
          <w:ilvl w:val="0"/>
          <w:numId w:val="26"/>
        </w:numPr>
        <w:spacing w:before="0" w:line="259" w:lineRule="auto"/>
        <w:ind w:left="709" w:hanging="357"/>
        <w:jc w:val="left"/>
        <w:rPr>
          <w:rFonts w:ascii="Franklin Gothic Book" w:hAnsi="Franklin Gothic Book"/>
          <w:sz w:val="22"/>
        </w:rPr>
      </w:pPr>
      <w:r>
        <w:rPr>
          <w:rFonts w:ascii="Franklin Gothic Book" w:hAnsi="Franklin Gothic Book"/>
          <w:sz w:val="22"/>
        </w:rPr>
        <w:t xml:space="preserve">GESA agreed with the outcomes set out in the PICO. </w:t>
      </w:r>
      <w:r w:rsidR="002D6924">
        <w:rPr>
          <w:rFonts w:ascii="Franklin Gothic Book" w:hAnsi="Franklin Gothic Book"/>
          <w:sz w:val="22"/>
        </w:rPr>
        <w:t>Roche Diagnostics Australia partially agreed with the outcomes in the PICO, adding that diagnosis of HDV infection via RNA PCR testing should be considered as an outcome, noting the benefits for patients through increased confidence in accuracy of diagnosis, without the risk of liver biopsy to confirm current HDV infection.</w:t>
      </w:r>
    </w:p>
    <w:p w14:paraId="2FC6A545" w14:textId="603F5CC8" w:rsidR="000B552D" w:rsidRPr="000B552D" w:rsidRDefault="000B552D" w:rsidP="000B552D">
      <w:pPr>
        <w:spacing w:line="259" w:lineRule="auto"/>
        <w:jc w:val="left"/>
        <w:rPr>
          <w:rFonts w:ascii="Franklin Gothic Book" w:hAnsi="Franklin Gothic Book" w:cstheme="minorHAnsi"/>
          <w:szCs w:val="24"/>
        </w:rPr>
      </w:pPr>
      <w:r w:rsidRPr="000B552D">
        <w:rPr>
          <w:rFonts w:ascii="Franklin Gothic Book" w:hAnsi="Franklin Gothic Book" w:cstheme="minorHAnsi"/>
          <w:b/>
          <w:szCs w:val="24"/>
        </w:rPr>
        <w:t xml:space="preserve">Perceived Advantages </w:t>
      </w:r>
    </w:p>
    <w:p w14:paraId="72BF032F" w14:textId="668BAE42" w:rsidR="000B552D" w:rsidRPr="000B552D" w:rsidRDefault="6AF83197" w:rsidP="7604EF14">
      <w:pPr>
        <w:spacing w:line="259" w:lineRule="auto"/>
        <w:jc w:val="left"/>
        <w:rPr>
          <w:rFonts w:ascii="Franklin Gothic Book" w:hAnsi="Franklin Gothic Book"/>
          <w:sz w:val="22"/>
        </w:rPr>
      </w:pPr>
      <w:r w:rsidRPr="7604EF14">
        <w:rPr>
          <w:rFonts w:ascii="Franklin Gothic Book" w:hAnsi="Franklin Gothic Book"/>
          <w:sz w:val="22"/>
        </w:rPr>
        <w:t xml:space="preserve">Advantages of the </w:t>
      </w:r>
      <w:r w:rsidR="54A486B0" w:rsidRPr="7604EF14">
        <w:rPr>
          <w:rFonts w:ascii="Franklin Gothic Book" w:hAnsi="Franklin Gothic Book"/>
          <w:sz w:val="22"/>
        </w:rPr>
        <w:t>service</w:t>
      </w:r>
      <w:r w:rsidRPr="7604EF14">
        <w:rPr>
          <w:rFonts w:ascii="Franklin Gothic Book" w:hAnsi="Franklin Gothic Book"/>
          <w:sz w:val="22"/>
        </w:rPr>
        <w:t xml:space="preserve"> noted by</w:t>
      </w:r>
      <w:r w:rsidR="1C9446D7" w:rsidRPr="7604EF14">
        <w:rPr>
          <w:rFonts w:ascii="Franklin Gothic Book" w:hAnsi="Franklin Gothic Book"/>
          <w:sz w:val="22"/>
        </w:rPr>
        <w:t xml:space="preserve"> organisations</w:t>
      </w:r>
      <w:r w:rsidRPr="7604EF14">
        <w:rPr>
          <w:rFonts w:ascii="Franklin Gothic Book" w:hAnsi="Franklin Gothic Book"/>
          <w:sz w:val="22"/>
        </w:rPr>
        <w:t xml:space="preserve"> included:</w:t>
      </w:r>
    </w:p>
    <w:p w14:paraId="751D9138" w14:textId="63AC3E45" w:rsidR="000B552D" w:rsidRPr="0050780E" w:rsidRDefault="0050780E"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sz w:val="22"/>
        </w:rPr>
        <w:t>Enhanced diagnostic accuracy</w:t>
      </w:r>
      <w:r w:rsidR="0011732D">
        <w:rPr>
          <w:rFonts w:ascii="Franklin Gothic Book" w:hAnsi="Franklin Gothic Book"/>
          <w:sz w:val="22"/>
        </w:rPr>
        <w:t>, noting that unlike current testing (serology), which does not distinguish between current and past infections, RNA PCR testing has increased accuracy in diagnosing HDV, including quantifying virus levels and determining active and past infections</w:t>
      </w:r>
      <w:r>
        <w:rPr>
          <w:rFonts w:ascii="Franklin Gothic Book" w:hAnsi="Franklin Gothic Book"/>
          <w:sz w:val="22"/>
        </w:rPr>
        <w:t>.</w:t>
      </w:r>
    </w:p>
    <w:p w14:paraId="3B1CECBE" w14:textId="1FDD831A" w:rsidR="0050780E" w:rsidRPr="0050780E" w:rsidRDefault="39AE9824" w:rsidP="00C6349A">
      <w:pPr>
        <w:numPr>
          <w:ilvl w:val="0"/>
          <w:numId w:val="28"/>
        </w:numPr>
        <w:tabs>
          <w:tab w:val="left" w:pos="3686"/>
        </w:tabs>
        <w:spacing w:line="256" w:lineRule="auto"/>
        <w:contextualSpacing/>
        <w:jc w:val="left"/>
        <w:rPr>
          <w:rFonts w:ascii="Franklin Gothic Book" w:hAnsi="Franklin Gothic Book"/>
          <w:sz w:val="22"/>
        </w:rPr>
      </w:pPr>
      <w:r w:rsidRPr="7604EF14">
        <w:rPr>
          <w:rFonts w:ascii="Franklin Gothic Book" w:hAnsi="Franklin Gothic Book"/>
          <w:sz w:val="22"/>
        </w:rPr>
        <w:t xml:space="preserve">Enhancing the streamlining of </w:t>
      </w:r>
      <w:r w:rsidR="1C9446D7" w:rsidRPr="7604EF14">
        <w:rPr>
          <w:rFonts w:ascii="Franklin Gothic Book" w:hAnsi="Franklin Gothic Book"/>
          <w:sz w:val="22"/>
        </w:rPr>
        <w:t>treatment pathways.</w:t>
      </w:r>
    </w:p>
    <w:p w14:paraId="7FA98C3D" w14:textId="39E42E1A" w:rsidR="0050780E" w:rsidRPr="0050780E" w:rsidRDefault="422167CC" w:rsidP="00C6349A">
      <w:pPr>
        <w:numPr>
          <w:ilvl w:val="0"/>
          <w:numId w:val="28"/>
        </w:numPr>
        <w:tabs>
          <w:tab w:val="left" w:pos="3686"/>
        </w:tabs>
        <w:spacing w:line="256" w:lineRule="auto"/>
        <w:contextualSpacing/>
        <w:jc w:val="left"/>
        <w:rPr>
          <w:rFonts w:ascii="Franklin Gothic Book" w:hAnsi="Franklin Gothic Book"/>
          <w:sz w:val="22"/>
        </w:rPr>
      </w:pPr>
      <w:r w:rsidRPr="7604EF14">
        <w:rPr>
          <w:rFonts w:ascii="Franklin Gothic Book" w:hAnsi="Franklin Gothic Book"/>
          <w:sz w:val="22"/>
        </w:rPr>
        <w:t>Facilitating i</w:t>
      </w:r>
      <w:r w:rsidR="1C9446D7" w:rsidRPr="7604EF14">
        <w:rPr>
          <w:rFonts w:ascii="Franklin Gothic Book" w:hAnsi="Franklin Gothic Book"/>
          <w:sz w:val="22"/>
        </w:rPr>
        <w:t>mproved health outcomes</w:t>
      </w:r>
      <w:r w:rsidR="28BBA9FA" w:rsidRPr="7604EF14">
        <w:rPr>
          <w:rFonts w:ascii="Franklin Gothic Book" w:hAnsi="Franklin Gothic Book"/>
          <w:sz w:val="22"/>
        </w:rPr>
        <w:t xml:space="preserve"> through enhanced access to effective treatment, reducing disease burden and long-term health implications, reducing morbidity and mortality.</w:t>
      </w:r>
    </w:p>
    <w:p w14:paraId="7B0A055E" w14:textId="1F7D7426" w:rsidR="0050780E" w:rsidRDefault="0011732D"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Early detection of HDV, allowing timely initiation of treatment.</w:t>
      </w:r>
    </w:p>
    <w:p w14:paraId="1021DE3F" w14:textId="0F282337" w:rsidR="0011732D" w:rsidRDefault="39CC2FC7" w:rsidP="00C6349A">
      <w:pPr>
        <w:numPr>
          <w:ilvl w:val="0"/>
          <w:numId w:val="28"/>
        </w:numPr>
        <w:tabs>
          <w:tab w:val="left" w:pos="3686"/>
        </w:tabs>
        <w:spacing w:line="256" w:lineRule="auto"/>
        <w:contextualSpacing/>
        <w:jc w:val="left"/>
        <w:rPr>
          <w:rFonts w:ascii="Franklin Gothic Book" w:hAnsi="Franklin Gothic Book" w:cstheme="minorHAnsi"/>
          <w:sz w:val="22"/>
        </w:rPr>
      </w:pPr>
      <w:r w:rsidRPr="7604EF14">
        <w:rPr>
          <w:rFonts w:ascii="Franklin Gothic Book" w:hAnsi="Franklin Gothic Book"/>
          <w:sz w:val="22"/>
        </w:rPr>
        <w:t>Improved monitoring of disease progression, ensuring patients receive appropriate care.</w:t>
      </w:r>
    </w:p>
    <w:p w14:paraId="66CF68FE" w14:textId="5A669A37" w:rsidR="0011732D" w:rsidRDefault="0011732D" w:rsidP="00C6349A">
      <w:pPr>
        <w:numPr>
          <w:ilvl w:val="0"/>
          <w:numId w:val="28"/>
        </w:numPr>
        <w:tabs>
          <w:tab w:val="left" w:pos="3686"/>
        </w:tabs>
        <w:spacing w:line="256" w:lineRule="auto"/>
        <w:contextualSpacing/>
        <w:jc w:val="left"/>
        <w:rPr>
          <w:rFonts w:ascii="Franklin Gothic Book" w:hAnsi="Franklin Gothic Book" w:cstheme="minorHAnsi"/>
          <w:sz w:val="22"/>
        </w:rPr>
      </w:pPr>
      <w:r>
        <w:rPr>
          <w:rFonts w:ascii="Franklin Gothic Book" w:hAnsi="Franklin Gothic Book" w:cstheme="minorHAnsi"/>
          <w:sz w:val="22"/>
        </w:rPr>
        <w:t>Prevention of unnecessary medical interventions and better allocation of healthcare resources.</w:t>
      </w:r>
    </w:p>
    <w:p w14:paraId="60E2BF66" w14:textId="68C869DC" w:rsidR="009506C7" w:rsidRPr="00E41BD4" w:rsidRDefault="4CE5CA5F" w:rsidP="00E41BD4">
      <w:pPr>
        <w:numPr>
          <w:ilvl w:val="0"/>
          <w:numId w:val="28"/>
        </w:numPr>
        <w:tabs>
          <w:tab w:val="left" w:pos="3686"/>
        </w:tabs>
        <w:spacing w:line="257" w:lineRule="auto"/>
        <w:ind w:left="714" w:hanging="357"/>
        <w:jc w:val="left"/>
        <w:rPr>
          <w:rFonts w:ascii="Franklin Gothic Book" w:hAnsi="Franklin Gothic Book" w:cstheme="minorHAnsi"/>
          <w:sz w:val="22"/>
        </w:rPr>
      </w:pPr>
      <w:r w:rsidRPr="7604EF14">
        <w:rPr>
          <w:rFonts w:ascii="Franklin Gothic Book" w:hAnsi="Franklin Gothic Book"/>
          <w:sz w:val="22"/>
        </w:rPr>
        <w:lastRenderedPageBreak/>
        <w:t>Greater access for those with dual chronic conditions of HBV and HDV, which are associated with faster disease progression than HBV mono-infection, as well as alleviate current underdiagnosis or late diagnosis of HDV.</w:t>
      </w:r>
    </w:p>
    <w:p w14:paraId="2A5C0B2D" w14:textId="219EB717" w:rsidR="000B552D" w:rsidRPr="000B552D" w:rsidRDefault="000B552D" w:rsidP="000B552D">
      <w:pPr>
        <w:spacing w:line="259" w:lineRule="auto"/>
        <w:jc w:val="left"/>
        <w:rPr>
          <w:rFonts w:ascii="Franklin Gothic Book" w:hAnsi="Franklin Gothic Book" w:cstheme="minorHAnsi"/>
          <w:b/>
          <w:szCs w:val="24"/>
        </w:rPr>
      </w:pPr>
      <w:r w:rsidRPr="000B552D">
        <w:rPr>
          <w:rFonts w:ascii="Franklin Gothic Book" w:hAnsi="Franklin Gothic Book" w:cstheme="minorHAnsi"/>
          <w:b/>
          <w:szCs w:val="24"/>
        </w:rPr>
        <w:t xml:space="preserve">Support for Implementation /issues </w:t>
      </w:r>
    </w:p>
    <w:p w14:paraId="20698AA5" w14:textId="77777777" w:rsidR="00D52BF4" w:rsidRPr="00D52BF4" w:rsidRDefault="00D52BF4" w:rsidP="00C6349A">
      <w:pPr>
        <w:numPr>
          <w:ilvl w:val="0"/>
          <w:numId w:val="27"/>
        </w:numPr>
        <w:tabs>
          <w:tab w:val="num" w:pos="720"/>
        </w:tabs>
        <w:spacing w:before="0" w:line="259" w:lineRule="auto"/>
        <w:ind w:left="709"/>
        <w:contextualSpacing/>
        <w:jc w:val="left"/>
        <w:rPr>
          <w:rFonts w:ascii="Franklin Gothic Book" w:hAnsi="Franklin Gothic Book" w:cstheme="minorHAnsi"/>
          <w:sz w:val="22"/>
        </w:rPr>
      </w:pPr>
      <w:r w:rsidRPr="00D52BF4">
        <w:rPr>
          <w:rFonts w:ascii="Franklin Gothic Book" w:hAnsi="Franklin Gothic Book" w:cstheme="minorHAnsi"/>
          <w:sz w:val="22"/>
        </w:rPr>
        <w:t>Roche Diagnostics Australia recommended that MSAC consider an item descriptor that allows for: </w:t>
      </w:r>
    </w:p>
    <w:p w14:paraId="0BF8A453" w14:textId="77777777" w:rsidR="00D52BF4" w:rsidRPr="00D52BF4" w:rsidRDefault="00D52BF4" w:rsidP="00C6349A">
      <w:pPr>
        <w:numPr>
          <w:ilvl w:val="1"/>
          <w:numId w:val="27"/>
        </w:numPr>
        <w:spacing w:before="0" w:line="259" w:lineRule="auto"/>
        <w:contextualSpacing/>
        <w:jc w:val="left"/>
        <w:rPr>
          <w:rFonts w:ascii="Franklin Gothic Book" w:hAnsi="Franklin Gothic Book" w:cstheme="minorHAnsi"/>
          <w:sz w:val="22"/>
        </w:rPr>
      </w:pPr>
      <w:r w:rsidRPr="00D52BF4">
        <w:rPr>
          <w:rFonts w:ascii="Franklin Gothic Book" w:hAnsi="Franklin Gothic Book" w:cstheme="minorHAnsi"/>
          <w:sz w:val="22"/>
        </w:rPr>
        <w:t>The use of an RNA PCR test to confirm HDV infection (either chronic or acute) as part of diagnosis (e.g., without a specific requirement to consider antiviral therapy). </w:t>
      </w:r>
    </w:p>
    <w:p w14:paraId="5CC4C976" w14:textId="77777777" w:rsidR="00D52BF4" w:rsidRPr="00D52BF4" w:rsidRDefault="00D52BF4" w:rsidP="00C6349A">
      <w:pPr>
        <w:numPr>
          <w:ilvl w:val="1"/>
          <w:numId w:val="27"/>
        </w:numPr>
        <w:spacing w:before="0" w:line="259" w:lineRule="auto"/>
        <w:contextualSpacing/>
        <w:jc w:val="left"/>
        <w:rPr>
          <w:rFonts w:ascii="Franklin Gothic Book" w:hAnsi="Franklin Gothic Book" w:cstheme="minorHAnsi"/>
          <w:sz w:val="22"/>
        </w:rPr>
      </w:pPr>
      <w:r w:rsidRPr="00D52BF4">
        <w:rPr>
          <w:rFonts w:ascii="Franklin Gothic Book" w:hAnsi="Franklin Gothic Book" w:cstheme="minorHAnsi"/>
          <w:sz w:val="22"/>
        </w:rPr>
        <w:t>The use of an RNA PCR test to test for monitoring of treatment response to PBS-listed therapy. </w:t>
      </w:r>
    </w:p>
    <w:p w14:paraId="04718E62" w14:textId="77777777" w:rsidR="00D52BF4" w:rsidRPr="00D52BF4" w:rsidRDefault="00D52BF4" w:rsidP="00C6349A">
      <w:pPr>
        <w:numPr>
          <w:ilvl w:val="0"/>
          <w:numId w:val="27"/>
        </w:numPr>
        <w:tabs>
          <w:tab w:val="num" w:pos="720"/>
        </w:tabs>
        <w:spacing w:before="0" w:line="259" w:lineRule="auto"/>
        <w:ind w:left="709"/>
        <w:contextualSpacing/>
        <w:jc w:val="left"/>
        <w:rPr>
          <w:rFonts w:ascii="Franklin Gothic Book" w:hAnsi="Franklin Gothic Book" w:cstheme="minorHAnsi"/>
          <w:sz w:val="22"/>
        </w:rPr>
      </w:pPr>
      <w:r w:rsidRPr="00D52BF4">
        <w:rPr>
          <w:rFonts w:ascii="Franklin Gothic Book" w:hAnsi="Franklin Gothic Book" w:cstheme="minorHAnsi"/>
          <w:sz w:val="22"/>
        </w:rPr>
        <w:t>Roche Diagnostics Australia and GESA agreed with the proposed fee. </w:t>
      </w:r>
    </w:p>
    <w:p w14:paraId="4E0C2E14" w14:textId="06D8967C" w:rsidR="00D52BF4" w:rsidRPr="00D52BF4" w:rsidRDefault="00D52BF4" w:rsidP="00C6349A">
      <w:pPr>
        <w:numPr>
          <w:ilvl w:val="0"/>
          <w:numId w:val="27"/>
        </w:numPr>
        <w:tabs>
          <w:tab w:val="num" w:pos="720"/>
        </w:tabs>
        <w:spacing w:before="0" w:line="259" w:lineRule="auto"/>
        <w:ind w:left="709"/>
        <w:contextualSpacing/>
        <w:jc w:val="left"/>
        <w:rPr>
          <w:rFonts w:ascii="Franklin Gothic Book" w:hAnsi="Franklin Gothic Book" w:cstheme="minorHAnsi"/>
          <w:sz w:val="22"/>
        </w:rPr>
      </w:pPr>
      <w:r w:rsidRPr="00D52BF4">
        <w:rPr>
          <w:rFonts w:ascii="Franklin Gothic Book" w:hAnsi="Franklin Gothic Book" w:cstheme="minorHAnsi"/>
          <w:sz w:val="22"/>
        </w:rPr>
        <w:t>Liver Foundation noted the expected effect of the proposed application as prolonged life, avoiding new cases of advanced liver disease and primary liver cancer. Hepatitis NSW stated expected effects included enhanced disease monitoring, early treatment facilitation, and reduced burden of chronic hepatitis D. </w:t>
      </w:r>
    </w:p>
    <w:p w14:paraId="59C1E833" w14:textId="44716DB8" w:rsidR="000B552D" w:rsidRDefault="009506C7" w:rsidP="00C6349A">
      <w:pPr>
        <w:numPr>
          <w:ilvl w:val="0"/>
          <w:numId w:val="27"/>
        </w:numPr>
        <w:spacing w:before="0" w:line="259" w:lineRule="auto"/>
        <w:ind w:left="709"/>
        <w:contextualSpacing/>
        <w:jc w:val="left"/>
        <w:rPr>
          <w:rFonts w:ascii="Franklin Gothic Book" w:hAnsi="Franklin Gothic Book" w:cstheme="minorHAnsi"/>
          <w:sz w:val="22"/>
        </w:rPr>
      </w:pPr>
      <w:r>
        <w:rPr>
          <w:rFonts w:ascii="Franklin Gothic Book" w:hAnsi="Franklin Gothic Book" w:cstheme="minorHAnsi"/>
          <w:sz w:val="22"/>
        </w:rPr>
        <w:t xml:space="preserve">Roche Diagnostics Australia </w:t>
      </w:r>
      <w:r w:rsidR="001442B9">
        <w:rPr>
          <w:rFonts w:ascii="Franklin Gothic Book" w:hAnsi="Franklin Gothic Book" w:cstheme="minorHAnsi"/>
          <w:sz w:val="22"/>
        </w:rPr>
        <w:t xml:space="preserve">encouraged MSAC to consider supporting RNA PCR testing for HDV independently of PBAC recommendation for </w:t>
      </w:r>
      <w:r w:rsidR="0051583C">
        <w:rPr>
          <w:rFonts w:ascii="Franklin Gothic Book" w:hAnsi="Franklin Gothic Book" w:cstheme="minorHAnsi"/>
          <w:sz w:val="22"/>
        </w:rPr>
        <w:t>b</w:t>
      </w:r>
      <w:r w:rsidR="001442B9">
        <w:rPr>
          <w:rFonts w:ascii="Franklin Gothic Book" w:hAnsi="Franklin Gothic Book" w:cstheme="minorHAnsi"/>
          <w:sz w:val="22"/>
        </w:rPr>
        <w:t>ulev</w:t>
      </w:r>
      <w:r w:rsidR="0051583C">
        <w:rPr>
          <w:rFonts w:ascii="Franklin Gothic Book" w:hAnsi="Franklin Gothic Book" w:cstheme="minorHAnsi"/>
          <w:sz w:val="22"/>
        </w:rPr>
        <w:t>i</w:t>
      </w:r>
      <w:r w:rsidR="001442B9">
        <w:rPr>
          <w:rFonts w:ascii="Franklin Gothic Book" w:hAnsi="Franklin Gothic Book" w:cstheme="minorHAnsi"/>
          <w:sz w:val="22"/>
        </w:rPr>
        <w:t>rtide.</w:t>
      </w:r>
    </w:p>
    <w:p w14:paraId="35A7065D" w14:textId="020C5942" w:rsidR="001442B9" w:rsidRDefault="00742062" w:rsidP="00C6349A">
      <w:pPr>
        <w:numPr>
          <w:ilvl w:val="0"/>
          <w:numId w:val="27"/>
        </w:numPr>
        <w:spacing w:before="0" w:line="259" w:lineRule="auto"/>
        <w:ind w:left="709"/>
        <w:contextualSpacing/>
        <w:jc w:val="left"/>
        <w:rPr>
          <w:rFonts w:ascii="Franklin Gothic Book" w:hAnsi="Franklin Gothic Book" w:cstheme="minorHAnsi"/>
          <w:sz w:val="22"/>
        </w:rPr>
      </w:pPr>
      <w:r>
        <w:rPr>
          <w:rFonts w:ascii="Franklin Gothic Book" w:hAnsi="Franklin Gothic Book" w:cstheme="minorHAnsi"/>
          <w:sz w:val="22"/>
        </w:rPr>
        <w:t>Roche Diagnostics Australia noted that inclusion of the service on the MBS will enable relatively rapid implementation of the service</w:t>
      </w:r>
      <w:r w:rsidR="004011ED">
        <w:rPr>
          <w:rFonts w:ascii="Franklin Gothic Book" w:hAnsi="Franklin Gothic Book" w:cstheme="minorHAnsi"/>
          <w:sz w:val="22"/>
        </w:rPr>
        <w:t>, du</w:t>
      </w:r>
      <w:r w:rsidR="00B952F2">
        <w:rPr>
          <w:rFonts w:ascii="Franklin Gothic Book" w:hAnsi="Franklin Gothic Book" w:cstheme="minorHAnsi"/>
          <w:sz w:val="22"/>
        </w:rPr>
        <w:t>e to</w:t>
      </w:r>
      <w:r w:rsidR="004011ED">
        <w:rPr>
          <w:rFonts w:ascii="Franklin Gothic Book" w:hAnsi="Franklin Gothic Book" w:cstheme="minorHAnsi"/>
          <w:sz w:val="22"/>
        </w:rPr>
        <w:t xml:space="preserve"> tests </w:t>
      </w:r>
      <w:r w:rsidR="00B952F2">
        <w:rPr>
          <w:rFonts w:ascii="Franklin Gothic Book" w:hAnsi="Franklin Gothic Book" w:cstheme="minorHAnsi"/>
          <w:sz w:val="22"/>
        </w:rPr>
        <w:t>being</w:t>
      </w:r>
      <w:r w:rsidR="004011ED">
        <w:rPr>
          <w:rFonts w:ascii="Franklin Gothic Book" w:hAnsi="Franklin Gothic Book" w:cstheme="minorHAnsi"/>
          <w:sz w:val="22"/>
        </w:rPr>
        <w:t xml:space="preserve"> able to be implemented by multiple pathology providers using existing equipment.</w:t>
      </w:r>
    </w:p>
    <w:p w14:paraId="6DE25840" w14:textId="202B25C9" w:rsidR="000B552D" w:rsidRPr="00D52BF4" w:rsidRDefault="0157BE4B" w:rsidP="00C6349A">
      <w:pPr>
        <w:numPr>
          <w:ilvl w:val="0"/>
          <w:numId w:val="27"/>
        </w:numPr>
        <w:spacing w:before="0" w:line="259" w:lineRule="auto"/>
        <w:ind w:left="709"/>
        <w:contextualSpacing/>
        <w:jc w:val="left"/>
        <w:rPr>
          <w:rFonts w:ascii="Franklin Gothic Book" w:hAnsi="Franklin Gothic Book" w:cstheme="minorHAnsi"/>
          <w:sz w:val="22"/>
        </w:rPr>
      </w:pPr>
      <w:r w:rsidRPr="7604EF14">
        <w:rPr>
          <w:rFonts w:ascii="Franklin Gothic Book" w:hAnsi="Franklin Gothic Book"/>
          <w:sz w:val="22"/>
        </w:rPr>
        <w:t>GESA noted that information about the public funding of this service could be encompassed into the National hepatitis B testing policy and Australian Consensus statement on the management of hepatitis B, which are being updated in 2025.</w:t>
      </w:r>
    </w:p>
    <w:p w14:paraId="044A6F86" w14:textId="00BFFB0E" w:rsidR="63A970C9" w:rsidRDefault="63A970C9" w:rsidP="00C6349A">
      <w:pPr>
        <w:numPr>
          <w:ilvl w:val="0"/>
          <w:numId w:val="27"/>
        </w:numPr>
        <w:spacing w:before="0" w:line="259" w:lineRule="auto"/>
        <w:ind w:left="709"/>
        <w:contextualSpacing/>
        <w:jc w:val="left"/>
        <w:rPr>
          <w:rFonts w:ascii="Franklin Gothic Book" w:eastAsia="Franklin Gothic Book" w:hAnsi="Franklin Gothic Book" w:cs="Franklin Gothic Book"/>
          <w:color w:val="000000" w:themeColor="text1"/>
          <w:szCs w:val="24"/>
        </w:rPr>
      </w:pPr>
      <w:r w:rsidRPr="7604EF14">
        <w:rPr>
          <w:rFonts w:ascii="Franklin Gothic Book" w:hAnsi="Franklin Gothic Book"/>
          <w:sz w:val="22"/>
        </w:rPr>
        <w:t>Hepatitis NSW and Hepatitis Australia noted it is important to ensure that general practitioners play a role in requesting HDV RNA PCR testing, to monitor response to the proposed treatment (bulevirtide). This is essential for the following reasons:</w:t>
      </w:r>
    </w:p>
    <w:p w14:paraId="42A1FBE8" w14:textId="6485EF8E" w:rsidR="63A970C9" w:rsidRDefault="63A970C9" w:rsidP="00C6349A">
      <w:pPr>
        <w:numPr>
          <w:ilvl w:val="1"/>
          <w:numId w:val="27"/>
        </w:numPr>
        <w:spacing w:before="0" w:line="259" w:lineRule="auto"/>
        <w:contextualSpacing/>
        <w:jc w:val="left"/>
        <w:rPr>
          <w:rFonts w:ascii="Franklin Gothic Book" w:eastAsia="Franklin Gothic Book" w:hAnsi="Franklin Gothic Book" w:cs="Franklin Gothic Book"/>
          <w:color w:val="000000" w:themeColor="text1"/>
          <w:szCs w:val="24"/>
        </w:rPr>
      </w:pPr>
      <w:r w:rsidRPr="7604EF14">
        <w:rPr>
          <w:rFonts w:ascii="Franklin Gothic Book" w:eastAsia="Franklin Gothic Book" w:hAnsi="Franklin Gothic Book" w:cs="Franklin Gothic Book"/>
          <w:sz w:val="22"/>
        </w:rPr>
        <w:t xml:space="preserve"> Access to HDV RNA PCR testing for people living with hepatitis B in rural and regional areas, who may have difficulties accessing specialists.</w:t>
      </w:r>
    </w:p>
    <w:p w14:paraId="0CC6F3ED" w14:textId="3FA628AE" w:rsidR="63A970C9" w:rsidRDefault="63A970C9" w:rsidP="00C6349A">
      <w:pPr>
        <w:numPr>
          <w:ilvl w:val="1"/>
          <w:numId w:val="27"/>
        </w:numPr>
        <w:spacing w:before="0" w:line="259" w:lineRule="auto"/>
        <w:contextualSpacing/>
        <w:jc w:val="left"/>
        <w:rPr>
          <w:rFonts w:ascii="Franklin Gothic Book" w:eastAsia="Franklin Gothic Book" w:hAnsi="Franklin Gothic Book" w:cs="Franklin Gothic Book"/>
          <w:color w:val="000000" w:themeColor="text1"/>
          <w:szCs w:val="24"/>
        </w:rPr>
      </w:pPr>
      <w:r w:rsidRPr="7604EF14">
        <w:rPr>
          <w:rFonts w:ascii="Franklin Gothic Book" w:eastAsia="Franklin Gothic Book" w:hAnsi="Franklin Gothic Book" w:cs="Franklin Gothic Book"/>
          <w:sz w:val="22"/>
        </w:rPr>
        <w:t>Access to HDV RNA PCR testing for people living with hepatitis B and under the care of a GP rather than a specialist, or in a shared care arrangement</w:t>
      </w:r>
    </w:p>
    <w:p w14:paraId="0BF5CD9D" w14:textId="644DBDFD" w:rsidR="63A970C9" w:rsidRDefault="63A970C9" w:rsidP="00C6349A">
      <w:pPr>
        <w:numPr>
          <w:ilvl w:val="1"/>
          <w:numId w:val="27"/>
        </w:numPr>
        <w:spacing w:before="0" w:line="259" w:lineRule="auto"/>
        <w:contextualSpacing/>
        <w:jc w:val="left"/>
        <w:rPr>
          <w:rFonts w:ascii="Franklin Gothic Book" w:eastAsia="Franklin Gothic Book" w:hAnsi="Franklin Gothic Book" w:cs="Franklin Gothic Book"/>
          <w:color w:val="000000" w:themeColor="text1"/>
          <w:szCs w:val="24"/>
        </w:rPr>
      </w:pPr>
      <w:r w:rsidRPr="7604EF14">
        <w:rPr>
          <w:rFonts w:ascii="Franklin Gothic Book" w:eastAsia="Franklin Gothic Book" w:hAnsi="Franklin Gothic Book" w:cs="Franklin Gothic Book"/>
          <w:sz w:val="22"/>
        </w:rPr>
        <w:t>Allowing GPs to request HDV RNA PCR testing in this instance could expedite diagnosis and access to care.</w:t>
      </w:r>
    </w:p>
    <w:p w14:paraId="503C4D57" w14:textId="77777777" w:rsidR="00183A87" w:rsidRPr="00BD2A33" w:rsidRDefault="00183A87"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18" w:name="_Toc188360780"/>
      <w:bookmarkEnd w:id="17"/>
      <w:r w:rsidRPr="00BD2A33">
        <w:rPr>
          <w:rFonts w:ascii="Franklin Gothic Medium" w:hAnsi="Franklin Gothic Medium"/>
          <w:b w:val="0"/>
          <w:i w:val="0"/>
          <w:snapToGrid/>
          <w:color w:val="000000" w:themeColor="text1"/>
          <w:sz w:val="32"/>
          <w:szCs w:val="26"/>
        </w:rPr>
        <w:t>Characteristics of the evidence base</w:t>
      </w:r>
      <w:bookmarkEnd w:id="18"/>
    </w:p>
    <w:p w14:paraId="70DB9E48" w14:textId="30F0F8C7" w:rsidR="00927176" w:rsidRPr="00BD2A33" w:rsidRDefault="00927176" w:rsidP="00BD2A33">
      <w:pPr>
        <w:jc w:val="left"/>
        <w:rPr>
          <w:rFonts w:ascii="Franklin Gothic Book" w:hAnsi="Franklin Gothic Book"/>
          <w:sz w:val="22"/>
        </w:rPr>
      </w:pPr>
      <w:bookmarkStart w:id="19" w:name="_Hlk68276301"/>
      <w:r w:rsidRPr="00BD2A33">
        <w:rPr>
          <w:rFonts w:ascii="Franklin Gothic Book" w:hAnsi="Franklin Gothic Book"/>
          <w:sz w:val="22"/>
        </w:rPr>
        <w:t xml:space="preserve">The approach taken in the resubmission was to </w:t>
      </w:r>
      <w:bookmarkStart w:id="20" w:name="_Hlk183603686"/>
      <w:r w:rsidRPr="00BD2A33">
        <w:rPr>
          <w:rFonts w:ascii="Franklin Gothic Book" w:hAnsi="Franklin Gothic Book"/>
          <w:sz w:val="22"/>
        </w:rPr>
        <w:t xml:space="preserve">present updated evidence </w:t>
      </w:r>
      <w:r w:rsidR="006C7021" w:rsidRPr="00BD2A33">
        <w:rPr>
          <w:rFonts w:ascii="Franklin Gothic Book" w:hAnsi="Franklin Gothic Book"/>
          <w:sz w:val="22"/>
        </w:rPr>
        <w:t xml:space="preserve">on </w:t>
      </w:r>
      <w:r w:rsidRPr="00BD2A33">
        <w:rPr>
          <w:rFonts w:ascii="Franklin Gothic Book" w:hAnsi="Franklin Gothic Book"/>
          <w:sz w:val="22"/>
        </w:rPr>
        <w:t xml:space="preserve">the use of bulevirtide </w:t>
      </w:r>
      <w:r w:rsidR="006C7021" w:rsidRPr="00BD2A33">
        <w:rPr>
          <w:rFonts w:ascii="Franklin Gothic Book" w:hAnsi="Franklin Gothic Book"/>
          <w:sz w:val="22"/>
        </w:rPr>
        <w:t xml:space="preserve">to </w:t>
      </w:r>
      <w:r w:rsidRPr="00BD2A33">
        <w:rPr>
          <w:rFonts w:ascii="Franklin Gothic Book" w:hAnsi="Franklin Gothic Book"/>
          <w:sz w:val="22"/>
        </w:rPr>
        <w:t xml:space="preserve">reduce the quantity of HDV RNA and alanine aminotransferase (ALT) in </w:t>
      </w:r>
      <w:r w:rsidR="006C7021" w:rsidRPr="00BD2A33">
        <w:rPr>
          <w:rFonts w:ascii="Franklin Gothic Book" w:hAnsi="Franklin Gothic Book"/>
          <w:sz w:val="22"/>
        </w:rPr>
        <w:t xml:space="preserve">people </w:t>
      </w:r>
      <w:r w:rsidRPr="00BD2A33">
        <w:rPr>
          <w:rFonts w:ascii="Franklin Gothic Book" w:hAnsi="Franklin Gothic Book"/>
          <w:sz w:val="22"/>
        </w:rPr>
        <w:t>with detectable HDV RNA prior to treatment</w:t>
      </w:r>
      <w:r w:rsidR="006C7021" w:rsidRPr="00BD2A33">
        <w:rPr>
          <w:rFonts w:ascii="Franklin Gothic Book" w:hAnsi="Franklin Gothic Book"/>
          <w:sz w:val="22"/>
        </w:rPr>
        <w:t>. The aim was</w:t>
      </w:r>
      <w:r w:rsidRPr="00BD2A33">
        <w:rPr>
          <w:rFonts w:ascii="Franklin Gothic Book" w:hAnsi="Franklin Gothic Book"/>
          <w:sz w:val="22"/>
        </w:rPr>
        <w:t xml:space="preserve"> </w:t>
      </w:r>
      <w:r w:rsidR="006C7021" w:rsidRPr="00BD2A33">
        <w:rPr>
          <w:rFonts w:ascii="Franklin Gothic Book" w:hAnsi="Franklin Gothic Book"/>
          <w:sz w:val="22"/>
        </w:rPr>
        <w:t xml:space="preserve">to </w:t>
      </w:r>
      <w:r w:rsidRPr="00BD2A33">
        <w:rPr>
          <w:rFonts w:ascii="Franklin Gothic Book" w:hAnsi="Franklin Gothic Book"/>
          <w:sz w:val="22"/>
        </w:rPr>
        <w:t xml:space="preserve">link these data with evidence that those </w:t>
      </w:r>
      <w:r w:rsidR="006C7021" w:rsidRPr="00BD2A33">
        <w:rPr>
          <w:rFonts w:ascii="Franklin Gothic Book" w:hAnsi="Franklin Gothic Book"/>
          <w:sz w:val="22"/>
        </w:rPr>
        <w:t xml:space="preserve">people </w:t>
      </w:r>
      <w:r w:rsidRPr="00BD2A33">
        <w:rPr>
          <w:rFonts w:ascii="Franklin Gothic Book" w:hAnsi="Franklin Gothic Book"/>
          <w:sz w:val="22"/>
        </w:rPr>
        <w:t xml:space="preserve">with undetectable HDV RNA have a better prognosis than those with detectable HDV RNA. </w:t>
      </w:r>
      <w:bookmarkEnd w:id="20"/>
      <w:r w:rsidRPr="00BD2A33">
        <w:rPr>
          <w:rFonts w:ascii="Franklin Gothic Book" w:hAnsi="Franklin Gothic Book"/>
          <w:sz w:val="22"/>
        </w:rPr>
        <w:t xml:space="preserve">The evidence presented in the resubmission is summarised in </w:t>
      </w:r>
      <w:r w:rsidRPr="00BD2A33">
        <w:rPr>
          <w:rFonts w:ascii="Franklin Gothic Book" w:hAnsi="Franklin Gothic Book"/>
          <w:sz w:val="22"/>
        </w:rPr>
        <w:fldChar w:fldCharType="begin"/>
      </w:r>
      <w:r w:rsidRPr="00BD2A33">
        <w:rPr>
          <w:rFonts w:ascii="Franklin Gothic Book" w:hAnsi="Franklin Gothic Book"/>
          <w:sz w:val="22"/>
        </w:rPr>
        <w:instrText xml:space="preserve"> REF _Ref183526022 \h </w:instrText>
      </w:r>
      <w:r w:rsidR="00BD2A33" w:rsidRPr="00BD2A33">
        <w:rPr>
          <w:rFonts w:ascii="Franklin Gothic Book" w:hAnsi="Franklin Gothic Book"/>
          <w:sz w:val="22"/>
        </w:rPr>
        <w:instrText xml:space="preserve"> \* MERGEFORMAT </w:instrText>
      </w:r>
      <w:r w:rsidRPr="00BD2A33">
        <w:rPr>
          <w:rFonts w:ascii="Franklin Gothic Book" w:hAnsi="Franklin Gothic Book"/>
          <w:sz w:val="22"/>
        </w:rPr>
      </w:r>
      <w:r w:rsidRPr="00BD2A33">
        <w:rPr>
          <w:rFonts w:ascii="Franklin Gothic Book" w:hAnsi="Franklin Gothic Book"/>
          <w:sz w:val="22"/>
        </w:rPr>
        <w:fldChar w:fldCharType="separate"/>
      </w:r>
      <w:r w:rsidR="00815583" w:rsidRPr="00BD2A33">
        <w:rPr>
          <w:rFonts w:ascii="Franklin Gothic Book" w:hAnsi="Franklin Gothic Book"/>
          <w:sz w:val="22"/>
        </w:rPr>
        <w:t xml:space="preserve">Table </w:t>
      </w:r>
      <w:r w:rsidR="00815583" w:rsidRPr="00BD2A33">
        <w:rPr>
          <w:rFonts w:ascii="Franklin Gothic Book" w:hAnsi="Franklin Gothic Book"/>
          <w:noProof/>
          <w:sz w:val="22"/>
        </w:rPr>
        <w:t>4</w:t>
      </w:r>
      <w:r w:rsidRPr="00BD2A33">
        <w:rPr>
          <w:rFonts w:ascii="Franklin Gothic Book" w:hAnsi="Franklin Gothic Book"/>
          <w:sz w:val="22"/>
        </w:rPr>
        <w:fldChar w:fldCharType="end"/>
      </w:r>
      <w:r w:rsidRPr="00BD2A33">
        <w:rPr>
          <w:rFonts w:ascii="Franklin Gothic Book" w:hAnsi="Franklin Gothic Book"/>
          <w:sz w:val="22"/>
        </w:rPr>
        <w:t>.</w:t>
      </w:r>
    </w:p>
    <w:p w14:paraId="345410F7" w14:textId="74128F5A" w:rsidR="00927176" w:rsidRPr="00F83F5C" w:rsidRDefault="56B84D35" w:rsidP="00BD2A33">
      <w:pPr>
        <w:jc w:val="left"/>
        <w:rPr>
          <w:rFonts w:ascii="Franklin Gothic Book" w:hAnsi="Franklin Gothic Book"/>
          <w:sz w:val="22"/>
        </w:rPr>
      </w:pPr>
      <w:r w:rsidRPr="00F83F5C">
        <w:rPr>
          <w:rFonts w:ascii="Franklin Gothic Book" w:hAnsi="Franklin Gothic Book"/>
          <w:sz w:val="22"/>
        </w:rPr>
        <w:t>The commentary considered that t</w:t>
      </w:r>
      <w:r w:rsidR="00927176" w:rsidRPr="00F83F5C">
        <w:rPr>
          <w:rFonts w:ascii="Franklin Gothic Book" w:hAnsi="Franklin Gothic Book"/>
          <w:sz w:val="22"/>
        </w:rPr>
        <w:t xml:space="preserve">he </w:t>
      </w:r>
      <w:r w:rsidR="13F6AE9C" w:rsidRPr="00F83F5C">
        <w:rPr>
          <w:rFonts w:ascii="Franklin Gothic Book" w:hAnsi="Franklin Gothic Book"/>
          <w:sz w:val="22"/>
        </w:rPr>
        <w:t xml:space="preserve">presented </w:t>
      </w:r>
      <w:r w:rsidR="00927176" w:rsidRPr="00F83F5C">
        <w:rPr>
          <w:rFonts w:ascii="Franklin Gothic Book" w:hAnsi="Franklin Gothic Book"/>
          <w:sz w:val="22"/>
        </w:rPr>
        <w:t xml:space="preserve">linked evidence approach addressed most parts of the analytic framework. However, </w:t>
      </w:r>
      <w:r w:rsidRPr="00F83F5C">
        <w:rPr>
          <w:rFonts w:ascii="Franklin Gothic Book" w:hAnsi="Franklin Gothic Book"/>
          <w:sz w:val="22"/>
        </w:rPr>
        <w:t xml:space="preserve">the commentary concluded that </w:t>
      </w:r>
      <w:r w:rsidR="00927176" w:rsidRPr="00F83F5C">
        <w:rPr>
          <w:rFonts w:ascii="Franklin Gothic Book" w:hAnsi="Franklin Gothic Book"/>
          <w:sz w:val="22"/>
        </w:rPr>
        <w:t xml:space="preserve">there </w:t>
      </w:r>
      <w:r w:rsidR="13F6AE9C" w:rsidRPr="00F83F5C">
        <w:rPr>
          <w:rFonts w:ascii="Franklin Gothic Book" w:hAnsi="Franklin Gothic Book"/>
          <w:sz w:val="22"/>
        </w:rPr>
        <w:t>was limited</w:t>
      </w:r>
      <w:r w:rsidR="00927176" w:rsidRPr="00F83F5C">
        <w:rPr>
          <w:rFonts w:ascii="Franklin Gothic Book" w:hAnsi="Franklin Gothic Book"/>
          <w:sz w:val="22"/>
        </w:rPr>
        <w:t xml:space="preserve"> evidence to </w:t>
      </w:r>
      <w:r w:rsidR="13F6AE9C" w:rsidRPr="00F83F5C">
        <w:rPr>
          <w:rFonts w:ascii="Franklin Gothic Book" w:hAnsi="Franklin Gothic Book"/>
          <w:sz w:val="22"/>
        </w:rPr>
        <w:t>determine whether</w:t>
      </w:r>
      <w:r w:rsidR="00927176" w:rsidRPr="00F83F5C">
        <w:rPr>
          <w:rFonts w:ascii="Franklin Gothic Book" w:hAnsi="Franklin Gothic Book"/>
          <w:sz w:val="22"/>
        </w:rPr>
        <w:t xml:space="preserve"> HDV RNA levels will result in a change in management for any patients and </w:t>
      </w:r>
      <w:r w:rsidR="579A0D3E" w:rsidRPr="00F83F5C">
        <w:rPr>
          <w:rFonts w:ascii="Franklin Gothic Book" w:hAnsi="Franklin Gothic Book"/>
          <w:sz w:val="22"/>
        </w:rPr>
        <w:t xml:space="preserve">there was </w:t>
      </w:r>
      <w:r w:rsidR="00927176" w:rsidRPr="00F83F5C">
        <w:rPr>
          <w:rFonts w:ascii="Franklin Gothic Book" w:hAnsi="Franklin Gothic Book"/>
          <w:sz w:val="22"/>
        </w:rPr>
        <w:t xml:space="preserve">no evidence </w:t>
      </w:r>
      <w:r w:rsidR="579A0D3E" w:rsidRPr="00F83F5C">
        <w:rPr>
          <w:rFonts w:ascii="Franklin Gothic Book" w:hAnsi="Franklin Gothic Book"/>
          <w:sz w:val="22"/>
        </w:rPr>
        <w:t>demonstrating</w:t>
      </w:r>
      <w:r w:rsidR="00927176" w:rsidRPr="00F83F5C">
        <w:rPr>
          <w:rFonts w:ascii="Franklin Gothic Book" w:hAnsi="Franklin Gothic Book"/>
          <w:sz w:val="22"/>
        </w:rPr>
        <w:t xml:space="preserve"> health benefits associated with any change in management.</w:t>
      </w:r>
    </w:p>
    <w:p w14:paraId="181BA149" w14:textId="2784C136" w:rsidR="00927176" w:rsidRPr="00FD70DE" w:rsidRDefault="00927176" w:rsidP="00BD2A33">
      <w:pPr>
        <w:pStyle w:val="Caption"/>
      </w:pPr>
      <w:bookmarkStart w:id="21" w:name="_Ref183526022"/>
      <w:r w:rsidRPr="00FD70DE">
        <w:lastRenderedPageBreak/>
        <w:t xml:space="preserve">Table </w:t>
      </w:r>
      <w:r>
        <w:fldChar w:fldCharType="begin"/>
      </w:r>
      <w:r>
        <w:instrText>SEQ Table_MSAC \* ARABIC</w:instrText>
      </w:r>
      <w:r>
        <w:fldChar w:fldCharType="separate"/>
      </w:r>
      <w:r w:rsidR="00815583">
        <w:rPr>
          <w:noProof/>
        </w:rPr>
        <w:t>4</w:t>
      </w:r>
      <w:r>
        <w:fldChar w:fldCharType="end"/>
      </w:r>
      <w:bookmarkEnd w:id="21"/>
      <w:r w:rsidRPr="00FD70DE">
        <w:tab/>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325"/>
        <w:gridCol w:w="1937"/>
        <w:gridCol w:w="1937"/>
      </w:tblGrid>
      <w:tr w:rsidR="00071E21" w:rsidRPr="00FD70DE" w14:paraId="1A726A68" w14:textId="77777777" w:rsidTr="4904BCD2">
        <w:trPr>
          <w:tblHeader/>
        </w:trPr>
        <w:tc>
          <w:tcPr>
            <w:tcW w:w="1008" w:type="pct"/>
            <w:tcBorders>
              <w:top w:val="single" w:sz="4" w:space="0" w:color="auto"/>
              <w:left w:val="single" w:sz="4" w:space="0" w:color="auto"/>
              <w:bottom w:val="single" w:sz="4" w:space="0" w:color="auto"/>
              <w:right w:val="single" w:sz="4" w:space="0" w:color="auto"/>
            </w:tcBorders>
            <w:vAlign w:val="bottom"/>
          </w:tcPr>
          <w:p w14:paraId="770720EB" w14:textId="77777777" w:rsidR="00927176" w:rsidRPr="00FD70DE" w:rsidRDefault="00927176" w:rsidP="00003DDF">
            <w:pPr>
              <w:pStyle w:val="TableText"/>
              <w:keepNext/>
              <w:keepLines/>
              <w:jc w:val="center"/>
              <w:rPr>
                <w:b/>
              </w:rPr>
            </w:pPr>
            <w:bookmarkStart w:id="22" w:name="_Hlk184304023"/>
          </w:p>
        </w:tc>
        <w:tc>
          <w:tcPr>
            <w:tcW w:w="1844" w:type="pct"/>
            <w:tcBorders>
              <w:top w:val="single" w:sz="4" w:space="0" w:color="auto"/>
              <w:left w:val="single" w:sz="4" w:space="0" w:color="auto"/>
              <w:bottom w:val="single" w:sz="4" w:space="0" w:color="auto"/>
              <w:right w:val="single" w:sz="4" w:space="0" w:color="auto"/>
            </w:tcBorders>
            <w:vAlign w:val="bottom"/>
            <w:hideMark/>
          </w:tcPr>
          <w:p w14:paraId="6786C870" w14:textId="77777777" w:rsidR="00927176" w:rsidRPr="00FD70DE" w:rsidRDefault="00927176" w:rsidP="00003DDF">
            <w:pPr>
              <w:pStyle w:val="TableText"/>
              <w:keepNext/>
              <w:keepLines/>
              <w:rPr>
                <w:b/>
              </w:rPr>
            </w:pPr>
            <w:r w:rsidRPr="00FD70DE">
              <w:rPr>
                <w:b/>
              </w:rPr>
              <w:t>Type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8C44E46" w14:textId="77777777" w:rsidR="00927176" w:rsidRPr="00FD70DE" w:rsidRDefault="00927176" w:rsidP="00003DDF">
            <w:pPr>
              <w:pStyle w:val="TableText"/>
              <w:keepNext/>
              <w:keepLines/>
              <w:rPr>
                <w:b/>
              </w:rPr>
            </w:pPr>
            <w:r w:rsidRPr="00FD70DE">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5DFBA83F" w14:textId="77777777" w:rsidR="00927176" w:rsidRPr="00FD70DE" w:rsidRDefault="00927176" w:rsidP="00003DDF">
            <w:pPr>
              <w:pStyle w:val="TableText"/>
              <w:keepNext/>
              <w:keepLines/>
              <w:rPr>
                <w:b/>
              </w:rPr>
            </w:pPr>
            <w:r w:rsidRPr="00FD70DE">
              <w:rPr>
                <w:b/>
              </w:rPr>
              <w:t>Overall risk of bias</w:t>
            </w:r>
          </w:p>
        </w:tc>
      </w:tr>
      <w:tr w:rsidR="00071E21" w:rsidRPr="00FD70DE" w14:paraId="2099B9A3" w14:textId="77777777" w:rsidTr="4904BCD2">
        <w:trPr>
          <w:cantSplit/>
        </w:trPr>
        <w:tc>
          <w:tcPr>
            <w:tcW w:w="1008" w:type="pct"/>
            <w:tcBorders>
              <w:top w:val="single" w:sz="4" w:space="0" w:color="auto"/>
              <w:left w:val="single" w:sz="4" w:space="0" w:color="auto"/>
              <w:bottom w:val="single" w:sz="4" w:space="0" w:color="auto"/>
              <w:right w:val="single" w:sz="4" w:space="0" w:color="auto"/>
            </w:tcBorders>
            <w:hideMark/>
          </w:tcPr>
          <w:p w14:paraId="3268D260" w14:textId="77777777" w:rsidR="00927176" w:rsidRPr="00FD70DE" w:rsidRDefault="00927176" w:rsidP="00003DDF">
            <w:pPr>
              <w:pStyle w:val="TableText"/>
              <w:keepNext/>
              <w:keepLines/>
            </w:pPr>
            <w:r w:rsidRPr="00FD70DE">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7A5B885C" w14:textId="77777777" w:rsidR="00927176" w:rsidRPr="00FD70DE" w:rsidRDefault="00927176" w:rsidP="00003DDF">
            <w:pPr>
              <w:pStyle w:val="TableText"/>
              <w:keepNext/>
              <w:keepLines/>
            </w:pPr>
            <w:r w:rsidRPr="00FD70DE">
              <w:t>Concordance of quantitative HDV RNA levels between different tests and RNA extraction methods.</w:t>
            </w:r>
          </w:p>
        </w:tc>
        <w:tc>
          <w:tcPr>
            <w:tcW w:w="1074" w:type="pct"/>
            <w:tcBorders>
              <w:top w:val="single" w:sz="4" w:space="0" w:color="auto"/>
              <w:left w:val="single" w:sz="4" w:space="0" w:color="auto"/>
              <w:bottom w:val="single" w:sz="4" w:space="0" w:color="auto"/>
              <w:right w:val="single" w:sz="4" w:space="0" w:color="auto"/>
            </w:tcBorders>
            <w:hideMark/>
          </w:tcPr>
          <w:p w14:paraId="248B294F" w14:textId="77777777" w:rsidR="00927176" w:rsidRPr="00FD70DE" w:rsidRDefault="002A0124" w:rsidP="00003DDF">
            <w:pPr>
              <w:pStyle w:val="TableText"/>
              <w:keepNext/>
              <w:keepLines/>
            </w:pPr>
            <w:sdt>
              <w:sdtPr>
                <w:id w:val="-1607956391"/>
                <w14:checkbox>
                  <w14:checked w14:val="1"/>
                  <w14:checkedState w14:val="2612" w14:font="MS Gothic"/>
                  <w14:uncheckedState w14:val="2610" w14:font="MS Gothic"/>
                </w14:checkbox>
              </w:sdtPr>
              <w:sdtEndPr/>
              <w:sdtContent>
                <w:r w:rsidR="00927176" w:rsidRPr="00FD70DE">
                  <w:rPr>
                    <w:rFonts w:ascii="MS Gothic" w:eastAsia="MS Gothic" w:hAnsi="MS Gothic"/>
                  </w:rPr>
                  <w:t>☒</w:t>
                </w:r>
              </w:sdtContent>
            </w:sdt>
            <w:r w:rsidR="00927176" w:rsidRPr="00FD70DE">
              <w:tab/>
              <w:t>k=3</w:t>
            </w:r>
            <w:r w:rsidR="00927176" w:rsidRPr="00FD70DE">
              <w:tab/>
              <w:t>n=335</w:t>
            </w:r>
          </w:p>
        </w:tc>
        <w:tc>
          <w:tcPr>
            <w:tcW w:w="1074" w:type="pct"/>
            <w:tcBorders>
              <w:top w:val="single" w:sz="4" w:space="0" w:color="auto"/>
              <w:left w:val="single" w:sz="4" w:space="0" w:color="auto"/>
              <w:bottom w:val="single" w:sz="4" w:space="0" w:color="auto"/>
              <w:right w:val="single" w:sz="4" w:space="0" w:color="auto"/>
            </w:tcBorders>
            <w:hideMark/>
          </w:tcPr>
          <w:p w14:paraId="09BC8728" w14:textId="77777777" w:rsidR="00927176" w:rsidRPr="00FD70DE" w:rsidRDefault="00927176" w:rsidP="00003DDF">
            <w:pPr>
              <w:pStyle w:val="TableText"/>
              <w:keepNext/>
              <w:keepLines/>
            </w:pPr>
            <w:r w:rsidRPr="00FD70DE">
              <w:t>High</w:t>
            </w:r>
          </w:p>
        </w:tc>
      </w:tr>
      <w:tr w:rsidR="00071E21" w:rsidRPr="00FD70DE" w14:paraId="191EE708" w14:textId="77777777" w:rsidTr="4904BCD2">
        <w:tc>
          <w:tcPr>
            <w:tcW w:w="1008" w:type="pct"/>
            <w:tcBorders>
              <w:top w:val="single" w:sz="4" w:space="0" w:color="auto"/>
              <w:left w:val="single" w:sz="4" w:space="0" w:color="auto"/>
              <w:right w:val="single" w:sz="4" w:space="0" w:color="auto"/>
            </w:tcBorders>
            <w:hideMark/>
          </w:tcPr>
          <w:p w14:paraId="44736D38" w14:textId="77777777" w:rsidR="00927176" w:rsidRPr="00FD70DE" w:rsidRDefault="00927176" w:rsidP="00003DDF">
            <w:pPr>
              <w:pStyle w:val="TableText"/>
              <w:keepNext/>
              <w:keepLines/>
            </w:pPr>
            <w:r w:rsidRPr="00FD70DE">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1B31D05E" w14:textId="77777777" w:rsidR="00927176" w:rsidRPr="00FD70DE" w:rsidRDefault="00927176" w:rsidP="00003DDF">
            <w:pPr>
              <w:pStyle w:val="TableText"/>
              <w:keepNext/>
              <w:keepLines/>
            </w:pPr>
            <w:r w:rsidRPr="4904BCD2">
              <w:t xml:space="preserve">Comparison of outcomes in patients receiving </w:t>
            </w:r>
            <w:r w:rsidRPr="4904BCD2">
              <w:rPr>
                <w:i/>
                <w:iCs/>
              </w:rPr>
              <w:t>usual care,</w:t>
            </w:r>
            <w:r w:rsidRPr="4904BCD2">
              <w:t xml:space="preserve"> conditioned on the presence, absence or reduction of HDV RNA at baseline</w:t>
            </w:r>
          </w:p>
        </w:tc>
        <w:tc>
          <w:tcPr>
            <w:tcW w:w="1074" w:type="pct"/>
            <w:tcBorders>
              <w:top w:val="single" w:sz="4" w:space="0" w:color="auto"/>
              <w:left w:val="single" w:sz="4" w:space="0" w:color="auto"/>
              <w:bottom w:val="single" w:sz="4" w:space="0" w:color="auto"/>
              <w:right w:val="single" w:sz="4" w:space="0" w:color="auto"/>
            </w:tcBorders>
            <w:hideMark/>
          </w:tcPr>
          <w:p w14:paraId="61136383" w14:textId="77777777" w:rsidR="00927176" w:rsidRPr="00FD70DE" w:rsidRDefault="002A0124" w:rsidP="00003DDF">
            <w:pPr>
              <w:pStyle w:val="TableText"/>
              <w:keepNext/>
              <w:keepLines/>
            </w:pPr>
            <w:sdt>
              <w:sdtPr>
                <w:id w:val="453837519"/>
                <w14:checkbox>
                  <w14:checked w14:val="1"/>
                  <w14:checkedState w14:val="2612" w14:font="MS Gothic"/>
                  <w14:uncheckedState w14:val="2610" w14:font="MS Gothic"/>
                </w14:checkbox>
              </w:sdtPr>
              <w:sdtEndPr/>
              <w:sdtContent>
                <w:r w:rsidR="00927176" w:rsidRPr="4904BCD2">
                  <w:rPr>
                    <w:rFonts w:ascii="MS Gothic" w:eastAsia="MS Gothic" w:hAnsi="MS Gothic"/>
                  </w:rPr>
                  <w:t>☒</w:t>
                </w:r>
              </w:sdtContent>
            </w:sdt>
            <w:r w:rsidR="00927176" w:rsidRPr="00FD70DE">
              <w:tab/>
            </w:r>
            <w:r w:rsidR="00927176" w:rsidRPr="4904BCD2">
              <w:t>k=14 retrospective cohorts</w:t>
            </w:r>
            <w:r w:rsidR="00927176" w:rsidRPr="00FD70DE">
              <w:tab/>
            </w:r>
            <w:r w:rsidR="00927176" w:rsidRPr="4904BCD2">
              <w:t>n=2,749</w:t>
            </w:r>
          </w:p>
          <w:p w14:paraId="3FDD8FBA" w14:textId="77777777" w:rsidR="00927176" w:rsidRPr="00FD70DE" w:rsidRDefault="002A0124" w:rsidP="00003DDF">
            <w:pPr>
              <w:pStyle w:val="TableText"/>
              <w:keepNext/>
              <w:keepLines/>
            </w:pPr>
            <w:sdt>
              <w:sdtPr>
                <w:id w:val="-152606745"/>
                <w14:checkbox>
                  <w14:checked w14:val="1"/>
                  <w14:checkedState w14:val="2612" w14:font="MS Gothic"/>
                  <w14:uncheckedState w14:val="2610" w14:font="MS Gothic"/>
                </w14:checkbox>
              </w:sdtPr>
              <w:sdtEndPr/>
              <w:sdtContent>
                <w:r w:rsidR="00927176" w:rsidRPr="4904BCD2">
                  <w:rPr>
                    <w:rFonts w:ascii="MS Gothic" w:eastAsia="MS Gothic" w:hAnsi="MS Gothic"/>
                  </w:rPr>
                  <w:t>☒</w:t>
                </w:r>
              </w:sdtContent>
            </w:sdt>
            <w:r w:rsidR="00927176" w:rsidRPr="00FD70DE">
              <w:tab/>
            </w:r>
            <w:r w:rsidR="00927176" w:rsidRPr="4904BCD2">
              <w:t>k=2 prospective studies</w:t>
            </w:r>
            <w:r w:rsidR="00927176" w:rsidRPr="00FD70DE">
              <w:tab/>
            </w:r>
            <w:r w:rsidR="00927176" w:rsidRPr="4904BCD2">
              <w:t>n=154</w:t>
            </w:r>
          </w:p>
          <w:p w14:paraId="31DFA511" w14:textId="77777777" w:rsidR="00927176" w:rsidRPr="00FD70DE" w:rsidRDefault="002A0124" w:rsidP="00003DDF">
            <w:pPr>
              <w:pStyle w:val="TableText"/>
              <w:keepNext/>
              <w:keepLines/>
            </w:pPr>
            <w:sdt>
              <w:sdtPr>
                <w:id w:val="1793095684"/>
                <w14:checkbox>
                  <w14:checked w14:val="1"/>
                  <w14:checkedState w14:val="2612" w14:font="MS Gothic"/>
                  <w14:uncheckedState w14:val="2610" w14:font="MS Gothic"/>
                </w14:checkbox>
              </w:sdtPr>
              <w:sdtEndPr/>
              <w:sdtContent>
                <w:r w:rsidR="00927176" w:rsidRPr="4904BCD2">
                  <w:rPr>
                    <w:rFonts w:ascii="MS Gothic" w:eastAsia="MS Gothic" w:hAnsi="MS Gothic"/>
                  </w:rPr>
                  <w:t>☒</w:t>
                </w:r>
              </w:sdtContent>
            </w:sdt>
            <w:r w:rsidR="00927176" w:rsidRPr="00FD70DE">
              <w:tab/>
            </w:r>
            <w:r w:rsidR="00927176" w:rsidRPr="4904BCD2">
              <w:t>k=1 systematic review</w:t>
            </w:r>
            <w:r w:rsidR="00927176" w:rsidRPr="00FD70DE">
              <w:tab/>
            </w:r>
            <w:r w:rsidR="00927176" w:rsidRPr="4904BCD2">
              <w:t>n=4,853</w:t>
            </w:r>
          </w:p>
        </w:tc>
        <w:tc>
          <w:tcPr>
            <w:tcW w:w="1074" w:type="pct"/>
            <w:tcBorders>
              <w:top w:val="single" w:sz="4" w:space="0" w:color="auto"/>
              <w:left w:val="single" w:sz="4" w:space="0" w:color="auto"/>
              <w:bottom w:val="single" w:sz="4" w:space="0" w:color="auto"/>
              <w:right w:val="single" w:sz="4" w:space="0" w:color="auto"/>
            </w:tcBorders>
            <w:hideMark/>
          </w:tcPr>
          <w:p w14:paraId="6BCC567D" w14:textId="77777777" w:rsidR="00927176" w:rsidRPr="00FD70DE" w:rsidRDefault="00927176" w:rsidP="00003DDF">
            <w:pPr>
              <w:pStyle w:val="TableText"/>
              <w:keepNext/>
              <w:keepLines/>
            </w:pPr>
            <w:r w:rsidRPr="00FD70DE">
              <w:t>High</w:t>
            </w:r>
          </w:p>
        </w:tc>
      </w:tr>
      <w:tr w:rsidR="00FB0C75" w:rsidRPr="00FD70DE" w14:paraId="0DDAE21A" w14:textId="77777777" w:rsidTr="4904BCD2">
        <w:tc>
          <w:tcPr>
            <w:tcW w:w="1008" w:type="pct"/>
            <w:tcBorders>
              <w:top w:val="single" w:sz="4" w:space="0" w:color="auto"/>
              <w:left w:val="single" w:sz="4" w:space="0" w:color="auto"/>
              <w:bottom w:val="single" w:sz="4" w:space="0" w:color="auto"/>
              <w:right w:val="single" w:sz="4" w:space="0" w:color="auto"/>
            </w:tcBorders>
          </w:tcPr>
          <w:p w14:paraId="0D969CD4" w14:textId="6B4EA2A6" w:rsidR="00FB0C75" w:rsidRPr="00FD70DE" w:rsidRDefault="00FB0C75" w:rsidP="00003DDF">
            <w:pPr>
              <w:pStyle w:val="TableText"/>
              <w:keepNext/>
              <w:keepLines/>
            </w:pPr>
            <w:r w:rsidRPr="00FD70DE">
              <w:t>Predictive effect</w:t>
            </w:r>
          </w:p>
        </w:tc>
        <w:tc>
          <w:tcPr>
            <w:tcW w:w="1844" w:type="pct"/>
            <w:tcBorders>
              <w:top w:val="single" w:sz="4" w:space="0" w:color="auto"/>
              <w:left w:val="single" w:sz="4" w:space="0" w:color="auto"/>
              <w:bottom w:val="single" w:sz="4" w:space="0" w:color="auto"/>
              <w:right w:val="single" w:sz="4" w:space="0" w:color="auto"/>
            </w:tcBorders>
          </w:tcPr>
          <w:p w14:paraId="660B3054" w14:textId="42557978" w:rsidR="00FB0C75" w:rsidRPr="00FD70DE" w:rsidRDefault="00FB0C75" w:rsidP="00003DDF">
            <w:pPr>
              <w:pStyle w:val="TableText"/>
              <w:keepNext/>
              <w:keepLines/>
            </w:pPr>
            <w:r w:rsidRPr="00FD70DE">
              <w:t>Comparison of outcomes in patients receiving usual care, conditioned on the reduction of HDV RNA</w:t>
            </w:r>
          </w:p>
        </w:tc>
        <w:tc>
          <w:tcPr>
            <w:tcW w:w="1074" w:type="pct"/>
            <w:tcBorders>
              <w:top w:val="single" w:sz="4" w:space="0" w:color="auto"/>
              <w:left w:val="single" w:sz="4" w:space="0" w:color="auto"/>
              <w:bottom w:val="single" w:sz="4" w:space="0" w:color="auto"/>
              <w:right w:val="single" w:sz="4" w:space="0" w:color="auto"/>
            </w:tcBorders>
          </w:tcPr>
          <w:p w14:paraId="5649F303" w14:textId="13333D85" w:rsidR="00FB0C75" w:rsidRPr="00FD70DE" w:rsidRDefault="002A0124" w:rsidP="00003DDF">
            <w:pPr>
              <w:pStyle w:val="TableText"/>
              <w:keepNext/>
              <w:keepLines/>
            </w:pPr>
            <w:sdt>
              <w:sdtPr>
                <w:id w:val="-1627613689"/>
                <w14:checkbox>
                  <w14:checked w14:val="1"/>
                  <w14:checkedState w14:val="2612" w14:font="MS Gothic"/>
                  <w14:uncheckedState w14:val="2610" w14:font="MS Gothic"/>
                </w14:checkbox>
              </w:sdtPr>
              <w:sdtEndPr/>
              <w:sdtContent>
                <w:r w:rsidR="50CED541" w:rsidRPr="4904BCD2">
                  <w:rPr>
                    <w:rFonts w:ascii="MS Gothic" w:eastAsia="MS Gothic" w:hAnsi="MS Gothic"/>
                  </w:rPr>
                  <w:t>☒</w:t>
                </w:r>
              </w:sdtContent>
            </w:sdt>
            <w:r w:rsidR="00FB0C75" w:rsidRPr="00FD70DE">
              <w:tab/>
            </w:r>
            <w:r w:rsidR="0D9D120B" w:rsidRPr="4904BCD2">
              <w:t>k=</w:t>
            </w:r>
            <w:r w:rsidR="3A66623A" w:rsidRPr="4904BCD2">
              <w:t>5</w:t>
            </w:r>
            <w:r w:rsidR="09B70150" w:rsidRPr="4904BCD2">
              <w:t xml:space="preserve"> </w:t>
            </w:r>
            <w:r w:rsidR="0D9D120B" w:rsidRPr="4904BCD2">
              <w:t>retrospective cohorts</w:t>
            </w:r>
            <w:r w:rsidR="00FB0C75" w:rsidRPr="00FD70DE">
              <w:tab/>
            </w:r>
            <w:r w:rsidR="0D9D120B" w:rsidRPr="4904BCD2">
              <w:t>n=24</w:t>
            </w:r>
            <w:r w:rsidR="3A66623A" w:rsidRPr="4904BCD2">
              <w:t>4</w:t>
            </w:r>
          </w:p>
        </w:tc>
        <w:tc>
          <w:tcPr>
            <w:tcW w:w="1074" w:type="pct"/>
            <w:tcBorders>
              <w:top w:val="single" w:sz="4" w:space="0" w:color="auto"/>
              <w:left w:val="single" w:sz="4" w:space="0" w:color="auto"/>
              <w:bottom w:val="single" w:sz="4" w:space="0" w:color="auto"/>
              <w:right w:val="single" w:sz="4" w:space="0" w:color="auto"/>
            </w:tcBorders>
          </w:tcPr>
          <w:p w14:paraId="6DFC9487" w14:textId="2A101B28" w:rsidR="00FB0C75" w:rsidRPr="00FD70DE" w:rsidRDefault="001520AD" w:rsidP="00003DDF">
            <w:pPr>
              <w:pStyle w:val="TableText"/>
              <w:keepNext/>
              <w:keepLines/>
            </w:pPr>
            <w:r>
              <w:t>High</w:t>
            </w:r>
          </w:p>
        </w:tc>
      </w:tr>
      <w:tr w:rsidR="00FB0C75" w:rsidRPr="00FD70DE" w14:paraId="479E5DED" w14:textId="77777777" w:rsidTr="4904BCD2">
        <w:tc>
          <w:tcPr>
            <w:tcW w:w="1008" w:type="pct"/>
            <w:tcBorders>
              <w:top w:val="single" w:sz="4" w:space="0" w:color="auto"/>
              <w:left w:val="single" w:sz="4" w:space="0" w:color="auto"/>
              <w:bottom w:val="single" w:sz="4" w:space="0" w:color="auto"/>
              <w:right w:val="single" w:sz="4" w:space="0" w:color="auto"/>
            </w:tcBorders>
          </w:tcPr>
          <w:p w14:paraId="5191EDDB" w14:textId="77777777" w:rsidR="00FB0C75" w:rsidRPr="00FD70DE" w:rsidRDefault="00FB0C75" w:rsidP="00003DDF">
            <w:pPr>
              <w:pStyle w:val="TableText"/>
              <w:keepNext/>
              <w:keepLines/>
            </w:pPr>
            <w:r w:rsidRPr="00FD70DE">
              <w:t>Change in patient management</w:t>
            </w:r>
          </w:p>
        </w:tc>
        <w:tc>
          <w:tcPr>
            <w:tcW w:w="1844" w:type="pct"/>
            <w:tcBorders>
              <w:top w:val="single" w:sz="4" w:space="0" w:color="auto"/>
              <w:left w:val="single" w:sz="4" w:space="0" w:color="auto"/>
              <w:bottom w:val="single" w:sz="4" w:space="0" w:color="auto"/>
              <w:right w:val="single" w:sz="4" w:space="0" w:color="auto"/>
            </w:tcBorders>
          </w:tcPr>
          <w:p w14:paraId="665EBD21" w14:textId="77777777" w:rsidR="00FB0C75" w:rsidRPr="00FD70DE" w:rsidRDefault="00FB0C75" w:rsidP="00003DDF">
            <w:pPr>
              <w:pStyle w:val="TableText"/>
              <w:keepNext/>
              <w:keepLines/>
            </w:pPr>
            <w:r w:rsidRPr="00FD70DE">
              <w:t>Evidence to show that HDV RNA test results guide decisions about stopping treatment (due to response or lack of response) or intensifying treatment (due to limited response)</w:t>
            </w:r>
          </w:p>
        </w:tc>
        <w:tc>
          <w:tcPr>
            <w:tcW w:w="1074" w:type="pct"/>
            <w:tcBorders>
              <w:top w:val="single" w:sz="4" w:space="0" w:color="auto"/>
              <w:left w:val="single" w:sz="4" w:space="0" w:color="auto"/>
              <w:bottom w:val="single" w:sz="4" w:space="0" w:color="auto"/>
              <w:right w:val="single" w:sz="4" w:space="0" w:color="auto"/>
            </w:tcBorders>
          </w:tcPr>
          <w:p w14:paraId="5B8A7B45" w14:textId="67BCBEF6" w:rsidR="00FB0C75" w:rsidRPr="00FD70DE" w:rsidRDefault="002A0124" w:rsidP="00003DDF">
            <w:pPr>
              <w:pStyle w:val="TableText"/>
              <w:keepNext/>
              <w:keepLines/>
            </w:pPr>
            <w:sdt>
              <w:sdtPr>
                <w:id w:val="-1668002676"/>
                <w14:checkbox>
                  <w14:checked w14:val="1"/>
                  <w14:checkedState w14:val="2612" w14:font="MS Gothic"/>
                  <w14:uncheckedState w14:val="2610" w14:font="MS Gothic"/>
                </w14:checkbox>
              </w:sdtPr>
              <w:sdtEndPr/>
              <w:sdtContent>
                <w:r w:rsidR="0D9D120B" w:rsidRPr="4904BCD2">
                  <w:rPr>
                    <w:rFonts w:ascii="MS Gothic" w:eastAsia="MS Gothic" w:hAnsi="MS Gothic"/>
                  </w:rPr>
                  <w:t>☒</w:t>
                </w:r>
              </w:sdtContent>
            </w:sdt>
            <w:r w:rsidR="00FB0C75" w:rsidRPr="00FD70DE">
              <w:tab/>
            </w:r>
            <w:r w:rsidR="0D9D120B" w:rsidRPr="4904BCD2">
              <w:t>k=2 uncontrolled before/after studies</w:t>
            </w:r>
            <w:r w:rsidR="00FB0C75" w:rsidRPr="00FD70DE">
              <w:tab/>
            </w:r>
            <w:r w:rsidR="0D9D120B" w:rsidRPr="4904BCD2">
              <w:t>n=129</w:t>
            </w:r>
          </w:p>
        </w:tc>
        <w:tc>
          <w:tcPr>
            <w:tcW w:w="1074" w:type="pct"/>
            <w:tcBorders>
              <w:top w:val="single" w:sz="4" w:space="0" w:color="auto"/>
              <w:left w:val="single" w:sz="4" w:space="0" w:color="auto"/>
              <w:bottom w:val="single" w:sz="4" w:space="0" w:color="auto"/>
              <w:right w:val="single" w:sz="4" w:space="0" w:color="auto"/>
            </w:tcBorders>
            <w:hideMark/>
          </w:tcPr>
          <w:p w14:paraId="6AA7EF90" w14:textId="77777777" w:rsidR="00FB0C75" w:rsidRPr="00FD70DE" w:rsidRDefault="00FB0C75" w:rsidP="00003DDF">
            <w:pPr>
              <w:pStyle w:val="TableText"/>
              <w:keepNext/>
              <w:keepLines/>
            </w:pPr>
            <w:r w:rsidRPr="00FD70DE">
              <w:t>High</w:t>
            </w:r>
          </w:p>
        </w:tc>
      </w:tr>
      <w:tr w:rsidR="00FB0C75" w:rsidRPr="00FD70DE" w14:paraId="4B9A505E" w14:textId="77777777" w:rsidTr="4904BCD2">
        <w:tc>
          <w:tcPr>
            <w:tcW w:w="1008" w:type="pct"/>
            <w:tcBorders>
              <w:top w:val="single" w:sz="4" w:space="0" w:color="auto"/>
              <w:left w:val="single" w:sz="4" w:space="0" w:color="auto"/>
              <w:bottom w:val="nil"/>
              <w:right w:val="single" w:sz="4" w:space="0" w:color="auto"/>
            </w:tcBorders>
          </w:tcPr>
          <w:p w14:paraId="5715970D" w14:textId="77777777" w:rsidR="00FB0C75" w:rsidRPr="00FD70DE" w:rsidRDefault="00FB0C75" w:rsidP="00003DDF">
            <w:pPr>
              <w:pStyle w:val="TableText"/>
              <w:keepNext/>
              <w:keepLines/>
            </w:pPr>
            <w:r w:rsidRPr="00FD70DE">
              <w:t>Health outcomes (clinical utility)</w:t>
            </w:r>
          </w:p>
          <w:p w14:paraId="2186152E" w14:textId="77777777" w:rsidR="00FB0C75" w:rsidRPr="00FD70DE" w:rsidRDefault="00FB0C75" w:rsidP="00003DDF">
            <w:pPr>
              <w:pStyle w:val="TableText"/>
              <w:keepNext/>
              <w:keepLines/>
            </w:pPr>
          </w:p>
        </w:tc>
        <w:tc>
          <w:tcPr>
            <w:tcW w:w="1844" w:type="pct"/>
            <w:tcBorders>
              <w:top w:val="single" w:sz="4" w:space="0" w:color="auto"/>
              <w:left w:val="single" w:sz="4" w:space="0" w:color="auto"/>
              <w:bottom w:val="nil"/>
              <w:right w:val="single" w:sz="4" w:space="0" w:color="auto"/>
            </w:tcBorders>
          </w:tcPr>
          <w:p w14:paraId="2FE75583" w14:textId="77777777" w:rsidR="00FB0C75" w:rsidRPr="00FD70DE" w:rsidRDefault="00FB0C75" w:rsidP="00003DDF">
            <w:pPr>
              <w:pStyle w:val="TableText"/>
              <w:keepNext/>
              <w:keepLines/>
            </w:pPr>
            <w:r w:rsidRPr="00FD70DE">
              <w:t>No evidence presented.</w:t>
            </w:r>
          </w:p>
        </w:tc>
        <w:tc>
          <w:tcPr>
            <w:tcW w:w="1074" w:type="pct"/>
            <w:tcBorders>
              <w:top w:val="single" w:sz="4" w:space="0" w:color="auto"/>
              <w:left w:val="single" w:sz="4" w:space="0" w:color="auto"/>
              <w:bottom w:val="nil"/>
              <w:right w:val="single" w:sz="4" w:space="0" w:color="auto"/>
            </w:tcBorders>
          </w:tcPr>
          <w:p w14:paraId="58C84739" w14:textId="77777777" w:rsidR="00FB0C75" w:rsidRPr="00FD70DE" w:rsidRDefault="002A0124" w:rsidP="00003DDF">
            <w:pPr>
              <w:pStyle w:val="TableText"/>
              <w:keepNext/>
              <w:keepLines/>
              <w:tabs>
                <w:tab w:val="left" w:pos="694"/>
                <w:tab w:val="left" w:pos="1340"/>
              </w:tabs>
            </w:pPr>
            <w:sdt>
              <w:sdtPr>
                <w:id w:val="-640573047"/>
                <w14:checkbox>
                  <w14:checked w14:val="0"/>
                  <w14:checkedState w14:val="2612" w14:font="MS Gothic"/>
                  <w14:uncheckedState w14:val="2610" w14:font="MS Gothic"/>
                </w14:checkbox>
              </w:sdtPr>
              <w:sdtEndPr/>
              <w:sdtContent>
                <w:r w:rsidR="00FB0C75" w:rsidRPr="00FD70DE">
                  <w:rPr>
                    <w:rFonts w:ascii="MS Gothic" w:eastAsia="MS Gothic" w:hAnsi="MS Gothic"/>
                  </w:rPr>
                  <w:t>☐</w:t>
                </w:r>
              </w:sdtContent>
            </w:sdt>
            <w:r w:rsidR="00FB0C75" w:rsidRPr="00FD70DE">
              <w:tab/>
              <w:t>k=0</w:t>
            </w:r>
            <w:r w:rsidR="00FB0C75" w:rsidRPr="00FD70DE">
              <w:tab/>
              <w:t>n=0</w:t>
            </w:r>
          </w:p>
          <w:p w14:paraId="16613E3C" w14:textId="77777777" w:rsidR="00FB0C75" w:rsidRPr="00FD70DE" w:rsidRDefault="00FB0C75" w:rsidP="00003DDF">
            <w:pPr>
              <w:pStyle w:val="TableText"/>
              <w:keepNext/>
              <w:keepLines/>
            </w:pPr>
          </w:p>
        </w:tc>
        <w:tc>
          <w:tcPr>
            <w:tcW w:w="1074" w:type="pct"/>
            <w:tcBorders>
              <w:top w:val="single" w:sz="4" w:space="0" w:color="auto"/>
              <w:left w:val="single" w:sz="4" w:space="0" w:color="auto"/>
              <w:bottom w:val="nil"/>
              <w:right w:val="single" w:sz="4" w:space="0" w:color="auto"/>
            </w:tcBorders>
          </w:tcPr>
          <w:p w14:paraId="2B9D462F" w14:textId="77777777" w:rsidR="00FB0C75" w:rsidRPr="00FD70DE" w:rsidRDefault="00FB0C75" w:rsidP="00003DDF">
            <w:pPr>
              <w:pStyle w:val="TableText"/>
              <w:keepNext/>
              <w:keepLines/>
            </w:pPr>
          </w:p>
        </w:tc>
      </w:tr>
      <w:tr w:rsidR="00FB0C75" w:rsidRPr="00FD70DE" w14:paraId="45DC16B6" w14:textId="77777777" w:rsidTr="4904BCD2">
        <w:tc>
          <w:tcPr>
            <w:tcW w:w="1008" w:type="pct"/>
            <w:tcBorders>
              <w:top w:val="nil"/>
              <w:left w:val="single" w:sz="4" w:space="0" w:color="auto"/>
              <w:bottom w:val="nil"/>
              <w:right w:val="single" w:sz="4" w:space="0" w:color="auto"/>
            </w:tcBorders>
          </w:tcPr>
          <w:p w14:paraId="684EFF63" w14:textId="77777777" w:rsidR="00FB0C75" w:rsidRPr="00FD70DE" w:rsidRDefault="00FB0C75" w:rsidP="00003DDF">
            <w:pPr>
              <w:pStyle w:val="TableText"/>
              <w:keepNext/>
              <w:keepLines/>
            </w:pPr>
            <w:r w:rsidRPr="00FD70DE">
              <w:t>Predictive effect (treatment effect variation)</w:t>
            </w:r>
          </w:p>
          <w:p w14:paraId="7A09F113" w14:textId="77777777" w:rsidR="00FB0C75" w:rsidRPr="00FD70DE" w:rsidRDefault="00FB0C75" w:rsidP="00003DDF">
            <w:pPr>
              <w:pStyle w:val="TableText"/>
              <w:keepNext/>
              <w:keepLines/>
            </w:pPr>
          </w:p>
        </w:tc>
        <w:tc>
          <w:tcPr>
            <w:tcW w:w="1844" w:type="pct"/>
            <w:tcBorders>
              <w:top w:val="nil"/>
              <w:left w:val="single" w:sz="4" w:space="0" w:color="auto"/>
              <w:bottom w:val="nil"/>
              <w:right w:val="single" w:sz="4" w:space="0" w:color="auto"/>
            </w:tcBorders>
          </w:tcPr>
          <w:p w14:paraId="6A725851" w14:textId="00AB2B41" w:rsidR="00FB0C75" w:rsidRPr="00FD70DE" w:rsidRDefault="00FB0C75" w:rsidP="00003DDF">
            <w:pPr>
              <w:pStyle w:val="TableText"/>
              <w:keepNext/>
              <w:keepLines/>
            </w:pPr>
            <w:r w:rsidRPr="00FD70DE">
              <w:t>No evidence presented</w:t>
            </w:r>
          </w:p>
        </w:tc>
        <w:tc>
          <w:tcPr>
            <w:tcW w:w="1074" w:type="pct"/>
            <w:tcBorders>
              <w:top w:val="nil"/>
              <w:left w:val="single" w:sz="4" w:space="0" w:color="auto"/>
              <w:bottom w:val="nil"/>
              <w:right w:val="single" w:sz="4" w:space="0" w:color="auto"/>
            </w:tcBorders>
          </w:tcPr>
          <w:p w14:paraId="3FB3035A" w14:textId="394E9504" w:rsidR="00FB0C75" w:rsidRPr="00FD70DE" w:rsidRDefault="002A0124" w:rsidP="00003DDF">
            <w:pPr>
              <w:pStyle w:val="TableText"/>
              <w:keepNext/>
              <w:keepLines/>
              <w:tabs>
                <w:tab w:val="left" w:pos="694"/>
                <w:tab w:val="left" w:pos="1375"/>
              </w:tabs>
            </w:pPr>
            <w:sdt>
              <w:sdtPr>
                <w:id w:val="1562359004"/>
                <w14:checkbox>
                  <w14:checked w14:val="0"/>
                  <w14:checkedState w14:val="2612" w14:font="MS Gothic"/>
                  <w14:uncheckedState w14:val="2610" w14:font="MS Gothic"/>
                </w14:checkbox>
              </w:sdtPr>
              <w:sdtEndPr/>
              <w:sdtContent>
                <w:r w:rsidR="00FB0C75" w:rsidRPr="00FD70DE">
                  <w:rPr>
                    <w:rFonts w:ascii="MS Gothic" w:eastAsia="MS Gothic" w:hAnsi="MS Gothic"/>
                  </w:rPr>
                  <w:t>☐</w:t>
                </w:r>
              </w:sdtContent>
            </w:sdt>
            <w:r w:rsidR="00FB0C75" w:rsidRPr="00FD70DE">
              <w:tab/>
              <w:t>k=0</w:t>
            </w:r>
            <w:r w:rsidR="00FB0C75" w:rsidRPr="00FD70DE">
              <w:tab/>
              <w:t>n=0</w:t>
            </w:r>
          </w:p>
        </w:tc>
        <w:tc>
          <w:tcPr>
            <w:tcW w:w="1074" w:type="pct"/>
            <w:tcBorders>
              <w:top w:val="nil"/>
              <w:left w:val="single" w:sz="4" w:space="0" w:color="auto"/>
              <w:bottom w:val="nil"/>
              <w:right w:val="single" w:sz="4" w:space="0" w:color="auto"/>
            </w:tcBorders>
          </w:tcPr>
          <w:p w14:paraId="51946B10" w14:textId="194DDA38" w:rsidR="00FB0C75" w:rsidRPr="00FD70DE" w:rsidRDefault="00FB0C75" w:rsidP="00003DDF">
            <w:pPr>
              <w:pStyle w:val="TableText"/>
              <w:keepNext/>
              <w:keepLines/>
            </w:pPr>
          </w:p>
        </w:tc>
      </w:tr>
      <w:tr w:rsidR="00FB0C75" w:rsidRPr="00FD70DE" w14:paraId="6165262E" w14:textId="77777777" w:rsidTr="4904BCD2">
        <w:tc>
          <w:tcPr>
            <w:tcW w:w="1008" w:type="pct"/>
            <w:tcBorders>
              <w:top w:val="nil"/>
              <w:left w:val="single" w:sz="4" w:space="0" w:color="auto"/>
              <w:bottom w:val="single" w:sz="4" w:space="0" w:color="auto"/>
              <w:right w:val="single" w:sz="4" w:space="0" w:color="auto"/>
            </w:tcBorders>
            <w:shd w:val="clear" w:color="auto" w:fill="BDD6EE" w:themeFill="accent1" w:themeFillTint="66"/>
            <w:hideMark/>
          </w:tcPr>
          <w:p w14:paraId="27600C0D" w14:textId="77777777" w:rsidR="00FB0C75" w:rsidRPr="00FD70DE" w:rsidRDefault="00FB0C75" w:rsidP="00003DDF">
            <w:pPr>
              <w:pStyle w:val="TableText"/>
              <w:keepNext/>
              <w:keepLines/>
            </w:pPr>
            <w:r w:rsidRPr="00FD70DE">
              <w:t>Treatment effect (enriched)</w:t>
            </w:r>
          </w:p>
        </w:tc>
        <w:tc>
          <w:tcPr>
            <w:tcW w:w="1844" w:type="pct"/>
            <w:tcBorders>
              <w:top w:val="nil"/>
              <w:left w:val="single" w:sz="4" w:space="0" w:color="auto"/>
              <w:bottom w:val="single" w:sz="4" w:space="0" w:color="auto"/>
              <w:right w:val="single" w:sz="4" w:space="0" w:color="auto"/>
            </w:tcBorders>
            <w:shd w:val="clear" w:color="auto" w:fill="BDD6EE" w:themeFill="accent1" w:themeFillTint="66"/>
          </w:tcPr>
          <w:p w14:paraId="2ABB1096" w14:textId="4F261975" w:rsidR="00FB0C75" w:rsidRPr="00FD70DE" w:rsidRDefault="00FB0C75" w:rsidP="00003DDF">
            <w:pPr>
              <w:pStyle w:val="TableText"/>
              <w:keepNext/>
              <w:keepLines/>
            </w:pPr>
            <w:r w:rsidRPr="37C20EEE">
              <w:t>Single randomised controlled trial of bulevirtide vs symptom management of CHD in patients that are tested for HDV RNA by PCR in both arms and found to be positive.</w:t>
            </w:r>
          </w:p>
        </w:tc>
        <w:tc>
          <w:tcPr>
            <w:tcW w:w="1074" w:type="pct"/>
            <w:tcBorders>
              <w:top w:val="nil"/>
              <w:left w:val="single" w:sz="4" w:space="0" w:color="auto"/>
              <w:bottom w:val="single" w:sz="4" w:space="0" w:color="auto"/>
              <w:right w:val="single" w:sz="4" w:space="0" w:color="auto"/>
            </w:tcBorders>
            <w:shd w:val="clear" w:color="auto" w:fill="BDD6EE" w:themeFill="accent1" w:themeFillTint="66"/>
            <w:hideMark/>
          </w:tcPr>
          <w:p w14:paraId="6578175E" w14:textId="77777777" w:rsidR="00FB0C75" w:rsidRPr="00FD70DE" w:rsidRDefault="002A0124" w:rsidP="00003DDF">
            <w:pPr>
              <w:pStyle w:val="TableText"/>
              <w:keepNext/>
              <w:keepLines/>
            </w:pPr>
            <w:sdt>
              <w:sdtPr>
                <w:id w:val="-1229462300"/>
                <w14:checkbox>
                  <w14:checked w14:val="1"/>
                  <w14:checkedState w14:val="2612" w14:font="MS Gothic"/>
                  <w14:uncheckedState w14:val="2610" w14:font="MS Gothic"/>
                </w14:checkbox>
              </w:sdtPr>
              <w:sdtEndPr/>
              <w:sdtContent>
                <w:r w:rsidR="00FB0C75" w:rsidRPr="00FD70DE">
                  <w:rPr>
                    <w:rFonts w:ascii="MS Gothic" w:eastAsia="MS Gothic" w:hAnsi="MS Gothic"/>
                  </w:rPr>
                  <w:t>☒</w:t>
                </w:r>
              </w:sdtContent>
            </w:sdt>
            <w:r w:rsidR="00FB0C75" w:rsidRPr="00FD70DE">
              <w:tab/>
              <w:t>k=1</w:t>
            </w:r>
            <w:r w:rsidR="00FB0C75" w:rsidRPr="00FD70DE">
              <w:tab/>
              <w:t>n=150</w:t>
            </w:r>
          </w:p>
          <w:p w14:paraId="4B2558EC" w14:textId="77777777" w:rsidR="00FB0C75" w:rsidRPr="00FD70DE" w:rsidRDefault="00FB0C75" w:rsidP="00003DDF">
            <w:pPr>
              <w:pStyle w:val="TableText"/>
              <w:keepNext/>
              <w:keepLines/>
            </w:pPr>
          </w:p>
        </w:tc>
        <w:tc>
          <w:tcPr>
            <w:tcW w:w="1074" w:type="pct"/>
            <w:tcBorders>
              <w:top w:val="nil"/>
              <w:left w:val="single" w:sz="4" w:space="0" w:color="auto"/>
              <w:bottom w:val="single" w:sz="4" w:space="0" w:color="auto"/>
              <w:right w:val="single" w:sz="4" w:space="0" w:color="auto"/>
            </w:tcBorders>
            <w:shd w:val="clear" w:color="auto" w:fill="BDD6EE" w:themeFill="accent1" w:themeFillTint="66"/>
          </w:tcPr>
          <w:p w14:paraId="72D14586" w14:textId="77777777" w:rsidR="00FB0C75" w:rsidRPr="00FD70DE" w:rsidRDefault="00FB0C75" w:rsidP="00003DDF">
            <w:pPr>
              <w:pStyle w:val="TableText"/>
              <w:keepNext/>
              <w:keepLines/>
            </w:pPr>
            <w:r w:rsidRPr="00FD70DE">
              <w:t>Low</w:t>
            </w:r>
          </w:p>
        </w:tc>
      </w:tr>
    </w:tbl>
    <w:p w14:paraId="0076A056" w14:textId="5C53FCB9" w:rsidR="00927176" w:rsidRPr="00FD70DE" w:rsidRDefault="00927176" w:rsidP="00003DDF">
      <w:pPr>
        <w:pStyle w:val="TableFooter"/>
        <w:keepNext/>
        <w:keepLines/>
      </w:pPr>
      <w:bookmarkStart w:id="23" w:name="_Hlk183604062"/>
      <w:bookmarkEnd w:id="22"/>
      <w:r w:rsidRPr="00FD70DE">
        <w:t xml:space="preserve">Source: </w:t>
      </w:r>
      <w:r w:rsidR="00CB4751">
        <w:rPr>
          <w:i/>
          <w:iCs/>
        </w:rPr>
        <w:t>Table compiled during the evaluation</w:t>
      </w:r>
    </w:p>
    <w:p w14:paraId="61F1ACC0" w14:textId="463B4E27" w:rsidR="00927176" w:rsidRDefault="00927176" w:rsidP="00003DDF">
      <w:pPr>
        <w:pStyle w:val="TableFooter"/>
        <w:keepNext/>
        <w:keepLines/>
      </w:pPr>
      <w:r w:rsidRPr="00FD70DE">
        <w:t>CHD = Chronic Hepatitis D; HDV = Hepatitis D Virus, k=number of studies, n=number of patients, NA=not applicable; RNA = Ribonucleic Acid</w:t>
      </w:r>
    </w:p>
    <w:p w14:paraId="4ED3397E" w14:textId="77777777" w:rsidR="0021046C" w:rsidRPr="0021046C" w:rsidRDefault="56532FB5" w:rsidP="00003DDF">
      <w:pPr>
        <w:pStyle w:val="TableFooter"/>
        <w:keepNext/>
        <w:keepLines/>
      </w:pPr>
      <w:r w:rsidRPr="4904BCD2">
        <w:t xml:space="preserve">Note: </w:t>
      </w:r>
      <w:r w:rsidRPr="4904BCD2">
        <w:rPr>
          <w:shd w:val="clear" w:color="auto" w:fill="BDD6EE" w:themeFill="accent1" w:themeFillTint="66"/>
        </w:rPr>
        <w:t>Blue</w:t>
      </w:r>
      <w:r w:rsidRPr="4904BCD2">
        <w:t xml:space="preserve"> shading denotes clinical evidence unchanged from the previous submission.</w:t>
      </w:r>
    </w:p>
    <w:p w14:paraId="5561924C" w14:textId="6C3EE6D8" w:rsidR="0021046C" w:rsidRPr="00FD70DE" w:rsidRDefault="56532FB5" w:rsidP="008C14BA">
      <w:pPr>
        <w:pStyle w:val="TableFooter"/>
        <w:keepNext/>
        <w:keepLines/>
      </w:pPr>
      <w:r w:rsidRPr="4904BCD2">
        <w:t>Note: Data of treatment effect provided in the resubmission was from the same key trial (MYR301) used in the previous submission, but the data provided in the resubmission covered a longer treatment duration (up to 144 weeks) compared to 96 weeks in the previous submission.</w:t>
      </w:r>
    </w:p>
    <w:p w14:paraId="37194702" w14:textId="0E918EA9" w:rsidR="00EE5014" w:rsidRPr="00BD2A33" w:rsidRDefault="00EE5014"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24" w:name="_Toc93044767"/>
      <w:bookmarkStart w:id="25" w:name="_Toc93322901"/>
      <w:bookmarkStart w:id="26" w:name="_Toc93044770"/>
      <w:bookmarkStart w:id="27" w:name="_Toc93322904"/>
      <w:bookmarkStart w:id="28" w:name="_Toc93044771"/>
      <w:bookmarkStart w:id="29" w:name="_Toc93322905"/>
      <w:bookmarkStart w:id="30" w:name="_Toc93044772"/>
      <w:bookmarkStart w:id="31" w:name="_Toc93322906"/>
      <w:bookmarkStart w:id="32" w:name="_Toc93044775"/>
      <w:bookmarkStart w:id="33" w:name="_Toc93322909"/>
      <w:bookmarkStart w:id="34" w:name="_Toc188360781"/>
      <w:bookmarkEnd w:id="19"/>
      <w:bookmarkEnd w:id="23"/>
      <w:bookmarkEnd w:id="24"/>
      <w:bookmarkEnd w:id="25"/>
      <w:bookmarkEnd w:id="26"/>
      <w:bookmarkEnd w:id="27"/>
      <w:bookmarkEnd w:id="28"/>
      <w:bookmarkEnd w:id="29"/>
      <w:bookmarkEnd w:id="30"/>
      <w:bookmarkEnd w:id="31"/>
      <w:bookmarkEnd w:id="32"/>
      <w:bookmarkEnd w:id="33"/>
      <w:r w:rsidRPr="00BD2A33">
        <w:rPr>
          <w:rFonts w:ascii="Franklin Gothic Medium" w:hAnsi="Franklin Gothic Medium"/>
          <w:b w:val="0"/>
          <w:i w:val="0"/>
          <w:snapToGrid/>
          <w:color w:val="000000" w:themeColor="text1"/>
          <w:sz w:val="32"/>
          <w:szCs w:val="26"/>
        </w:rPr>
        <w:t>Comparative safety</w:t>
      </w:r>
      <w:bookmarkEnd w:id="34"/>
    </w:p>
    <w:p w14:paraId="16596492" w14:textId="7553164C" w:rsidR="00927176" w:rsidRPr="00F83F5C" w:rsidRDefault="00927176" w:rsidP="00BD2A33">
      <w:pPr>
        <w:jc w:val="left"/>
        <w:rPr>
          <w:rFonts w:ascii="Franklin Gothic Book" w:hAnsi="Franklin Gothic Book"/>
          <w:sz w:val="22"/>
        </w:rPr>
      </w:pPr>
      <w:r w:rsidRPr="00F83F5C">
        <w:rPr>
          <w:rFonts w:ascii="Franklin Gothic Book" w:hAnsi="Franklin Gothic Book"/>
          <w:sz w:val="22"/>
        </w:rPr>
        <w:t xml:space="preserve">No claims were made about the safety of HDV RNA PCR testing in the previous submission or in the resubmission. </w:t>
      </w:r>
    </w:p>
    <w:p w14:paraId="07038E9B" w14:textId="77777777" w:rsidR="00927176" w:rsidRPr="00BD2A33" w:rsidRDefault="00927176" w:rsidP="00C6349A">
      <w:pPr>
        <w:keepNext/>
        <w:keepLines/>
        <w:numPr>
          <w:ilvl w:val="6"/>
          <w:numId w:val="2"/>
        </w:numPr>
        <w:spacing w:before="240" w:after="120" w:line="259" w:lineRule="auto"/>
        <w:ind w:left="1298" w:hanging="1298"/>
        <w:jc w:val="left"/>
        <w:outlineLvl w:val="3"/>
        <w:rPr>
          <w:rFonts w:ascii="Franklin Gothic Book" w:eastAsiaTheme="majorEastAsia" w:hAnsi="Franklin Gothic Book" w:cstheme="majorBidi"/>
          <w:b/>
          <w:szCs w:val="28"/>
        </w:rPr>
      </w:pPr>
      <w:r w:rsidRPr="00BD2A33">
        <w:rPr>
          <w:rFonts w:ascii="Franklin Gothic Book" w:eastAsiaTheme="majorEastAsia" w:hAnsi="Franklin Gothic Book" w:cstheme="majorBidi"/>
          <w:b/>
          <w:szCs w:val="28"/>
        </w:rPr>
        <w:t>Adverse events from testing</w:t>
      </w:r>
    </w:p>
    <w:p w14:paraId="2E8297DE" w14:textId="2D3397CF" w:rsidR="00927176" w:rsidRPr="00F83F5C" w:rsidRDefault="00927176" w:rsidP="00BD2A33">
      <w:pPr>
        <w:jc w:val="left"/>
        <w:rPr>
          <w:rFonts w:ascii="Franklin Gothic Book" w:hAnsi="Franklin Gothic Book"/>
          <w:sz w:val="22"/>
        </w:rPr>
      </w:pPr>
      <w:r w:rsidRPr="00F83F5C">
        <w:rPr>
          <w:rFonts w:ascii="Franklin Gothic Book" w:hAnsi="Franklin Gothic Book"/>
          <w:sz w:val="22"/>
        </w:rPr>
        <w:t xml:space="preserve">As discussed in the </w:t>
      </w:r>
      <w:r w:rsidR="24D84A3D" w:rsidRPr="00F83F5C">
        <w:rPr>
          <w:rFonts w:ascii="Franklin Gothic Book" w:hAnsi="Franklin Gothic Book"/>
          <w:sz w:val="22"/>
        </w:rPr>
        <w:t>Commentary</w:t>
      </w:r>
      <w:r w:rsidRPr="00F83F5C">
        <w:rPr>
          <w:rFonts w:ascii="Franklin Gothic Book" w:hAnsi="Franklin Gothic Book"/>
          <w:sz w:val="22"/>
        </w:rPr>
        <w:t xml:space="preserve"> of the previous submission</w:t>
      </w:r>
      <w:r w:rsidR="5F04651A" w:rsidRPr="00F83F5C">
        <w:rPr>
          <w:rFonts w:ascii="Franklin Gothic Book" w:hAnsi="Franklin Gothic Book"/>
          <w:sz w:val="22"/>
        </w:rPr>
        <w:t>,</w:t>
      </w:r>
      <w:r w:rsidRPr="00F83F5C">
        <w:rPr>
          <w:rFonts w:ascii="Franklin Gothic Book" w:hAnsi="Franklin Gothic Book"/>
          <w:sz w:val="22"/>
        </w:rPr>
        <w:t xml:space="preserve"> testing is performed on serum or blood. It is unlikely that any </w:t>
      </w:r>
      <w:r w:rsidR="579A0D3E" w:rsidRPr="00F83F5C">
        <w:rPr>
          <w:rFonts w:ascii="Franklin Gothic Book" w:hAnsi="Franklin Gothic Book"/>
          <w:sz w:val="22"/>
        </w:rPr>
        <w:t xml:space="preserve">physical </w:t>
      </w:r>
      <w:r w:rsidRPr="00F83F5C">
        <w:rPr>
          <w:rFonts w:ascii="Franklin Gothic Book" w:hAnsi="Franklin Gothic Book"/>
          <w:sz w:val="22"/>
        </w:rPr>
        <w:t>harms would result directly from the test itself</w:t>
      </w:r>
      <w:r w:rsidR="579A0D3E" w:rsidRPr="00F83F5C">
        <w:rPr>
          <w:rFonts w:ascii="Franklin Gothic Book" w:hAnsi="Franklin Gothic Book"/>
          <w:sz w:val="22"/>
        </w:rPr>
        <w:t>, although there may be psychological harms from a diagnosis or incorrect diagnosis.</w:t>
      </w:r>
      <w:r w:rsidRPr="00F83F5C">
        <w:rPr>
          <w:rFonts w:ascii="Franklin Gothic Book" w:hAnsi="Franklin Gothic Book"/>
          <w:sz w:val="22"/>
        </w:rPr>
        <w:t xml:space="preserve"> Blood tests would be necessary for repeat testing, which can lead to the adverse events associated with diagnostic venepuncture, such as vasovagal reactions, pain and bruising, and nerve injuries. </w:t>
      </w:r>
    </w:p>
    <w:p w14:paraId="31381F8E" w14:textId="77777777" w:rsidR="00927176" w:rsidRPr="00BD2A33" w:rsidRDefault="00927176" w:rsidP="00C6349A">
      <w:pPr>
        <w:keepNext/>
        <w:keepLines/>
        <w:numPr>
          <w:ilvl w:val="6"/>
          <w:numId w:val="2"/>
        </w:numPr>
        <w:spacing w:before="240" w:after="120" w:line="259" w:lineRule="auto"/>
        <w:ind w:left="1298" w:hanging="1298"/>
        <w:jc w:val="left"/>
        <w:outlineLvl w:val="3"/>
        <w:rPr>
          <w:rFonts w:ascii="Franklin Gothic Book" w:eastAsiaTheme="majorEastAsia" w:hAnsi="Franklin Gothic Book" w:cstheme="majorBidi"/>
          <w:b/>
          <w:szCs w:val="28"/>
        </w:rPr>
      </w:pPr>
      <w:bookmarkStart w:id="35" w:name="_Ref496866969"/>
      <w:bookmarkStart w:id="36" w:name="_Ref496866994"/>
      <w:r w:rsidRPr="00BD2A33">
        <w:rPr>
          <w:rFonts w:ascii="Franklin Gothic Book" w:eastAsiaTheme="majorEastAsia" w:hAnsi="Franklin Gothic Book" w:cstheme="majorBidi"/>
          <w:b/>
          <w:szCs w:val="28"/>
        </w:rPr>
        <w:lastRenderedPageBreak/>
        <w:t>Adverse events from changes in management</w:t>
      </w:r>
    </w:p>
    <w:p w14:paraId="1DBEDFDD" w14:textId="290A71C2" w:rsidR="00B178E4" w:rsidRPr="00BD2A33" w:rsidRDefault="00B178E4" w:rsidP="00BD2A33">
      <w:pPr>
        <w:spacing w:before="0" w:after="240"/>
        <w:jc w:val="left"/>
        <w:rPr>
          <w:rFonts w:ascii="Franklin Gothic Book" w:hAnsi="Franklin Gothic Book"/>
          <w:sz w:val="22"/>
        </w:rPr>
      </w:pPr>
      <w:r w:rsidRPr="00BD2A33">
        <w:rPr>
          <w:rFonts w:ascii="Franklin Gothic Book" w:hAnsi="Franklin Gothic Book"/>
          <w:sz w:val="22"/>
        </w:rPr>
        <w:t>The incidence of drug-related or treatment-emergent adverse event</w:t>
      </w:r>
      <w:r w:rsidR="00DE752F" w:rsidRPr="00BD2A33">
        <w:rPr>
          <w:rFonts w:ascii="Franklin Gothic Book" w:hAnsi="Franklin Gothic Book"/>
          <w:sz w:val="22"/>
        </w:rPr>
        <w:t>s</w:t>
      </w:r>
      <w:r w:rsidRPr="00BD2A33">
        <w:rPr>
          <w:rFonts w:ascii="Franklin Gothic Book" w:hAnsi="Franklin Gothic Book"/>
          <w:sz w:val="22"/>
        </w:rPr>
        <w:t xml:space="preserve"> (TEAEs) was significantly higher in patients treated with bulevirtide 2 mg once daily than in the comparator arm receiving best supportive care (49.0% vs. 0%) during the first 48 weeks, although the proportion of patients experiencing at least one TEAE was comparable between the two arms (83.7% vs. 76.5%) during this </w:t>
      </w:r>
      <w:proofErr w:type="gramStart"/>
      <w:r w:rsidRPr="00BD2A33">
        <w:rPr>
          <w:rFonts w:ascii="Franklin Gothic Book" w:hAnsi="Franklin Gothic Book"/>
          <w:sz w:val="22"/>
        </w:rPr>
        <w:t>time period</w:t>
      </w:r>
      <w:proofErr w:type="gramEnd"/>
      <w:r w:rsidRPr="00BD2A33">
        <w:rPr>
          <w:rFonts w:ascii="Franklin Gothic Book" w:hAnsi="Franklin Gothic Book"/>
          <w:sz w:val="22"/>
        </w:rPr>
        <w:t>. Continued exposure to the study drug resulted in higher proportions of treated patients experiencing any TEAEs. The AEs reported in MYR301 in the entire 144 weeks of treatment were mostly Grade 1 (mild) or 2 (moderate) in severity.</w:t>
      </w:r>
      <w:r w:rsidR="001520AD" w:rsidRPr="00BD2A33">
        <w:rPr>
          <w:rFonts w:ascii="Franklin Gothic Book" w:hAnsi="Franklin Gothic Book"/>
          <w:sz w:val="22"/>
        </w:rPr>
        <w:t xml:space="preserve"> No TEAEs resulted in a change in management, i.e. premature discontinuation of study drug.</w:t>
      </w:r>
    </w:p>
    <w:p w14:paraId="4455F60B" w14:textId="77777777" w:rsidR="00EE5014" w:rsidRPr="00BD2A33" w:rsidRDefault="00EE5014"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37" w:name="_Toc188360782"/>
      <w:r w:rsidRPr="00BD2A33">
        <w:rPr>
          <w:rFonts w:ascii="Franklin Gothic Medium" w:hAnsi="Franklin Gothic Medium"/>
          <w:b w:val="0"/>
          <w:i w:val="0"/>
          <w:snapToGrid/>
          <w:color w:val="000000" w:themeColor="text1"/>
          <w:sz w:val="32"/>
          <w:szCs w:val="26"/>
        </w:rPr>
        <w:t>Comparative effectiveness</w:t>
      </w:r>
      <w:bookmarkEnd w:id="35"/>
      <w:bookmarkEnd w:id="36"/>
      <w:bookmarkEnd w:id="37"/>
    </w:p>
    <w:p w14:paraId="68F79F45" w14:textId="74398D31" w:rsidR="00927176" w:rsidRPr="00F83F5C" w:rsidRDefault="00927176" w:rsidP="00BD2A33">
      <w:pPr>
        <w:jc w:val="left"/>
        <w:rPr>
          <w:rFonts w:ascii="Franklin Gothic Book" w:hAnsi="Franklin Gothic Book"/>
          <w:sz w:val="22"/>
        </w:rPr>
      </w:pPr>
      <w:r w:rsidRPr="00F83F5C">
        <w:rPr>
          <w:rFonts w:ascii="Franklin Gothic Book" w:hAnsi="Franklin Gothic Book"/>
          <w:sz w:val="22"/>
        </w:rPr>
        <w:t xml:space="preserve">The updated literature search undertaken in the resubmission identified four additional studies reporting on the prognostic value of HDV RNA PCR testing to determine viral load and one study reporting on a potential change in management </w:t>
      </w:r>
      <w:r w:rsidR="3E234B26" w:rsidRPr="00F83F5C">
        <w:rPr>
          <w:rFonts w:ascii="Franklin Gothic Book" w:hAnsi="Franklin Gothic Book"/>
          <w:sz w:val="22"/>
        </w:rPr>
        <w:t xml:space="preserve">was </w:t>
      </w:r>
      <w:r w:rsidRPr="00F83F5C">
        <w:rPr>
          <w:rFonts w:ascii="Franklin Gothic Book" w:hAnsi="Franklin Gothic Book"/>
          <w:sz w:val="22"/>
        </w:rPr>
        <w:t>included in the analysis during evaluation.</w:t>
      </w:r>
    </w:p>
    <w:p w14:paraId="7EA61911" w14:textId="6DFD4199" w:rsidR="00927176" w:rsidRPr="00F83F5C" w:rsidRDefault="00927176" w:rsidP="00BD2A33">
      <w:pPr>
        <w:jc w:val="left"/>
        <w:rPr>
          <w:rFonts w:ascii="Franklin Gothic Book" w:hAnsi="Franklin Gothic Book"/>
          <w:sz w:val="22"/>
        </w:rPr>
      </w:pPr>
      <w:r w:rsidRPr="00F83F5C">
        <w:rPr>
          <w:rFonts w:ascii="Franklin Gothic Book" w:hAnsi="Franklin Gothic Book"/>
          <w:sz w:val="22"/>
        </w:rPr>
        <w:t>An independent literature search conducted during evaluation found an additional three small studies reporting on the accuracy of the test, and a systematic review reporting on the association between HDV RNA detection and liver morbidity and mortality.</w:t>
      </w:r>
    </w:p>
    <w:p w14:paraId="451C9CCF" w14:textId="289549CD" w:rsidR="00927176" w:rsidRPr="00F83F5C" w:rsidRDefault="00927176" w:rsidP="00BD2A33">
      <w:pPr>
        <w:jc w:val="left"/>
        <w:rPr>
          <w:rFonts w:ascii="Franklin Gothic Book" w:hAnsi="Franklin Gothic Book"/>
          <w:sz w:val="22"/>
        </w:rPr>
      </w:pPr>
      <w:r w:rsidRPr="00F83F5C">
        <w:rPr>
          <w:rFonts w:ascii="Franklin Gothic Book" w:hAnsi="Franklin Gothic Book"/>
          <w:sz w:val="22"/>
        </w:rPr>
        <w:t>Where appropriate, studies providing evidence from the previous submission were also included in the evaluation.</w:t>
      </w:r>
    </w:p>
    <w:p w14:paraId="75B87FF2" w14:textId="690BBF05" w:rsidR="00927176" w:rsidRPr="00BD2A33" w:rsidRDefault="00927176" w:rsidP="00BD2A33">
      <w:pPr>
        <w:jc w:val="left"/>
        <w:rPr>
          <w:rFonts w:ascii="Franklin Gothic Book" w:hAnsi="Franklin Gothic Book"/>
          <w:sz w:val="22"/>
        </w:rPr>
      </w:pPr>
      <w:bookmarkStart w:id="38" w:name="_Hlk183606346"/>
      <w:r w:rsidRPr="00BD2A33">
        <w:rPr>
          <w:rFonts w:ascii="Franklin Gothic Book" w:hAnsi="Franklin Gothic Book"/>
          <w:sz w:val="22"/>
        </w:rPr>
        <w:t xml:space="preserve">The available data differed from the previous submission, as indicated </w:t>
      </w:r>
      <w:bookmarkEnd w:id="38"/>
      <w:r w:rsidRPr="00BD2A33">
        <w:rPr>
          <w:rFonts w:ascii="Franklin Gothic Book" w:hAnsi="Franklin Gothic Book"/>
          <w:sz w:val="22"/>
        </w:rPr>
        <w:t xml:space="preserve">in </w:t>
      </w:r>
      <w:r w:rsidRPr="00BD2A33">
        <w:rPr>
          <w:rFonts w:ascii="Franklin Gothic Book" w:hAnsi="Franklin Gothic Book"/>
          <w:sz w:val="22"/>
        </w:rPr>
        <w:fldChar w:fldCharType="begin"/>
      </w:r>
      <w:r w:rsidRPr="00BD2A33">
        <w:rPr>
          <w:rFonts w:ascii="Franklin Gothic Book" w:hAnsi="Franklin Gothic Book"/>
          <w:sz w:val="22"/>
        </w:rPr>
        <w:instrText xml:space="preserve"> REF _Ref183526054 \h </w:instrText>
      </w:r>
      <w:r w:rsidR="00BD2A33" w:rsidRPr="00BD2A33">
        <w:rPr>
          <w:rFonts w:ascii="Franklin Gothic Book" w:hAnsi="Franklin Gothic Book"/>
          <w:sz w:val="22"/>
        </w:rPr>
        <w:instrText xml:space="preserve"> \* MERGEFORMAT </w:instrText>
      </w:r>
      <w:r w:rsidRPr="00BD2A33">
        <w:rPr>
          <w:rFonts w:ascii="Franklin Gothic Book" w:hAnsi="Franklin Gothic Book"/>
          <w:sz w:val="22"/>
        </w:rPr>
      </w:r>
      <w:r w:rsidRPr="00BD2A33">
        <w:rPr>
          <w:rFonts w:ascii="Franklin Gothic Book" w:hAnsi="Franklin Gothic Book"/>
          <w:sz w:val="22"/>
        </w:rPr>
        <w:fldChar w:fldCharType="separate"/>
      </w:r>
      <w:r w:rsidR="00815583" w:rsidRPr="00BD2A33">
        <w:rPr>
          <w:rFonts w:ascii="Franklin Gothic Book" w:hAnsi="Franklin Gothic Book"/>
          <w:sz w:val="22"/>
        </w:rPr>
        <w:t xml:space="preserve">Table </w:t>
      </w:r>
      <w:r w:rsidR="00815583" w:rsidRPr="00BD2A33">
        <w:rPr>
          <w:rFonts w:ascii="Franklin Gothic Book" w:hAnsi="Franklin Gothic Book"/>
          <w:noProof/>
          <w:sz w:val="22"/>
        </w:rPr>
        <w:t>5</w:t>
      </w:r>
      <w:r w:rsidRPr="00BD2A33">
        <w:rPr>
          <w:rFonts w:ascii="Franklin Gothic Book" w:hAnsi="Franklin Gothic Book"/>
          <w:sz w:val="22"/>
        </w:rPr>
        <w:fldChar w:fldCharType="end"/>
      </w:r>
      <w:r w:rsidRPr="00BD2A33">
        <w:rPr>
          <w:rFonts w:ascii="Franklin Gothic Book" w:hAnsi="Franklin Gothic Book"/>
          <w:sz w:val="22"/>
        </w:rPr>
        <w:t>.</w:t>
      </w:r>
    </w:p>
    <w:p w14:paraId="42116372" w14:textId="02AC1430" w:rsidR="00927176" w:rsidRPr="00FD70DE" w:rsidRDefault="00927176" w:rsidP="00BD2A33">
      <w:pPr>
        <w:pStyle w:val="Caption"/>
      </w:pPr>
      <w:bookmarkStart w:id="39" w:name="_Ref183526054"/>
      <w:r w:rsidRPr="00FD70DE">
        <w:t xml:space="preserve">Table </w:t>
      </w:r>
      <w:r>
        <w:fldChar w:fldCharType="begin"/>
      </w:r>
      <w:r>
        <w:instrText>SEQ Table_MSAC \* ARABIC</w:instrText>
      </w:r>
      <w:r>
        <w:fldChar w:fldCharType="separate"/>
      </w:r>
      <w:r w:rsidR="00815583">
        <w:rPr>
          <w:noProof/>
        </w:rPr>
        <w:t>5</w:t>
      </w:r>
      <w:r>
        <w:fldChar w:fldCharType="end"/>
      </w:r>
      <w:bookmarkEnd w:id="39"/>
      <w:r w:rsidRPr="00FD70DE">
        <w:tab/>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071E21" w:rsidRPr="00FD70DE" w14:paraId="59BF2908" w14:textId="77777777" w:rsidTr="4904BCD2">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0E20F" w14:textId="77777777" w:rsidR="00927176" w:rsidRPr="00FD70DE" w:rsidRDefault="00927176" w:rsidP="00AC3BE0">
            <w:pPr>
              <w:pStyle w:val="TableText"/>
              <w:spacing w:before="40" w:after="40"/>
            </w:pPr>
            <w:bookmarkStart w:id="40" w:name="_Hlk184304894"/>
            <w:r w:rsidRPr="00FD70DE">
              <w:t>Proposed test vs no test</w:t>
            </w:r>
          </w:p>
        </w:tc>
        <w:tc>
          <w:tcPr>
            <w:tcW w:w="37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2486" w14:textId="77777777" w:rsidR="00927176" w:rsidRPr="00FD70DE" w:rsidRDefault="00927176" w:rsidP="00AC3BE0">
            <w:pPr>
              <w:pStyle w:val="TableText"/>
              <w:spacing w:before="40" w:after="40"/>
              <w:rPr>
                <w:b/>
                <w:i/>
                <w:iCs/>
              </w:rPr>
            </w:pPr>
            <w:r w:rsidRPr="00FD70DE">
              <w:rPr>
                <w:i/>
                <w:iCs/>
              </w:rPr>
              <w:t>No evidence presented</w:t>
            </w:r>
          </w:p>
        </w:tc>
      </w:tr>
      <w:tr w:rsidR="00071E21" w:rsidRPr="00FD70DE" w14:paraId="2DFEA250" w14:textId="77777777" w:rsidTr="4904BCD2">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5F798" w14:textId="77777777" w:rsidR="00927176" w:rsidRPr="00FD70DE" w:rsidRDefault="00927176" w:rsidP="00AC3BE0">
            <w:pPr>
              <w:pStyle w:val="TableText"/>
              <w:spacing w:before="40" w:after="40"/>
            </w:pPr>
            <w:r w:rsidRPr="00FD70DE">
              <w:t>Proposed test vs alternative test</w:t>
            </w:r>
          </w:p>
        </w:tc>
        <w:tc>
          <w:tcPr>
            <w:tcW w:w="378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833F9" w14:textId="77777777" w:rsidR="00927176" w:rsidRPr="00FD70DE" w:rsidRDefault="00927176" w:rsidP="4904BCD2">
            <w:pPr>
              <w:pStyle w:val="TableText"/>
              <w:spacing w:before="40" w:after="40"/>
              <w:rPr>
                <w:b/>
                <w:bCs/>
                <w:i/>
                <w:iCs/>
              </w:rPr>
            </w:pPr>
            <w:r w:rsidRPr="4904BCD2">
              <w:rPr>
                <w:i/>
                <w:iCs/>
              </w:rPr>
              <w:t>3 additional small studies reporting concordance of quantified HDV RNA results</w:t>
            </w:r>
          </w:p>
        </w:tc>
      </w:tr>
      <w:tr w:rsidR="00071E21" w:rsidRPr="00FD70DE" w14:paraId="68705FF2" w14:textId="77777777" w:rsidTr="4904BCD2">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59C26" w14:textId="77777777" w:rsidR="00927176" w:rsidRPr="00FD70DE" w:rsidRDefault="00927176" w:rsidP="00AC3BE0">
            <w:pPr>
              <w:pStyle w:val="TableText"/>
              <w:spacing w:before="40" w:after="40"/>
            </w:pP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4236A" w14:textId="77777777" w:rsidR="00927176" w:rsidRPr="00FD70DE" w:rsidRDefault="00927176" w:rsidP="00AC3BE0">
            <w:pPr>
              <w:pStyle w:val="TableText"/>
              <w:spacing w:before="40" w:after="40"/>
              <w:rPr>
                <w:b/>
              </w:rPr>
            </w:pPr>
            <w:r w:rsidRPr="00FD70DE">
              <w:rPr>
                <w:b/>
              </w:rPr>
              <w:t>Proposed drug</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F6988" w14:textId="77777777" w:rsidR="00927176" w:rsidRPr="00FD70DE" w:rsidRDefault="00927176" w:rsidP="00AC3BE0">
            <w:pPr>
              <w:pStyle w:val="TableText"/>
              <w:spacing w:before="40" w:after="40"/>
              <w:rPr>
                <w:b/>
              </w:rPr>
            </w:pPr>
            <w:r w:rsidRPr="00FD70DE">
              <w:rPr>
                <w:b/>
              </w:rPr>
              <w:t>Comparator drug</w:t>
            </w:r>
          </w:p>
        </w:tc>
      </w:tr>
      <w:tr w:rsidR="00071E21" w:rsidRPr="00FD70DE" w14:paraId="0FA8DDA9" w14:textId="77777777" w:rsidTr="4904BCD2">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DA314" w14:textId="3B949A9A" w:rsidR="00927176" w:rsidRPr="00FD70DE" w:rsidRDefault="00927176" w:rsidP="37C20EEE">
            <w:pPr>
              <w:pStyle w:val="TableText"/>
              <w:spacing w:before="40" w:after="40"/>
            </w:pPr>
            <w:r w:rsidRPr="4904BCD2">
              <w:t>Biomarker test positive</w:t>
            </w: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5F9C7" w14:textId="77777777" w:rsidR="00927176" w:rsidRPr="00FD70DE" w:rsidRDefault="00927176" w:rsidP="00AC3BE0">
            <w:pPr>
              <w:pStyle w:val="TableText"/>
              <w:spacing w:before="40" w:after="40"/>
              <w:rPr>
                <w:i/>
                <w:iCs/>
              </w:rPr>
            </w:pPr>
            <w:r w:rsidRPr="00FD70DE">
              <w:rPr>
                <w:i/>
                <w:iCs/>
              </w:rPr>
              <w:t>Updated data from MYR301</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C1404" w14:textId="77777777" w:rsidR="00927176" w:rsidRPr="00FD70DE" w:rsidRDefault="00927176" w:rsidP="00AC3BE0">
            <w:pPr>
              <w:pStyle w:val="TableText"/>
              <w:spacing w:before="40" w:after="40"/>
              <w:rPr>
                <w:i/>
                <w:iCs/>
              </w:rPr>
            </w:pPr>
            <w:r w:rsidRPr="00FD70DE">
              <w:rPr>
                <w:i/>
                <w:iCs/>
              </w:rPr>
              <w:t>Updated data from MYR301</w:t>
            </w:r>
          </w:p>
        </w:tc>
      </w:tr>
      <w:tr w:rsidR="00071E21" w:rsidRPr="00FD70DE" w14:paraId="235FDCDB" w14:textId="77777777" w:rsidTr="4904BCD2">
        <w:tc>
          <w:tcPr>
            <w:tcW w:w="1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C47B4" w14:textId="5E7EC6C1" w:rsidR="00927176" w:rsidRPr="00FD70DE" w:rsidRDefault="00927176" w:rsidP="4904BCD2">
            <w:pPr>
              <w:pStyle w:val="TableText"/>
              <w:spacing w:before="40" w:after="40"/>
              <w:rPr>
                <w:b/>
                <w:bCs/>
              </w:rPr>
            </w:pPr>
            <w:r w:rsidRPr="4904BCD2">
              <w:t>Biomarker test negative</w:t>
            </w:r>
            <w:r w:rsidRPr="4904BCD2">
              <w:rPr>
                <w:b/>
                <w:bCs/>
              </w:rPr>
              <w:t xml:space="preserve"> </w:t>
            </w:r>
          </w:p>
        </w:tc>
        <w:tc>
          <w:tcPr>
            <w:tcW w:w="1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79DC7" w14:textId="77777777" w:rsidR="00927176" w:rsidRPr="00FD70DE" w:rsidRDefault="00927176" w:rsidP="00AC3BE0">
            <w:pPr>
              <w:pStyle w:val="TableText"/>
              <w:spacing w:before="40" w:after="40"/>
              <w:rPr>
                <w:i/>
                <w:iCs/>
              </w:rPr>
            </w:pPr>
            <w:r w:rsidRPr="00FD70DE">
              <w:rPr>
                <w:i/>
                <w:iCs/>
              </w:rPr>
              <w:t>No evidence presented</w:t>
            </w:r>
          </w:p>
        </w:tc>
        <w:tc>
          <w:tcPr>
            <w:tcW w:w="20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CCFE2" w14:textId="77777777" w:rsidR="00927176" w:rsidRPr="00FD70DE" w:rsidRDefault="00927176" w:rsidP="00AC3BE0">
            <w:pPr>
              <w:pStyle w:val="TableText"/>
              <w:spacing w:before="40" w:after="40"/>
              <w:rPr>
                <w:i/>
                <w:iCs/>
              </w:rPr>
            </w:pPr>
            <w:r w:rsidRPr="00FD70DE">
              <w:rPr>
                <w:i/>
                <w:iCs/>
              </w:rPr>
              <w:t>No evidence presented</w:t>
            </w:r>
          </w:p>
        </w:tc>
      </w:tr>
    </w:tbl>
    <w:p w14:paraId="2FA8898A" w14:textId="310FE4FA" w:rsidR="00927176" w:rsidRPr="00FD70DE" w:rsidRDefault="00927176" w:rsidP="00B178E4">
      <w:pPr>
        <w:pStyle w:val="TableFooter"/>
      </w:pPr>
      <w:r w:rsidRPr="00FD70DE">
        <w:t xml:space="preserve">Source: </w:t>
      </w:r>
      <w:r w:rsidR="00CB4751">
        <w:rPr>
          <w:i/>
          <w:iCs/>
        </w:rPr>
        <w:t xml:space="preserve">Table compiled during the </w:t>
      </w:r>
      <w:r w:rsidR="000F5CBF">
        <w:rPr>
          <w:i/>
          <w:iCs/>
        </w:rPr>
        <w:t xml:space="preserve">commentary’s </w:t>
      </w:r>
      <w:r w:rsidR="00CB4751">
        <w:rPr>
          <w:i/>
          <w:iCs/>
        </w:rPr>
        <w:t xml:space="preserve">evaluation. </w:t>
      </w:r>
    </w:p>
    <w:p w14:paraId="6FB12DA6" w14:textId="49A419D9" w:rsidR="00927176" w:rsidRPr="00F83F5C" w:rsidRDefault="00927176" w:rsidP="00BD2A33">
      <w:pPr>
        <w:jc w:val="left"/>
        <w:rPr>
          <w:rFonts w:ascii="Franklin Gothic Book" w:hAnsi="Franklin Gothic Book"/>
          <w:sz w:val="22"/>
        </w:rPr>
      </w:pPr>
      <w:bookmarkStart w:id="41" w:name="_Hlk184305091"/>
      <w:bookmarkEnd w:id="40"/>
      <w:r w:rsidRPr="00F83F5C">
        <w:rPr>
          <w:rFonts w:ascii="Franklin Gothic Book" w:hAnsi="Franklin Gothic Book"/>
          <w:sz w:val="22"/>
        </w:rPr>
        <w:t xml:space="preserve">The populations and tests were largely transferable across the linked </w:t>
      </w:r>
      <w:proofErr w:type="gramStart"/>
      <w:r w:rsidRPr="00F83F5C">
        <w:rPr>
          <w:rFonts w:ascii="Franklin Gothic Book" w:hAnsi="Franklin Gothic Book"/>
          <w:sz w:val="22"/>
        </w:rPr>
        <w:t>evidence</w:t>
      </w:r>
      <w:proofErr w:type="gramEnd"/>
      <w:r w:rsidRPr="00F83F5C">
        <w:rPr>
          <w:rFonts w:ascii="Franklin Gothic Book" w:hAnsi="Franklin Gothic Book"/>
          <w:sz w:val="22"/>
        </w:rPr>
        <w:t xml:space="preserve"> but the treatment regimens identified in the literature searches largely </w:t>
      </w:r>
      <w:r w:rsidR="4A1DCF49" w:rsidRPr="00F83F5C">
        <w:rPr>
          <w:rFonts w:ascii="Franklin Gothic Book" w:hAnsi="Franklin Gothic Book"/>
          <w:sz w:val="22"/>
        </w:rPr>
        <w:t xml:space="preserve">involved </w:t>
      </w:r>
      <w:r w:rsidRPr="00F83F5C">
        <w:rPr>
          <w:rFonts w:ascii="Franklin Gothic Book" w:hAnsi="Franklin Gothic Book"/>
          <w:sz w:val="22"/>
        </w:rPr>
        <w:t>treatment with interferon (IFN), which is not used in Australia for CHD.</w:t>
      </w:r>
    </w:p>
    <w:p w14:paraId="4B1DA13E" w14:textId="07740024" w:rsidR="0010086D" w:rsidRPr="00F83F5C" w:rsidRDefault="005E637A" w:rsidP="00BD2A33">
      <w:pPr>
        <w:jc w:val="left"/>
        <w:rPr>
          <w:rFonts w:ascii="Franklin Gothic Book" w:hAnsi="Franklin Gothic Book" w:cstheme="minorHAnsi"/>
          <w:sz w:val="22"/>
        </w:rPr>
      </w:pPr>
      <w:r w:rsidRPr="00F83F5C">
        <w:rPr>
          <w:rFonts w:ascii="Franklin Gothic Book" w:hAnsi="Franklin Gothic Book"/>
          <w:sz w:val="22"/>
        </w:rPr>
        <w:t>The overall risk of bias in the treatment effect trial (MYR301) was considered low</w:t>
      </w:r>
      <w:r w:rsidR="00491DBD" w:rsidRPr="00F83F5C">
        <w:rPr>
          <w:rFonts w:ascii="Franklin Gothic Book" w:hAnsi="Franklin Gothic Book"/>
          <w:sz w:val="22"/>
        </w:rPr>
        <w:t xml:space="preserve"> by the commentary</w:t>
      </w:r>
      <w:r w:rsidRPr="00F83F5C">
        <w:rPr>
          <w:rFonts w:ascii="Franklin Gothic Book" w:hAnsi="Franklin Gothic Book"/>
          <w:sz w:val="22"/>
        </w:rPr>
        <w:t>. The limitation of the MYR301 trial design was the open-label design of the study, in which patients and investigators were not blinded to the treatment group assignment. The risk of bias was considered low for the efficacy endpoints (i.e., serum HDV RNA level and ALT level), as they were objective outcomes and those who assessed these endpoints were blinded to treatment allocation. However, there is potential for bias in assessment of patient reported outcomes such as adverse events (AEs) and quality of life.</w:t>
      </w:r>
      <w:bookmarkEnd w:id="41"/>
    </w:p>
    <w:p w14:paraId="18D51F81" w14:textId="77777777" w:rsidR="00D44F9D" w:rsidRPr="00BD2A33" w:rsidRDefault="00D44F9D" w:rsidP="00C6349A">
      <w:pPr>
        <w:keepNext/>
        <w:keepLines/>
        <w:numPr>
          <w:ilvl w:val="6"/>
          <w:numId w:val="2"/>
        </w:numPr>
        <w:spacing w:before="240" w:after="120" w:line="259" w:lineRule="auto"/>
        <w:ind w:left="1298" w:hanging="1298"/>
        <w:jc w:val="left"/>
        <w:outlineLvl w:val="3"/>
        <w:rPr>
          <w:rFonts w:ascii="Franklin Gothic Book" w:eastAsiaTheme="majorEastAsia" w:hAnsi="Franklin Gothic Book" w:cstheme="majorBidi"/>
          <w:b/>
          <w:szCs w:val="28"/>
        </w:rPr>
      </w:pPr>
      <w:r w:rsidRPr="00BD2A33">
        <w:rPr>
          <w:rFonts w:ascii="Franklin Gothic Book" w:eastAsiaTheme="majorEastAsia" w:hAnsi="Franklin Gothic Book" w:cstheme="majorBidi"/>
          <w:b/>
          <w:szCs w:val="28"/>
        </w:rPr>
        <w:t xml:space="preserve">Comparative accuracy/test performance </w:t>
      </w:r>
    </w:p>
    <w:p w14:paraId="50DA22C1" w14:textId="70259782" w:rsidR="00C42FC5" w:rsidRPr="00BD2A33" w:rsidRDefault="00C42FC5" w:rsidP="00BD2A33">
      <w:pPr>
        <w:jc w:val="left"/>
        <w:rPr>
          <w:rFonts w:ascii="Franklin Gothic Book" w:hAnsi="Franklin Gothic Book"/>
          <w:i/>
          <w:iCs/>
          <w:sz w:val="22"/>
        </w:rPr>
      </w:pPr>
      <w:r w:rsidRPr="00BD2A33">
        <w:rPr>
          <w:rFonts w:ascii="Franklin Gothic Book" w:hAnsi="Franklin Gothic Book"/>
          <w:sz w:val="22"/>
        </w:rPr>
        <w:t>This section was unchanged in the resubmission,</w:t>
      </w:r>
      <w:r w:rsidRPr="00BD2A33">
        <w:rPr>
          <w:rFonts w:ascii="Franklin Gothic Book" w:hAnsi="Franklin Gothic Book"/>
          <w:i/>
          <w:iCs/>
          <w:sz w:val="22"/>
        </w:rPr>
        <w:t xml:space="preserve"> but additional evidence was identified during </w:t>
      </w:r>
      <w:r w:rsidR="3E234B26" w:rsidRPr="00BD2A33">
        <w:rPr>
          <w:rFonts w:ascii="Franklin Gothic Book" w:hAnsi="Franklin Gothic Book"/>
          <w:i/>
          <w:iCs/>
          <w:sz w:val="22"/>
        </w:rPr>
        <w:t xml:space="preserve">the </w:t>
      </w:r>
      <w:r w:rsidRPr="00BD2A33">
        <w:rPr>
          <w:rFonts w:ascii="Franklin Gothic Book" w:hAnsi="Franklin Gothic Book"/>
          <w:i/>
          <w:iCs/>
          <w:sz w:val="22"/>
        </w:rPr>
        <w:t>evaluation.</w:t>
      </w:r>
    </w:p>
    <w:p w14:paraId="5B741683" w14:textId="4D1BF18A" w:rsidR="00C42FC5" w:rsidRPr="00C77C4D" w:rsidRDefault="00C42FC5" w:rsidP="00BD2A33">
      <w:pPr>
        <w:jc w:val="left"/>
        <w:rPr>
          <w:rFonts w:ascii="Franklin Gothic Book" w:hAnsi="Franklin Gothic Book"/>
          <w:sz w:val="22"/>
        </w:rPr>
      </w:pPr>
      <w:r w:rsidRPr="00C77C4D">
        <w:rPr>
          <w:rFonts w:ascii="Franklin Gothic Book" w:hAnsi="Franklin Gothic Book"/>
          <w:sz w:val="22"/>
        </w:rPr>
        <w:t xml:space="preserve">The clinical utility standard used in the previous submission, the </w:t>
      </w:r>
      <w:proofErr w:type="spellStart"/>
      <w:r w:rsidRPr="00C77C4D">
        <w:rPr>
          <w:rFonts w:ascii="Franklin Gothic Book" w:hAnsi="Franklin Gothic Book"/>
          <w:sz w:val="22"/>
        </w:rPr>
        <w:t>RoboGene</w:t>
      </w:r>
      <w:proofErr w:type="spellEnd"/>
      <w:r w:rsidRPr="00C77C4D">
        <w:rPr>
          <w:rFonts w:ascii="Franklin Gothic Book" w:hAnsi="Franklin Gothic Book"/>
          <w:sz w:val="22"/>
        </w:rPr>
        <w:t xml:space="preserve"> HDV RNA Quantification kit 2.0, is still considered to be the </w:t>
      </w:r>
      <w:r w:rsidR="3E234B26" w:rsidRPr="00C77C4D">
        <w:rPr>
          <w:rFonts w:ascii="Franklin Gothic Book" w:hAnsi="Franklin Gothic Book"/>
          <w:sz w:val="22"/>
        </w:rPr>
        <w:t xml:space="preserve">appropriate </w:t>
      </w:r>
      <w:r w:rsidRPr="00C77C4D">
        <w:rPr>
          <w:rFonts w:ascii="Franklin Gothic Book" w:hAnsi="Franklin Gothic Book"/>
          <w:sz w:val="22"/>
        </w:rPr>
        <w:t>clinical utility standard in the resubmission.</w:t>
      </w:r>
    </w:p>
    <w:p w14:paraId="0F90759C" w14:textId="4AD85D4B" w:rsidR="00C42FC5" w:rsidRPr="00BD2A33" w:rsidRDefault="00C42FC5" w:rsidP="00BD2A33">
      <w:pPr>
        <w:jc w:val="left"/>
        <w:rPr>
          <w:rFonts w:ascii="Franklin Gothic Book" w:hAnsi="Franklin Gothic Book"/>
          <w:i/>
          <w:iCs/>
          <w:sz w:val="22"/>
        </w:rPr>
      </w:pPr>
      <w:r w:rsidRPr="00BD2A33">
        <w:rPr>
          <w:rFonts w:ascii="Franklin Gothic Book" w:hAnsi="Franklin Gothic Book"/>
          <w:sz w:val="22"/>
        </w:rPr>
        <w:lastRenderedPageBreak/>
        <w:t xml:space="preserve">The proposed test, HDV RNA PCR testing, is an in vitro diagnostic test currently performed by only one laboratory in Australia: </w:t>
      </w:r>
      <w:r w:rsidR="1C933377" w:rsidRPr="00BD2A33">
        <w:rPr>
          <w:rFonts w:ascii="Franklin Gothic Book" w:hAnsi="Franklin Gothic Book"/>
          <w:sz w:val="22"/>
        </w:rPr>
        <w:t>The</w:t>
      </w:r>
      <w:r w:rsidRPr="00BD2A33">
        <w:rPr>
          <w:rFonts w:ascii="Franklin Gothic Book" w:hAnsi="Franklin Gothic Book"/>
          <w:sz w:val="22"/>
        </w:rPr>
        <w:t xml:space="preserve"> Victorian Infectious Disease Reference Laboratory (VIDRL). This test is NATA accredited. All samples in Australia would </w:t>
      </w:r>
      <w:r w:rsidR="19AF6E3B" w:rsidRPr="00BD2A33">
        <w:rPr>
          <w:rFonts w:ascii="Franklin Gothic Book" w:hAnsi="Franklin Gothic Book"/>
          <w:sz w:val="22"/>
        </w:rPr>
        <w:t xml:space="preserve">need to </w:t>
      </w:r>
      <w:r w:rsidRPr="00BD2A33">
        <w:rPr>
          <w:rFonts w:ascii="Franklin Gothic Book" w:hAnsi="Franklin Gothic Book"/>
          <w:sz w:val="22"/>
        </w:rPr>
        <w:t xml:space="preserve">be sent to the VIDRL for processing. In future, more laboratories in Australia may start offering this test. </w:t>
      </w:r>
      <w:r w:rsidRPr="00BD2A33">
        <w:rPr>
          <w:rFonts w:ascii="Franklin Gothic Book" w:hAnsi="Franklin Gothic Book"/>
          <w:i/>
          <w:iCs/>
          <w:sz w:val="22"/>
        </w:rPr>
        <w:t>This is unchanged from the previous submission.</w:t>
      </w:r>
    </w:p>
    <w:p w14:paraId="33FCA93B" w14:textId="6F3294ED" w:rsidR="00C42FC5" w:rsidRPr="00BD2A33" w:rsidRDefault="00C42FC5" w:rsidP="00BD2A33">
      <w:pPr>
        <w:jc w:val="left"/>
        <w:rPr>
          <w:rFonts w:ascii="Franklin Gothic Book" w:hAnsi="Franklin Gothic Book"/>
          <w:sz w:val="22"/>
        </w:rPr>
      </w:pPr>
      <w:r w:rsidRPr="00BD2A33">
        <w:rPr>
          <w:rFonts w:ascii="Franklin Gothic Book" w:hAnsi="Franklin Gothic Book"/>
          <w:sz w:val="22"/>
        </w:rPr>
        <w:t>The VIDRL currently uses an in-house assay</w:t>
      </w:r>
      <w:r w:rsidR="00B43CF6">
        <w:rPr>
          <w:rFonts w:ascii="Franklin Gothic Book" w:hAnsi="Franklin Gothic Book"/>
          <w:sz w:val="22"/>
        </w:rPr>
        <w:t xml:space="preserve"> </w:t>
      </w:r>
      <w:r w:rsidR="00B43CF6" w:rsidRPr="00B43CF6">
        <w:rPr>
          <w:rFonts w:ascii="Franklin Gothic Book" w:hAnsi="Franklin Gothic Book"/>
          <w:b/>
          <w:bCs/>
          <w:sz w:val="22"/>
        </w:rPr>
        <w:t>redacted</w:t>
      </w:r>
      <w:r w:rsidRPr="00BD2A33">
        <w:rPr>
          <w:rFonts w:ascii="Franklin Gothic Book" w:hAnsi="Franklin Gothic Book"/>
          <w:sz w:val="22"/>
        </w:rPr>
        <w:t xml:space="preserve"> that measures the amount of HDV RNA present in blood and detects all known HDV genotypes. </w:t>
      </w:r>
      <w:r w:rsidR="00B43CF6" w:rsidRPr="00B43CF6">
        <w:rPr>
          <w:rFonts w:ascii="Franklin Gothic Book" w:hAnsi="Franklin Gothic Book"/>
          <w:b/>
          <w:bCs/>
          <w:sz w:val="22"/>
        </w:rPr>
        <w:t>redacted</w:t>
      </w:r>
    </w:p>
    <w:p w14:paraId="7EF501D0" w14:textId="05DC8FD3" w:rsidR="00C42FC5" w:rsidRPr="00193386" w:rsidRDefault="00C42FC5" w:rsidP="00BD2A33">
      <w:pPr>
        <w:jc w:val="left"/>
        <w:rPr>
          <w:rFonts w:ascii="Franklin Gothic Book" w:hAnsi="Franklin Gothic Book"/>
          <w:sz w:val="22"/>
        </w:rPr>
      </w:pPr>
      <w:r w:rsidRPr="00193386">
        <w:rPr>
          <w:rFonts w:ascii="Franklin Gothic Book" w:hAnsi="Franklin Gothic Book"/>
          <w:sz w:val="22"/>
        </w:rPr>
        <w:t>One recent study</w:t>
      </w:r>
      <w:r w:rsidRPr="00193386">
        <w:rPr>
          <w:rStyle w:val="FootnoteReference"/>
          <w:rFonts w:ascii="Franklin Gothic Book" w:hAnsi="Franklin Gothic Book"/>
          <w:sz w:val="22"/>
        </w:rPr>
        <w:footnoteReference w:id="3"/>
      </w:r>
      <w:r w:rsidRPr="00193386">
        <w:rPr>
          <w:rFonts w:ascii="Franklin Gothic Book" w:hAnsi="Franklin Gothic Book"/>
          <w:sz w:val="22"/>
        </w:rPr>
        <w:t xml:space="preserve"> compared the accuracy of 2 commercially available kits, </w:t>
      </w:r>
      <w:proofErr w:type="spellStart"/>
      <w:r w:rsidRPr="00193386">
        <w:rPr>
          <w:rFonts w:ascii="Franklin Gothic Book" w:hAnsi="Franklin Gothic Book"/>
          <w:sz w:val="22"/>
        </w:rPr>
        <w:t>Vircell</w:t>
      </w:r>
      <w:proofErr w:type="spellEnd"/>
      <w:r w:rsidRPr="00193386">
        <w:rPr>
          <w:rFonts w:ascii="Franklin Gothic Book" w:hAnsi="Franklin Gothic Book"/>
          <w:sz w:val="22"/>
        </w:rPr>
        <w:t xml:space="preserve"> Hepatitis Delta RT-PCR system kit and </w:t>
      </w:r>
      <w:proofErr w:type="spellStart"/>
      <w:r w:rsidRPr="00193386">
        <w:rPr>
          <w:rFonts w:ascii="Franklin Gothic Book" w:hAnsi="Franklin Gothic Book"/>
          <w:sz w:val="22"/>
        </w:rPr>
        <w:t>EurobioPlex</w:t>
      </w:r>
      <w:proofErr w:type="spellEnd"/>
      <w:r w:rsidRPr="00193386">
        <w:rPr>
          <w:rFonts w:ascii="Franklin Gothic Book" w:hAnsi="Franklin Gothic Book"/>
          <w:sz w:val="22"/>
        </w:rPr>
        <w:t xml:space="preserve"> HDV assay, with </w:t>
      </w:r>
      <w:r w:rsidR="3E234B26" w:rsidRPr="00193386">
        <w:rPr>
          <w:rFonts w:ascii="Franklin Gothic Book" w:hAnsi="Franklin Gothic Book"/>
          <w:sz w:val="22"/>
        </w:rPr>
        <w:t xml:space="preserve">the </w:t>
      </w:r>
      <w:r w:rsidRPr="00193386">
        <w:rPr>
          <w:rFonts w:ascii="Franklin Gothic Book" w:hAnsi="Franklin Gothic Book"/>
          <w:sz w:val="22"/>
        </w:rPr>
        <w:t xml:space="preserve">clinical utility standard, the </w:t>
      </w:r>
      <w:proofErr w:type="spellStart"/>
      <w:r w:rsidRPr="00193386">
        <w:rPr>
          <w:rFonts w:ascii="Franklin Gothic Book" w:hAnsi="Franklin Gothic Book"/>
          <w:sz w:val="22"/>
        </w:rPr>
        <w:t>RoboGene</w:t>
      </w:r>
      <w:proofErr w:type="spellEnd"/>
      <w:r w:rsidRPr="00193386">
        <w:rPr>
          <w:rFonts w:ascii="Franklin Gothic Book" w:hAnsi="Franklin Gothic Book"/>
          <w:sz w:val="22"/>
        </w:rPr>
        <w:t xml:space="preserve"> HDV RNA Quantification kit 2.0</w:t>
      </w:r>
      <w:r w:rsidR="3E234B26" w:rsidRPr="00193386">
        <w:rPr>
          <w:rFonts w:ascii="Franklin Gothic Book" w:hAnsi="Franklin Gothic Book"/>
          <w:sz w:val="22"/>
        </w:rPr>
        <w:t>,</w:t>
      </w:r>
      <w:r w:rsidRPr="00193386">
        <w:rPr>
          <w:rFonts w:ascii="Franklin Gothic Book" w:hAnsi="Franklin Gothic Book"/>
          <w:sz w:val="22"/>
        </w:rPr>
        <w:t xml:space="preserve"> using 150 HBsAg positive samples (90 HDV-RNA negative and 61 HDV-RNA positive).</w:t>
      </w:r>
    </w:p>
    <w:p w14:paraId="18539069" w14:textId="05F5323A" w:rsidR="00C42FC5" w:rsidRPr="00193386" w:rsidRDefault="00C42FC5" w:rsidP="00BD2A33">
      <w:pPr>
        <w:jc w:val="left"/>
        <w:rPr>
          <w:rFonts w:ascii="Franklin Gothic Book" w:hAnsi="Franklin Gothic Book"/>
          <w:sz w:val="22"/>
        </w:rPr>
      </w:pPr>
      <w:r w:rsidRPr="00193386">
        <w:rPr>
          <w:rFonts w:ascii="Franklin Gothic Book" w:hAnsi="Franklin Gothic Book"/>
          <w:sz w:val="22"/>
        </w:rPr>
        <w:t>The qualitative concordance, defined as the number of patients correctly identified as having either detectable or undetectable HDV, i.e. having a positive or negative result</w:t>
      </w:r>
      <w:r w:rsidR="3E234B26" w:rsidRPr="00193386">
        <w:rPr>
          <w:rFonts w:ascii="Franklin Gothic Book" w:hAnsi="Franklin Gothic Book"/>
          <w:sz w:val="22"/>
        </w:rPr>
        <w:t>,</w:t>
      </w:r>
      <w:r w:rsidRPr="00193386">
        <w:rPr>
          <w:rFonts w:ascii="Franklin Gothic Book" w:hAnsi="Franklin Gothic Book"/>
          <w:sz w:val="22"/>
        </w:rPr>
        <w:t xml:space="preserve"> was 100%. This was </w:t>
      </w:r>
      <w:proofErr w:type="gramStart"/>
      <w:r w:rsidRPr="00193386">
        <w:rPr>
          <w:rFonts w:ascii="Franklin Gothic Book" w:hAnsi="Franklin Gothic Book"/>
          <w:sz w:val="22"/>
        </w:rPr>
        <w:t>similar to</w:t>
      </w:r>
      <w:proofErr w:type="gramEnd"/>
      <w:r w:rsidRPr="00193386">
        <w:rPr>
          <w:rFonts w:ascii="Franklin Gothic Book" w:hAnsi="Franklin Gothic Book"/>
          <w:sz w:val="22"/>
        </w:rPr>
        <w:t xml:space="preserve"> the qualitative concordance </w:t>
      </w:r>
      <w:r w:rsidR="3E234B26" w:rsidRPr="00193386">
        <w:rPr>
          <w:rFonts w:ascii="Franklin Gothic Book" w:hAnsi="Franklin Gothic Book"/>
          <w:sz w:val="22"/>
        </w:rPr>
        <w:t xml:space="preserve">between </w:t>
      </w:r>
      <w:r w:rsidRPr="00193386">
        <w:rPr>
          <w:rFonts w:ascii="Franklin Gothic Book" w:hAnsi="Franklin Gothic Book"/>
          <w:sz w:val="22"/>
        </w:rPr>
        <w:t xml:space="preserve">the VIDRL in-house test </w:t>
      </w:r>
      <w:r w:rsidR="3E234B26" w:rsidRPr="00193386">
        <w:rPr>
          <w:rFonts w:ascii="Franklin Gothic Book" w:hAnsi="Franklin Gothic Book"/>
          <w:sz w:val="22"/>
        </w:rPr>
        <w:t>and</w:t>
      </w:r>
      <w:r w:rsidRPr="00193386">
        <w:rPr>
          <w:rFonts w:ascii="Franklin Gothic Book" w:hAnsi="Franklin Gothic Book"/>
          <w:sz w:val="22"/>
        </w:rPr>
        <w:t xml:space="preserve"> the </w:t>
      </w:r>
      <w:proofErr w:type="spellStart"/>
      <w:r w:rsidRPr="00193386">
        <w:rPr>
          <w:rFonts w:ascii="Franklin Gothic Book" w:hAnsi="Franklin Gothic Book"/>
          <w:sz w:val="22"/>
        </w:rPr>
        <w:t>RoboGene</w:t>
      </w:r>
      <w:proofErr w:type="spellEnd"/>
      <w:r w:rsidRPr="00193386">
        <w:rPr>
          <w:rFonts w:ascii="Franklin Gothic Book" w:hAnsi="Franklin Gothic Book"/>
          <w:sz w:val="22"/>
        </w:rPr>
        <w:t xml:space="preserve"> clinical utility standard</w:t>
      </w:r>
      <w:r w:rsidR="3E234B26" w:rsidRPr="00193386">
        <w:rPr>
          <w:rFonts w:ascii="Franklin Gothic Book" w:hAnsi="Franklin Gothic Book"/>
          <w:sz w:val="22"/>
        </w:rPr>
        <w:t>, which</w:t>
      </w:r>
      <w:r w:rsidRPr="00193386">
        <w:rPr>
          <w:rFonts w:ascii="Franklin Gothic Book" w:hAnsi="Franklin Gothic Book"/>
          <w:sz w:val="22"/>
        </w:rPr>
        <w:t xml:space="preserve"> </w:t>
      </w:r>
      <w:r w:rsidR="1C933377" w:rsidRPr="00193386">
        <w:rPr>
          <w:rFonts w:ascii="Franklin Gothic Book" w:hAnsi="Franklin Gothic Book"/>
          <w:sz w:val="22"/>
        </w:rPr>
        <w:t>had</w:t>
      </w:r>
      <w:r w:rsidRPr="00193386">
        <w:rPr>
          <w:rFonts w:ascii="Franklin Gothic Book" w:hAnsi="Franklin Gothic Book"/>
          <w:sz w:val="22"/>
        </w:rPr>
        <w:t xml:space="preserve"> </w:t>
      </w:r>
      <w:r w:rsidR="00E66A15" w:rsidRPr="0012664D">
        <w:rPr>
          <w:rFonts w:ascii="Franklin Gothic Book" w:hAnsi="Franklin Gothic Book"/>
          <w:b/>
          <w:bCs/>
          <w:sz w:val="22"/>
        </w:rPr>
        <w:t>redacted</w:t>
      </w:r>
      <w:r w:rsidRPr="00193386">
        <w:rPr>
          <w:rFonts w:ascii="Franklin Gothic Book" w:hAnsi="Franklin Gothic Book"/>
          <w:sz w:val="22"/>
        </w:rPr>
        <w:t xml:space="preserve"> positive percent agreement, and </w:t>
      </w:r>
      <w:r w:rsidR="00E66A15" w:rsidRPr="0012664D">
        <w:rPr>
          <w:rFonts w:ascii="Franklin Gothic Book" w:hAnsi="Franklin Gothic Book"/>
          <w:b/>
          <w:bCs/>
          <w:sz w:val="22"/>
        </w:rPr>
        <w:t>redacted</w:t>
      </w:r>
      <w:r w:rsidRPr="00193386">
        <w:rPr>
          <w:rFonts w:ascii="Franklin Gothic Book" w:hAnsi="Franklin Gothic Book"/>
          <w:sz w:val="22"/>
        </w:rPr>
        <w:t xml:space="preserve"> negative percent agreement </w:t>
      </w:r>
      <w:r w:rsidR="3E234B26" w:rsidRPr="00193386">
        <w:rPr>
          <w:rFonts w:ascii="Franklin Gothic Book" w:hAnsi="Franklin Gothic Book"/>
          <w:sz w:val="22"/>
        </w:rPr>
        <w:t xml:space="preserve">(as </w:t>
      </w:r>
      <w:r w:rsidRPr="00193386">
        <w:rPr>
          <w:rFonts w:ascii="Franklin Gothic Book" w:hAnsi="Franklin Gothic Book"/>
          <w:sz w:val="22"/>
        </w:rPr>
        <w:t xml:space="preserve">reported by </w:t>
      </w:r>
      <w:proofErr w:type="spellStart"/>
      <w:r w:rsidRPr="00193386">
        <w:rPr>
          <w:rFonts w:ascii="Franklin Gothic Book" w:hAnsi="Franklin Gothic Book"/>
          <w:sz w:val="22"/>
        </w:rPr>
        <w:t>Bonanzinga</w:t>
      </w:r>
      <w:proofErr w:type="spellEnd"/>
      <w:r w:rsidRPr="00193386">
        <w:rPr>
          <w:rFonts w:ascii="Franklin Gothic Book" w:hAnsi="Franklin Gothic Book"/>
          <w:sz w:val="22"/>
        </w:rPr>
        <w:t xml:space="preserve"> (2023)</w:t>
      </w:r>
      <w:r w:rsidRPr="00193386">
        <w:rPr>
          <w:rStyle w:val="FootnoteReference"/>
          <w:rFonts w:ascii="Franklin Gothic Book" w:hAnsi="Franklin Gothic Book"/>
          <w:sz w:val="22"/>
        </w:rPr>
        <w:footnoteReference w:id="4"/>
      </w:r>
      <w:r w:rsidRPr="00193386">
        <w:rPr>
          <w:rFonts w:ascii="Franklin Gothic Book" w:hAnsi="Franklin Gothic Book"/>
          <w:sz w:val="22"/>
        </w:rPr>
        <w:t xml:space="preserve"> in the previous submission</w:t>
      </w:r>
      <w:r w:rsidR="3E234B26" w:rsidRPr="00193386">
        <w:rPr>
          <w:rFonts w:ascii="Franklin Gothic Book" w:hAnsi="Franklin Gothic Book"/>
          <w:sz w:val="22"/>
        </w:rPr>
        <w:t>)</w:t>
      </w:r>
      <w:r w:rsidRPr="00193386">
        <w:rPr>
          <w:rFonts w:ascii="Franklin Gothic Book" w:hAnsi="Franklin Gothic Book"/>
          <w:sz w:val="22"/>
        </w:rPr>
        <w:t xml:space="preserve">. </w:t>
      </w:r>
      <w:r w:rsidR="00E66A15" w:rsidRPr="004C24B7">
        <w:rPr>
          <w:rFonts w:ascii="Franklin Gothic Book" w:hAnsi="Franklin Gothic Book"/>
          <w:b/>
          <w:bCs/>
          <w:sz w:val="22"/>
        </w:rPr>
        <w:t>redacted</w:t>
      </w:r>
      <w:r w:rsidR="00E66A15" w:rsidRPr="004C24B7" w:rsidDel="00E66A15">
        <w:rPr>
          <w:rFonts w:ascii="Franklin Gothic Book" w:hAnsi="Franklin Gothic Book"/>
          <w:b/>
          <w:bCs/>
          <w:sz w:val="22"/>
        </w:rPr>
        <w:t xml:space="preserve"> </w:t>
      </w:r>
    </w:p>
    <w:p w14:paraId="58D7CBC2" w14:textId="410A32A7" w:rsidR="00C42FC5" w:rsidRPr="00193386" w:rsidRDefault="3E234B26" w:rsidP="00BD2A33">
      <w:pPr>
        <w:jc w:val="left"/>
        <w:rPr>
          <w:rFonts w:ascii="Franklin Gothic Book" w:hAnsi="Franklin Gothic Book"/>
          <w:sz w:val="22"/>
        </w:rPr>
      </w:pPr>
      <w:r w:rsidRPr="00193386">
        <w:rPr>
          <w:rFonts w:ascii="Franklin Gothic Book" w:hAnsi="Franklin Gothic Book"/>
          <w:sz w:val="22"/>
        </w:rPr>
        <w:t>T</w:t>
      </w:r>
      <w:r w:rsidR="00C42FC5" w:rsidRPr="00193386">
        <w:rPr>
          <w:rFonts w:ascii="Franklin Gothic Book" w:hAnsi="Franklin Gothic Book"/>
          <w:sz w:val="22"/>
        </w:rPr>
        <w:t>he quantitative concordance, defined as the ability of the tests to reliably detect a similar viral load for each HDV positive patient, was less consistent</w:t>
      </w:r>
      <w:r w:rsidRPr="00193386">
        <w:rPr>
          <w:rFonts w:ascii="Franklin Gothic Book" w:hAnsi="Franklin Gothic Book"/>
          <w:sz w:val="22"/>
        </w:rPr>
        <w:t>. T</w:t>
      </w:r>
      <w:r w:rsidR="00C42FC5" w:rsidRPr="00193386">
        <w:rPr>
          <w:rFonts w:ascii="Franklin Gothic Book" w:hAnsi="Franklin Gothic Book"/>
          <w:sz w:val="22"/>
        </w:rPr>
        <w:t xml:space="preserve">he </w:t>
      </w:r>
      <w:proofErr w:type="spellStart"/>
      <w:r w:rsidR="00C42FC5" w:rsidRPr="00193386">
        <w:rPr>
          <w:rFonts w:ascii="Franklin Gothic Book" w:hAnsi="Franklin Gothic Book"/>
          <w:sz w:val="22"/>
        </w:rPr>
        <w:t>Vircell</w:t>
      </w:r>
      <w:proofErr w:type="spellEnd"/>
      <w:r w:rsidR="00C42FC5" w:rsidRPr="00193386">
        <w:rPr>
          <w:rFonts w:ascii="Franklin Gothic Book" w:hAnsi="Franklin Gothic Book"/>
          <w:sz w:val="22"/>
        </w:rPr>
        <w:t xml:space="preserve"> kit and the </w:t>
      </w:r>
      <w:proofErr w:type="spellStart"/>
      <w:r w:rsidR="00C42FC5" w:rsidRPr="00193386">
        <w:rPr>
          <w:rFonts w:ascii="Franklin Gothic Book" w:hAnsi="Franklin Gothic Book"/>
          <w:sz w:val="22"/>
        </w:rPr>
        <w:t>EurobioPlex</w:t>
      </w:r>
      <w:proofErr w:type="spellEnd"/>
      <w:r w:rsidR="00C42FC5" w:rsidRPr="00193386">
        <w:rPr>
          <w:rFonts w:ascii="Franklin Gothic Book" w:hAnsi="Franklin Gothic Book"/>
          <w:sz w:val="22"/>
        </w:rPr>
        <w:t xml:space="preserve"> assay overestimat</w:t>
      </w:r>
      <w:r w:rsidRPr="00193386">
        <w:rPr>
          <w:rFonts w:ascii="Franklin Gothic Book" w:hAnsi="Franklin Gothic Book"/>
          <w:sz w:val="22"/>
        </w:rPr>
        <w:t>ed</w:t>
      </w:r>
      <w:r w:rsidR="00C42FC5" w:rsidRPr="00193386">
        <w:rPr>
          <w:rFonts w:ascii="Franklin Gothic Book" w:hAnsi="Franklin Gothic Book"/>
          <w:sz w:val="22"/>
        </w:rPr>
        <w:t xml:space="preserve"> the viral load by 0.98 log</w:t>
      </w:r>
      <w:r w:rsidR="00C42FC5" w:rsidRPr="00193386">
        <w:rPr>
          <w:rFonts w:ascii="Franklin Gothic Book" w:hAnsi="Franklin Gothic Book"/>
          <w:sz w:val="22"/>
          <w:vertAlign w:val="subscript"/>
        </w:rPr>
        <w:t>10</w:t>
      </w:r>
      <w:r w:rsidR="00C42FC5" w:rsidRPr="00193386">
        <w:rPr>
          <w:rFonts w:ascii="Franklin Gothic Book" w:hAnsi="Franklin Gothic Book"/>
          <w:sz w:val="22"/>
        </w:rPr>
        <w:t xml:space="preserve"> IU/mL and 1.46 log</w:t>
      </w:r>
      <w:r w:rsidR="00C42FC5" w:rsidRPr="00193386">
        <w:rPr>
          <w:rFonts w:ascii="Franklin Gothic Book" w:hAnsi="Franklin Gothic Book"/>
          <w:sz w:val="22"/>
          <w:vertAlign w:val="subscript"/>
        </w:rPr>
        <w:t>10</w:t>
      </w:r>
      <w:r w:rsidR="00C42FC5" w:rsidRPr="00193386">
        <w:rPr>
          <w:rFonts w:ascii="Franklin Gothic Book" w:hAnsi="Franklin Gothic Book"/>
          <w:sz w:val="22"/>
        </w:rPr>
        <w:t xml:space="preserve"> IU/mL, respectively, and the </w:t>
      </w:r>
      <w:proofErr w:type="spellStart"/>
      <w:r w:rsidR="00C42FC5" w:rsidRPr="00193386">
        <w:rPr>
          <w:rFonts w:ascii="Franklin Gothic Book" w:hAnsi="Franklin Gothic Book"/>
          <w:sz w:val="22"/>
        </w:rPr>
        <w:t>RoboGene</w:t>
      </w:r>
      <w:proofErr w:type="spellEnd"/>
      <w:r w:rsidR="00C42FC5" w:rsidRPr="00193386">
        <w:rPr>
          <w:rFonts w:ascii="Franklin Gothic Book" w:hAnsi="Franklin Gothic Book"/>
          <w:sz w:val="22"/>
        </w:rPr>
        <w:t xml:space="preserve"> kit underestimat</w:t>
      </w:r>
      <w:r w:rsidRPr="00193386">
        <w:rPr>
          <w:rFonts w:ascii="Franklin Gothic Book" w:hAnsi="Franklin Gothic Book"/>
          <w:sz w:val="22"/>
        </w:rPr>
        <w:t>ed</w:t>
      </w:r>
      <w:r w:rsidR="00C42FC5" w:rsidRPr="00193386">
        <w:rPr>
          <w:rFonts w:ascii="Franklin Gothic Book" w:hAnsi="Franklin Gothic Book"/>
          <w:sz w:val="22"/>
        </w:rPr>
        <w:t xml:space="preserve"> it by 0.98 log</w:t>
      </w:r>
      <w:r w:rsidR="00C42FC5" w:rsidRPr="00193386">
        <w:rPr>
          <w:rFonts w:ascii="Franklin Gothic Book" w:hAnsi="Franklin Gothic Book"/>
          <w:sz w:val="22"/>
          <w:vertAlign w:val="subscript"/>
        </w:rPr>
        <w:t>10</w:t>
      </w:r>
      <w:r w:rsidR="00C42FC5" w:rsidRPr="00193386">
        <w:rPr>
          <w:rFonts w:ascii="Franklin Gothic Book" w:hAnsi="Franklin Gothic Book"/>
          <w:sz w:val="22"/>
        </w:rPr>
        <w:t xml:space="preserve"> IU/</w:t>
      </w:r>
      <w:proofErr w:type="spellStart"/>
      <w:r w:rsidR="00C42FC5" w:rsidRPr="00193386">
        <w:rPr>
          <w:rFonts w:ascii="Franklin Gothic Book" w:hAnsi="Franklin Gothic Book"/>
          <w:sz w:val="22"/>
        </w:rPr>
        <w:t>mL.</w:t>
      </w:r>
      <w:proofErr w:type="spellEnd"/>
      <w:r w:rsidR="00C42FC5" w:rsidRPr="00193386">
        <w:rPr>
          <w:rFonts w:ascii="Franklin Gothic Book" w:hAnsi="Franklin Gothic Book"/>
          <w:sz w:val="22"/>
        </w:rPr>
        <w:t xml:space="preserve"> Again </w:t>
      </w:r>
      <w:proofErr w:type="spellStart"/>
      <w:r w:rsidR="00C42FC5" w:rsidRPr="00193386">
        <w:rPr>
          <w:rFonts w:ascii="Franklin Gothic Book" w:hAnsi="Franklin Gothic Book"/>
          <w:sz w:val="22"/>
        </w:rPr>
        <w:t>Bonanzinga</w:t>
      </w:r>
      <w:proofErr w:type="spellEnd"/>
      <w:r w:rsidR="00C42FC5" w:rsidRPr="00193386">
        <w:rPr>
          <w:rFonts w:ascii="Franklin Gothic Book" w:hAnsi="Franklin Gothic Book"/>
          <w:sz w:val="22"/>
        </w:rPr>
        <w:t xml:space="preserve"> (2023) </w:t>
      </w:r>
      <w:r w:rsidR="00E66A15" w:rsidRPr="004C24B7">
        <w:rPr>
          <w:rFonts w:ascii="Franklin Gothic Book" w:hAnsi="Franklin Gothic Book"/>
          <w:b/>
          <w:bCs/>
          <w:sz w:val="22"/>
        </w:rPr>
        <w:t xml:space="preserve">redacted </w:t>
      </w:r>
    </w:p>
    <w:p w14:paraId="69B0B37B" w14:textId="452588CC" w:rsidR="00C42FC5" w:rsidRPr="00193386" w:rsidRDefault="00C42FC5" w:rsidP="00BD2A33">
      <w:pPr>
        <w:jc w:val="left"/>
        <w:rPr>
          <w:rFonts w:ascii="Franklin Gothic Book" w:hAnsi="Franklin Gothic Book"/>
          <w:sz w:val="22"/>
        </w:rPr>
      </w:pPr>
      <w:r w:rsidRPr="00193386">
        <w:rPr>
          <w:rFonts w:ascii="Franklin Gothic Book" w:hAnsi="Franklin Gothic Book"/>
          <w:sz w:val="22"/>
        </w:rPr>
        <w:t>A recent review of HDV RNA assays</w:t>
      </w:r>
      <w:r w:rsidRPr="00193386">
        <w:rPr>
          <w:rStyle w:val="FootnoteReference"/>
          <w:rFonts w:ascii="Franklin Gothic Book" w:hAnsi="Franklin Gothic Book"/>
          <w:sz w:val="22"/>
        </w:rPr>
        <w:footnoteReference w:id="5"/>
      </w:r>
      <w:r w:rsidR="32D4DDFA" w:rsidRPr="00193386">
        <w:rPr>
          <w:rFonts w:ascii="Franklin Gothic Book" w:hAnsi="Franklin Gothic Book"/>
          <w:sz w:val="22"/>
        </w:rPr>
        <w:t xml:space="preserve">, </w:t>
      </w:r>
      <w:r w:rsidRPr="00193386">
        <w:rPr>
          <w:rFonts w:ascii="Franklin Gothic Book" w:hAnsi="Franklin Gothic Book"/>
          <w:sz w:val="22"/>
        </w:rPr>
        <w:t>identified during evaluation</w:t>
      </w:r>
      <w:r w:rsidR="32D4DDFA" w:rsidRPr="00193386">
        <w:rPr>
          <w:rFonts w:ascii="Franklin Gothic Book" w:hAnsi="Franklin Gothic Book"/>
          <w:sz w:val="22"/>
        </w:rPr>
        <w:t>,</w:t>
      </w:r>
      <w:r w:rsidRPr="00193386">
        <w:rPr>
          <w:rFonts w:ascii="Franklin Gothic Book" w:hAnsi="Franklin Gothic Book"/>
          <w:sz w:val="22"/>
        </w:rPr>
        <w:t xml:space="preserve"> provided a summary of the factors that result in variability in the performance characteristics of different quantitative HDV RNA assays. These include:</w:t>
      </w:r>
    </w:p>
    <w:p w14:paraId="3AE26600" w14:textId="77777777" w:rsidR="00C42FC5" w:rsidRPr="00193386" w:rsidRDefault="00C42FC5" w:rsidP="00BD2A33">
      <w:pPr>
        <w:pStyle w:val="MainBodyBulletPoint"/>
        <w:keepNext/>
        <w:rPr>
          <w:rFonts w:ascii="Franklin Gothic Book" w:hAnsi="Franklin Gothic Book"/>
          <w:sz w:val="22"/>
        </w:rPr>
      </w:pPr>
      <w:r w:rsidRPr="00193386">
        <w:rPr>
          <w:rFonts w:ascii="Franklin Gothic Book" w:hAnsi="Franklin Gothic Book"/>
          <w:sz w:val="22"/>
        </w:rPr>
        <w:t>RNA extraction methodology</w:t>
      </w:r>
    </w:p>
    <w:p w14:paraId="1A6FF28E" w14:textId="77777777" w:rsidR="00C42FC5" w:rsidRPr="00193386" w:rsidRDefault="00C42FC5" w:rsidP="00BD2A33">
      <w:pPr>
        <w:pStyle w:val="MainBodyBulletPoint"/>
        <w:numPr>
          <w:ilvl w:val="0"/>
          <w:numId w:val="0"/>
        </w:numPr>
        <w:ind w:left="720"/>
        <w:rPr>
          <w:rFonts w:ascii="Franklin Gothic Book" w:hAnsi="Franklin Gothic Book"/>
          <w:sz w:val="22"/>
        </w:rPr>
      </w:pPr>
      <w:r w:rsidRPr="00193386">
        <w:rPr>
          <w:rFonts w:ascii="Franklin Gothic Book" w:hAnsi="Franklin Gothic Book"/>
          <w:sz w:val="22"/>
        </w:rPr>
        <w:t>Two studies</w:t>
      </w:r>
      <w:r w:rsidRPr="00193386">
        <w:rPr>
          <w:rStyle w:val="FootnoteReference"/>
          <w:rFonts w:ascii="Franklin Gothic Book" w:hAnsi="Franklin Gothic Book"/>
          <w:sz w:val="22"/>
        </w:rPr>
        <w:footnoteReference w:id="6"/>
      </w:r>
      <w:r w:rsidRPr="00193386">
        <w:rPr>
          <w:rFonts w:ascii="Franklin Gothic Book" w:hAnsi="Franklin Gothic Book"/>
          <w:sz w:val="22"/>
        </w:rPr>
        <w:t xml:space="preserve"> found that the result was significantly influenced by the extraction method used. Automated extraction significantly underestimated the viral load by approximately 1 log</w:t>
      </w:r>
      <w:r w:rsidRPr="00193386">
        <w:rPr>
          <w:rFonts w:ascii="Franklin Gothic Book" w:hAnsi="Franklin Gothic Book"/>
          <w:sz w:val="22"/>
          <w:vertAlign w:val="subscript"/>
        </w:rPr>
        <w:t>10</w:t>
      </w:r>
      <w:r w:rsidRPr="00193386">
        <w:rPr>
          <w:rFonts w:ascii="Franklin Gothic Book" w:hAnsi="Franklin Gothic Book"/>
          <w:sz w:val="22"/>
        </w:rPr>
        <w:t xml:space="preserve"> IU/mL compared with manual extraction.</w:t>
      </w:r>
    </w:p>
    <w:p w14:paraId="53B90248" w14:textId="11070EEA" w:rsidR="00C42FC5" w:rsidRPr="00193386" w:rsidRDefault="00C42FC5" w:rsidP="00BD2A33">
      <w:pPr>
        <w:pStyle w:val="MainBodyBulletPoint"/>
        <w:numPr>
          <w:ilvl w:val="0"/>
          <w:numId w:val="0"/>
        </w:numPr>
        <w:ind w:left="720"/>
        <w:rPr>
          <w:rFonts w:ascii="Franklin Gothic Book" w:hAnsi="Franklin Gothic Book"/>
          <w:sz w:val="22"/>
        </w:rPr>
      </w:pPr>
      <w:r w:rsidRPr="00193386">
        <w:rPr>
          <w:rFonts w:ascii="Franklin Gothic Book" w:hAnsi="Franklin Gothic Book"/>
          <w:sz w:val="22"/>
        </w:rPr>
        <w:t>A third study</w:t>
      </w:r>
      <w:r w:rsidRPr="00193386">
        <w:rPr>
          <w:rStyle w:val="FootnoteReference"/>
          <w:rFonts w:ascii="Franklin Gothic Book" w:hAnsi="Franklin Gothic Book"/>
          <w:sz w:val="22"/>
        </w:rPr>
        <w:footnoteReference w:id="7"/>
      </w:r>
      <w:r w:rsidRPr="00193386">
        <w:rPr>
          <w:rFonts w:ascii="Franklin Gothic Book" w:hAnsi="Franklin Gothic Book"/>
          <w:sz w:val="22"/>
        </w:rPr>
        <w:t xml:space="preserve"> found that viral load estimates using automated extraction methods led to 6- to 10-fold lower HDV RNA values when compared with manual RNA extraction.</w:t>
      </w:r>
    </w:p>
    <w:p w14:paraId="7B99760B" w14:textId="77777777" w:rsidR="00C42FC5" w:rsidRPr="00193386" w:rsidRDefault="00C42FC5" w:rsidP="006B3E2B">
      <w:pPr>
        <w:pStyle w:val="MainBodyBulletPoint"/>
        <w:keepNext/>
        <w:keepLines/>
        <w:ind w:left="720" w:hanging="360"/>
        <w:rPr>
          <w:rFonts w:ascii="Franklin Gothic Book" w:hAnsi="Franklin Gothic Book"/>
          <w:sz w:val="22"/>
        </w:rPr>
      </w:pPr>
      <w:r w:rsidRPr="00193386">
        <w:rPr>
          <w:rFonts w:ascii="Franklin Gothic Book" w:hAnsi="Franklin Gothic Book"/>
          <w:sz w:val="22"/>
        </w:rPr>
        <w:lastRenderedPageBreak/>
        <w:t>Primer/probe design</w:t>
      </w:r>
    </w:p>
    <w:p w14:paraId="495287CB" w14:textId="77777777" w:rsidR="00C42FC5" w:rsidRPr="00193386" w:rsidRDefault="00C42FC5" w:rsidP="006B3E2B">
      <w:pPr>
        <w:pStyle w:val="MainBodyBulletPoint"/>
        <w:keepNext/>
        <w:keepLines/>
        <w:numPr>
          <w:ilvl w:val="0"/>
          <w:numId w:val="0"/>
        </w:numPr>
        <w:ind w:left="720" w:hanging="11"/>
        <w:rPr>
          <w:rFonts w:ascii="Franklin Gothic Book" w:hAnsi="Franklin Gothic Book"/>
          <w:sz w:val="22"/>
        </w:rPr>
      </w:pPr>
      <w:r w:rsidRPr="00193386">
        <w:rPr>
          <w:rFonts w:ascii="Franklin Gothic Book" w:hAnsi="Franklin Gothic Book"/>
          <w:sz w:val="22"/>
        </w:rPr>
        <w:t>A study reporting on the first international external quality control assessment for HDV RNA quantification in plasma from 28 laboratories in 17 countries worldwide</w:t>
      </w:r>
      <w:r w:rsidRPr="00193386">
        <w:rPr>
          <w:rStyle w:val="FootnoteReference"/>
          <w:rFonts w:ascii="Franklin Gothic Book" w:hAnsi="Franklin Gothic Book"/>
          <w:sz w:val="22"/>
        </w:rPr>
        <w:footnoteReference w:id="8"/>
      </w:r>
      <w:r w:rsidRPr="00193386">
        <w:rPr>
          <w:rFonts w:ascii="Franklin Gothic Book" w:hAnsi="Franklin Gothic Book"/>
          <w:sz w:val="22"/>
        </w:rPr>
        <w:t xml:space="preserve"> found that thirteen labs (46.3%) properly quantified all 18 positive samples, 16 (57.1%) failed to detect between one and 10 samples, and several others underestimated (&gt;3 log</w:t>
      </w:r>
      <w:r w:rsidRPr="00193386">
        <w:rPr>
          <w:rFonts w:ascii="Franklin Gothic Book" w:hAnsi="Franklin Gothic Book"/>
          <w:sz w:val="22"/>
          <w:vertAlign w:val="subscript"/>
        </w:rPr>
        <w:t>10</w:t>
      </w:r>
      <w:r w:rsidRPr="00193386">
        <w:rPr>
          <w:rFonts w:ascii="Franklin Gothic Book" w:hAnsi="Franklin Gothic Book"/>
          <w:sz w:val="22"/>
        </w:rPr>
        <w:t xml:space="preserve"> IU/mL) the viral load of African genotype strains (1 and 5-8). The discrepancies in this study were mostly attributed to primer/probe mismatches related to the high genetic variability of HDV.</w:t>
      </w:r>
    </w:p>
    <w:p w14:paraId="7E306410" w14:textId="56D3F05D" w:rsidR="00C42FC5" w:rsidRPr="00193386" w:rsidRDefault="00C42FC5" w:rsidP="00BD2A33">
      <w:pPr>
        <w:pStyle w:val="MainBodyBulletPoint"/>
        <w:ind w:left="720" w:hanging="360"/>
        <w:rPr>
          <w:rFonts w:ascii="Franklin Gothic Book" w:hAnsi="Franklin Gothic Book"/>
          <w:sz w:val="22"/>
        </w:rPr>
      </w:pPr>
      <w:r w:rsidRPr="00193386">
        <w:rPr>
          <w:rFonts w:ascii="Franklin Gothic Book" w:hAnsi="Franklin Gothic Book"/>
          <w:sz w:val="22"/>
        </w:rPr>
        <w:t>Overall</w:t>
      </w:r>
      <w:r w:rsidR="00B178E4" w:rsidRPr="00193386">
        <w:rPr>
          <w:rFonts w:ascii="Franklin Gothic Book" w:hAnsi="Franklin Gothic Book"/>
          <w:sz w:val="22"/>
        </w:rPr>
        <w:t>,</w:t>
      </w:r>
      <w:r w:rsidRPr="00193386">
        <w:rPr>
          <w:rFonts w:ascii="Franklin Gothic Book" w:hAnsi="Franklin Gothic Book"/>
          <w:sz w:val="22"/>
        </w:rPr>
        <w:t xml:space="preserve"> </w:t>
      </w:r>
      <w:r w:rsidR="00761BBF" w:rsidRPr="00193386">
        <w:rPr>
          <w:rFonts w:ascii="Franklin Gothic Book" w:hAnsi="Franklin Gothic Book"/>
          <w:sz w:val="22"/>
        </w:rPr>
        <w:t xml:space="preserve">there was a </w:t>
      </w:r>
      <w:r w:rsidRPr="00193386">
        <w:rPr>
          <w:rFonts w:ascii="Franklin Gothic Book" w:hAnsi="Franklin Gothic Book"/>
          <w:sz w:val="22"/>
        </w:rPr>
        <w:t>dearth of standardisation and well-characterised sample evaluation panels across testing laboratories</w:t>
      </w:r>
    </w:p>
    <w:p w14:paraId="217BBA8B" w14:textId="77777777" w:rsidR="00C42FC5" w:rsidRPr="00193386" w:rsidRDefault="00C42FC5" w:rsidP="00BD2A33">
      <w:pPr>
        <w:pStyle w:val="MainBodyBulletPoint"/>
        <w:numPr>
          <w:ilvl w:val="0"/>
          <w:numId w:val="0"/>
        </w:numPr>
        <w:ind w:left="720"/>
        <w:rPr>
          <w:rFonts w:ascii="Franklin Gothic Book" w:hAnsi="Franklin Gothic Book"/>
          <w:sz w:val="22"/>
        </w:rPr>
      </w:pPr>
      <w:r w:rsidRPr="00193386">
        <w:rPr>
          <w:rFonts w:ascii="Franklin Gothic Book" w:hAnsi="Franklin Gothic Book"/>
          <w:sz w:val="22"/>
        </w:rPr>
        <w:t>One study</w:t>
      </w:r>
      <w:r w:rsidRPr="00193386">
        <w:rPr>
          <w:rStyle w:val="FootnoteReference"/>
          <w:rFonts w:ascii="Franklin Gothic Book" w:hAnsi="Franklin Gothic Book"/>
          <w:sz w:val="22"/>
        </w:rPr>
        <w:footnoteReference w:id="9"/>
      </w:r>
      <w:r w:rsidRPr="00193386">
        <w:rPr>
          <w:rFonts w:ascii="Franklin Gothic Book" w:hAnsi="Franklin Gothic Book"/>
          <w:sz w:val="22"/>
        </w:rPr>
        <w:t xml:space="preserve"> reported on the use of correction factors to ensure reliable quantification of HDV between laboratories. The authors noted that the </w:t>
      </w:r>
      <w:proofErr w:type="spellStart"/>
      <w:r w:rsidRPr="00193386">
        <w:rPr>
          <w:rFonts w:ascii="Franklin Gothic Book" w:hAnsi="Franklin Gothic Book"/>
          <w:sz w:val="22"/>
        </w:rPr>
        <w:t>RoboGene</w:t>
      </w:r>
      <w:proofErr w:type="spellEnd"/>
      <w:r w:rsidRPr="00193386">
        <w:rPr>
          <w:rFonts w:ascii="Franklin Gothic Book" w:hAnsi="Franklin Gothic Book"/>
          <w:sz w:val="22"/>
        </w:rPr>
        <w:t xml:space="preserve"> HDV RNA Quantification Kit 2.0 has only been validated with the INSTANT Virus RNA/DNA Kit, a manual nucleic acid extraction assay. However, most of the routine diagnostic laboratories use automated extraction systems to decrease hands-on time per sample and increase assay performance. The authors suggest that any modification of a validated extraction and amplification/detection protocol requires determination of a protocol specific correction factor.</w:t>
      </w:r>
    </w:p>
    <w:p w14:paraId="22B01C5F" w14:textId="77777777" w:rsidR="00C42FC5" w:rsidRPr="00193386" w:rsidRDefault="00C42FC5" w:rsidP="00BD2A33">
      <w:pPr>
        <w:jc w:val="left"/>
        <w:rPr>
          <w:rFonts w:ascii="Franklin Gothic Book" w:hAnsi="Franklin Gothic Book"/>
          <w:sz w:val="22"/>
        </w:rPr>
      </w:pPr>
      <w:r w:rsidRPr="00193386">
        <w:rPr>
          <w:rFonts w:ascii="Franklin Gothic Book" w:hAnsi="Franklin Gothic Book"/>
          <w:sz w:val="22"/>
        </w:rPr>
        <w:t xml:space="preserve">Three studies found that the quantitative differences between tests could potentially result in inappropriate changes in management. </w:t>
      </w:r>
    </w:p>
    <w:p w14:paraId="593D32FD" w14:textId="11AE92F5" w:rsidR="00C42FC5" w:rsidRPr="00193386" w:rsidRDefault="00C42FC5" w:rsidP="00BD2A33">
      <w:pPr>
        <w:pStyle w:val="MainBodyBulletPoint"/>
        <w:ind w:left="720" w:hanging="360"/>
        <w:rPr>
          <w:rFonts w:ascii="Franklin Gothic Book" w:hAnsi="Franklin Gothic Book"/>
          <w:sz w:val="22"/>
        </w:rPr>
      </w:pPr>
      <w:r w:rsidRPr="00193386">
        <w:rPr>
          <w:rFonts w:ascii="Franklin Gothic Book" w:hAnsi="Franklin Gothic Book"/>
          <w:sz w:val="22"/>
        </w:rPr>
        <w:t>One study</w:t>
      </w:r>
      <w:r w:rsidRPr="00193386">
        <w:rPr>
          <w:rStyle w:val="FootnoteReference"/>
          <w:rFonts w:ascii="Franklin Gothic Book" w:hAnsi="Franklin Gothic Book"/>
          <w:sz w:val="22"/>
        </w:rPr>
        <w:footnoteReference w:id="10"/>
      </w:r>
      <w:r w:rsidRPr="00193386">
        <w:rPr>
          <w:rFonts w:ascii="Franklin Gothic Book" w:hAnsi="Franklin Gothic Book"/>
          <w:sz w:val="22"/>
        </w:rPr>
        <w:t xml:space="preserve"> suggested that the extraction method used </w:t>
      </w:r>
      <w:r w:rsidR="00761BBF" w:rsidRPr="00193386">
        <w:rPr>
          <w:rFonts w:ascii="Franklin Gothic Book" w:hAnsi="Franklin Gothic Book"/>
          <w:sz w:val="22"/>
        </w:rPr>
        <w:t xml:space="preserve">in </w:t>
      </w:r>
      <w:r w:rsidRPr="00193386">
        <w:rPr>
          <w:rFonts w:ascii="Franklin Gothic Book" w:hAnsi="Franklin Gothic Book"/>
          <w:sz w:val="22"/>
        </w:rPr>
        <w:t>the diagnostic laboratory may influence the clinician’s decision on whether to continue treatment in patients achieving undetectable HDV RNA during or after treatment</w:t>
      </w:r>
      <w:r w:rsidR="00761BBF" w:rsidRPr="00193386">
        <w:rPr>
          <w:rFonts w:ascii="Franklin Gothic Book" w:hAnsi="Franklin Gothic Book"/>
          <w:sz w:val="22"/>
        </w:rPr>
        <w:t>. The concerns related to</w:t>
      </w:r>
      <w:r w:rsidRPr="00193386">
        <w:rPr>
          <w:rFonts w:ascii="Franklin Gothic Book" w:hAnsi="Franklin Gothic Book"/>
          <w:sz w:val="22"/>
        </w:rPr>
        <w:t xml:space="preserve"> automated extraction but not with manual extraction.</w:t>
      </w:r>
    </w:p>
    <w:p w14:paraId="1BDA02E2" w14:textId="05ABED36" w:rsidR="00C42FC5" w:rsidRPr="00193386" w:rsidRDefault="00C42FC5" w:rsidP="00BD2A33">
      <w:pPr>
        <w:pStyle w:val="MainBodyBulletPoint"/>
        <w:ind w:left="720" w:hanging="360"/>
        <w:rPr>
          <w:rFonts w:ascii="Franklin Gothic Book" w:hAnsi="Franklin Gothic Book"/>
          <w:sz w:val="22"/>
        </w:rPr>
      </w:pPr>
      <w:r w:rsidRPr="00193386">
        <w:rPr>
          <w:rFonts w:ascii="Franklin Gothic Book" w:hAnsi="Franklin Gothic Book"/>
          <w:sz w:val="22"/>
        </w:rPr>
        <w:t>Another study</w:t>
      </w:r>
      <w:r w:rsidRPr="00193386">
        <w:rPr>
          <w:rStyle w:val="FootnoteReference"/>
          <w:rFonts w:ascii="Franklin Gothic Book" w:hAnsi="Franklin Gothic Book"/>
          <w:sz w:val="22"/>
        </w:rPr>
        <w:footnoteReference w:id="11"/>
      </w:r>
      <w:r w:rsidRPr="00193386">
        <w:rPr>
          <w:rFonts w:ascii="Franklin Gothic Book" w:hAnsi="Franklin Gothic Book"/>
          <w:sz w:val="22"/>
        </w:rPr>
        <w:t xml:space="preserve"> found that the difference in viral load detected led to misclassification of two on-treatment samples with low viral load</w:t>
      </w:r>
      <w:r w:rsidR="00761BBF" w:rsidRPr="00193386">
        <w:rPr>
          <w:rFonts w:ascii="Franklin Gothic Book" w:hAnsi="Franklin Gothic Book"/>
          <w:sz w:val="22"/>
        </w:rPr>
        <w:t>. They were found to be</w:t>
      </w:r>
      <w:r w:rsidRPr="00193386">
        <w:rPr>
          <w:rFonts w:ascii="Franklin Gothic Book" w:hAnsi="Franklin Gothic Book"/>
          <w:sz w:val="22"/>
        </w:rPr>
        <w:t xml:space="preserve"> false negative with one of the automated extraction methods and could potentially affect clinical management</w:t>
      </w:r>
      <w:r w:rsidR="00761BBF" w:rsidRPr="00193386">
        <w:rPr>
          <w:rFonts w:ascii="Franklin Gothic Book" w:hAnsi="Franklin Gothic Book"/>
          <w:sz w:val="22"/>
        </w:rPr>
        <w:t xml:space="preserve"> decisions</w:t>
      </w:r>
      <w:r w:rsidRPr="00193386">
        <w:rPr>
          <w:rFonts w:ascii="Franklin Gothic Book" w:hAnsi="Franklin Gothic Book"/>
          <w:sz w:val="22"/>
        </w:rPr>
        <w:t>.</w:t>
      </w:r>
    </w:p>
    <w:p w14:paraId="15AD4BF4" w14:textId="733DF464" w:rsidR="00C42FC5" w:rsidRPr="00193386" w:rsidRDefault="32D4DDFA" w:rsidP="00BD2A33">
      <w:pPr>
        <w:pStyle w:val="MainBodyBulletPoint"/>
        <w:ind w:left="720" w:hanging="360"/>
        <w:rPr>
          <w:rFonts w:ascii="Franklin Gothic Book" w:hAnsi="Franklin Gothic Book"/>
          <w:sz w:val="22"/>
        </w:rPr>
      </w:pPr>
      <w:r w:rsidRPr="00193386">
        <w:rPr>
          <w:rFonts w:ascii="Franklin Gothic Book" w:hAnsi="Franklin Gothic Book"/>
          <w:sz w:val="22"/>
        </w:rPr>
        <w:t xml:space="preserve">An </w:t>
      </w:r>
      <w:r w:rsidR="00C42FC5" w:rsidRPr="00193386">
        <w:rPr>
          <w:rFonts w:ascii="Franklin Gothic Book" w:hAnsi="Franklin Gothic Book"/>
          <w:sz w:val="22"/>
        </w:rPr>
        <w:t>Australian study</w:t>
      </w:r>
      <w:r w:rsidR="00C42FC5" w:rsidRPr="00193386">
        <w:rPr>
          <w:rStyle w:val="FootnoteReference"/>
          <w:rFonts w:ascii="Franklin Gothic Book" w:hAnsi="Franklin Gothic Book"/>
          <w:sz w:val="22"/>
        </w:rPr>
        <w:footnoteReference w:id="12"/>
      </w:r>
      <w:r w:rsidR="00C42FC5" w:rsidRPr="00193386">
        <w:rPr>
          <w:rFonts w:ascii="Franklin Gothic Book" w:hAnsi="Franklin Gothic Book"/>
          <w:sz w:val="22"/>
        </w:rPr>
        <w:t xml:space="preserve"> found that 4 out of 22 positive samples showed a difference </w:t>
      </w:r>
      <w:r w:rsidR="07A2D9FB" w:rsidRPr="00193386">
        <w:rPr>
          <w:rFonts w:ascii="Franklin Gothic Book" w:hAnsi="Franklin Gothic Book"/>
          <w:sz w:val="22"/>
        </w:rPr>
        <w:t>of</w:t>
      </w:r>
      <w:r w:rsidR="00C42FC5" w:rsidRPr="00193386">
        <w:rPr>
          <w:rFonts w:ascii="Franklin Gothic Book" w:hAnsi="Franklin Gothic Book"/>
          <w:sz w:val="22"/>
        </w:rPr>
        <w:t xml:space="preserve"> &gt;1 log</w:t>
      </w:r>
      <w:r w:rsidR="00C42FC5" w:rsidRPr="00193386">
        <w:rPr>
          <w:rFonts w:ascii="Franklin Gothic Book" w:hAnsi="Franklin Gothic Book"/>
          <w:sz w:val="22"/>
          <w:vertAlign w:val="subscript"/>
        </w:rPr>
        <w:t>10</w:t>
      </w:r>
      <w:r w:rsidR="00C42FC5" w:rsidRPr="00193386">
        <w:rPr>
          <w:rFonts w:ascii="Franklin Gothic Book" w:hAnsi="Franklin Gothic Book"/>
          <w:sz w:val="22"/>
        </w:rPr>
        <w:t xml:space="preserve"> IU/mL between the VIDRL in-house HDV RNA test and the </w:t>
      </w:r>
      <w:proofErr w:type="spellStart"/>
      <w:r w:rsidR="00C42FC5" w:rsidRPr="00193386">
        <w:rPr>
          <w:rFonts w:ascii="Franklin Gothic Book" w:hAnsi="Franklin Gothic Book"/>
          <w:sz w:val="22"/>
        </w:rPr>
        <w:t>RoboGene</w:t>
      </w:r>
      <w:proofErr w:type="spellEnd"/>
      <w:r w:rsidR="00C42FC5" w:rsidRPr="00193386">
        <w:rPr>
          <w:rFonts w:ascii="Franklin Gothic Book" w:hAnsi="Franklin Gothic Book"/>
          <w:sz w:val="22"/>
        </w:rPr>
        <w:t xml:space="preserve"> HDV RNA Quantification kit 2.0. One sample showed a difference of &gt;2 log</w:t>
      </w:r>
      <w:r w:rsidR="00C42FC5" w:rsidRPr="00193386">
        <w:rPr>
          <w:rFonts w:ascii="Franklin Gothic Book" w:hAnsi="Franklin Gothic Book"/>
          <w:sz w:val="22"/>
          <w:vertAlign w:val="subscript"/>
        </w:rPr>
        <w:t>10</w:t>
      </w:r>
      <w:r w:rsidR="00C42FC5" w:rsidRPr="00193386">
        <w:rPr>
          <w:rFonts w:ascii="Franklin Gothic Book" w:hAnsi="Franklin Gothic Book"/>
          <w:sz w:val="22"/>
        </w:rPr>
        <w:t xml:space="preserve"> IU/ml and could potentially affect the clinical management of these patients.</w:t>
      </w:r>
    </w:p>
    <w:p w14:paraId="34479DCB" w14:textId="7C613754" w:rsidR="00C42FC5" w:rsidRPr="00193386" w:rsidRDefault="00C42FC5" w:rsidP="00BD2A33">
      <w:pPr>
        <w:jc w:val="left"/>
        <w:rPr>
          <w:rFonts w:ascii="Franklin Gothic Book" w:hAnsi="Franklin Gothic Book"/>
          <w:sz w:val="22"/>
        </w:rPr>
      </w:pPr>
      <w:r w:rsidRPr="00193386">
        <w:rPr>
          <w:rFonts w:ascii="Franklin Gothic Book" w:hAnsi="Franklin Gothic Book"/>
          <w:sz w:val="22"/>
        </w:rPr>
        <w:t xml:space="preserve">In summary, these data strongly suggest that the methods used in Australia for RNA extraction and HDV PCR testing, once more laboratories in addition to the VIDRL offer this service, should be closely monitored and standardised with an effective Quality Assurance Program (QAP) to ensure reliability when determining the viral load. The method currently used by the VIDRL for RNA extraction </w:t>
      </w:r>
      <w:r w:rsidR="32D4DDFA" w:rsidRPr="00193386">
        <w:rPr>
          <w:rFonts w:ascii="Franklin Gothic Book" w:hAnsi="Franklin Gothic Book"/>
          <w:sz w:val="22"/>
        </w:rPr>
        <w:t xml:space="preserve">was </w:t>
      </w:r>
      <w:r w:rsidRPr="00193386">
        <w:rPr>
          <w:rFonts w:ascii="Franklin Gothic Book" w:hAnsi="Franklin Gothic Book"/>
          <w:sz w:val="22"/>
        </w:rPr>
        <w:t>not mentioned in the resubmission, or in the previous submission.</w:t>
      </w:r>
    </w:p>
    <w:p w14:paraId="38F8290A" w14:textId="77777777" w:rsidR="00D44F9D" w:rsidRPr="00BD2A33" w:rsidRDefault="00D44F9D" w:rsidP="006B3E2B">
      <w:pPr>
        <w:pStyle w:val="Heading4"/>
        <w:spacing w:after="240"/>
        <w:rPr>
          <w:rFonts w:ascii="Franklin Gothic Book" w:hAnsi="Franklin Gothic Book"/>
          <w:color w:val="auto"/>
        </w:rPr>
      </w:pPr>
      <w:r w:rsidRPr="00BD2A33">
        <w:rPr>
          <w:rFonts w:ascii="Franklin Gothic Book" w:hAnsi="Franklin Gothic Book"/>
          <w:color w:val="auto"/>
        </w:rPr>
        <w:lastRenderedPageBreak/>
        <w:t>Prognostic evidence</w:t>
      </w:r>
    </w:p>
    <w:p w14:paraId="104457B6" w14:textId="77777777" w:rsidR="00C42FC5" w:rsidRPr="00BD2A33" w:rsidRDefault="00C42FC5" w:rsidP="004B1710">
      <w:pPr>
        <w:pStyle w:val="MainBodyBulletPoint"/>
        <w:keepNext/>
        <w:keepLines/>
        <w:numPr>
          <w:ilvl w:val="0"/>
          <w:numId w:val="0"/>
        </w:numPr>
        <w:jc w:val="both"/>
        <w:rPr>
          <w:rFonts w:ascii="Franklin Gothic Book" w:hAnsi="Franklin Gothic Book"/>
          <w:b/>
          <w:bCs/>
          <w:i/>
          <w:iCs/>
        </w:rPr>
      </w:pPr>
      <w:r w:rsidRPr="00BD2A33">
        <w:rPr>
          <w:rFonts w:ascii="Franklin Gothic Book" w:hAnsi="Franklin Gothic Book"/>
          <w:b/>
          <w:bCs/>
          <w:i/>
          <w:iCs/>
        </w:rPr>
        <w:t>The prognostic effect of detectable versus undetectable HDV RNA at baseline</w:t>
      </w:r>
    </w:p>
    <w:p w14:paraId="28E58A1B" w14:textId="43C733BF" w:rsidR="00C42FC5" w:rsidRPr="00193386" w:rsidRDefault="00C42FC5" w:rsidP="004B1710">
      <w:pPr>
        <w:pStyle w:val="MainBodyBulletPoint"/>
        <w:keepNext/>
        <w:keepLines/>
        <w:numPr>
          <w:ilvl w:val="0"/>
          <w:numId w:val="0"/>
        </w:numPr>
        <w:rPr>
          <w:rFonts w:ascii="Franklin Gothic Book" w:hAnsi="Franklin Gothic Book"/>
          <w:sz w:val="22"/>
        </w:rPr>
      </w:pPr>
      <w:r w:rsidRPr="00193386">
        <w:rPr>
          <w:rFonts w:ascii="Franklin Gothic Book" w:hAnsi="Franklin Gothic Book"/>
          <w:sz w:val="22"/>
        </w:rPr>
        <w:t>A recently published systematic review and meta-analysis</w:t>
      </w:r>
      <w:r w:rsidRPr="00193386">
        <w:rPr>
          <w:rStyle w:val="FootnoteReference"/>
          <w:rFonts w:ascii="Franklin Gothic Book" w:hAnsi="Franklin Gothic Book"/>
          <w:sz w:val="22"/>
        </w:rPr>
        <w:footnoteReference w:id="13"/>
      </w:r>
      <w:r w:rsidRPr="00193386">
        <w:rPr>
          <w:rFonts w:ascii="Franklin Gothic Book" w:hAnsi="Franklin Gothic Book"/>
          <w:sz w:val="22"/>
        </w:rPr>
        <w:t>, identified during evaluation of the resubmission, on the association between HDV RNA detection and liver morbidity and mortality</w:t>
      </w:r>
      <w:r w:rsidR="09DADD12" w:rsidRPr="00193386">
        <w:rPr>
          <w:rFonts w:ascii="Franklin Gothic Book" w:hAnsi="Franklin Gothic Book"/>
          <w:sz w:val="22"/>
        </w:rPr>
        <w:t xml:space="preserve"> in patients with CHB</w:t>
      </w:r>
      <w:r w:rsidR="26CA4B1C" w:rsidRPr="00193386">
        <w:rPr>
          <w:rFonts w:ascii="Franklin Gothic Book" w:hAnsi="Franklin Gothic Book"/>
          <w:sz w:val="22"/>
        </w:rPr>
        <w:t>/CHD</w:t>
      </w:r>
      <w:r w:rsidRPr="00193386">
        <w:rPr>
          <w:rFonts w:ascii="Franklin Gothic Book" w:hAnsi="Franklin Gothic Book"/>
          <w:sz w:val="22"/>
        </w:rPr>
        <w:t xml:space="preserve">, showed statistically significant associations for </w:t>
      </w:r>
      <w:r w:rsidR="2B9A1715" w:rsidRPr="00193386">
        <w:rPr>
          <w:rFonts w:ascii="Franklin Gothic Book" w:hAnsi="Franklin Gothic Book"/>
          <w:sz w:val="22"/>
        </w:rPr>
        <w:t>all</w:t>
      </w:r>
      <w:r w:rsidRPr="00193386">
        <w:rPr>
          <w:rFonts w:ascii="Franklin Gothic Book" w:hAnsi="Franklin Gothic Book"/>
          <w:sz w:val="22"/>
        </w:rPr>
        <w:t xml:space="preserve"> the outcomes investigated (</w:t>
      </w:r>
      <w:r w:rsidRPr="00193386">
        <w:rPr>
          <w:rFonts w:ascii="Franklin Gothic Book" w:hAnsi="Franklin Gothic Book"/>
          <w:sz w:val="22"/>
        </w:rPr>
        <w:fldChar w:fldCharType="begin"/>
      </w:r>
      <w:r w:rsidRPr="00193386">
        <w:rPr>
          <w:rFonts w:ascii="Franklin Gothic Book" w:hAnsi="Franklin Gothic Book"/>
          <w:sz w:val="22"/>
        </w:rPr>
        <w:instrText xml:space="preserve"> REF _Ref183531799 \h  \* MERGEFORMAT </w:instrText>
      </w:r>
      <w:r w:rsidRPr="00193386">
        <w:rPr>
          <w:rFonts w:ascii="Franklin Gothic Book" w:hAnsi="Franklin Gothic Book"/>
          <w:sz w:val="22"/>
        </w:rPr>
      </w:r>
      <w:r w:rsidRPr="00193386">
        <w:rPr>
          <w:rFonts w:ascii="Franklin Gothic Book" w:hAnsi="Franklin Gothic Book"/>
          <w:sz w:val="22"/>
        </w:rPr>
        <w:fldChar w:fldCharType="separate"/>
      </w:r>
      <w:r w:rsidR="00815583" w:rsidRPr="00193386">
        <w:rPr>
          <w:rFonts w:ascii="Franklin Gothic Book" w:hAnsi="Franklin Gothic Book"/>
          <w:sz w:val="22"/>
        </w:rPr>
        <w:t>Table 6</w:t>
      </w:r>
      <w:r w:rsidRPr="00193386">
        <w:rPr>
          <w:rFonts w:ascii="Franklin Gothic Book" w:hAnsi="Franklin Gothic Book"/>
          <w:sz w:val="22"/>
        </w:rPr>
        <w:fldChar w:fldCharType="end"/>
      </w:r>
      <w:r w:rsidRPr="00193386">
        <w:rPr>
          <w:rFonts w:ascii="Franklin Gothic Book" w:hAnsi="Franklin Gothic Book"/>
          <w:sz w:val="22"/>
        </w:rPr>
        <w:t>).</w:t>
      </w:r>
      <w:r w:rsidR="7A106410" w:rsidRPr="00193386">
        <w:rPr>
          <w:rFonts w:ascii="Franklin Gothic Book" w:hAnsi="Franklin Gothic Book"/>
          <w:sz w:val="22"/>
        </w:rPr>
        <w:t xml:space="preserve"> When the source of the results (baseline </w:t>
      </w:r>
      <w:r w:rsidR="2B9A1715" w:rsidRPr="00193386">
        <w:rPr>
          <w:rFonts w:ascii="Franklin Gothic Book" w:hAnsi="Franklin Gothic Book"/>
          <w:sz w:val="22"/>
        </w:rPr>
        <w:t xml:space="preserve">detectable/undetectable HDV RNA </w:t>
      </w:r>
      <w:r w:rsidR="7A106410" w:rsidRPr="00193386">
        <w:rPr>
          <w:rFonts w:ascii="Franklin Gothic Book" w:hAnsi="Franklin Gothic Book"/>
          <w:sz w:val="22"/>
        </w:rPr>
        <w:t>or post-treatment</w:t>
      </w:r>
      <w:r w:rsidR="2B9A1715" w:rsidRPr="00193386">
        <w:rPr>
          <w:rFonts w:ascii="Franklin Gothic Book" w:hAnsi="Franklin Gothic Book"/>
          <w:sz w:val="22"/>
        </w:rPr>
        <w:t xml:space="preserve"> status</w:t>
      </w:r>
      <w:r w:rsidR="7A106410" w:rsidRPr="00193386">
        <w:rPr>
          <w:rFonts w:ascii="Franklin Gothic Book" w:hAnsi="Franklin Gothic Book"/>
          <w:sz w:val="22"/>
        </w:rPr>
        <w:t xml:space="preserve">) were </w:t>
      </w:r>
      <w:proofErr w:type="gramStart"/>
      <w:r w:rsidR="7A106410" w:rsidRPr="00193386">
        <w:rPr>
          <w:rFonts w:ascii="Franklin Gothic Book" w:hAnsi="Franklin Gothic Book"/>
          <w:sz w:val="22"/>
        </w:rPr>
        <w:t>taken into account</w:t>
      </w:r>
      <w:proofErr w:type="gramEnd"/>
      <w:r w:rsidR="7A106410" w:rsidRPr="00193386">
        <w:rPr>
          <w:rFonts w:ascii="Franklin Gothic Book" w:hAnsi="Franklin Gothic Book"/>
          <w:sz w:val="22"/>
        </w:rPr>
        <w:t xml:space="preserve">, the </w:t>
      </w:r>
      <w:r w:rsidR="2B9A1715" w:rsidRPr="00193386">
        <w:rPr>
          <w:rFonts w:ascii="Franklin Gothic Book" w:hAnsi="Franklin Gothic Book"/>
          <w:sz w:val="22"/>
        </w:rPr>
        <w:t>hazard ratios (</w:t>
      </w:r>
      <w:r w:rsidR="7A106410" w:rsidRPr="00193386">
        <w:rPr>
          <w:rFonts w:ascii="Franklin Gothic Book" w:hAnsi="Franklin Gothic Book"/>
          <w:sz w:val="22"/>
        </w:rPr>
        <w:t>HRs</w:t>
      </w:r>
      <w:r w:rsidR="2B9A1715" w:rsidRPr="00193386">
        <w:rPr>
          <w:rFonts w:ascii="Franklin Gothic Book" w:hAnsi="Franklin Gothic Book"/>
          <w:sz w:val="22"/>
        </w:rPr>
        <w:t>)</w:t>
      </w:r>
      <w:r w:rsidR="7A106410" w:rsidRPr="00193386">
        <w:rPr>
          <w:rFonts w:ascii="Franklin Gothic Book" w:hAnsi="Franklin Gothic Book"/>
          <w:sz w:val="22"/>
        </w:rPr>
        <w:t xml:space="preserve"> indicate that detecting HDV RNA at baseline </w:t>
      </w:r>
      <w:r w:rsidR="4A1651E8" w:rsidRPr="00193386">
        <w:rPr>
          <w:rFonts w:ascii="Franklin Gothic Book" w:hAnsi="Franklin Gothic Book"/>
          <w:sz w:val="22"/>
        </w:rPr>
        <w:t>in patients with CHB</w:t>
      </w:r>
      <w:r w:rsidR="44D3E296" w:rsidRPr="00193386">
        <w:rPr>
          <w:rFonts w:ascii="Franklin Gothic Book" w:hAnsi="Franklin Gothic Book"/>
          <w:sz w:val="22"/>
        </w:rPr>
        <w:t>/CHD</w:t>
      </w:r>
      <w:r w:rsidR="4A1651E8" w:rsidRPr="00193386">
        <w:rPr>
          <w:rFonts w:ascii="Franklin Gothic Book" w:hAnsi="Franklin Gothic Book"/>
          <w:sz w:val="22"/>
        </w:rPr>
        <w:t xml:space="preserve"> </w:t>
      </w:r>
      <w:r w:rsidR="7A106410" w:rsidRPr="00193386">
        <w:rPr>
          <w:rFonts w:ascii="Franklin Gothic Book" w:hAnsi="Franklin Gothic Book"/>
          <w:sz w:val="22"/>
        </w:rPr>
        <w:t>is</w:t>
      </w:r>
      <w:r w:rsidR="5340F0FD" w:rsidRPr="00193386">
        <w:rPr>
          <w:rFonts w:ascii="Franklin Gothic Book" w:hAnsi="Franklin Gothic Book"/>
          <w:sz w:val="22"/>
        </w:rPr>
        <w:t xml:space="preserve"> </w:t>
      </w:r>
      <w:r w:rsidR="7A106410" w:rsidRPr="00193386">
        <w:rPr>
          <w:rFonts w:ascii="Franklin Gothic Book" w:hAnsi="Franklin Gothic Book"/>
          <w:sz w:val="22"/>
        </w:rPr>
        <w:t xml:space="preserve">prognostic of worse outcomes </w:t>
      </w:r>
      <w:r w:rsidR="412EF58B" w:rsidRPr="00193386">
        <w:rPr>
          <w:rFonts w:ascii="Franklin Gothic Book" w:hAnsi="Franklin Gothic Book"/>
          <w:sz w:val="22"/>
        </w:rPr>
        <w:t xml:space="preserve">compared with </w:t>
      </w:r>
      <w:r w:rsidR="7A106410" w:rsidRPr="00193386">
        <w:rPr>
          <w:rFonts w:ascii="Franklin Gothic Book" w:hAnsi="Franklin Gothic Book"/>
          <w:sz w:val="22"/>
        </w:rPr>
        <w:t xml:space="preserve">having undetectable HDV RNA, especially for any liver-related event, cirrhosis, </w:t>
      </w:r>
      <w:r w:rsidR="1E1AB869" w:rsidRPr="00193386">
        <w:rPr>
          <w:rFonts w:ascii="Franklin Gothic Book" w:hAnsi="Franklin Gothic Book"/>
          <w:sz w:val="22"/>
        </w:rPr>
        <w:t>hepatocellular carcinoma (</w:t>
      </w:r>
      <w:r w:rsidR="7A106410" w:rsidRPr="00193386">
        <w:rPr>
          <w:rFonts w:ascii="Franklin Gothic Book" w:hAnsi="Franklin Gothic Book"/>
          <w:sz w:val="22"/>
        </w:rPr>
        <w:t>HCC</w:t>
      </w:r>
      <w:r w:rsidR="1E1AB869" w:rsidRPr="00193386">
        <w:rPr>
          <w:rFonts w:ascii="Franklin Gothic Book" w:hAnsi="Franklin Gothic Book"/>
          <w:sz w:val="22"/>
        </w:rPr>
        <w:t>)</w:t>
      </w:r>
      <w:r w:rsidR="7A106410" w:rsidRPr="00193386">
        <w:rPr>
          <w:rFonts w:ascii="Franklin Gothic Book" w:hAnsi="Franklin Gothic Book"/>
          <w:sz w:val="22"/>
        </w:rPr>
        <w:t>, and mortality outcomes.</w:t>
      </w:r>
    </w:p>
    <w:p w14:paraId="08EFEF00" w14:textId="4C18FA02" w:rsidR="00C42FC5" w:rsidRPr="00FD70DE" w:rsidRDefault="00C42FC5" w:rsidP="00BD2A33">
      <w:pPr>
        <w:pStyle w:val="Caption"/>
      </w:pPr>
      <w:bookmarkStart w:id="42" w:name="_Ref183531799"/>
      <w:r w:rsidRPr="4904BCD2">
        <w:t xml:space="preserve">Table </w:t>
      </w:r>
      <w:r w:rsidRPr="4904BCD2">
        <w:fldChar w:fldCharType="begin"/>
      </w:r>
      <w:r>
        <w:instrText xml:space="preserve"> SEQ Table_MSAC \* ARABIC </w:instrText>
      </w:r>
      <w:r w:rsidRPr="4904BCD2">
        <w:fldChar w:fldCharType="separate"/>
      </w:r>
      <w:r w:rsidR="00815583">
        <w:rPr>
          <w:noProof/>
        </w:rPr>
        <w:t>6</w:t>
      </w:r>
      <w:r w:rsidRPr="4904BCD2">
        <w:rPr>
          <w:noProof/>
        </w:rPr>
        <w:fldChar w:fldCharType="end"/>
      </w:r>
      <w:bookmarkEnd w:id="42"/>
      <w:r>
        <w:tab/>
      </w:r>
      <w:r w:rsidRPr="4904BCD2">
        <w:t>Association between HDV status and subsequent health outcomes</w:t>
      </w:r>
    </w:p>
    <w:tbl>
      <w:tblPr>
        <w:tblStyle w:val="TableGrid"/>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133"/>
        <w:gridCol w:w="3685"/>
        <w:gridCol w:w="3353"/>
      </w:tblGrid>
      <w:tr w:rsidR="00071E21" w:rsidRPr="00FD70DE" w14:paraId="3698F577" w14:textId="77777777" w:rsidTr="00A02B25">
        <w:trPr>
          <w:cnfStyle w:val="100000000000" w:firstRow="1" w:lastRow="0" w:firstColumn="0" w:lastColumn="0" w:oddVBand="0" w:evenVBand="0" w:oddHBand="0" w:evenHBand="0" w:firstRowFirstColumn="0" w:firstRowLastColumn="0" w:lastRowFirstColumn="0" w:lastRowLastColumn="0"/>
          <w:tblHeader/>
        </w:trPr>
        <w:tc>
          <w:tcPr>
            <w:tcW w:w="470" w:type="pct"/>
            <w:tcBorders>
              <w:bottom w:val="single" w:sz="4" w:space="0" w:color="auto"/>
            </w:tcBorders>
            <w:shd w:val="clear" w:color="auto" w:fill="FFFFFF" w:themeFill="background1"/>
          </w:tcPr>
          <w:p w14:paraId="77B08786" w14:textId="77777777" w:rsidR="00C42FC5" w:rsidRPr="00FD70DE" w:rsidRDefault="00C42FC5" w:rsidP="00003DDF">
            <w:pPr>
              <w:keepNext/>
              <w:keepLines/>
              <w:spacing w:before="40" w:after="40"/>
              <w:jc w:val="left"/>
              <w:rPr>
                <w:rFonts w:ascii="Arial Narrow" w:eastAsiaTheme="majorEastAsia" w:hAnsi="Arial Narrow" w:cs="Times New Roman"/>
                <w:bCs/>
                <w:sz w:val="20"/>
                <w:szCs w:val="24"/>
                <w:lang w:val="en-AU" w:eastAsia="en-AU"/>
              </w:rPr>
            </w:pPr>
            <w:r w:rsidRPr="00FD70DE">
              <w:rPr>
                <w:rFonts w:ascii="Arial Narrow" w:eastAsiaTheme="majorEastAsia" w:hAnsi="Arial Narrow" w:cs="Times New Roman"/>
                <w:bCs/>
                <w:sz w:val="20"/>
                <w:szCs w:val="24"/>
                <w:lang w:val="en-AU" w:eastAsia="en-AU"/>
              </w:rPr>
              <w:t>Study</w:t>
            </w:r>
          </w:p>
        </w:tc>
        <w:tc>
          <w:tcPr>
            <w:tcW w:w="628" w:type="pct"/>
            <w:tcBorders>
              <w:bottom w:val="single" w:sz="4" w:space="0" w:color="auto"/>
            </w:tcBorders>
            <w:shd w:val="clear" w:color="auto" w:fill="FFFFFF" w:themeFill="background1"/>
          </w:tcPr>
          <w:p w14:paraId="4A4C062E" w14:textId="77777777" w:rsidR="00C42FC5" w:rsidRPr="00FD70DE" w:rsidRDefault="00C42FC5" w:rsidP="00003DDF">
            <w:pPr>
              <w:keepNext/>
              <w:keepLines/>
              <w:spacing w:before="40" w:after="40"/>
              <w:jc w:val="left"/>
              <w:rPr>
                <w:rFonts w:ascii="Arial Narrow" w:eastAsiaTheme="majorEastAsia" w:hAnsi="Arial Narrow" w:cs="Times New Roman"/>
                <w:sz w:val="20"/>
                <w:szCs w:val="24"/>
                <w:lang w:val="en-AU" w:eastAsia="en-AU"/>
              </w:rPr>
            </w:pPr>
            <w:r w:rsidRPr="00FD70DE">
              <w:rPr>
                <w:rFonts w:ascii="Arial Narrow" w:eastAsiaTheme="majorEastAsia" w:hAnsi="Arial Narrow" w:cs="Times New Roman"/>
                <w:sz w:val="20"/>
                <w:szCs w:val="24"/>
                <w:lang w:val="en-AU" w:eastAsia="en-AU"/>
              </w:rPr>
              <w:t>Follow-up</w:t>
            </w:r>
          </w:p>
        </w:tc>
        <w:tc>
          <w:tcPr>
            <w:tcW w:w="2043" w:type="pct"/>
            <w:tcBorders>
              <w:bottom w:val="single" w:sz="4" w:space="0" w:color="auto"/>
            </w:tcBorders>
            <w:shd w:val="clear" w:color="auto" w:fill="FFFFFF" w:themeFill="background1"/>
          </w:tcPr>
          <w:p w14:paraId="6195FF21" w14:textId="08341300" w:rsidR="00C42FC5" w:rsidRPr="00FD70DE" w:rsidRDefault="00A02B25" w:rsidP="00003DDF">
            <w:pPr>
              <w:keepNext/>
              <w:keepLines/>
              <w:spacing w:before="40" w:after="40"/>
              <w:jc w:val="left"/>
              <w:rPr>
                <w:rFonts w:ascii="Arial Narrow" w:eastAsiaTheme="majorEastAsia" w:hAnsi="Arial Narrow" w:cs="Times New Roman"/>
                <w:bCs/>
                <w:sz w:val="20"/>
                <w:szCs w:val="24"/>
                <w:lang w:val="en-AU" w:eastAsia="en-AU"/>
              </w:rPr>
            </w:pPr>
            <w:r w:rsidRPr="00FD70DE">
              <w:rPr>
                <w:rFonts w:ascii="Arial Narrow" w:eastAsiaTheme="majorEastAsia" w:hAnsi="Arial Narrow" w:cs="Times New Roman"/>
                <w:bCs/>
                <w:sz w:val="20"/>
                <w:szCs w:val="24"/>
                <w:lang w:val="en-AU" w:eastAsia="en-AU"/>
              </w:rPr>
              <w:t>Included studies</w:t>
            </w:r>
            <w:r w:rsidR="00C42FC5" w:rsidRPr="00FD70DE">
              <w:rPr>
                <w:rFonts w:ascii="Arial Narrow" w:eastAsiaTheme="majorEastAsia" w:hAnsi="Arial Narrow" w:cs="Times New Roman"/>
                <w:bCs/>
                <w:sz w:val="20"/>
                <w:szCs w:val="24"/>
                <w:lang w:val="en-AU" w:eastAsia="en-AU"/>
              </w:rPr>
              <w:t xml:space="preserve"> </w:t>
            </w:r>
          </w:p>
        </w:tc>
        <w:tc>
          <w:tcPr>
            <w:tcW w:w="1859" w:type="pct"/>
            <w:tcBorders>
              <w:bottom w:val="single" w:sz="4" w:space="0" w:color="auto"/>
            </w:tcBorders>
            <w:shd w:val="clear" w:color="auto" w:fill="FFFFFF" w:themeFill="background1"/>
          </w:tcPr>
          <w:p w14:paraId="52698ED2" w14:textId="77777777" w:rsidR="00C42FC5" w:rsidRPr="00FD70DE" w:rsidRDefault="00C42FC5" w:rsidP="00003DDF">
            <w:pPr>
              <w:keepNext/>
              <w:keepLines/>
              <w:spacing w:before="40" w:after="40"/>
              <w:jc w:val="left"/>
              <w:rPr>
                <w:rFonts w:ascii="Arial Narrow" w:eastAsiaTheme="majorEastAsia" w:hAnsi="Arial Narrow" w:cs="Times New Roman"/>
                <w:bCs/>
                <w:sz w:val="20"/>
                <w:szCs w:val="24"/>
                <w:lang w:val="en-AU" w:eastAsia="en-AU"/>
              </w:rPr>
            </w:pPr>
            <w:r w:rsidRPr="00FD70DE">
              <w:rPr>
                <w:rFonts w:ascii="Arial Narrow" w:eastAsiaTheme="majorEastAsia" w:hAnsi="Arial Narrow" w:cs="Times New Roman"/>
                <w:bCs/>
                <w:sz w:val="20"/>
                <w:szCs w:val="24"/>
                <w:lang w:val="en-AU" w:eastAsia="en-AU"/>
              </w:rPr>
              <w:t>Liver related events</w:t>
            </w:r>
          </w:p>
        </w:tc>
      </w:tr>
      <w:tr w:rsidR="00071E21" w:rsidRPr="00FD70DE" w14:paraId="3510EB35" w14:textId="77777777" w:rsidTr="00A02B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470" w:type="pct"/>
            <w:tcBorders>
              <w:top w:val="single" w:sz="4" w:space="0" w:color="auto"/>
              <w:left w:val="single" w:sz="4" w:space="0" w:color="auto"/>
              <w:bottom w:val="single" w:sz="4" w:space="0" w:color="auto"/>
              <w:right w:val="single" w:sz="4" w:space="0" w:color="auto"/>
            </w:tcBorders>
          </w:tcPr>
          <w:p w14:paraId="250DB4A4"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18"/>
                <w:lang w:val="en-AU"/>
              </w:rPr>
              <w:t>Gish et al. (2024)</w:t>
            </w:r>
          </w:p>
        </w:tc>
        <w:tc>
          <w:tcPr>
            <w:tcW w:w="628" w:type="pct"/>
            <w:tcBorders>
              <w:top w:val="single" w:sz="4" w:space="0" w:color="auto"/>
              <w:left w:val="single" w:sz="4" w:space="0" w:color="auto"/>
              <w:bottom w:val="single" w:sz="4" w:space="0" w:color="auto"/>
              <w:right w:val="single" w:sz="4" w:space="0" w:color="auto"/>
            </w:tcBorders>
          </w:tcPr>
          <w:p w14:paraId="19D7CC53"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Range 3-19.4 years</w:t>
            </w:r>
          </w:p>
        </w:tc>
        <w:tc>
          <w:tcPr>
            <w:tcW w:w="2043" w:type="pct"/>
            <w:tcBorders>
              <w:top w:val="single" w:sz="4" w:space="0" w:color="auto"/>
              <w:left w:val="single" w:sz="4" w:space="0" w:color="auto"/>
              <w:bottom w:val="single" w:sz="4" w:space="0" w:color="auto"/>
              <w:right w:val="single" w:sz="4" w:space="0" w:color="auto"/>
            </w:tcBorders>
          </w:tcPr>
          <w:p w14:paraId="0AF4D7AA" w14:textId="6D76C706"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Jang et al. (2021)</w:t>
            </w:r>
          </w:p>
          <w:p w14:paraId="6E025A37" w14:textId="770FC551" w:rsidR="00A02B25" w:rsidRPr="00FD70DE" w:rsidRDefault="003A7F33"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Meta-analysis (</w:t>
            </w:r>
            <w:r w:rsidR="00A02B25" w:rsidRPr="00FD70DE">
              <w:rPr>
                <w:rFonts w:ascii="Arial Narrow" w:hAnsi="Arial Narrow"/>
                <w:i/>
                <w:iCs/>
                <w:sz w:val="20"/>
                <w:szCs w:val="20"/>
                <w:lang w:val="en-AU"/>
              </w:rPr>
              <w:t>MA</w:t>
            </w:r>
            <w:r w:rsidRPr="00FD70DE">
              <w:rPr>
                <w:rFonts w:ascii="Arial Narrow" w:hAnsi="Arial Narrow"/>
                <w:i/>
                <w:iCs/>
                <w:sz w:val="20"/>
                <w:szCs w:val="20"/>
                <w:lang w:val="en-AU"/>
              </w:rPr>
              <w:t>)</w:t>
            </w:r>
            <w:r w:rsidR="00A02B25" w:rsidRPr="00FD70DE">
              <w:rPr>
                <w:rFonts w:ascii="Arial Narrow" w:hAnsi="Arial Narrow"/>
                <w:i/>
                <w:iCs/>
                <w:sz w:val="20"/>
                <w:szCs w:val="20"/>
                <w:lang w:val="en-AU"/>
              </w:rPr>
              <w:t xml:space="preserve"> used baseline (B) values, but included 1,300 HDV Ab neg patients</w:t>
            </w:r>
          </w:p>
          <w:p w14:paraId="6B4BD86E"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Kamal et al. (2020)</w:t>
            </w:r>
          </w:p>
          <w:p w14:paraId="57BAD5E4"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MA used B values</w:t>
            </w:r>
          </w:p>
          <w:p w14:paraId="35AC7541"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Palom et al. (2020)</w:t>
            </w:r>
          </w:p>
          <w:p w14:paraId="341B07E5"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MA used B values</w:t>
            </w:r>
          </w:p>
          <w:p w14:paraId="0C0AA866" w14:textId="00BE2F10"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Romeo et al. (2009)</w:t>
            </w:r>
          </w:p>
          <w:p w14:paraId="0FEAFA1E"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 xml:space="preserve">Uncertain if values used in MA were B or post-treatment (PT), numbers do not align with the study text. </w:t>
            </w:r>
          </w:p>
          <w:p w14:paraId="448A190E"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Romeo et al. (2014)</w:t>
            </w:r>
          </w:p>
          <w:p w14:paraId="00F004DB"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MA used PT values</w:t>
            </w:r>
          </w:p>
          <w:p w14:paraId="12F70613"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Roulot et al. (2020)</w:t>
            </w:r>
          </w:p>
          <w:p w14:paraId="29B0C971"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MA used B +/- PT values</w:t>
            </w:r>
          </w:p>
          <w:p w14:paraId="7E2CBE6A"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Wanke et al. (2017)</w:t>
            </w:r>
          </w:p>
          <w:p w14:paraId="7C827616" w14:textId="77777777" w:rsidR="00B178E4" w:rsidRDefault="00B178E4" w:rsidP="00003DDF">
            <w:pPr>
              <w:keepNext/>
              <w:keepLines/>
              <w:spacing w:before="40" w:after="40"/>
              <w:ind w:left="178"/>
              <w:jc w:val="left"/>
              <w:rPr>
                <w:rFonts w:ascii="Arial Narrow" w:hAnsi="Arial Narrow"/>
                <w:i/>
                <w:iCs/>
                <w:sz w:val="20"/>
                <w:szCs w:val="20"/>
                <w:lang w:val="en-AU"/>
              </w:rPr>
            </w:pPr>
            <w:r w:rsidRPr="00B178E4">
              <w:rPr>
                <w:rFonts w:ascii="Arial Narrow" w:hAnsi="Arial Narrow"/>
                <w:i/>
                <w:iCs/>
                <w:sz w:val="20"/>
                <w:szCs w:val="20"/>
                <w:lang w:val="en-AU"/>
              </w:rPr>
              <w:t>MA used B +</w:t>
            </w:r>
            <w:proofErr w:type="spellStart"/>
            <w:r w:rsidRPr="00B178E4">
              <w:rPr>
                <w:rFonts w:ascii="Arial Narrow" w:hAnsi="Arial Narrow"/>
                <w:i/>
                <w:iCs/>
                <w:sz w:val="20"/>
                <w:szCs w:val="20"/>
                <w:lang w:val="en-AU"/>
              </w:rPr>
              <w:t>ve</w:t>
            </w:r>
            <w:proofErr w:type="spellEnd"/>
            <w:r w:rsidRPr="00B178E4">
              <w:rPr>
                <w:rFonts w:ascii="Arial Narrow" w:hAnsi="Arial Narrow"/>
                <w:i/>
                <w:iCs/>
                <w:sz w:val="20"/>
                <w:szCs w:val="20"/>
                <w:lang w:val="en-AU"/>
              </w:rPr>
              <w:t>/-</w:t>
            </w:r>
            <w:proofErr w:type="spellStart"/>
            <w:r w:rsidRPr="00B178E4">
              <w:rPr>
                <w:rFonts w:ascii="Arial Narrow" w:hAnsi="Arial Narrow"/>
                <w:i/>
                <w:iCs/>
                <w:sz w:val="20"/>
                <w:szCs w:val="20"/>
                <w:lang w:val="en-AU"/>
              </w:rPr>
              <w:t>ve</w:t>
            </w:r>
            <w:proofErr w:type="spellEnd"/>
            <w:r w:rsidRPr="00B178E4">
              <w:rPr>
                <w:rFonts w:ascii="Arial Narrow" w:hAnsi="Arial Narrow"/>
                <w:i/>
                <w:iCs/>
                <w:sz w:val="20"/>
                <w:szCs w:val="20"/>
                <w:lang w:val="en-AU"/>
              </w:rPr>
              <w:t xml:space="preserve"> patient numbers, but post-treatment HR values</w:t>
            </w:r>
          </w:p>
          <w:p w14:paraId="18531E82" w14:textId="12AFC76E"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Wanke et al. (2020)</w:t>
            </w:r>
          </w:p>
          <w:p w14:paraId="47C61F1E"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MA used PT values, but not all patients were included</w:t>
            </w:r>
          </w:p>
          <w:p w14:paraId="16A49D17"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Scheller et al. (2021)</w:t>
            </w:r>
          </w:p>
          <w:p w14:paraId="442B3101"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MA used PT values</w:t>
            </w:r>
          </w:p>
          <w:p w14:paraId="4803CF4D" w14:textId="77777777"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Spaan et al. (2020)</w:t>
            </w:r>
          </w:p>
          <w:p w14:paraId="553491F1" w14:textId="77777777" w:rsidR="00A02B25" w:rsidRPr="00FD70DE" w:rsidRDefault="00A02B25" w:rsidP="00003DDF">
            <w:pPr>
              <w:keepNext/>
              <w:keepLines/>
              <w:spacing w:before="40" w:after="40"/>
              <w:ind w:left="174"/>
              <w:jc w:val="left"/>
              <w:rPr>
                <w:rFonts w:ascii="Arial Narrow" w:hAnsi="Arial Narrow"/>
                <w:i/>
                <w:iCs/>
                <w:sz w:val="20"/>
                <w:szCs w:val="20"/>
                <w:lang w:val="en-AU"/>
              </w:rPr>
            </w:pPr>
            <w:r w:rsidRPr="00FD70DE">
              <w:rPr>
                <w:rFonts w:ascii="Arial Narrow" w:hAnsi="Arial Narrow"/>
                <w:i/>
                <w:iCs/>
                <w:sz w:val="20"/>
                <w:szCs w:val="20"/>
                <w:lang w:val="en-AU"/>
              </w:rPr>
              <w:t>MA used B values</w:t>
            </w:r>
          </w:p>
          <w:p w14:paraId="5CCFA3A4" w14:textId="77777777" w:rsidR="00A02B25" w:rsidRPr="00FD70DE" w:rsidRDefault="00A02B25" w:rsidP="00003DDF">
            <w:pPr>
              <w:keepNext/>
              <w:keepLines/>
              <w:spacing w:before="40" w:after="40"/>
              <w:jc w:val="left"/>
              <w:rPr>
                <w:rFonts w:ascii="Arial Narrow" w:hAnsi="Arial Narrow"/>
                <w:i/>
                <w:iCs/>
                <w:sz w:val="20"/>
                <w:szCs w:val="20"/>
                <w:lang w:val="en-AU"/>
              </w:rPr>
            </w:pPr>
            <w:proofErr w:type="spellStart"/>
            <w:r w:rsidRPr="00FD70DE">
              <w:rPr>
                <w:rFonts w:ascii="Arial Narrow" w:hAnsi="Arial Narrow"/>
                <w:i/>
                <w:iCs/>
                <w:sz w:val="20"/>
                <w:szCs w:val="20"/>
                <w:lang w:val="en-AU"/>
              </w:rPr>
              <w:t>Yurdaydin</w:t>
            </w:r>
            <w:proofErr w:type="spellEnd"/>
            <w:r w:rsidRPr="00FD70DE">
              <w:rPr>
                <w:rFonts w:ascii="Arial Narrow" w:hAnsi="Arial Narrow"/>
                <w:i/>
                <w:iCs/>
                <w:sz w:val="20"/>
                <w:szCs w:val="20"/>
                <w:lang w:val="en-AU"/>
              </w:rPr>
              <w:t xml:space="preserve"> et al. (2018)</w:t>
            </w:r>
          </w:p>
          <w:p w14:paraId="06C65057" w14:textId="24C5A34C" w:rsidR="00A02B25" w:rsidRPr="00FD70DE" w:rsidRDefault="00A02B2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MA used PT values</w:t>
            </w:r>
          </w:p>
        </w:tc>
        <w:tc>
          <w:tcPr>
            <w:tcW w:w="1859" w:type="pct"/>
            <w:tcBorders>
              <w:top w:val="single" w:sz="4" w:space="0" w:color="auto"/>
              <w:left w:val="single" w:sz="4" w:space="0" w:color="auto"/>
              <w:bottom w:val="single" w:sz="4" w:space="0" w:color="auto"/>
              <w:right w:val="single" w:sz="4" w:space="0" w:color="auto"/>
            </w:tcBorders>
          </w:tcPr>
          <w:p w14:paraId="6C1A6F86" w14:textId="77777777" w:rsidR="00A02B25" w:rsidRPr="00FD70DE" w:rsidRDefault="00A02B25" w:rsidP="00003DDF">
            <w:pPr>
              <w:keepNext/>
              <w:keepLines/>
              <w:spacing w:before="40" w:after="40"/>
              <w:jc w:val="left"/>
              <w:rPr>
                <w:rFonts w:ascii="Arial Narrow" w:hAnsi="Arial Narrow"/>
                <w:i/>
                <w:iCs/>
                <w:sz w:val="20"/>
                <w:szCs w:val="20"/>
                <w:u w:val="single"/>
                <w:lang w:val="en-AU"/>
              </w:rPr>
            </w:pPr>
            <w:r w:rsidRPr="00FD70DE">
              <w:rPr>
                <w:rFonts w:ascii="Arial Narrow" w:hAnsi="Arial Narrow"/>
                <w:i/>
                <w:iCs/>
                <w:sz w:val="20"/>
                <w:szCs w:val="20"/>
                <w:u w:val="single"/>
                <w:lang w:val="en-AU"/>
              </w:rPr>
              <w:t>Any liver-­related event</w:t>
            </w:r>
          </w:p>
          <w:p w14:paraId="4D3556A6" w14:textId="08C43D86" w:rsidR="00A02B25" w:rsidRPr="00FD70DE" w:rsidRDefault="00A02B25" w:rsidP="00003DDF">
            <w:pPr>
              <w:keepNext/>
              <w:keepLines/>
              <w:tabs>
                <w:tab w:val="left" w:pos="1453"/>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RR=1.48 (95% CI 0.93, 2.33)</w:t>
            </w:r>
            <w:r w:rsidRPr="00FD70DE">
              <w:rPr>
                <w:rFonts w:ascii="Arial Narrow" w:hAnsi="Arial Narrow"/>
                <w:i/>
                <w:iCs/>
                <w:sz w:val="20"/>
                <w:szCs w:val="20"/>
                <w:lang w:val="en-AU"/>
              </w:rPr>
              <w:br/>
            </w:r>
            <w:r w:rsidRPr="00FD70DE">
              <w:rPr>
                <w:rFonts w:ascii="Arial Narrow" w:hAnsi="Arial Narrow"/>
                <w:i/>
                <w:iCs/>
                <w:sz w:val="20"/>
                <w:szCs w:val="20"/>
                <w:lang w:val="en-AU"/>
              </w:rPr>
              <w:tab/>
              <w:t>k=3 (2 PT, 1 B)</w:t>
            </w:r>
          </w:p>
          <w:p w14:paraId="1249F899" w14:textId="1215F3C5"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HR=2.62 (95% CI 1.55, 4.44)</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k=7 (3 PT, 4 B)</w:t>
            </w:r>
          </w:p>
          <w:p w14:paraId="3AD2B457" w14:textId="77777777" w:rsidR="00A02B25" w:rsidRPr="00FD70DE" w:rsidRDefault="00A02B25" w:rsidP="00003DDF">
            <w:pPr>
              <w:keepNext/>
              <w:keepLines/>
              <w:tabs>
                <w:tab w:val="left" w:pos="1453"/>
              </w:tabs>
              <w:spacing w:before="40" w:after="40"/>
              <w:jc w:val="left"/>
              <w:rPr>
                <w:rFonts w:ascii="Arial Narrow" w:hAnsi="Arial Narrow"/>
                <w:i/>
                <w:iCs/>
                <w:sz w:val="20"/>
                <w:szCs w:val="20"/>
                <w:u w:val="single"/>
                <w:lang w:val="en-AU"/>
              </w:rPr>
            </w:pPr>
            <w:r w:rsidRPr="00FD70DE">
              <w:rPr>
                <w:rFonts w:ascii="Arial Narrow" w:hAnsi="Arial Narrow"/>
                <w:i/>
                <w:iCs/>
                <w:sz w:val="20"/>
                <w:szCs w:val="20"/>
                <w:u w:val="single"/>
                <w:lang w:val="en-AU"/>
              </w:rPr>
              <w:t>Cirrhosis</w:t>
            </w:r>
          </w:p>
          <w:p w14:paraId="405D2E45" w14:textId="0294BCB4"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RR=1.74 (95% CI 1.24, 2.45)</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k=2 (1 B, 1 uncertain)</w:t>
            </w:r>
          </w:p>
          <w:p w14:paraId="51C4DD8A" w14:textId="640B2B3D"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HR=5.75 (95% CI 3.67, 9.03)</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k=1 (B)</w:t>
            </w:r>
          </w:p>
          <w:p w14:paraId="0873D41F" w14:textId="77777777" w:rsidR="00A02B25" w:rsidRPr="00FD70DE" w:rsidRDefault="00A02B25" w:rsidP="00003DDF">
            <w:pPr>
              <w:keepNext/>
              <w:keepLines/>
              <w:tabs>
                <w:tab w:val="left" w:pos="1453"/>
              </w:tabs>
              <w:spacing w:before="40" w:after="40"/>
              <w:jc w:val="left"/>
              <w:rPr>
                <w:rFonts w:ascii="Arial Narrow" w:hAnsi="Arial Narrow"/>
                <w:i/>
                <w:iCs/>
                <w:sz w:val="20"/>
                <w:szCs w:val="20"/>
                <w:u w:val="single"/>
                <w:lang w:val="en-AU"/>
              </w:rPr>
            </w:pPr>
            <w:r w:rsidRPr="00FD70DE">
              <w:rPr>
                <w:rFonts w:ascii="Arial Narrow" w:hAnsi="Arial Narrow"/>
                <w:i/>
                <w:iCs/>
                <w:sz w:val="20"/>
                <w:szCs w:val="20"/>
                <w:u w:val="single"/>
                <w:lang w:val="en-AU"/>
              </w:rPr>
              <w:t>DC</w:t>
            </w:r>
          </w:p>
          <w:p w14:paraId="5E9D6CB2" w14:textId="4E6F4A2F"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RR=2.28 (95% CI 1.40, 3.71</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k=1 (uncertain)</w:t>
            </w:r>
          </w:p>
          <w:p w14:paraId="585FD4C9" w14:textId="4B885041"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HR=3.82 (95% CI 1.60, 9.10)</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k=4 (2 PT, 2 B)</w:t>
            </w:r>
          </w:p>
          <w:p w14:paraId="6F7300FA" w14:textId="77777777" w:rsidR="00A02B25" w:rsidRPr="00FD70DE" w:rsidRDefault="00A02B25" w:rsidP="00003DDF">
            <w:pPr>
              <w:keepNext/>
              <w:keepLines/>
              <w:tabs>
                <w:tab w:val="left" w:pos="1453"/>
              </w:tabs>
              <w:spacing w:before="40" w:after="40"/>
              <w:jc w:val="left"/>
              <w:rPr>
                <w:rFonts w:ascii="Arial Narrow" w:hAnsi="Arial Narrow"/>
                <w:i/>
                <w:iCs/>
                <w:sz w:val="20"/>
                <w:szCs w:val="20"/>
                <w:u w:val="single"/>
                <w:lang w:val="en-AU"/>
              </w:rPr>
            </w:pPr>
            <w:r w:rsidRPr="00FD70DE">
              <w:rPr>
                <w:rFonts w:ascii="Arial Narrow" w:hAnsi="Arial Narrow"/>
                <w:i/>
                <w:iCs/>
                <w:sz w:val="20"/>
                <w:szCs w:val="20"/>
                <w:u w:val="single"/>
                <w:lang w:val="en-AU"/>
              </w:rPr>
              <w:t>HCC</w:t>
            </w:r>
          </w:p>
          <w:p w14:paraId="29F96E7C" w14:textId="4434891E" w:rsidR="00A02B25" w:rsidRPr="00FD70DE" w:rsidRDefault="00A02B25" w:rsidP="00003DDF">
            <w:pPr>
              <w:keepNext/>
              <w:keepLines/>
              <w:tabs>
                <w:tab w:val="left" w:pos="1453"/>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RR=1.34 (95% CI 0.74, 2.43)</w:t>
            </w:r>
            <w:r w:rsidRPr="00FD70DE">
              <w:rPr>
                <w:rFonts w:ascii="Arial Narrow" w:hAnsi="Arial Narrow"/>
                <w:i/>
                <w:iCs/>
                <w:sz w:val="20"/>
                <w:szCs w:val="20"/>
                <w:lang w:val="en-AU"/>
              </w:rPr>
              <w:br/>
            </w:r>
            <w:r w:rsidRPr="00FD70DE">
              <w:rPr>
                <w:rFonts w:ascii="Arial Narrow" w:hAnsi="Arial Narrow"/>
                <w:i/>
                <w:iCs/>
                <w:sz w:val="20"/>
                <w:szCs w:val="20"/>
                <w:lang w:val="en-AU"/>
              </w:rPr>
              <w:tab/>
              <w:t>k=1 (uncertain)</w:t>
            </w:r>
          </w:p>
          <w:p w14:paraId="611041AB" w14:textId="29481D87"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HR=2.97 (95% CI 1.87, 4.70)</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k=5 (1 PT, 4 B)</w:t>
            </w:r>
          </w:p>
          <w:p w14:paraId="47B426EB" w14:textId="77777777" w:rsidR="00A02B25" w:rsidRPr="00FD70DE" w:rsidRDefault="00A02B25" w:rsidP="00003DDF">
            <w:pPr>
              <w:keepNext/>
              <w:keepLines/>
              <w:tabs>
                <w:tab w:val="left" w:pos="1453"/>
              </w:tabs>
              <w:spacing w:before="40" w:after="40"/>
              <w:jc w:val="left"/>
              <w:rPr>
                <w:rFonts w:ascii="Arial Narrow" w:hAnsi="Arial Narrow"/>
                <w:i/>
                <w:iCs/>
                <w:sz w:val="20"/>
                <w:szCs w:val="20"/>
                <w:u w:val="single"/>
                <w:lang w:val="en-AU"/>
              </w:rPr>
            </w:pPr>
            <w:r w:rsidRPr="00FD70DE">
              <w:rPr>
                <w:rFonts w:ascii="Arial Narrow" w:hAnsi="Arial Narrow"/>
                <w:i/>
                <w:iCs/>
                <w:sz w:val="20"/>
                <w:szCs w:val="20"/>
                <w:u w:val="single"/>
                <w:lang w:val="en-AU"/>
              </w:rPr>
              <w:t>Liver transplant</w:t>
            </w:r>
          </w:p>
          <w:p w14:paraId="6545F17E" w14:textId="35CBC710"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HR=7.07 (95% CI 1.61, 30.99)</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k=2(1 PT, 1 B)</w:t>
            </w:r>
          </w:p>
          <w:p w14:paraId="474E4CBC" w14:textId="77777777" w:rsidR="00A02B25" w:rsidRPr="00FD70DE" w:rsidRDefault="00A02B25" w:rsidP="00003DDF">
            <w:pPr>
              <w:keepNext/>
              <w:keepLines/>
              <w:tabs>
                <w:tab w:val="left" w:pos="1453"/>
              </w:tabs>
              <w:spacing w:before="40" w:after="40"/>
              <w:jc w:val="left"/>
              <w:rPr>
                <w:rFonts w:ascii="Arial Narrow" w:hAnsi="Arial Narrow"/>
                <w:i/>
                <w:iCs/>
                <w:sz w:val="20"/>
                <w:szCs w:val="20"/>
                <w:u w:val="single"/>
                <w:lang w:val="en-AU"/>
              </w:rPr>
            </w:pPr>
            <w:r w:rsidRPr="00FD70DE">
              <w:rPr>
                <w:rFonts w:ascii="Arial Narrow" w:hAnsi="Arial Narrow"/>
                <w:i/>
                <w:iCs/>
                <w:sz w:val="20"/>
                <w:szCs w:val="20"/>
                <w:u w:val="single"/>
                <w:lang w:val="en-AU"/>
              </w:rPr>
              <w:t>Mortality</w:t>
            </w:r>
          </w:p>
          <w:p w14:paraId="21E29999" w14:textId="481468CA" w:rsidR="00A02B25" w:rsidRPr="00FD70DE" w:rsidRDefault="00A02B25" w:rsidP="00003DDF">
            <w:pPr>
              <w:keepNext/>
              <w:keepLines/>
              <w:tabs>
                <w:tab w:val="left" w:pos="1453"/>
              </w:tabs>
              <w:spacing w:before="40" w:after="40"/>
              <w:jc w:val="left"/>
              <w:rPr>
                <w:rFonts w:ascii="Arial Narrow" w:hAnsi="Arial Narrow"/>
                <w:b/>
                <w:bCs/>
                <w:i/>
                <w:iCs/>
                <w:sz w:val="20"/>
                <w:szCs w:val="20"/>
                <w:lang w:val="en-AU"/>
              </w:rPr>
            </w:pPr>
            <w:r w:rsidRPr="00FD70DE">
              <w:rPr>
                <w:rFonts w:ascii="Arial Narrow" w:hAnsi="Arial Narrow"/>
                <w:b/>
                <w:bCs/>
                <w:i/>
                <w:iCs/>
                <w:sz w:val="20"/>
                <w:szCs w:val="20"/>
                <w:lang w:val="en-AU"/>
              </w:rPr>
              <w:t>RR=3.22 (95% CI 2.06, 5.04)</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k=1 (uncertain)</w:t>
            </w:r>
          </w:p>
          <w:p w14:paraId="3BD6A8A7" w14:textId="260BA268" w:rsidR="00A02B25" w:rsidRPr="00FD70DE" w:rsidRDefault="00A02B25" w:rsidP="00003DDF">
            <w:pPr>
              <w:keepNext/>
              <w:keepLines/>
              <w:tabs>
                <w:tab w:val="left" w:pos="1453"/>
              </w:tabs>
              <w:spacing w:before="40" w:after="40"/>
              <w:jc w:val="left"/>
              <w:rPr>
                <w:rFonts w:ascii="Arial Narrow" w:hAnsi="Arial Narrow"/>
                <w:i/>
                <w:iCs/>
                <w:sz w:val="20"/>
                <w:szCs w:val="20"/>
                <w:lang w:val="en-AU"/>
              </w:rPr>
            </w:pPr>
            <w:r w:rsidRPr="00FD70DE">
              <w:rPr>
                <w:rFonts w:ascii="Arial Narrow" w:hAnsi="Arial Narrow"/>
                <w:b/>
                <w:bCs/>
                <w:i/>
                <w:iCs/>
                <w:sz w:val="20"/>
                <w:szCs w:val="20"/>
                <w:lang w:val="en-AU"/>
              </w:rPr>
              <w:t>HR=3.78 (95% CI 2.18, 6.56)</w:t>
            </w:r>
            <w:r w:rsidRPr="00FD70DE">
              <w:rPr>
                <w:rFonts w:ascii="Arial Narrow" w:hAnsi="Arial Narrow"/>
                <w:b/>
                <w:bCs/>
                <w:i/>
                <w:iCs/>
                <w:sz w:val="20"/>
                <w:szCs w:val="20"/>
                <w:lang w:val="en-AU"/>
              </w:rPr>
              <w:br/>
            </w:r>
            <w:r w:rsidRPr="00FD70DE">
              <w:rPr>
                <w:rFonts w:ascii="Arial Narrow" w:hAnsi="Arial Narrow"/>
                <w:b/>
                <w:bCs/>
                <w:i/>
                <w:iCs/>
                <w:sz w:val="20"/>
                <w:szCs w:val="20"/>
                <w:lang w:val="en-AU"/>
              </w:rPr>
              <w:tab/>
              <w:t>k=4 (1 PT, 3 B)</w:t>
            </w:r>
          </w:p>
        </w:tc>
      </w:tr>
    </w:tbl>
    <w:p w14:paraId="651C103E" w14:textId="7C46B1BB" w:rsidR="00C42FC5" w:rsidRPr="00FD70DE" w:rsidRDefault="00C42FC5" w:rsidP="00003DDF">
      <w:pPr>
        <w:pStyle w:val="TableFooter"/>
        <w:keepNext/>
        <w:keepLines/>
      </w:pPr>
      <w:r w:rsidRPr="00FD70DE">
        <w:t xml:space="preserve">Source: </w:t>
      </w:r>
      <w:r w:rsidR="00CB4751">
        <w:rPr>
          <w:i/>
          <w:iCs/>
        </w:rPr>
        <w:t>Table compiled during the evaluation.</w:t>
      </w:r>
    </w:p>
    <w:p w14:paraId="00A7F903" w14:textId="77777777" w:rsidR="00C42FC5" w:rsidRPr="00FD70DE" w:rsidRDefault="00C42FC5" w:rsidP="00003DDF">
      <w:pPr>
        <w:pStyle w:val="TableFooter"/>
        <w:keepNext/>
        <w:keepLines/>
      </w:pPr>
      <w:r w:rsidRPr="00FD70DE">
        <w:t>Significant differences are highlighted in boldface.</w:t>
      </w:r>
    </w:p>
    <w:p w14:paraId="47089D70" w14:textId="4B7AB92B" w:rsidR="00C42FC5" w:rsidRPr="00FD70DE" w:rsidRDefault="00C76757" w:rsidP="00003DDF">
      <w:pPr>
        <w:pStyle w:val="TableFooter"/>
        <w:keepNext/>
        <w:keepLines/>
      </w:pPr>
      <w:r>
        <w:t xml:space="preserve">B= baseline; </w:t>
      </w:r>
      <w:r w:rsidR="00C42FC5" w:rsidRPr="00FD70DE">
        <w:t xml:space="preserve">CI = confidence interval; DC = decompensated cirrhosis; HCC = hepatocellular carcinoma; HDV = hepatitis D virus; HR = hazard ratio; </w:t>
      </w:r>
      <w:r w:rsidR="003A7F33" w:rsidRPr="00FD70DE">
        <w:t xml:space="preserve">MA = meta-analysis; </w:t>
      </w:r>
      <w:r>
        <w:t>PT</w:t>
      </w:r>
      <w:r w:rsidR="00F11C11">
        <w:t xml:space="preserve">= post-treatment; </w:t>
      </w:r>
      <w:r w:rsidR="00C42FC5" w:rsidRPr="00FD70DE">
        <w:t>RNA = ribonucleic acid; RR = relative risk.</w:t>
      </w:r>
    </w:p>
    <w:p w14:paraId="308CB81E" w14:textId="0A18E790" w:rsidR="00C42FC5" w:rsidRPr="00242C6B" w:rsidRDefault="7A106410" w:rsidP="00BD2A33">
      <w:pPr>
        <w:jc w:val="left"/>
        <w:rPr>
          <w:rFonts w:ascii="Franklin Gothic Book" w:hAnsi="Franklin Gothic Book"/>
          <w:sz w:val="22"/>
        </w:rPr>
      </w:pPr>
      <w:r w:rsidRPr="00242C6B">
        <w:rPr>
          <w:rFonts w:ascii="Franklin Gothic Book" w:hAnsi="Franklin Gothic Book"/>
          <w:sz w:val="22"/>
        </w:rPr>
        <w:t>T</w:t>
      </w:r>
      <w:r w:rsidR="00C42FC5" w:rsidRPr="00242C6B">
        <w:rPr>
          <w:rFonts w:ascii="Franklin Gothic Book" w:hAnsi="Franklin Gothic Book"/>
          <w:sz w:val="22"/>
        </w:rPr>
        <w:t xml:space="preserve">he three recent studies identified by the resubmission also showed a statistically significant difference in the proportion of patients with detectable versus undetectable HDV RNA </w:t>
      </w:r>
      <w:r w:rsidRPr="00242C6B">
        <w:rPr>
          <w:rFonts w:ascii="Franklin Gothic Book" w:hAnsi="Franklin Gothic Book"/>
          <w:sz w:val="22"/>
        </w:rPr>
        <w:t xml:space="preserve">at baseline </w:t>
      </w:r>
      <w:r w:rsidR="00C42FC5" w:rsidRPr="00242C6B">
        <w:rPr>
          <w:rFonts w:ascii="Franklin Gothic Book" w:hAnsi="Franklin Gothic Book"/>
          <w:sz w:val="22"/>
        </w:rPr>
        <w:t xml:space="preserve">having liver-related events, favouring those with undetectable HDV RNA. </w:t>
      </w:r>
    </w:p>
    <w:p w14:paraId="2CCA5E45" w14:textId="1D1DA655" w:rsidR="00B178E4" w:rsidRPr="00242C6B" w:rsidRDefault="58B6AEFE" w:rsidP="00BD2A33">
      <w:pPr>
        <w:jc w:val="left"/>
        <w:rPr>
          <w:rFonts w:ascii="Franklin Gothic Book" w:hAnsi="Franklin Gothic Book"/>
          <w:sz w:val="22"/>
        </w:rPr>
      </w:pPr>
      <w:r w:rsidRPr="00242C6B">
        <w:rPr>
          <w:rFonts w:ascii="Franklin Gothic Book" w:hAnsi="Franklin Gothic Book"/>
          <w:sz w:val="22"/>
        </w:rPr>
        <w:t>The MA for any liver-related outcome, conducted by Gish et al. (202</w:t>
      </w:r>
      <w:r w:rsidR="26EF8E62" w:rsidRPr="00242C6B">
        <w:rPr>
          <w:rFonts w:ascii="Franklin Gothic Book" w:hAnsi="Franklin Gothic Book"/>
          <w:sz w:val="22"/>
        </w:rPr>
        <w:t>4)</w:t>
      </w:r>
      <w:r w:rsidR="004807C7" w:rsidRPr="00242C6B">
        <w:rPr>
          <w:rStyle w:val="FootnoteReference"/>
          <w:rFonts w:ascii="Franklin Gothic Book" w:hAnsi="Franklin Gothic Book"/>
          <w:sz w:val="22"/>
        </w:rPr>
        <w:footnoteReference w:id="14"/>
      </w:r>
      <w:r w:rsidRPr="00242C6B">
        <w:rPr>
          <w:rFonts w:ascii="Franklin Gothic Book" w:hAnsi="Franklin Gothic Book"/>
          <w:sz w:val="22"/>
        </w:rPr>
        <w:t xml:space="preserve"> was repeated during </w:t>
      </w:r>
      <w:r w:rsidR="23E97184" w:rsidRPr="00242C6B">
        <w:rPr>
          <w:rFonts w:ascii="Franklin Gothic Book" w:hAnsi="Franklin Gothic Book"/>
          <w:sz w:val="22"/>
        </w:rPr>
        <w:t>the commentary’s</w:t>
      </w:r>
      <w:r w:rsidRPr="00242C6B">
        <w:rPr>
          <w:rFonts w:ascii="Franklin Gothic Book" w:hAnsi="Franklin Gothic Book"/>
          <w:sz w:val="22"/>
        </w:rPr>
        <w:t xml:space="preserve"> evaluation including only those studies reporting HR values for baseline detectable versus undetectable HDV RNA. The study by </w:t>
      </w:r>
      <w:proofErr w:type="spellStart"/>
      <w:r w:rsidRPr="00242C6B">
        <w:rPr>
          <w:rFonts w:ascii="Franklin Gothic Book" w:hAnsi="Franklin Gothic Book"/>
          <w:sz w:val="22"/>
        </w:rPr>
        <w:t>Wranke</w:t>
      </w:r>
      <w:proofErr w:type="spellEnd"/>
      <w:r w:rsidRPr="00242C6B">
        <w:rPr>
          <w:rFonts w:ascii="Franklin Gothic Book" w:hAnsi="Franklin Gothic Book"/>
          <w:sz w:val="22"/>
        </w:rPr>
        <w:t xml:space="preserve"> et al. (2024)</w:t>
      </w:r>
      <w:r w:rsidR="004807C7" w:rsidRPr="00242C6B">
        <w:rPr>
          <w:rStyle w:val="FootnoteReference"/>
          <w:rFonts w:ascii="Franklin Gothic Book" w:hAnsi="Franklin Gothic Book"/>
          <w:sz w:val="22"/>
        </w:rPr>
        <w:footnoteReference w:id="15"/>
      </w:r>
      <w:r w:rsidRPr="00242C6B">
        <w:rPr>
          <w:rFonts w:ascii="Franklin Gothic Book" w:hAnsi="Franklin Gothic Book"/>
          <w:sz w:val="22"/>
        </w:rPr>
        <w:t xml:space="preserve"> was also included </w:t>
      </w:r>
      <w:r w:rsidRPr="00242C6B">
        <w:rPr>
          <w:rFonts w:ascii="Franklin Gothic Book" w:hAnsi="Franklin Gothic Book"/>
          <w:sz w:val="22"/>
        </w:rPr>
        <w:lastRenderedPageBreak/>
        <w:t>in the MA as it provided appropriate data. The pooled HR value (3.66; 95% CI 1.13, 6.20) indicates that patients with detectable HDV RNA at baseline are significantly more likely to have a liver-related adverse event than those with undetectable HDV RNA at baseline (</w:t>
      </w:r>
      <w:r w:rsidR="00B178E4" w:rsidRPr="00242C6B">
        <w:rPr>
          <w:rFonts w:ascii="Franklin Gothic Book" w:hAnsi="Franklin Gothic Book"/>
          <w:sz w:val="22"/>
        </w:rPr>
        <w:fldChar w:fldCharType="begin"/>
      </w:r>
      <w:r w:rsidR="00B178E4" w:rsidRPr="00242C6B">
        <w:rPr>
          <w:rFonts w:ascii="Franklin Gothic Book" w:hAnsi="Franklin Gothic Book"/>
          <w:sz w:val="22"/>
        </w:rPr>
        <w:instrText xml:space="preserve"> REF _Ref185254249 \h  \* MERGEFORMAT </w:instrText>
      </w:r>
      <w:r w:rsidR="00B178E4" w:rsidRPr="00242C6B">
        <w:rPr>
          <w:rFonts w:ascii="Franklin Gothic Book" w:hAnsi="Franklin Gothic Book"/>
          <w:sz w:val="22"/>
        </w:rPr>
      </w:r>
      <w:r w:rsidR="00B178E4" w:rsidRPr="00242C6B">
        <w:rPr>
          <w:rFonts w:ascii="Franklin Gothic Book" w:hAnsi="Franklin Gothic Book"/>
          <w:sz w:val="22"/>
        </w:rPr>
        <w:fldChar w:fldCharType="separate"/>
      </w:r>
      <w:r w:rsidR="00815583" w:rsidRPr="00242C6B">
        <w:rPr>
          <w:rFonts w:ascii="Franklin Gothic Book" w:hAnsi="Franklin Gothic Book"/>
          <w:sz w:val="22"/>
        </w:rPr>
        <w:t>Figure</w:t>
      </w:r>
      <w:r w:rsidR="00BD2A33" w:rsidRPr="00242C6B">
        <w:rPr>
          <w:rFonts w:ascii="Franklin Gothic Book" w:hAnsi="Franklin Gothic Book"/>
          <w:sz w:val="22"/>
        </w:rPr>
        <w:t> </w:t>
      </w:r>
      <w:r w:rsidR="00815583" w:rsidRPr="00242C6B">
        <w:rPr>
          <w:rFonts w:ascii="Franklin Gothic Book" w:hAnsi="Franklin Gothic Book"/>
          <w:sz w:val="22"/>
        </w:rPr>
        <w:t>1</w:t>
      </w:r>
      <w:r w:rsidR="00B178E4" w:rsidRPr="00242C6B">
        <w:rPr>
          <w:rFonts w:ascii="Franklin Gothic Book" w:hAnsi="Franklin Gothic Book"/>
          <w:sz w:val="22"/>
        </w:rPr>
        <w:fldChar w:fldCharType="end"/>
      </w:r>
      <w:r w:rsidRPr="00242C6B">
        <w:rPr>
          <w:rFonts w:ascii="Franklin Gothic Book" w:hAnsi="Franklin Gothic Book"/>
          <w:sz w:val="22"/>
        </w:rPr>
        <w:t>).</w:t>
      </w:r>
    </w:p>
    <w:p w14:paraId="6A8F5A6D" w14:textId="77777777" w:rsidR="00B178E4" w:rsidRPr="007D77C8" w:rsidRDefault="00B178E4" w:rsidP="00B178E4">
      <w:pPr>
        <w:rPr>
          <w:i/>
          <w:iCs/>
        </w:rPr>
      </w:pPr>
      <w:r w:rsidRPr="007D77C8">
        <w:rPr>
          <w:i/>
          <w:iCs/>
          <w:noProof/>
        </w:rPr>
        <w:drawing>
          <wp:inline distT="0" distB="0" distL="0" distR="0" wp14:anchorId="0319E7AA" wp14:editId="71CBF210">
            <wp:extent cx="5761355" cy="1865630"/>
            <wp:effectExtent l="0" t="0" r="0" b="1270"/>
            <wp:docPr id="1413946434" name="Picture 5" descr="Graphical representation of the meta-analysis of studies comparing any liver-related outcome for patients with detectable versus undetectable HDV RNA at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46434" name="Picture 5" descr="Graphical representation of the meta-analysis of studies comparing any liver-related outcome for patients with detectable versus undetectable HDV RNA at base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1865630"/>
                    </a:xfrm>
                    <a:prstGeom prst="rect">
                      <a:avLst/>
                    </a:prstGeom>
                    <a:noFill/>
                  </pic:spPr>
                </pic:pic>
              </a:graphicData>
            </a:graphic>
          </wp:inline>
        </w:drawing>
      </w:r>
    </w:p>
    <w:p w14:paraId="188CEDE1" w14:textId="1582D6EF" w:rsidR="00B178E4" w:rsidRDefault="00B178E4" w:rsidP="00BD2A33">
      <w:pPr>
        <w:pStyle w:val="Caption"/>
      </w:pPr>
      <w:bookmarkStart w:id="43" w:name="_Ref185254249"/>
      <w:r w:rsidRPr="007D77C8">
        <w:t xml:space="preserve">Figure </w:t>
      </w:r>
      <w:r>
        <w:fldChar w:fldCharType="begin"/>
      </w:r>
      <w:r>
        <w:instrText>SEQ Figure_MSAC \* ARABIC</w:instrText>
      </w:r>
      <w:r>
        <w:fldChar w:fldCharType="separate"/>
      </w:r>
      <w:r w:rsidR="00815583">
        <w:rPr>
          <w:noProof/>
        </w:rPr>
        <w:t>1</w:t>
      </w:r>
      <w:r>
        <w:fldChar w:fldCharType="end"/>
      </w:r>
      <w:bookmarkEnd w:id="43"/>
      <w:r w:rsidRPr="007D77C8">
        <w:tab/>
        <w:t>MA of studies comparing any liver-related outcome for patients with detectable versus undetectable HDV RNA at baseline.</w:t>
      </w:r>
    </w:p>
    <w:p w14:paraId="4BF62148" w14:textId="7EC2EA69" w:rsidR="00FE2B4F" w:rsidRPr="00FE2B4F" w:rsidRDefault="00FE2B4F" w:rsidP="00D365B3">
      <w:pPr>
        <w:pStyle w:val="TableFooter"/>
      </w:pPr>
      <w:r>
        <w:t xml:space="preserve">Source: constructed during </w:t>
      </w:r>
      <w:r w:rsidR="00C721D4">
        <w:t>the commentary’s</w:t>
      </w:r>
      <w:r>
        <w:t xml:space="preserve"> evaluation</w:t>
      </w:r>
    </w:p>
    <w:p w14:paraId="21802174" w14:textId="77777777" w:rsidR="00C42FC5" w:rsidRPr="00BD2A33" w:rsidRDefault="00C42FC5" w:rsidP="00C42FC5">
      <w:pPr>
        <w:rPr>
          <w:rFonts w:ascii="Franklin Gothic Book" w:hAnsi="Franklin Gothic Book"/>
          <w:b/>
          <w:bCs/>
          <w:i/>
          <w:iCs/>
        </w:rPr>
      </w:pPr>
      <w:r w:rsidRPr="00BD2A33">
        <w:rPr>
          <w:rFonts w:ascii="Franklin Gothic Book" w:hAnsi="Franklin Gothic Book"/>
          <w:b/>
          <w:bCs/>
          <w:i/>
          <w:iCs/>
        </w:rPr>
        <w:t>The prognostic effect of higher versus lower HDV RNA levels at baseline</w:t>
      </w:r>
    </w:p>
    <w:p w14:paraId="4B902EB7" w14:textId="3A5E3840" w:rsidR="00C42FC5" w:rsidRPr="00BD2A33" w:rsidRDefault="00C42FC5" w:rsidP="00BD2A33">
      <w:pPr>
        <w:jc w:val="left"/>
        <w:rPr>
          <w:rFonts w:ascii="Franklin Gothic Book" w:hAnsi="Franklin Gothic Book"/>
          <w:sz w:val="22"/>
        </w:rPr>
      </w:pPr>
      <w:r w:rsidRPr="00BD2A33">
        <w:rPr>
          <w:rFonts w:ascii="Franklin Gothic Book" w:hAnsi="Franklin Gothic Book"/>
          <w:sz w:val="22"/>
        </w:rPr>
        <w:t xml:space="preserve">Two of the four studies identified by the resubmission showed a statistically significant difference in the proportion of patients above and below specific HDV RNA values having liver-related events, favouring those with lower levels of HDV RNA. One study </w:t>
      </w:r>
      <w:r w:rsidR="09C66C09" w:rsidRPr="00BD2A33">
        <w:rPr>
          <w:rFonts w:ascii="Franklin Gothic Book" w:hAnsi="Franklin Gothic Book"/>
          <w:sz w:val="22"/>
        </w:rPr>
        <w:t xml:space="preserve">with a </w:t>
      </w:r>
      <w:r w:rsidR="1B411A3C" w:rsidRPr="00BD2A33">
        <w:rPr>
          <w:rFonts w:ascii="Franklin Gothic Book" w:hAnsi="Franklin Gothic Book"/>
          <w:sz w:val="22"/>
        </w:rPr>
        <w:t xml:space="preserve">high </w:t>
      </w:r>
      <w:r w:rsidR="09C66C09" w:rsidRPr="00BD2A33">
        <w:rPr>
          <w:rFonts w:ascii="Franklin Gothic Book" w:hAnsi="Franklin Gothic Book"/>
          <w:sz w:val="22"/>
        </w:rPr>
        <w:t xml:space="preserve">risk of bias </w:t>
      </w:r>
      <w:r w:rsidRPr="00BD2A33">
        <w:rPr>
          <w:rFonts w:ascii="Franklin Gothic Book" w:hAnsi="Franklin Gothic Book"/>
          <w:sz w:val="22"/>
        </w:rPr>
        <w:t>found that patients with baseline HDV RNA levels &gt;1000 IU/ml at baseline were more likely to have a serious liver-related event or death than those with lower HDV RNA levels (HR=2.87, 95% CI 1.60</w:t>
      </w:r>
      <w:r w:rsidR="152711B4" w:rsidRPr="00BD2A33">
        <w:rPr>
          <w:rFonts w:ascii="Franklin Gothic Book" w:hAnsi="Franklin Gothic Book"/>
          <w:sz w:val="22"/>
        </w:rPr>
        <w:t xml:space="preserve">, </w:t>
      </w:r>
      <w:r w:rsidRPr="00BD2A33">
        <w:rPr>
          <w:rFonts w:ascii="Franklin Gothic Book" w:hAnsi="Franklin Gothic Book"/>
          <w:sz w:val="22"/>
        </w:rPr>
        <w:t>5.13, p&lt;0.001)</w:t>
      </w:r>
      <w:r w:rsidRPr="00BD2A33">
        <w:rPr>
          <w:rStyle w:val="FootnoteReference"/>
          <w:rFonts w:ascii="Franklin Gothic Book" w:hAnsi="Franklin Gothic Book"/>
          <w:sz w:val="22"/>
        </w:rPr>
        <w:footnoteReference w:id="16"/>
      </w:r>
      <w:r w:rsidRPr="00BD2A33">
        <w:rPr>
          <w:rFonts w:ascii="Franklin Gothic Book" w:hAnsi="Franklin Gothic Book"/>
          <w:sz w:val="22"/>
        </w:rPr>
        <w:t xml:space="preserve">. A second study </w:t>
      </w:r>
      <w:r w:rsidR="09C66C09" w:rsidRPr="00BD2A33">
        <w:rPr>
          <w:rFonts w:ascii="Franklin Gothic Book" w:hAnsi="Franklin Gothic Book"/>
          <w:sz w:val="22"/>
        </w:rPr>
        <w:t xml:space="preserve">with a moderate risk of bias </w:t>
      </w:r>
      <w:r w:rsidRPr="00BD2A33">
        <w:rPr>
          <w:rFonts w:ascii="Franklin Gothic Book" w:hAnsi="Franklin Gothic Book"/>
          <w:sz w:val="22"/>
        </w:rPr>
        <w:t>used a receiver operating characteristic (ROC) curve analysis to assess the ability of HDV RNA to predict the development of cirrhosis in 193 HDV RNA positive patients</w:t>
      </w:r>
      <w:r w:rsidRPr="00BD2A33">
        <w:rPr>
          <w:rStyle w:val="FootnoteReference"/>
          <w:rFonts w:ascii="Franklin Gothic Book" w:hAnsi="Franklin Gothic Book"/>
          <w:sz w:val="22"/>
        </w:rPr>
        <w:footnoteReference w:id="17"/>
      </w:r>
      <w:r w:rsidRPr="00BD2A33">
        <w:rPr>
          <w:rFonts w:ascii="Franklin Gothic Book" w:hAnsi="Franklin Gothic Book"/>
          <w:sz w:val="22"/>
        </w:rPr>
        <w:t>. The authors found that patients with &gt;5.78 log</w:t>
      </w:r>
      <w:r w:rsidRPr="00BD2A33">
        <w:rPr>
          <w:rFonts w:ascii="Franklin Gothic Book" w:hAnsi="Franklin Gothic Book"/>
          <w:sz w:val="22"/>
          <w:vertAlign w:val="subscript"/>
        </w:rPr>
        <w:t>10</w:t>
      </w:r>
      <w:r w:rsidRPr="00BD2A33">
        <w:rPr>
          <w:rFonts w:ascii="Franklin Gothic Book" w:hAnsi="Franklin Gothic Book"/>
          <w:sz w:val="22"/>
        </w:rPr>
        <w:t xml:space="preserve"> HDV RNA (i.e. approximately 600,000 copies/mL) were more likely to develop cirrhosis than those with lower levels.</w:t>
      </w:r>
    </w:p>
    <w:p w14:paraId="755CF892" w14:textId="52A2140E" w:rsidR="00C42FC5" w:rsidRPr="00163819" w:rsidRDefault="00C42FC5" w:rsidP="00BD2A33">
      <w:pPr>
        <w:keepNext/>
        <w:jc w:val="left"/>
        <w:rPr>
          <w:rFonts w:ascii="Franklin Gothic Book" w:hAnsi="Franklin Gothic Book"/>
          <w:b/>
          <w:bCs/>
          <w:sz w:val="22"/>
        </w:rPr>
      </w:pPr>
      <w:r w:rsidRPr="00BD2A33">
        <w:rPr>
          <w:rFonts w:ascii="Franklin Gothic Book" w:hAnsi="Franklin Gothic Book"/>
          <w:b/>
          <w:bCs/>
          <w:i/>
          <w:iCs/>
          <w:sz w:val="22"/>
        </w:rPr>
        <w:t xml:space="preserve">The association between an undetectable viral load during follow-up or before study endpoint </w:t>
      </w:r>
      <w:r w:rsidRPr="00163819">
        <w:rPr>
          <w:rFonts w:ascii="Franklin Gothic Book" w:hAnsi="Franklin Gothic Book"/>
          <w:b/>
          <w:bCs/>
          <w:sz w:val="22"/>
        </w:rPr>
        <w:t xml:space="preserve">and </w:t>
      </w:r>
      <w:r w:rsidR="008317A6" w:rsidRPr="00163819">
        <w:rPr>
          <w:rFonts w:ascii="Franklin Gothic Book" w:hAnsi="Franklin Gothic Book"/>
          <w:b/>
          <w:bCs/>
          <w:sz w:val="22"/>
        </w:rPr>
        <w:t xml:space="preserve">subsequent </w:t>
      </w:r>
      <w:r w:rsidRPr="00163819">
        <w:rPr>
          <w:rFonts w:ascii="Franklin Gothic Book" w:hAnsi="Franklin Gothic Book"/>
          <w:b/>
          <w:bCs/>
          <w:sz w:val="22"/>
        </w:rPr>
        <w:t>clinical outcomes</w:t>
      </w:r>
    </w:p>
    <w:p w14:paraId="0AB8EDEE" w14:textId="38DB02EA" w:rsidR="00C42FC5" w:rsidRPr="00163819" w:rsidRDefault="00C42FC5" w:rsidP="00BD2A33">
      <w:pPr>
        <w:jc w:val="left"/>
        <w:rPr>
          <w:rFonts w:ascii="Franklin Gothic Book" w:hAnsi="Franklin Gothic Book"/>
          <w:sz w:val="22"/>
        </w:rPr>
      </w:pPr>
      <w:r w:rsidRPr="00163819">
        <w:rPr>
          <w:rFonts w:ascii="Franklin Gothic Book" w:hAnsi="Franklin Gothic Book"/>
          <w:sz w:val="22"/>
        </w:rPr>
        <w:t xml:space="preserve">Seven studies reported on the likelihood of having a liver-related event in treatment responders compared to non-responders. </w:t>
      </w:r>
      <w:r w:rsidR="00FE2B4F" w:rsidRPr="00163819">
        <w:rPr>
          <w:rFonts w:ascii="Franklin Gothic Book" w:hAnsi="Franklin Gothic Book"/>
          <w:sz w:val="22"/>
        </w:rPr>
        <w:t>The treatments included in these studies were mostly interferon</w:t>
      </w:r>
      <w:r w:rsidR="004C32F4" w:rsidRPr="00163819">
        <w:rPr>
          <w:rFonts w:ascii="Franklin Gothic Book" w:hAnsi="Franklin Gothic Book"/>
          <w:sz w:val="22"/>
        </w:rPr>
        <w:t>-based</w:t>
      </w:r>
      <w:r w:rsidR="00D365B3" w:rsidRPr="00163819">
        <w:rPr>
          <w:rFonts w:ascii="Franklin Gothic Book" w:hAnsi="Franklin Gothic Book"/>
          <w:sz w:val="22"/>
        </w:rPr>
        <w:t>;</w:t>
      </w:r>
      <w:r w:rsidR="004C32F4" w:rsidRPr="00163819">
        <w:rPr>
          <w:rFonts w:ascii="Franklin Gothic Book" w:hAnsi="Franklin Gothic Book"/>
          <w:sz w:val="22"/>
        </w:rPr>
        <w:t xml:space="preserve"> no study used bulevirtide</w:t>
      </w:r>
      <w:r w:rsidR="00FE2B4F" w:rsidRPr="00163819">
        <w:rPr>
          <w:rFonts w:ascii="Franklin Gothic Book" w:hAnsi="Franklin Gothic Book"/>
          <w:sz w:val="22"/>
        </w:rPr>
        <w:t xml:space="preserve">. </w:t>
      </w:r>
      <w:r w:rsidRPr="00163819">
        <w:rPr>
          <w:rFonts w:ascii="Franklin Gothic Book" w:hAnsi="Franklin Gothic Book"/>
          <w:sz w:val="22"/>
        </w:rPr>
        <w:t xml:space="preserve">In these studies responders were all defined as having sustained </w:t>
      </w:r>
      <w:r w:rsidR="00C117AB" w:rsidRPr="00163819">
        <w:rPr>
          <w:rFonts w:ascii="Franklin Gothic Book" w:hAnsi="Franklin Gothic Book"/>
          <w:sz w:val="22"/>
        </w:rPr>
        <w:t xml:space="preserve">(at least 6 months) </w:t>
      </w:r>
      <w:r w:rsidRPr="00163819">
        <w:rPr>
          <w:rFonts w:ascii="Franklin Gothic Book" w:hAnsi="Franklin Gothic Book"/>
          <w:sz w:val="22"/>
        </w:rPr>
        <w:t xml:space="preserve">undetectable HDV RNA results. All seven studies reported fewer </w:t>
      </w:r>
      <w:r w:rsidRPr="00163819">
        <w:rPr>
          <w:rFonts w:ascii="Franklin Gothic Book" w:hAnsi="Franklin Gothic Book"/>
          <w:sz w:val="22"/>
        </w:rPr>
        <w:lastRenderedPageBreak/>
        <w:t xml:space="preserve">clinical </w:t>
      </w:r>
      <w:r w:rsidR="008317A6" w:rsidRPr="00163819">
        <w:rPr>
          <w:rFonts w:ascii="Franklin Gothic Book" w:hAnsi="Franklin Gothic Book"/>
          <w:sz w:val="22"/>
        </w:rPr>
        <w:t xml:space="preserve">events </w:t>
      </w:r>
      <w:r w:rsidRPr="00163819">
        <w:rPr>
          <w:rFonts w:ascii="Franklin Gothic Book" w:hAnsi="Franklin Gothic Book"/>
          <w:sz w:val="22"/>
        </w:rPr>
        <w:t>in responders compared with non-responders</w:t>
      </w:r>
      <w:r w:rsidR="008317A6" w:rsidRPr="00163819">
        <w:rPr>
          <w:rFonts w:ascii="Franklin Gothic Book" w:hAnsi="Franklin Gothic Book"/>
          <w:sz w:val="22"/>
        </w:rPr>
        <w:t xml:space="preserve">, </w:t>
      </w:r>
      <w:r w:rsidRPr="00163819">
        <w:rPr>
          <w:rFonts w:ascii="Franklin Gothic Book" w:hAnsi="Franklin Gothic Book"/>
          <w:sz w:val="22"/>
        </w:rPr>
        <w:t>reach</w:t>
      </w:r>
      <w:r w:rsidR="008317A6" w:rsidRPr="00163819">
        <w:rPr>
          <w:rFonts w:ascii="Franklin Gothic Book" w:hAnsi="Franklin Gothic Book"/>
          <w:sz w:val="22"/>
        </w:rPr>
        <w:t>ing</w:t>
      </w:r>
      <w:r w:rsidRPr="00163819">
        <w:rPr>
          <w:rFonts w:ascii="Franklin Gothic Book" w:hAnsi="Franklin Gothic Book"/>
          <w:sz w:val="22"/>
        </w:rPr>
        <w:t xml:space="preserve"> statistical significance in six out of seven studies. </w:t>
      </w:r>
    </w:p>
    <w:p w14:paraId="738C84B8" w14:textId="6E6F2345" w:rsidR="00C42FC5" w:rsidRPr="00163819" w:rsidRDefault="00C42FC5" w:rsidP="00BD2A33">
      <w:pPr>
        <w:jc w:val="left"/>
        <w:rPr>
          <w:rFonts w:ascii="Franklin Gothic Book" w:hAnsi="Franklin Gothic Book"/>
          <w:sz w:val="22"/>
        </w:rPr>
      </w:pPr>
      <w:r w:rsidRPr="00163819">
        <w:rPr>
          <w:rFonts w:ascii="Franklin Gothic Book" w:hAnsi="Franklin Gothic Book"/>
          <w:sz w:val="22"/>
        </w:rPr>
        <w:t>Five studies reported on patients who were always positive for HDV RNA</w:t>
      </w:r>
      <w:r w:rsidR="008317A6" w:rsidRPr="00163819">
        <w:rPr>
          <w:rFonts w:ascii="Franklin Gothic Book" w:hAnsi="Franklin Gothic Book"/>
          <w:sz w:val="22"/>
        </w:rPr>
        <w:t xml:space="preserve"> and</w:t>
      </w:r>
      <w:r w:rsidRPr="00163819">
        <w:rPr>
          <w:rFonts w:ascii="Franklin Gothic Book" w:hAnsi="Franklin Gothic Book"/>
          <w:sz w:val="22"/>
        </w:rPr>
        <w:t xml:space="preserve"> compared </w:t>
      </w:r>
      <w:r w:rsidR="008317A6" w:rsidRPr="00163819">
        <w:rPr>
          <w:rFonts w:ascii="Franklin Gothic Book" w:hAnsi="Franklin Gothic Book"/>
          <w:sz w:val="22"/>
        </w:rPr>
        <w:t xml:space="preserve">these </w:t>
      </w:r>
      <w:r w:rsidRPr="00163819">
        <w:rPr>
          <w:rFonts w:ascii="Franklin Gothic Book" w:hAnsi="Franklin Gothic Book"/>
          <w:sz w:val="22"/>
        </w:rPr>
        <w:t>with those who became negative during follow-up, either by responding to treatment or spontaneously</w:t>
      </w:r>
      <w:r w:rsidR="008317A6" w:rsidRPr="00163819">
        <w:rPr>
          <w:rFonts w:ascii="Franklin Gothic Book" w:hAnsi="Franklin Gothic Book"/>
          <w:sz w:val="22"/>
        </w:rPr>
        <w:t xml:space="preserve"> clearing the virus</w:t>
      </w:r>
      <w:r w:rsidRPr="00163819">
        <w:rPr>
          <w:rFonts w:ascii="Franklin Gothic Book" w:hAnsi="Franklin Gothic Book"/>
          <w:sz w:val="22"/>
        </w:rPr>
        <w:t>. All five studies reported fewer clinical e</w:t>
      </w:r>
      <w:r w:rsidR="008317A6" w:rsidRPr="00163819">
        <w:rPr>
          <w:rFonts w:ascii="Franklin Gothic Book" w:hAnsi="Franklin Gothic Book"/>
          <w:sz w:val="22"/>
        </w:rPr>
        <w:t>ven</w:t>
      </w:r>
      <w:r w:rsidRPr="00163819">
        <w:rPr>
          <w:rFonts w:ascii="Franklin Gothic Book" w:hAnsi="Franklin Gothic Book"/>
          <w:sz w:val="22"/>
        </w:rPr>
        <w:t>ts in patients who became HDV RNA negative during follow-up compared with those who remained positive</w:t>
      </w:r>
      <w:r w:rsidR="008317A6" w:rsidRPr="00163819">
        <w:rPr>
          <w:rFonts w:ascii="Franklin Gothic Book" w:hAnsi="Franklin Gothic Book"/>
          <w:sz w:val="22"/>
        </w:rPr>
        <w:t>. The findings were</w:t>
      </w:r>
      <w:r w:rsidRPr="00163819">
        <w:rPr>
          <w:rFonts w:ascii="Franklin Gothic Book" w:hAnsi="Franklin Gothic Book"/>
          <w:sz w:val="22"/>
        </w:rPr>
        <w:t xml:space="preserve"> statistically significan</w:t>
      </w:r>
      <w:r w:rsidR="004330DE" w:rsidRPr="00163819">
        <w:rPr>
          <w:rFonts w:ascii="Franklin Gothic Book" w:hAnsi="Franklin Gothic Book"/>
          <w:sz w:val="22"/>
        </w:rPr>
        <w:t>t</w:t>
      </w:r>
      <w:r w:rsidRPr="00163819">
        <w:rPr>
          <w:rFonts w:ascii="Franklin Gothic Book" w:hAnsi="Franklin Gothic Book"/>
          <w:sz w:val="22"/>
        </w:rPr>
        <w:t xml:space="preserve"> for at least one outcome in three of the five studies.</w:t>
      </w:r>
    </w:p>
    <w:p w14:paraId="2DE1931D" w14:textId="29BD01F8" w:rsidR="00B178E4" w:rsidRPr="00163819" w:rsidRDefault="58B6AEFE" w:rsidP="00BD2A33">
      <w:pPr>
        <w:jc w:val="left"/>
        <w:rPr>
          <w:rFonts w:ascii="Franklin Gothic Book" w:hAnsi="Franklin Gothic Book"/>
          <w:sz w:val="22"/>
        </w:rPr>
      </w:pPr>
      <w:r w:rsidRPr="00163819">
        <w:rPr>
          <w:rFonts w:ascii="Franklin Gothic Book" w:hAnsi="Franklin Gothic Book"/>
          <w:sz w:val="22"/>
        </w:rPr>
        <w:t xml:space="preserve">The MA for any liver-related outcome, conducted by Gish et al. (2024) was repeated during </w:t>
      </w:r>
      <w:r w:rsidR="2FEAE114" w:rsidRPr="00163819">
        <w:rPr>
          <w:rFonts w:ascii="Franklin Gothic Book" w:hAnsi="Franklin Gothic Book"/>
          <w:sz w:val="22"/>
        </w:rPr>
        <w:t xml:space="preserve">the commentary’s </w:t>
      </w:r>
      <w:r w:rsidRPr="00163819">
        <w:rPr>
          <w:rFonts w:ascii="Franklin Gothic Book" w:hAnsi="Franklin Gothic Book"/>
          <w:sz w:val="22"/>
        </w:rPr>
        <w:t xml:space="preserve">evaluation including only those studies reporting HR values for post-treatment detectable versus undetectable HDV RNA. The study by </w:t>
      </w:r>
      <w:proofErr w:type="spellStart"/>
      <w:r w:rsidRPr="00163819">
        <w:rPr>
          <w:rFonts w:ascii="Franklin Gothic Book" w:hAnsi="Franklin Gothic Book"/>
          <w:sz w:val="22"/>
        </w:rPr>
        <w:t>Wranke</w:t>
      </w:r>
      <w:proofErr w:type="spellEnd"/>
      <w:r w:rsidRPr="00163819">
        <w:rPr>
          <w:rFonts w:ascii="Franklin Gothic Book" w:hAnsi="Franklin Gothic Book"/>
          <w:sz w:val="22"/>
        </w:rPr>
        <w:t xml:space="preserve"> et al. (2024) was also included in the MA as it provided appropriate data. The pooled HR value (2.22; 95% CI 1.20, 3.25)</w:t>
      </w:r>
      <w:r w:rsidRPr="00BD2A33">
        <w:rPr>
          <w:rFonts w:ascii="Franklin Gothic Book" w:hAnsi="Franklin Gothic Book"/>
          <w:i/>
          <w:iCs/>
          <w:sz w:val="22"/>
        </w:rPr>
        <w:t xml:space="preserve"> </w:t>
      </w:r>
      <w:r w:rsidRPr="00163819">
        <w:rPr>
          <w:rFonts w:ascii="Franklin Gothic Book" w:hAnsi="Franklin Gothic Book"/>
          <w:sz w:val="22"/>
        </w:rPr>
        <w:t>indicates that patients with detectable HDV RNA after treatment are significantly more likely to have a liver-related adverse event than those with undetectable HDV RNA after treatment (</w:t>
      </w:r>
      <w:r w:rsidR="00B178E4" w:rsidRPr="00163819">
        <w:rPr>
          <w:rFonts w:ascii="Franklin Gothic Book" w:hAnsi="Franklin Gothic Book"/>
          <w:sz w:val="22"/>
        </w:rPr>
        <w:fldChar w:fldCharType="begin"/>
      </w:r>
      <w:r w:rsidR="00B178E4" w:rsidRPr="00163819">
        <w:rPr>
          <w:rFonts w:ascii="Franklin Gothic Book" w:hAnsi="Franklin Gothic Book"/>
          <w:sz w:val="22"/>
        </w:rPr>
        <w:instrText xml:space="preserve"> REF _Ref185257127 \h </w:instrText>
      </w:r>
      <w:r w:rsidR="00736883" w:rsidRPr="00163819">
        <w:rPr>
          <w:rFonts w:ascii="Franklin Gothic Book" w:hAnsi="Franklin Gothic Book"/>
          <w:sz w:val="22"/>
        </w:rPr>
        <w:instrText xml:space="preserve"> \* MERGEFORMAT </w:instrText>
      </w:r>
      <w:r w:rsidR="00B178E4" w:rsidRPr="00163819">
        <w:rPr>
          <w:rFonts w:ascii="Franklin Gothic Book" w:hAnsi="Franklin Gothic Book"/>
          <w:sz w:val="22"/>
        </w:rPr>
      </w:r>
      <w:r w:rsidR="00B178E4" w:rsidRPr="00163819">
        <w:rPr>
          <w:rFonts w:ascii="Franklin Gothic Book" w:hAnsi="Franklin Gothic Book"/>
          <w:sz w:val="22"/>
        </w:rPr>
        <w:fldChar w:fldCharType="separate"/>
      </w:r>
      <w:r w:rsidR="00815583" w:rsidRPr="00163819">
        <w:rPr>
          <w:rFonts w:ascii="Franklin Gothic Book" w:hAnsi="Franklin Gothic Book"/>
          <w:sz w:val="22"/>
        </w:rPr>
        <w:t xml:space="preserve">Figure </w:t>
      </w:r>
      <w:r w:rsidR="00815583" w:rsidRPr="00163819">
        <w:rPr>
          <w:rFonts w:ascii="Franklin Gothic Book" w:hAnsi="Franklin Gothic Book"/>
          <w:noProof/>
          <w:sz w:val="22"/>
        </w:rPr>
        <w:t>2</w:t>
      </w:r>
      <w:r w:rsidR="00B178E4" w:rsidRPr="00163819">
        <w:rPr>
          <w:rFonts w:ascii="Franklin Gothic Book" w:hAnsi="Franklin Gothic Book"/>
          <w:sz w:val="22"/>
        </w:rPr>
        <w:fldChar w:fldCharType="end"/>
      </w:r>
      <w:r w:rsidRPr="00163819">
        <w:rPr>
          <w:rFonts w:ascii="Franklin Gothic Book" w:hAnsi="Franklin Gothic Book"/>
          <w:sz w:val="22"/>
        </w:rPr>
        <w:t>).</w:t>
      </w:r>
    </w:p>
    <w:p w14:paraId="41D578A1" w14:textId="77777777" w:rsidR="00B178E4" w:rsidRPr="00B178E4" w:rsidRDefault="00B178E4" w:rsidP="00493F80">
      <w:pPr>
        <w:keepNext/>
        <w:keepLines/>
        <w:widowControl w:val="0"/>
        <w:spacing w:after="0"/>
        <w:rPr>
          <w:i/>
          <w:iCs/>
        </w:rPr>
      </w:pPr>
      <w:r w:rsidRPr="00B178E4">
        <w:rPr>
          <w:i/>
          <w:iCs/>
          <w:noProof/>
        </w:rPr>
        <w:drawing>
          <wp:inline distT="0" distB="0" distL="0" distR="0" wp14:anchorId="480751DE" wp14:editId="62025320">
            <wp:extent cx="5708650" cy="2185265"/>
            <wp:effectExtent l="0" t="0" r="6350" b="5715"/>
            <wp:docPr id="1796097827" name="Picture 4" descr="Graphical representation of the meta-analysis of studies comparing any liver-related outcome for patients with detectable versus undetectable HDV RNA post-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97827" name="Picture 4" descr="Graphical representation of the meta-analysis of studies comparing any liver-related outcome for patients with detectable versus undetectable HDV RNA post-treat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8423" cy="2196662"/>
                    </a:xfrm>
                    <a:prstGeom prst="rect">
                      <a:avLst/>
                    </a:prstGeom>
                    <a:noFill/>
                  </pic:spPr>
                </pic:pic>
              </a:graphicData>
            </a:graphic>
          </wp:inline>
        </w:drawing>
      </w:r>
    </w:p>
    <w:p w14:paraId="3581A210" w14:textId="5301564B" w:rsidR="00B178E4" w:rsidRDefault="00B178E4" w:rsidP="00BD2A33">
      <w:pPr>
        <w:pStyle w:val="Caption"/>
      </w:pPr>
      <w:bookmarkStart w:id="44" w:name="_Ref185257127"/>
      <w:r w:rsidRPr="00B178E4">
        <w:t xml:space="preserve">Figure  </w:t>
      </w:r>
      <w:r>
        <w:fldChar w:fldCharType="begin"/>
      </w:r>
      <w:r>
        <w:instrText>SEQ Figure_MSAC \* ARABIC</w:instrText>
      </w:r>
      <w:r>
        <w:fldChar w:fldCharType="separate"/>
      </w:r>
      <w:r w:rsidR="00815583">
        <w:rPr>
          <w:noProof/>
        </w:rPr>
        <w:t>2</w:t>
      </w:r>
      <w:r>
        <w:fldChar w:fldCharType="end"/>
      </w:r>
      <w:bookmarkEnd w:id="44"/>
      <w:r w:rsidRPr="00B178E4">
        <w:tab/>
        <w:t>MA of studies comparing any liver-related outcome for patients with detectable versus undetectable HDV RNA post-treatment.</w:t>
      </w:r>
    </w:p>
    <w:p w14:paraId="1882B34A" w14:textId="77777777" w:rsidR="00FE2B4F" w:rsidRPr="00FE2B4F" w:rsidRDefault="00FE2B4F" w:rsidP="00493F80">
      <w:pPr>
        <w:pStyle w:val="TableFooter"/>
        <w:keepLines/>
      </w:pPr>
      <w:r>
        <w:t>Source: constructed during evaluation</w:t>
      </w:r>
    </w:p>
    <w:p w14:paraId="70CC8F10" w14:textId="77777777" w:rsidR="00C42FC5" w:rsidRPr="00163819" w:rsidRDefault="00C42FC5" w:rsidP="00BD2A33">
      <w:pPr>
        <w:jc w:val="left"/>
        <w:rPr>
          <w:rFonts w:ascii="Franklin Gothic Book" w:hAnsi="Franklin Gothic Book"/>
          <w:b/>
          <w:bCs/>
          <w:sz w:val="22"/>
        </w:rPr>
      </w:pPr>
      <w:r w:rsidRPr="00163819">
        <w:rPr>
          <w:rFonts w:ascii="Franklin Gothic Book" w:hAnsi="Franklin Gothic Book"/>
          <w:b/>
          <w:bCs/>
          <w:sz w:val="22"/>
        </w:rPr>
        <w:t>The association between a &gt;2 log</w:t>
      </w:r>
      <w:r w:rsidRPr="00163819">
        <w:rPr>
          <w:rFonts w:ascii="Franklin Gothic Book" w:hAnsi="Franklin Gothic Book"/>
          <w:b/>
          <w:bCs/>
          <w:sz w:val="22"/>
          <w:vertAlign w:val="subscript"/>
        </w:rPr>
        <w:t>10</w:t>
      </w:r>
      <w:r w:rsidRPr="00163819">
        <w:rPr>
          <w:rFonts w:ascii="Franklin Gothic Book" w:hAnsi="Franklin Gothic Book"/>
          <w:b/>
          <w:bCs/>
          <w:sz w:val="22"/>
        </w:rPr>
        <w:t xml:space="preserve"> IU/mL decline in HDV RNA and clinical outcomes</w:t>
      </w:r>
    </w:p>
    <w:p w14:paraId="72993B57" w14:textId="2F5EAA38" w:rsidR="00C42FC5" w:rsidRPr="00163819" w:rsidRDefault="00C42FC5" w:rsidP="00BD2A33">
      <w:pPr>
        <w:jc w:val="left"/>
        <w:rPr>
          <w:rFonts w:ascii="Franklin Gothic Book" w:hAnsi="Franklin Gothic Book"/>
          <w:sz w:val="22"/>
        </w:rPr>
      </w:pPr>
      <w:r w:rsidRPr="00163819">
        <w:rPr>
          <w:rFonts w:ascii="Franklin Gothic Book" w:hAnsi="Franklin Gothic Book"/>
          <w:sz w:val="22"/>
        </w:rPr>
        <w:t>Three studies provided subgroup analys</w:t>
      </w:r>
      <w:r w:rsidR="008317A6" w:rsidRPr="00163819">
        <w:rPr>
          <w:rFonts w:ascii="Franklin Gothic Book" w:hAnsi="Franklin Gothic Book"/>
          <w:sz w:val="22"/>
        </w:rPr>
        <w:t>e</w:t>
      </w:r>
      <w:r w:rsidRPr="00163819">
        <w:rPr>
          <w:rFonts w:ascii="Franklin Gothic Book" w:hAnsi="Franklin Gothic Book"/>
          <w:sz w:val="22"/>
        </w:rPr>
        <w:t xml:space="preserve">s </w:t>
      </w:r>
      <w:r w:rsidR="008317A6" w:rsidRPr="00163819">
        <w:rPr>
          <w:rFonts w:ascii="Franklin Gothic Book" w:hAnsi="Franklin Gothic Book"/>
          <w:sz w:val="22"/>
        </w:rPr>
        <w:t>assessing</w:t>
      </w:r>
      <w:r w:rsidRPr="00163819">
        <w:rPr>
          <w:rFonts w:ascii="Franklin Gothic Book" w:hAnsi="Franklin Gothic Book"/>
          <w:sz w:val="22"/>
        </w:rPr>
        <w:t xml:space="preserve"> clinical outcomes among patients with a &gt;2 log</w:t>
      </w:r>
      <w:r w:rsidRPr="00163819">
        <w:rPr>
          <w:rFonts w:ascii="Franklin Gothic Book" w:hAnsi="Franklin Gothic Book"/>
          <w:sz w:val="22"/>
          <w:vertAlign w:val="subscript"/>
        </w:rPr>
        <w:t>10</w:t>
      </w:r>
      <w:r w:rsidRPr="00163819">
        <w:rPr>
          <w:rFonts w:ascii="Franklin Gothic Book" w:hAnsi="Franklin Gothic Book"/>
          <w:sz w:val="22"/>
        </w:rPr>
        <w:t xml:space="preserve"> IU/mL reduction in viral load compared to those with a smaller or no reduction in viral load (</w:t>
      </w:r>
      <w:r w:rsidRPr="00163819">
        <w:rPr>
          <w:rFonts w:ascii="Franklin Gothic Book" w:hAnsi="Franklin Gothic Book"/>
          <w:sz w:val="22"/>
        </w:rPr>
        <w:fldChar w:fldCharType="begin"/>
      </w:r>
      <w:r w:rsidRPr="00163819">
        <w:rPr>
          <w:rFonts w:ascii="Franklin Gothic Book" w:hAnsi="Franklin Gothic Book"/>
          <w:sz w:val="22"/>
        </w:rPr>
        <w:instrText xml:space="preserve"> REF _Ref183533910 \h  \* MERGEFORMAT </w:instrText>
      </w:r>
      <w:r w:rsidRPr="00163819">
        <w:rPr>
          <w:rFonts w:ascii="Franklin Gothic Book" w:hAnsi="Franklin Gothic Book"/>
          <w:sz w:val="22"/>
        </w:rPr>
      </w:r>
      <w:r w:rsidRPr="00163819">
        <w:rPr>
          <w:rFonts w:ascii="Franklin Gothic Book" w:hAnsi="Franklin Gothic Book"/>
          <w:sz w:val="22"/>
        </w:rPr>
        <w:fldChar w:fldCharType="separate"/>
      </w:r>
      <w:r w:rsidR="00815583" w:rsidRPr="00163819">
        <w:rPr>
          <w:rFonts w:ascii="Franklin Gothic Book" w:hAnsi="Franklin Gothic Book"/>
          <w:sz w:val="22"/>
        </w:rPr>
        <w:t>Table 7</w:t>
      </w:r>
      <w:r w:rsidRPr="00163819">
        <w:rPr>
          <w:rFonts w:ascii="Franklin Gothic Book" w:hAnsi="Franklin Gothic Book"/>
          <w:sz w:val="22"/>
        </w:rPr>
        <w:fldChar w:fldCharType="end"/>
      </w:r>
      <w:r w:rsidRPr="00163819">
        <w:rPr>
          <w:rFonts w:ascii="Franklin Gothic Book" w:hAnsi="Franklin Gothic Book"/>
          <w:sz w:val="22"/>
        </w:rPr>
        <w:t>).</w:t>
      </w:r>
    </w:p>
    <w:p w14:paraId="7B867369" w14:textId="5DB4E954" w:rsidR="00C42FC5" w:rsidRPr="00FD70DE" w:rsidRDefault="00C42FC5" w:rsidP="00BD2A33">
      <w:pPr>
        <w:pStyle w:val="Caption"/>
      </w:pPr>
      <w:bookmarkStart w:id="45" w:name="_Ref183533910"/>
      <w:r w:rsidRPr="4904BCD2">
        <w:lastRenderedPageBreak/>
        <w:t xml:space="preserve">Table  </w:t>
      </w:r>
      <w:r w:rsidRPr="4904BCD2">
        <w:fldChar w:fldCharType="begin"/>
      </w:r>
      <w:r>
        <w:instrText xml:space="preserve"> SEQ Table_MSAC \* ARABIC </w:instrText>
      </w:r>
      <w:r w:rsidRPr="4904BCD2">
        <w:fldChar w:fldCharType="separate"/>
      </w:r>
      <w:r w:rsidR="00642C46">
        <w:rPr>
          <w:noProof/>
        </w:rPr>
        <w:t>7</w:t>
      </w:r>
      <w:r w:rsidRPr="4904BCD2">
        <w:rPr>
          <w:noProof/>
        </w:rPr>
        <w:fldChar w:fldCharType="end"/>
      </w:r>
      <w:bookmarkEnd w:id="45"/>
      <w:r>
        <w:tab/>
      </w:r>
      <w:r w:rsidRPr="4904BCD2">
        <w:t>Response to treatment with a HDV RNA decrease of &gt;2 log</w:t>
      </w:r>
      <w:r w:rsidRPr="4904BCD2">
        <w:rPr>
          <w:vertAlign w:val="subscript"/>
        </w:rPr>
        <w:t>10</w:t>
      </w:r>
      <w:r w:rsidRPr="4904BCD2">
        <w:t xml:space="preserve"> in viral load and subsequent health outcomes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111"/>
        <w:gridCol w:w="1841"/>
        <w:gridCol w:w="4768"/>
      </w:tblGrid>
      <w:tr w:rsidR="00071E21" w:rsidRPr="00FD70DE" w14:paraId="40B490D7" w14:textId="77777777" w:rsidTr="00425E57">
        <w:trPr>
          <w:cnfStyle w:val="100000000000" w:firstRow="1" w:lastRow="0" w:firstColumn="0" w:lastColumn="0" w:oddVBand="0" w:evenVBand="0" w:oddHBand="0" w:evenHBand="0" w:firstRowFirstColumn="0" w:firstRowLastColumn="0" w:lastRowFirstColumn="0" w:lastRowLastColumn="0"/>
          <w:tblHeader/>
        </w:trPr>
        <w:tc>
          <w:tcPr>
            <w:tcW w:w="719" w:type="pct"/>
            <w:shd w:val="clear" w:color="auto" w:fill="FFFFFF" w:themeFill="background1"/>
          </w:tcPr>
          <w:p w14:paraId="70067841" w14:textId="77777777" w:rsidR="00C42FC5" w:rsidRPr="00FD70DE" w:rsidRDefault="00C42FC5" w:rsidP="00003DDF">
            <w:pPr>
              <w:keepNext/>
              <w:keepLines/>
              <w:spacing w:before="40" w:after="40"/>
              <w:jc w:val="left"/>
              <w:rPr>
                <w:rFonts w:ascii="Arial Narrow" w:eastAsiaTheme="majorEastAsia" w:hAnsi="Arial Narrow" w:cs="Times New Roman"/>
                <w:bCs/>
                <w:sz w:val="20"/>
                <w:szCs w:val="24"/>
                <w:lang w:val="en-AU" w:eastAsia="en-AU"/>
              </w:rPr>
            </w:pPr>
            <w:r w:rsidRPr="00FD70DE">
              <w:rPr>
                <w:rFonts w:ascii="Arial Narrow" w:eastAsiaTheme="majorEastAsia" w:hAnsi="Arial Narrow" w:cs="Times New Roman"/>
                <w:bCs/>
                <w:sz w:val="20"/>
                <w:szCs w:val="24"/>
                <w:lang w:val="en-AU" w:eastAsia="en-AU"/>
              </w:rPr>
              <w:t>Study</w:t>
            </w:r>
          </w:p>
        </w:tc>
        <w:tc>
          <w:tcPr>
            <w:tcW w:w="616" w:type="pct"/>
            <w:shd w:val="clear" w:color="auto" w:fill="FFFFFF" w:themeFill="background1"/>
          </w:tcPr>
          <w:p w14:paraId="43405238" w14:textId="77777777" w:rsidR="00C42FC5" w:rsidRPr="00FD70DE" w:rsidRDefault="00C42FC5" w:rsidP="00003DDF">
            <w:pPr>
              <w:keepNext/>
              <w:keepLines/>
              <w:spacing w:before="40" w:after="40"/>
              <w:jc w:val="left"/>
              <w:rPr>
                <w:rFonts w:ascii="Arial Narrow" w:eastAsiaTheme="majorEastAsia" w:hAnsi="Arial Narrow" w:cs="Times New Roman"/>
                <w:sz w:val="20"/>
                <w:szCs w:val="24"/>
                <w:lang w:val="en-AU" w:eastAsia="en-AU"/>
              </w:rPr>
            </w:pPr>
            <w:r w:rsidRPr="00FD70DE">
              <w:rPr>
                <w:rFonts w:ascii="Arial Narrow" w:eastAsiaTheme="majorEastAsia" w:hAnsi="Arial Narrow" w:cs="Times New Roman"/>
                <w:sz w:val="20"/>
                <w:szCs w:val="24"/>
                <w:lang w:val="en-AU" w:eastAsia="en-AU"/>
              </w:rPr>
              <w:t>Follow-up</w:t>
            </w:r>
          </w:p>
        </w:tc>
        <w:tc>
          <w:tcPr>
            <w:tcW w:w="1021" w:type="pct"/>
            <w:shd w:val="clear" w:color="auto" w:fill="FFFFFF" w:themeFill="background1"/>
          </w:tcPr>
          <w:p w14:paraId="159F0AE2" w14:textId="77777777" w:rsidR="00C42FC5" w:rsidRPr="00FD70DE" w:rsidRDefault="00C42FC5" w:rsidP="00003DDF">
            <w:pPr>
              <w:keepNext/>
              <w:keepLines/>
              <w:spacing w:before="40" w:after="40"/>
              <w:jc w:val="left"/>
              <w:rPr>
                <w:rFonts w:ascii="Arial Narrow" w:eastAsiaTheme="majorEastAsia" w:hAnsi="Arial Narrow" w:cs="Times New Roman"/>
                <w:bCs/>
                <w:sz w:val="20"/>
                <w:szCs w:val="24"/>
                <w:lang w:val="en-AU" w:eastAsia="en-AU"/>
              </w:rPr>
            </w:pPr>
            <w:r w:rsidRPr="00FD70DE">
              <w:rPr>
                <w:rFonts w:ascii="Arial Narrow" w:eastAsiaTheme="majorEastAsia" w:hAnsi="Arial Narrow" w:cs="Times New Roman"/>
                <w:bCs/>
                <w:sz w:val="20"/>
                <w:szCs w:val="24"/>
                <w:lang w:val="en-AU" w:eastAsia="en-AU"/>
              </w:rPr>
              <w:t xml:space="preserve">Population </w:t>
            </w:r>
          </w:p>
        </w:tc>
        <w:tc>
          <w:tcPr>
            <w:tcW w:w="2644" w:type="pct"/>
            <w:shd w:val="clear" w:color="auto" w:fill="FFFFFF" w:themeFill="background1"/>
          </w:tcPr>
          <w:p w14:paraId="11714018" w14:textId="77777777" w:rsidR="00C42FC5" w:rsidRPr="00FD70DE" w:rsidRDefault="00C42FC5" w:rsidP="00003DDF">
            <w:pPr>
              <w:keepNext/>
              <w:keepLines/>
              <w:spacing w:before="40" w:after="40"/>
              <w:jc w:val="left"/>
              <w:rPr>
                <w:rFonts w:ascii="Arial Narrow" w:eastAsiaTheme="majorEastAsia" w:hAnsi="Arial Narrow" w:cs="Times New Roman"/>
                <w:bCs/>
                <w:sz w:val="20"/>
                <w:szCs w:val="24"/>
                <w:lang w:val="en-AU" w:eastAsia="en-AU"/>
              </w:rPr>
            </w:pPr>
            <w:r w:rsidRPr="00FD70DE">
              <w:rPr>
                <w:rFonts w:ascii="Arial Narrow" w:eastAsiaTheme="majorEastAsia" w:hAnsi="Arial Narrow" w:cs="Times New Roman"/>
                <w:bCs/>
                <w:sz w:val="20"/>
                <w:szCs w:val="24"/>
                <w:lang w:val="en-AU" w:eastAsia="en-AU"/>
              </w:rPr>
              <w:t>Any liver related event</w:t>
            </w:r>
          </w:p>
        </w:tc>
      </w:tr>
      <w:tr w:rsidR="00071E21" w:rsidRPr="00FD70DE" w14:paraId="37732F5B" w14:textId="77777777" w:rsidTr="00AC3BE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000" w:type="pct"/>
            <w:gridSpan w:val="4"/>
            <w:tcBorders>
              <w:top w:val="single" w:sz="4" w:space="0" w:color="auto"/>
              <w:left w:val="single" w:sz="4" w:space="0" w:color="auto"/>
              <w:bottom w:val="single" w:sz="4" w:space="0" w:color="auto"/>
              <w:right w:val="single" w:sz="4" w:space="0" w:color="auto"/>
            </w:tcBorders>
          </w:tcPr>
          <w:p w14:paraId="6A2563D1" w14:textId="77777777" w:rsidR="00C42FC5" w:rsidRPr="00FD70DE" w:rsidRDefault="00C42FC5" w:rsidP="00003DDF">
            <w:pPr>
              <w:keepNext/>
              <w:keepLines/>
              <w:spacing w:before="40" w:after="40"/>
              <w:jc w:val="left"/>
              <w:rPr>
                <w:rFonts w:ascii="Arial Narrow" w:hAnsi="Arial Narrow"/>
                <w:b/>
                <w:bCs/>
                <w:sz w:val="20"/>
                <w:szCs w:val="20"/>
                <w:lang w:val="en-AU"/>
              </w:rPr>
            </w:pPr>
          </w:p>
        </w:tc>
      </w:tr>
      <w:tr w:rsidR="00071E21" w:rsidRPr="00FD70DE" w14:paraId="2C18F266" w14:textId="77777777" w:rsidTr="00425E57">
        <w:tc>
          <w:tcPr>
            <w:tcW w:w="719" w:type="pct"/>
            <w:tcBorders>
              <w:top w:val="single" w:sz="4" w:space="0" w:color="auto"/>
            </w:tcBorders>
            <w:shd w:val="clear" w:color="auto" w:fill="auto"/>
          </w:tcPr>
          <w:p w14:paraId="58EC7526" w14:textId="77777777" w:rsidR="00C42FC5" w:rsidRPr="00FD70DE" w:rsidRDefault="00C42FC5" w:rsidP="00003DDF">
            <w:pPr>
              <w:keepNext/>
              <w:keepLines/>
              <w:widowControl w:val="0"/>
              <w:spacing w:before="40" w:after="40"/>
              <w:jc w:val="left"/>
              <w:rPr>
                <w:rFonts w:ascii="Arial Narrow" w:hAnsi="Arial Narrow"/>
                <w:i/>
                <w:iCs/>
                <w:sz w:val="20"/>
                <w:lang w:val="en-AU"/>
              </w:rPr>
            </w:pPr>
            <w:r w:rsidRPr="00FD70DE">
              <w:rPr>
                <w:rFonts w:ascii="Arial Narrow" w:hAnsi="Arial Narrow"/>
                <w:i/>
                <w:iCs/>
                <w:sz w:val="20"/>
                <w:lang w:val="en-AU"/>
              </w:rPr>
              <w:t>Farci et al. (2004)</w:t>
            </w:r>
          </w:p>
        </w:tc>
        <w:tc>
          <w:tcPr>
            <w:tcW w:w="616" w:type="pct"/>
            <w:tcBorders>
              <w:top w:val="single" w:sz="4" w:space="0" w:color="auto"/>
            </w:tcBorders>
            <w:shd w:val="clear" w:color="auto" w:fill="auto"/>
          </w:tcPr>
          <w:p w14:paraId="02570A66" w14:textId="77777777" w:rsidR="00C42FC5" w:rsidRPr="00FD70DE" w:rsidRDefault="00C42FC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12 years</w:t>
            </w:r>
          </w:p>
        </w:tc>
        <w:tc>
          <w:tcPr>
            <w:tcW w:w="1021" w:type="pct"/>
          </w:tcPr>
          <w:p w14:paraId="6036AB7E" w14:textId="77777777" w:rsidR="00C42FC5" w:rsidRPr="00FD70DE" w:rsidRDefault="00C42FC5" w:rsidP="00003DDF">
            <w:pPr>
              <w:keepNext/>
              <w:keepLines/>
              <w:widowControl w:val="0"/>
              <w:spacing w:before="40" w:after="40"/>
              <w:jc w:val="left"/>
              <w:rPr>
                <w:rFonts w:ascii="Arial Narrow" w:hAnsi="Arial Narrow"/>
                <w:i/>
                <w:iCs/>
                <w:sz w:val="20"/>
                <w:lang w:val="en-AU"/>
              </w:rPr>
            </w:pPr>
            <w:r w:rsidRPr="00FD70DE">
              <w:rPr>
                <w:rFonts w:ascii="Arial Narrow" w:hAnsi="Arial Narrow"/>
                <w:i/>
                <w:iCs/>
                <w:sz w:val="20"/>
                <w:szCs w:val="18"/>
                <w:lang w:val="en-AU"/>
              </w:rPr>
              <w:t xml:space="preserve">N=41 patients with CHD treated with 9 million or 3 million U of IFN or no treatment </w:t>
            </w:r>
          </w:p>
        </w:tc>
        <w:tc>
          <w:tcPr>
            <w:tcW w:w="2644" w:type="pct"/>
          </w:tcPr>
          <w:p w14:paraId="71CB2690" w14:textId="77777777" w:rsidR="00425E57" w:rsidRPr="00FD70DE" w:rsidRDefault="00C42FC5" w:rsidP="00003DDF">
            <w:pPr>
              <w:keepNext/>
              <w:keepLines/>
              <w:tabs>
                <w:tab w:val="left" w:pos="1314"/>
                <w:tab w:val="left" w:pos="1739"/>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9 million U</w:t>
            </w:r>
            <w:r w:rsidR="008317A6" w:rsidRPr="00FD70DE">
              <w:rPr>
                <w:rFonts w:ascii="Arial Narrow" w:hAnsi="Arial Narrow"/>
                <w:i/>
                <w:iCs/>
                <w:sz w:val="20"/>
                <w:szCs w:val="20"/>
                <w:lang w:val="en-AU"/>
              </w:rPr>
              <w:t xml:space="preserve"> IFN</w:t>
            </w:r>
            <w:r w:rsidR="00425E57" w:rsidRPr="00FD70DE">
              <w:rPr>
                <w:rFonts w:ascii="Arial Narrow" w:hAnsi="Arial Narrow"/>
                <w:i/>
                <w:iCs/>
                <w:sz w:val="20"/>
                <w:szCs w:val="20"/>
                <w:lang w:val="en-AU"/>
              </w:rPr>
              <w:t>:</w:t>
            </w:r>
          </w:p>
          <w:p w14:paraId="2B353FA2" w14:textId="5B0C95F7" w:rsidR="00C42FC5" w:rsidRPr="00FD70DE" w:rsidRDefault="00425E57" w:rsidP="00003DDF">
            <w:pPr>
              <w:keepNext/>
              <w:keepLines/>
              <w:tabs>
                <w:tab w:val="left" w:pos="1314"/>
                <w:tab w:val="left" w:pos="1739"/>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 xml:space="preserve">Change in HDV RNA load </w:t>
            </w:r>
            <w:r w:rsidR="00C42FC5" w:rsidRPr="00FD70DE">
              <w:rPr>
                <w:rFonts w:ascii="Arial Narrow" w:hAnsi="Arial Narrow"/>
                <w:i/>
                <w:iCs/>
                <w:sz w:val="20"/>
                <w:szCs w:val="20"/>
                <w:lang w:val="en-AU"/>
              </w:rPr>
              <w:t>&gt;2 log</w:t>
            </w:r>
            <w:r w:rsidR="00C42FC5" w:rsidRPr="00FD70DE">
              <w:rPr>
                <w:rFonts w:ascii="Arial Narrow" w:hAnsi="Arial Narrow"/>
                <w:i/>
                <w:iCs/>
                <w:sz w:val="20"/>
                <w:szCs w:val="20"/>
                <w:vertAlign w:val="subscript"/>
                <w:lang w:val="en-AU"/>
              </w:rPr>
              <w:t>10</w:t>
            </w:r>
            <w:r w:rsidR="00C42FC5" w:rsidRPr="00FD70DE">
              <w:rPr>
                <w:rFonts w:ascii="Arial Narrow" w:hAnsi="Arial Narrow"/>
                <w:i/>
                <w:iCs/>
                <w:sz w:val="20"/>
                <w:szCs w:val="20"/>
                <w:lang w:val="en-AU"/>
              </w:rPr>
              <w:t xml:space="preserve"> copies/mL</w:t>
            </w:r>
          </w:p>
          <w:p w14:paraId="34D6FB00" w14:textId="5831305C" w:rsidR="00C42FC5" w:rsidRPr="00FD70DE" w:rsidRDefault="00425E57" w:rsidP="00003DDF">
            <w:pPr>
              <w:keepNext/>
              <w:keepLines/>
              <w:tabs>
                <w:tab w:val="left" w:pos="1314"/>
              </w:tabs>
              <w:spacing w:before="40" w:after="40"/>
              <w:jc w:val="left"/>
              <w:rPr>
                <w:rFonts w:ascii="Arial Narrow" w:hAnsi="Arial Narrow"/>
                <w:b/>
                <w:bCs/>
                <w:i/>
                <w:iCs/>
                <w:sz w:val="20"/>
                <w:szCs w:val="20"/>
                <w:lang w:val="en-AU"/>
              </w:rPr>
            </w:pPr>
            <w:r w:rsidRPr="00FD70DE">
              <w:rPr>
                <w:rFonts w:ascii="Arial Narrow" w:hAnsi="Arial Narrow"/>
                <w:i/>
                <w:iCs/>
                <w:sz w:val="20"/>
                <w:szCs w:val="20"/>
                <w:lang w:val="en-AU"/>
              </w:rPr>
              <w:t>Change in activity grade/fibrosis scores</w:t>
            </w:r>
            <w:r w:rsidR="007B5136">
              <w:rPr>
                <w:rFonts w:ascii="Arial Narrow" w:hAnsi="Arial Narrow"/>
                <w:i/>
                <w:iCs/>
                <w:sz w:val="20"/>
                <w:szCs w:val="20"/>
                <w:lang w:val="en-AU"/>
              </w:rPr>
              <w:t>*</w:t>
            </w:r>
            <w:r w:rsidRPr="00FD70DE">
              <w:rPr>
                <w:rFonts w:ascii="Arial Narrow" w:hAnsi="Arial Narrow"/>
                <w:i/>
                <w:iCs/>
                <w:sz w:val="20"/>
                <w:szCs w:val="20"/>
                <w:lang w:val="en-AU"/>
              </w:rPr>
              <w:t xml:space="preserve"> compared to no treatment</w:t>
            </w:r>
            <w:r w:rsidR="00C42FC5" w:rsidRPr="00FD70DE">
              <w:rPr>
                <w:rFonts w:ascii="Arial Narrow" w:hAnsi="Arial Narrow"/>
                <w:i/>
                <w:iCs/>
                <w:sz w:val="20"/>
                <w:szCs w:val="20"/>
                <w:lang w:val="en-AU"/>
              </w:rPr>
              <w:tab/>
            </w:r>
            <w:r w:rsidR="00C42FC5" w:rsidRPr="00FD70DE">
              <w:rPr>
                <w:rFonts w:ascii="Arial Narrow" w:hAnsi="Arial Narrow"/>
                <w:b/>
                <w:bCs/>
                <w:i/>
                <w:iCs/>
                <w:sz w:val="20"/>
                <w:szCs w:val="20"/>
                <w:lang w:val="en-AU"/>
              </w:rPr>
              <w:t>–4.7±2.9, p=0.0004; –2.0±1.9, p=0.007</w:t>
            </w:r>
          </w:p>
          <w:p w14:paraId="086E7B16" w14:textId="77777777" w:rsidR="00425E57" w:rsidRPr="00FD70DE" w:rsidRDefault="00C42FC5" w:rsidP="00003DDF">
            <w:pPr>
              <w:keepNext/>
              <w:keepLines/>
              <w:tabs>
                <w:tab w:val="left" w:pos="1314"/>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3 million U</w:t>
            </w:r>
            <w:r w:rsidR="00AE2B65" w:rsidRPr="00FD70DE">
              <w:rPr>
                <w:rFonts w:ascii="Arial Narrow" w:hAnsi="Arial Narrow"/>
                <w:i/>
                <w:iCs/>
                <w:sz w:val="20"/>
                <w:szCs w:val="20"/>
                <w:lang w:val="en-AU"/>
              </w:rPr>
              <w:t xml:space="preserve"> IFN</w:t>
            </w:r>
            <w:r w:rsidR="00425E57" w:rsidRPr="00FD70DE">
              <w:rPr>
                <w:rFonts w:ascii="Arial Narrow" w:hAnsi="Arial Narrow"/>
                <w:i/>
                <w:iCs/>
                <w:sz w:val="20"/>
                <w:szCs w:val="20"/>
                <w:lang w:val="en-AU"/>
              </w:rPr>
              <w:t>:</w:t>
            </w:r>
          </w:p>
          <w:p w14:paraId="3667FDFA" w14:textId="58039546" w:rsidR="00C42FC5" w:rsidRPr="00FD70DE" w:rsidRDefault="00425E57" w:rsidP="00003DDF">
            <w:pPr>
              <w:keepNext/>
              <w:keepLines/>
              <w:tabs>
                <w:tab w:val="left" w:pos="1314"/>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 xml:space="preserve">Change in HDV RNA load </w:t>
            </w:r>
            <w:r w:rsidR="00C42FC5" w:rsidRPr="00FD70DE">
              <w:rPr>
                <w:rFonts w:ascii="Arial Narrow" w:hAnsi="Arial Narrow"/>
                <w:i/>
                <w:iCs/>
                <w:sz w:val="20"/>
                <w:szCs w:val="20"/>
                <w:lang w:val="en-AU"/>
              </w:rPr>
              <w:t>~1 log</w:t>
            </w:r>
            <w:r w:rsidR="00C42FC5" w:rsidRPr="00FD70DE">
              <w:rPr>
                <w:rFonts w:ascii="Arial Narrow" w:hAnsi="Arial Narrow"/>
                <w:i/>
                <w:iCs/>
                <w:sz w:val="20"/>
                <w:szCs w:val="20"/>
                <w:vertAlign w:val="subscript"/>
                <w:lang w:val="en-AU"/>
              </w:rPr>
              <w:t>10</w:t>
            </w:r>
            <w:r w:rsidR="00C42FC5" w:rsidRPr="00FD70DE">
              <w:rPr>
                <w:rFonts w:ascii="Arial Narrow" w:hAnsi="Arial Narrow"/>
                <w:i/>
                <w:iCs/>
                <w:sz w:val="20"/>
                <w:szCs w:val="20"/>
                <w:lang w:val="en-AU"/>
              </w:rPr>
              <w:t xml:space="preserve"> copies/mL</w:t>
            </w:r>
          </w:p>
          <w:p w14:paraId="4E872487" w14:textId="2B0A5392" w:rsidR="00C42FC5" w:rsidRPr="00FD70DE" w:rsidRDefault="00425E57" w:rsidP="00003DDF">
            <w:pPr>
              <w:keepNext/>
              <w:keepLines/>
              <w:tabs>
                <w:tab w:val="left" w:pos="1314"/>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Change in activity grade/fibrosis scores</w:t>
            </w:r>
            <w:r w:rsidR="00475E7A">
              <w:rPr>
                <w:rFonts w:ascii="Arial Narrow" w:hAnsi="Arial Narrow"/>
                <w:i/>
                <w:iCs/>
                <w:sz w:val="20"/>
                <w:szCs w:val="20"/>
                <w:lang w:val="en-AU"/>
              </w:rPr>
              <w:t>*</w:t>
            </w:r>
            <w:r w:rsidRPr="00FD70DE">
              <w:rPr>
                <w:rFonts w:ascii="Arial Narrow" w:hAnsi="Arial Narrow"/>
                <w:i/>
                <w:iCs/>
                <w:sz w:val="20"/>
                <w:szCs w:val="20"/>
                <w:lang w:val="en-AU"/>
              </w:rPr>
              <w:t xml:space="preserve"> compared to no treatment</w:t>
            </w:r>
            <w:r w:rsidR="00C42FC5" w:rsidRPr="00FD70DE">
              <w:rPr>
                <w:rFonts w:ascii="Arial Narrow" w:hAnsi="Arial Narrow"/>
                <w:i/>
                <w:iCs/>
                <w:sz w:val="20"/>
                <w:szCs w:val="20"/>
                <w:lang w:val="en-AU"/>
              </w:rPr>
              <w:tab/>
              <w:t>–0.5±5.2, NS; –0.7±1.5, NS</w:t>
            </w:r>
          </w:p>
          <w:p w14:paraId="59D3DE5E" w14:textId="77777777" w:rsidR="00425E57" w:rsidRPr="00FD70DE" w:rsidRDefault="00C42FC5" w:rsidP="00003DDF">
            <w:pPr>
              <w:keepNext/>
              <w:keepLines/>
              <w:tabs>
                <w:tab w:val="left" w:pos="1314"/>
                <w:tab w:val="left" w:pos="1414"/>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None</w:t>
            </w:r>
            <w:r w:rsidR="00425E57" w:rsidRPr="00FD70DE">
              <w:rPr>
                <w:rFonts w:ascii="Arial Narrow" w:hAnsi="Arial Narrow"/>
                <w:i/>
                <w:iCs/>
                <w:sz w:val="20"/>
                <w:szCs w:val="20"/>
                <w:lang w:val="en-AU"/>
              </w:rPr>
              <w:t>:</w:t>
            </w:r>
          </w:p>
          <w:p w14:paraId="31913E8A" w14:textId="4C078F02" w:rsidR="00C42FC5" w:rsidRPr="00FD70DE" w:rsidRDefault="00425E57" w:rsidP="00003DDF">
            <w:pPr>
              <w:keepNext/>
              <w:keepLines/>
              <w:tabs>
                <w:tab w:val="left" w:pos="1314"/>
                <w:tab w:val="left" w:pos="1414"/>
              </w:tabs>
              <w:spacing w:before="40" w:after="40"/>
              <w:jc w:val="left"/>
              <w:rPr>
                <w:rFonts w:ascii="Arial Narrow" w:hAnsi="Arial Narrow"/>
                <w:i/>
                <w:iCs/>
                <w:sz w:val="20"/>
                <w:szCs w:val="20"/>
                <w:lang w:val="en-AU"/>
              </w:rPr>
            </w:pPr>
            <w:r w:rsidRPr="00FD70DE">
              <w:rPr>
                <w:rFonts w:ascii="Arial Narrow" w:hAnsi="Arial Narrow"/>
                <w:i/>
                <w:iCs/>
                <w:sz w:val="20"/>
                <w:szCs w:val="20"/>
                <w:lang w:val="en-AU"/>
              </w:rPr>
              <w:t xml:space="preserve">Change in HDV RNA load </w:t>
            </w:r>
            <w:r w:rsidR="00C42FC5" w:rsidRPr="00FD70DE">
              <w:rPr>
                <w:rFonts w:ascii="Arial Narrow" w:hAnsi="Arial Narrow"/>
                <w:i/>
                <w:iCs/>
                <w:sz w:val="20"/>
                <w:szCs w:val="20"/>
                <w:lang w:val="en-AU"/>
              </w:rPr>
              <w:t>~1 log</w:t>
            </w:r>
            <w:r w:rsidR="00C42FC5" w:rsidRPr="00FD70DE">
              <w:rPr>
                <w:rFonts w:ascii="Arial Narrow" w:hAnsi="Arial Narrow"/>
                <w:i/>
                <w:iCs/>
                <w:sz w:val="20"/>
                <w:szCs w:val="20"/>
                <w:vertAlign w:val="subscript"/>
                <w:lang w:val="en-AU"/>
              </w:rPr>
              <w:t>10</w:t>
            </w:r>
            <w:r w:rsidR="00C42FC5" w:rsidRPr="00FD70DE">
              <w:rPr>
                <w:rFonts w:ascii="Arial Narrow" w:hAnsi="Arial Narrow"/>
                <w:i/>
                <w:iCs/>
                <w:sz w:val="20"/>
                <w:szCs w:val="20"/>
                <w:lang w:val="en-AU"/>
              </w:rPr>
              <w:t xml:space="preserve"> copies/mL</w:t>
            </w:r>
          </w:p>
        </w:tc>
      </w:tr>
      <w:tr w:rsidR="00071E21" w:rsidRPr="00FD70DE" w14:paraId="1023104F" w14:textId="77777777" w:rsidTr="00425E57">
        <w:tc>
          <w:tcPr>
            <w:tcW w:w="719" w:type="pct"/>
            <w:shd w:val="clear" w:color="auto" w:fill="auto"/>
          </w:tcPr>
          <w:p w14:paraId="54180AB8" w14:textId="77777777" w:rsidR="00C42FC5" w:rsidRPr="00FD70DE" w:rsidRDefault="00C42FC5" w:rsidP="00003DDF">
            <w:pPr>
              <w:keepNext/>
              <w:keepLines/>
              <w:widowControl w:val="0"/>
              <w:spacing w:before="40" w:after="40"/>
              <w:jc w:val="left"/>
              <w:rPr>
                <w:rFonts w:ascii="Arial Narrow" w:hAnsi="Arial Narrow"/>
                <w:i/>
                <w:iCs/>
                <w:sz w:val="20"/>
                <w:lang w:val="en-AU"/>
              </w:rPr>
            </w:pPr>
            <w:r w:rsidRPr="00FD70DE">
              <w:rPr>
                <w:rFonts w:ascii="Arial Narrow" w:hAnsi="Arial Narrow"/>
                <w:i/>
                <w:iCs/>
                <w:sz w:val="20"/>
                <w:szCs w:val="18"/>
                <w:lang w:val="en-AU"/>
              </w:rPr>
              <w:t>Palom et al. (2021)</w:t>
            </w:r>
          </w:p>
        </w:tc>
        <w:tc>
          <w:tcPr>
            <w:tcW w:w="616" w:type="pct"/>
            <w:shd w:val="clear" w:color="auto" w:fill="auto"/>
          </w:tcPr>
          <w:p w14:paraId="3960229D" w14:textId="77777777" w:rsidR="00C42FC5" w:rsidRPr="00FD70DE" w:rsidRDefault="00C42FC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Mean 5.6 years (range 3-16)</w:t>
            </w:r>
          </w:p>
        </w:tc>
        <w:tc>
          <w:tcPr>
            <w:tcW w:w="1021" w:type="pct"/>
          </w:tcPr>
          <w:p w14:paraId="381CBED9" w14:textId="77777777" w:rsidR="00C42FC5" w:rsidRDefault="00C42FC5" w:rsidP="00003DDF">
            <w:pPr>
              <w:keepNext/>
              <w:keepLines/>
              <w:widowControl w:val="0"/>
              <w:spacing w:before="40" w:after="40"/>
              <w:jc w:val="left"/>
              <w:rPr>
                <w:rFonts w:ascii="Arial Narrow" w:hAnsi="Arial Narrow"/>
                <w:i/>
                <w:iCs/>
                <w:sz w:val="20"/>
                <w:lang w:val="en-AU"/>
              </w:rPr>
            </w:pPr>
            <w:r w:rsidRPr="00FD70DE">
              <w:rPr>
                <w:rFonts w:ascii="Arial Narrow" w:hAnsi="Arial Narrow"/>
                <w:i/>
                <w:iCs/>
                <w:sz w:val="20"/>
                <w:lang w:val="en-AU"/>
              </w:rPr>
              <w:t>N=56 CHD patients with detectable HDV RNA and followed for &gt;3 years</w:t>
            </w:r>
          </w:p>
          <w:p w14:paraId="4AD0281C" w14:textId="54ED1987" w:rsidR="00A80653" w:rsidRPr="00FD70DE" w:rsidRDefault="00A80653" w:rsidP="00003DDF">
            <w:pPr>
              <w:keepNext/>
              <w:keepLines/>
              <w:widowControl w:val="0"/>
              <w:spacing w:before="40" w:after="40"/>
              <w:jc w:val="left"/>
              <w:rPr>
                <w:rFonts w:ascii="Arial Narrow" w:hAnsi="Arial Narrow"/>
                <w:i/>
                <w:iCs/>
                <w:sz w:val="20"/>
                <w:lang w:val="en-AU"/>
              </w:rPr>
            </w:pPr>
            <w:r w:rsidRPr="00A80653">
              <w:rPr>
                <w:rFonts w:ascii="Arial Narrow" w:hAnsi="Arial Narrow"/>
                <w:i/>
                <w:iCs/>
                <w:sz w:val="20"/>
                <w:lang w:val="en-AU"/>
              </w:rPr>
              <w:t>Patients had been treated with IF</w:t>
            </w:r>
            <w:r>
              <w:rPr>
                <w:rFonts w:ascii="Arial Narrow" w:hAnsi="Arial Narrow"/>
                <w:i/>
                <w:iCs/>
                <w:sz w:val="20"/>
                <w:lang w:val="en-AU"/>
              </w:rPr>
              <w:t>N</w:t>
            </w:r>
            <w:r w:rsidRPr="00A80653">
              <w:rPr>
                <w:rFonts w:ascii="Arial Narrow" w:hAnsi="Arial Narrow"/>
                <w:i/>
                <w:iCs/>
                <w:sz w:val="20"/>
                <w:lang w:val="en-AU"/>
              </w:rPr>
              <w:t xml:space="preserve"> or NA</w:t>
            </w:r>
          </w:p>
          <w:p w14:paraId="41D24E31" w14:textId="77777777" w:rsidR="00C42FC5" w:rsidRPr="00FD70DE" w:rsidRDefault="00C42FC5" w:rsidP="00003DDF">
            <w:pPr>
              <w:keepNext/>
              <w:keepLines/>
              <w:widowControl w:val="0"/>
              <w:spacing w:before="40" w:after="40"/>
              <w:jc w:val="left"/>
              <w:rPr>
                <w:rFonts w:ascii="Arial Narrow" w:hAnsi="Arial Narrow"/>
                <w:i/>
                <w:iCs/>
                <w:sz w:val="20"/>
                <w:lang w:val="en-AU"/>
              </w:rPr>
            </w:pPr>
            <w:r w:rsidRPr="00FD70DE">
              <w:rPr>
                <w:rFonts w:ascii="Arial Narrow" w:hAnsi="Arial Narrow"/>
                <w:i/>
                <w:iCs/>
                <w:sz w:val="20"/>
                <w:lang w:val="en-AU"/>
              </w:rPr>
              <w:t>14 had a ≥2 log</w:t>
            </w:r>
            <w:r w:rsidRPr="00FD70DE">
              <w:rPr>
                <w:rFonts w:ascii="Arial Narrow" w:hAnsi="Arial Narrow"/>
                <w:i/>
                <w:iCs/>
                <w:sz w:val="20"/>
                <w:vertAlign w:val="subscript"/>
                <w:lang w:val="en-AU"/>
              </w:rPr>
              <w:t>10</w:t>
            </w:r>
            <w:r w:rsidRPr="00FD70DE">
              <w:rPr>
                <w:rFonts w:ascii="Arial Narrow" w:hAnsi="Arial Narrow"/>
                <w:i/>
                <w:iCs/>
                <w:sz w:val="20"/>
                <w:lang w:val="en-AU"/>
              </w:rPr>
              <w:t xml:space="preserve"> HDV RNA decline, including 11 who became undetectable</w:t>
            </w:r>
          </w:p>
          <w:p w14:paraId="3C0E92F4" w14:textId="1C828D8D" w:rsidR="00C42FC5" w:rsidRPr="00FD70DE" w:rsidRDefault="00C42FC5" w:rsidP="00003DDF">
            <w:pPr>
              <w:keepNext/>
              <w:keepLines/>
              <w:widowControl w:val="0"/>
              <w:spacing w:before="40" w:after="40"/>
              <w:jc w:val="left"/>
              <w:rPr>
                <w:rFonts w:ascii="Arial Narrow" w:hAnsi="Arial Narrow"/>
                <w:i/>
                <w:iCs/>
                <w:sz w:val="20"/>
                <w:lang w:val="en-AU"/>
              </w:rPr>
            </w:pPr>
            <w:r w:rsidRPr="00FD70DE">
              <w:rPr>
                <w:rFonts w:ascii="Arial Narrow" w:hAnsi="Arial Narrow"/>
                <w:i/>
                <w:iCs/>
                <w:sz w:val="20"/>
                <w:lang w:val="en-AU"/>
              </w:rPr>
              <w:t xml:space="preserve">42 </w:t>
            </w:r>
            <w:r w:rsidR="00AE2B65" w:rsidRPr="00FD70DE">
              <w:rPr>
                <w:rFonts w:ascii="Arial Narrow" w:hAnsi="Arial Narrow"/>
                <w:i/>
                <w:iCs/>
                <w:sz w:val="20"/>
                <w:lang w:val="en-AU"/>
              </w:rPr>
              <w:t>h</w:t>
            </w:r>
            <w:r w:rsidRPr="00FD70DE">
              <w:rPr>
                <w:rFonts w:ascii="Arial Narrow" w:hAnsi="Arial Narrow"/>
                <w:i/>
                <w:iCs/>
                <w:sz w:val="20"/>
                <w:lang w:val="en-AU"/>
              </w:rPr>
              <w:t>ad unchanged HDV RNA levels</w:t>
            </w:r>
          </w:p>
        </w:tc>
        <w:tc>
          <w:tcPr>
            <w:tcW w:w="2644" w:type="pct"/>
            <w:tcBorders>
              <w:top w:val="single" w:sz="4" w:space="0" w:color="auto"/>
              <w:bottom w:val="single" w:sz="4" w:space="0" w:color="auto"/>
            </w:tcBorders>
          </w:tcPr>
          <w:p w14:paraId="16287CBA" w14:textId="77777777" w:rsidR="00C42FC5" w:rsidRPr="00FD70DE" w:rsidRDefault="00C42FC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With and without a ≥2 log</w:t>
            </w:r>
            <w:r w:rsidRPr="00FD70DE">
              <w:rPr>
                <w:rFonts w:ascii="Arial Narrow" w:hAnsi="Arial Narrow"/>
                <w:i/>
                <w:iCs/>
                <w:sz w:val="20"/>
                <w:szCs w:val="20"/>
                <w:vertAlign w:val="subscript"/>
                <w:lang w:val="en-AU"/>
              </w:rPr>
              <w:t>10</w:t>
            </w:r>
            <w:r w:rsidRPr="00FD70DE">
              <w:rPr>
                <w:rFonts w:ascii="Arial Narrow" w:hAnsi="Arial Narrow"/>
                <w:i/>
                <w:iCs/>
                <w:sz w:val="20"/>
                <w:szCs w:val="20"/>
                <w:lang w:val="en-AU"/>
              </w:rPr>
              <w:t xml:space="preserve"> HDV RNA decline</w:t>
            </w:r>
          </w:p>
          <w:p w14:paraId="2A459622" w14:textId="77777777" w:rsidR="00C42FC5" w:rsidRPr="00FD70DE" w:rsidRDefault="00C42FC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Any liver-related clinical event:</w:t>
            </w:r>
            <w:r w:rsidRPr="00FD70DE">
              <w:rPr>
                <w:rFonts w:ascii="Arial Narrow" w:hAnsi="Arial Narrow"/>
                <w:i/>
                <w:iCs/>
                <w:sz w:val="20"/>
                <w:szCs w:val="20"/>
                <w:lang w:val="en-AU"/>
              </w:rPr>
              <w:tab/>
              <w:t>p=0.132</w:t>
            </w:r>
          </w:p>
          <w:p w14:paraId="4A9D506C" w14:textId="77777777" w:rsidR="00C42FC5" w:rsidRPr="00FD70DE" w:rsidRDefault="00C42FC5" w:rsidP="00003DDF">
            <w:pPr>
              <w:keepNext/>
              <w:keepLines/>
              <w:spacing w:before="40" w:after="40"/>
              <w:jc w:val="left"/>
              <w:rPr>
                <w:rFonts w:ascii="Arial Narrow" w:hAnsi="Arial Narrow"/>
                <w:i/>
                <w:iCs/>
                <w:sz w:val="20"/>
                <w:szCs w:val="20"/>
                <w:lang w:val="en-AU"/>
              </w:rPr>
            </w:pPr>
            <w:r w:rsidRPr="00FD70DE">
              <w:rPr>
                <w:rFonts w:ascii="Arial Narrow" w:hAnsi="Arial Narrow"/>
                <w:i/>
                <w:iCs/>
                <w:sz w:val="20"/>
                <w:szCs w:val="20"/>
                <w:lang w:val="en-AU"/>
              </w:rPr>
              <w:t>Liver decompensation or HCC</w:t>
            </w:r>
            <w:r w:rsidRPr="00FD70DE">
              <w:rPr>
                <w:rFonts w:ascii="Arial Narrow" w:hAnsi="Arial Narrow"/>
                <w:i/>
                <w:iCs/>
                <w:sz w:val="20"/>
                <w:szCs w:val="20"/>
                <w:lang w:val="en-AU"/>
              </w:rPr>
              <w:tab/>
              <w:t>p=0.378</w:t>
            </w:r>
          </w:p>
        </w:tc>
      </w:tr>
      <w:tr w:rsidR="00071E21" w:rsidRPr="00FD70DE" w14:paraId="1698614D" w14:textId="77777777" w:rsidTr="00425E57">
        <w:tc>
          <w:tcPr>
            <w:tcW w:w="719" w:type="pct"/>
            <w:tcBorders>
              <w:top w:val="single" w:sz="4" w:space="0" w:color="auto"/>
            </w:tcBorders>
            <w:shd w:val="clear" w:color="auto" w:fill="auto"/>
          </w:tcPr>
          <w:p w14:paraId="2C356EB5" w14:textId="77777777" w:rsidR="00C42FC5" w:rsidRPr="00FD70DE" w:rsidRDefault="00C42FC5" w:rsidP="00003DDF">
            <w:pPr>
              <w:keepNext/>
              <w:keepLines/>
              <w:widowControl w:val="0"/>
              <w:spacing w:before="40" w:after="40"/>
              <w:jc w:val="left"/>
              <w:rPr>
                <w:rFonts w:ascii="Arial Narrow" w:hAnsi="Arial Narrow"/>
                <w:sz w:val="20"/>
                <w:lang w:val="en-AU"/>
              </w:rPr>
            </w:pPr>
            <w:proofErr w:type="spellStart"/>
            <w:r w:rsidRPr="00FD70DE">
              <w:rPr>
                <w:rFonts w:ascii="Arial Narrow" w:hAnsi="Arial Narrow"/>
                <w:sz w:val="20"/>
                <w:lang w:val="en-AU"/>
              </w:rPr>
              <w:t>Wranke</w:t>
            </w:r>
            <w:proofErr w:type="spellEnd"/>
            <w:r w:rsidRPr="00FD70DE">
              <w:rPr>
                <w:rFonts w:ascii="Arial Narrow" w:hAnsi="Arial Narrow"/>
                <w:sz w:val="20"/>
                <w:lang w:val="en-AU"/>
              </w:rPr>
              <w:t xml:space="preserve"> et al. (2020)</w:t>
            </w:r>
          </w:p>
        </w:tc>
        <w:tc>
          <w:tcPr>
            <w:tcW w:w="616" w:type="pct"/>
            <w:tcBorders>
              <w:top w:val="single" w:sz="4" w:space="0" w:color="auto"/>
            </w:tcBorders>
            <w:shd w:val="clear" w:color="auto" w:fill="auto"/>
          </w:tcPr>
          <w:p w14:paraId="18E4DE96" w14:textId="1401E716" w:rsidR="00C42FC5" w:rsidRPr="00FD70DE" w:rsidRDefault="00C42FC5" w:rsidP="00003DDF">
            <w:pPr>
              <w:keepNext/>
              <w:keepLines/>
              <w:spacing w:before="40" w:after="40"/>
              <w:jc w:val="left"/>
              <w:rPr>
                <w:rFonts w:ascii="Arial Narrow" w:hAnsi="Arial Narrow"/>
                <w:sz w:val="20"/>
                <w:szCs w:val="20"/>
                <w:lang w:val="en-AU"/>
              </w:rPr>
            </w:pPr>
            <w:r w:rsidRPr="00FD70DE">
              <w:rPr>
                <w:rFonts w:ascii="Arial Narrow" w:hAnsi="Arial Narrow"/>
                <w:sz w:val="20"/>
                <w:szCs w:val="20"/>
                <w:lang w:val="en-AU"/>
              </w:rPr>
              <w:t>Median 5</w:t>
            </w:r>
            <w:r w:rsidR="00203363">
              <w:rPr>
                <w:rFonts w:ascii="Arial Narrow" w:hAnsi="Arial Narrow"/>
                <w:sz w:val="20"/>
                <w:szCs w:val="20"/>
                <w:lang w:val="en-AU"/>
              </w:rPr>
              <w:t>.</w:t>
            </w:r>
            <w:r w:rsidRPr="00FD70DE">
              <w:rPr>
                <w:rFonts w:ascii="Arial Narrow" w:hAnsi="Arial Narrow"/>
                <w:sz w:val="20"/>
                <w:szCs w:val="20"/>
                <w:lang w:val="en-AU"/>
              </w:rPr>
              <w:t>9 years (range 1.6-13.4)</w:t>
            </w:r>
          </w:p>
        </w:tc>
        <w:tc>
          <w:tcPr>
            <w:tcW w:w="1021" w:type="pct"/>
            <w:tcBorders>
              <w:top w:val="single" w:sz="4" w:space="0" w:color="auto"/>
            </w:tcBorders>
          </w:tcPr>
          <w:p w14:paraId="1F3BE940" w14:textId="655CE729" w:rsidR="00C42FC5" w:rsidRPr="00FD70DE" w:rsidRDefault="00C42FC5" w:rsidP="00003DDF">
            <w:pPr>
              <w:keepNext/>
              <w:keepLines/>
              <w:widowControl w:val="0"/>
              <w:spacing w:before="40" w:after="40"/>
              <w:jc w:val="left"/>
              <w:rPr>
                <w:rFonts w:ascii="Arial Narrow" w:hAnsi="Arial Narrow"/>
                <w:sz w:val="20"/>
                <w:lang w:val="en-AU"/>
              </w:rPr>
            </w:pPr>
            <w:r w:rsidRPr="00FD70DE">
              <w:rPr>
                <w:rFonts w:ascii="Arial Narrow" w:hAnsi="Arial Narrow"/>
                <w:sz w:val="20"/>
                <w:lang w:val="en-AU"/>
              </w:rPr>
              <w:t xml:space="preserve">N=90 patients HDV RNA positive at baseline who were assigned to 3 different </w:t>
            </w:r>
            <w:r w:rsidR="00C6082E">
              <w:rPr>
                <w:rFonts w:ascii="Arial Narrow" w:hAnsi="Arial Narrow"/>
                <w:sz w:val="20"/>
                <w:lang w:val="en-AU"/>
              </w:rPr>
              <w:t xml:space="preserve">48-week </w:t>
            </w:r>
            <w:r w:rsidRPr="00FD70DE">
              <w:rPr>
                <w:rFonts w:ascii="Arial Narrow" w:hAnsi="Arial Narrow"/>
                <w:sz w:val="20"/>
                <w:lang w:val="en-AU"/>
              </w:rPr>
              <w:t>treatment strategies</w:t>
            </w:r>
          </w:p>
          <w:p w14:paraId="586FFE09" w14:textId="6582195B" w:rsidR="00C42FC5" w:rsidRPr="00FD70DE" w:rsidRDefault="00C42FC5" w:rsidP="00003DDF">
            <w:pPr>
              <w:keepNext/>
              <w:keepLines/>
              <w:widowControl w:val="0"/>
              <w:spacing w:before="40" w:after="40"/>
              <w:jc w:val="left"/>
              <w:rPr>
                <w:rFonts w:ascii="Arial Narrow" w:hAnsi="Arial Narrow"/>
                <w:sz w:val="20"/>
                <w:szCs w:val="20"/>
                <w:lang w:val="en-AU"/>
              </w:rPr>
            </w:pPr>
            <w:r w:rsidRPr="00FD70DE">
              <w:rPr>
                <w:rFonts w:ascii="Arial Narrow" w:hAnsi="Arial Narrow"/>
                <w:sz w:val="20"/>
                <w:szCs w:val="20"/>
                <w:lang w:val="en-AU"/>
              </w:rPr>
              <w:t>Group 1: n=31 PEG-IFN plus ADV</w:t>
            </w:r>
          </w:p>
          <w:p w14:paraId="5B718B8A" w14:textId="6C1E9004" w:rsidR="00C42FC5" w:rsidRPr="00FD70DE" w:rsidRDefault="00C42FC5" w:rsidP="00003DDF">
            <w:pPr>
              <w:keepNext/>
              <w:keepLines/>
              <w:widowControl w:val="0"/>
              <w:spacing w:before="40" w:after="40"/>
              <w:jc w:val="left"/>
              <w:rPr>
                <w:rFonts w:ascii="Arial Narrow" w:hAnsi="Arial Narrow"/>
                <w:sz w:val="20"/>
                <w:szCs w:val="20"/>
                <w:lang w:val="en-AU"/>
              </w:rPr>
            </w:pPr>
            <w:r w:rsidRPr="00FD70DE">
              <w:rPr>
                <w:rFonts w:ascii="Arial Narrow" w:hAnsi="Arial Narrow"/>
                <w:sz w:val="20"/>
                <w:szCs w:val="20"/>
                <w:lang w:val="en-AU"/>
              </w:rPr>
              <w:t>Group 2: n=29 PEG- IFN plus placebo</w:t>
            </w:r>
          </w:p>
          <w:p w14:paraId="2E031908" w14:textId="6B87D1C0" w:rsidR="00C42FC5" w:rsidRPr="00FD70DE" w:rsidRDefault="00C42FC5" w:rsidP="00003DDF">
            <w:pPr>
              <w:keepNext/>
              <w:keepLines/>
              <w:widowControl w:val="0"/>
              <w:spacing w:before="40" w:after="40"/>
              <w:jc w:val="left"/>
              <w:rPr>
                <w:rFonts w:ascii="Arial Narrow" w:hAnsi="Arial Narrow"/>
                <w:sz w:val="20"/>
                <w:szCs w:val="20"/>
                <w:lang w:val="en-AU"/>
              </w:rPr>
            </w:pPr>
            <w:r w:rsidRPr="00FD70DE">
              <w:rPr>
                <w:rFonts w:ascii="Arial Narrow" w:hAnsi="Arial Narrow"/>
                <w:sz w:val="20"/>
                <w:szCs w:val="20"/>
                <w:lang w:val="en-AU"/>
              </w:rPr>
              <w:t>Group 3: n=30 ADV alone</w:t>
            </w:r>
          </w:p>
          <w:p w14:paraId="47E410F6" w14:textId="77777777" w:rsidR="00C42FC5" w:rsidRPr="00FD70DE" w:rsidRDefault="00C42FC5" w:rsidP="00003DDF">
            <w:pPr>
              <w:keepNext/>
              <w:keepLines/>
              <w:widowControl w:val="0"/>
              <w:spacing w:before="40" w:after="40"/>
              <w:jc w:val="left"/>
              <w:rPr>
                <w:rFonts w:ascii="Arial Narrow" w:hAnsi="Arial Narrow"/>
                <w:sz w:val="20"/>
                <w:szCs w:val="20"/>
                <w:lang w:val="en-AU"/>
              </w:rPr>
            </w:pPr>
            <w:r w:rsidRPr="00FD70DE">
              <w:rPr>
                <w:rFonts w:ascii="Arial Narrow" w:hAnsi="Arial Narrow"/>
                <w:sz w:val="20"/>
                <w:szCs w:val="20"/>
                <w:lang w:val="en-AU"/>
              </w:rPr>
              <w:t>22 patients were HDV RNA negative at last follow-up</w:t>
            </w:r>
          </w:p>
        </w:tc>
        <w:tc>
          <w:tcPr>
            <w:tcW w:w="2644" w:type="pct"/>
            <w:tcBorders>
              <w:top w:val="single" w:sz="4" w:space="0" w:color="auto"/>
              <w:bottom w:val="single" w:sz="4" w:space="0" w:color="auto"/>
            </w:tcBorders>
          </w:tcPr>
          <w:p w14:paraId="136B8B08" w14:textId="0258BF2E" w:rsidR="00C42FC5" w:rsidRPr="00FD70DE" w:rsidRDefault="00C42FC5" w:rsidP="00003DDF">
            <w:pPr>
              <w:keepNext/>
              <w:keepLines/>
              <w:spacing w:before="40" w:after="40"/>
              <w:jc w:val="left"/>
              <w:rPr>
                <w:rFonts w:ascii="Arial Narrow" w:hAnsi="Arial Narrow"/>
                <w:sz w:val="20"/>
                <w:szCs w:val="20"/>
                <w:lang w:val="en-AU"/>
              </w:rPr>
            </w:pPr>
            <w:r w:rsidRPr="00FD70DE">
              <w:rPr>
                <w:rFonts w:ascii="Arial Narrow" w:hAnsi="Arial Narrow"/>
                <w:sz w:val="20"/>
                <w:szCs w:val="20"/>
                <w:lang w:val="en-AU"/>
              </w:rPr>
              <w:t xml:space="preserve">Association of HDV-RNA decline (vs no decline) and the development of clinical </w:t>
            </w:r>
            <w:r w:rsidR="00C6082E">
              <w:rPr>
                <w:rFonts w:ascii="Arial Narrow" w:hAnsi="Arial Narrow"/>
                <w:sz w:val="20"/>
                <w:szCs w:val="20"/>
                <w:lang w:val="en-AU"/>
              </w:rPr>
              <w:t>endpoints</w:t>
            </w:r>
            <w:r w:rsidR="00C6082E">
              <w:t xml:space="preserve"> (</w:t>
            </w:r>
            <w:r w:rsidR="00C6082E" w:rsidRPr="00C6082E">
              <w:rPr>
                <w:rFonts w:ascii="Arial Narrow" w:hAnsi="Arial Narrow"/>
                <w:sz w:val="20"/>
                <w:szCs w:val="20"/>
                <w:lang w:val="en-AU"/>
              </w:rPr>
              <w:t xml:space="preserve">death, liver transplantation </w:t>
            </w:r>
            <w:r w:rsidR="00C6082E">
              <w:rPr>
                <w:rFonts w:ascii="Arial Narrow" w:hAnsi="Arial Narrow"/>
                <w:sz w:val="20"/>
                <w:szCs w:val="20"/>
                <w:lang w:val="en-AU"/>
              </w:rPr>
              <w:t>or</w:t>
            </w:r>
            <w:r w:rsidR="00C6082E" w:rsidRPr="00C6082E">
              <w:rPr>
                <w:rFonts w:ascii="Arial Narrow" w:hAnsi="Arial Narrow"/>
                <w:sz w:val="20"/>
                <w:szCs w:val="20"/>
                <w:lang w:val="en-AU"/>
              </w:rPr>
              <w:t xml:space="preserve"> hepatic decompensation</w:t>
            </w:r>
            <w:r w:rsidR="00C6082E">
              <w:rPr>
                <w:rFonts w:ascii="Arial Narrow" w:hAnsi="Arial Narrow"/>
                <w:sz w:val="20"/>
                <w:szCs w:val="20"/>
                <w:lang w:val="en-AU"/>
              </w:rPr>
              <w:t>)</w:t>
            </w:r>
          </w:p>
          <w:p w14:paraId="1FC16755" w14:textId="77777777" w:rsidR="00C42FC5" w:rsidRPr="00FD70DE" w:rsidRDefault="00C42FC5" w:rsidP="00003DDF">
            <w:pPr>
              <w:keepNext/>
              <w:keepLines/>
              <w:tabs>
                <w:tab w:val="left" w:pos="3417"/>
              </w:tabs>
              <w:spacing w:before="40" w:after="40"/>
              <w:jc w:val="left"/>
              <w:rPr>
                <w:rFonts w:ascii="Arial Narrow" w:hAnsi="Arial Narrow"/>
                <w:sz w:val="20"/>
                <w:szCs w:val="20"/>
                <w:lang w:val="en-AU"/>
              </w:rPr>
            </w:pPr>
            <w:r w:rsidRPr="00FD70DE">
              <w:rPr>
                <w:rFonts w:ascii="Arial Narrow" w:hAnsi="Arial Narrow"/>
                <w:sz w:val="20"/>
                <w:szCs w:val="20"/>
                <w:lang w:val="en-AU"/>
              </w:rPr>
              <w:t>&gt;2 log</w:t>
            </w:r>
            <w:r w:rsidRPr="00FD70DE">
              <w:rPr>
                <w:rFonts w:ascii="Arial Narrow" w:hAnsi="Arial Narrow"/>
                <w:sz w:val="20"/>
                <w:vertAlign w:val="subscript"/>
                <w:lang w:val="en-AU"/>
              </w:rPr>
              <w:t>10</w:t>
            </w:r>
            <w:r w:rsidRPr="00FD70DE">
              <w:rPr>
                <w:rFonts w:ascii="Arial Narrow" w:hAnsi="Arial Narrow"/>
                <w:sz w:val="20"/>
                <w:szCs w:val="20"/>
                <w:lang w:val="en-AU"/>
              </w:rPr>
              <w:t xml:space="preserve"> HDV RNA decline week 24</w:t>
            </w:r>
            <w:r w:rsidRPr="00FD70DE">
              <w:rPr>
                <w:rFonts w:ascii="Arial Narrow" w:hAnsi="Arial Narrow"/>
                <w:sz w:val="20"/>
                <w:szCs w:val="20"/>
                <w:lang w:val="en-AU"/>
              </w:rPr>
              <w:tab/>
              <w:t>p=0.77</w:t>
            </w:r>
          </w:p>
          <w:p w14:paraId="59A5EEE9" w14:textId="632144D3" w:rsidR="00C42FC5" w:rsidRPr="00FD70DE" w:rsidRDefault="00C42FC5" w:rsidP="00003DDF">
            <w:pPr>
              <w:keepNext/>
              <w:keepLines/>
              <w:tabs>
                <w:tab w:val="left" w:pos="850"/>
                <w:tab w:val="left" w:pos="3417"/>
              </w:tabs>
              <w:spacing w:before="40" w:after="40"/>
              <w:jc w:val="left"/>
              <w:rPr>
                <w:rFonts w:ascii="Arial Narrow" w:hAnsi="Arial Narrow"/>
                <w:i/>
                <w:iCs/>
                <w:sz w:val="20"/>
                <w:szCs w:val="20"/>
                <w:lang w:val="en-AU"/>
              </w:rPr>
            </w:pPr>
            <w:r w:rsidRPr="00FD70DE">
              <w:rPr>
                <w:rFonts w:ascii="Arial Narrow" w:hAnsi="Arial Narrow"/>
                <w:sz w:val="20"/>
                <w:szCs w:val="20"/>
                <w:lang w:val="en-AU"/>
              </w:rPr>
              <w:t>&gt;1 log</w:t>
            </w:r>
            <w:r w:rsidRPr="00FD70DE">
              <w:rPr>
                <w:rFonts w:ascii="Arial Narrow" w:hAnsi="Arial Narrow"/>
                <w:sz w:val="20"/>
                <w:vertAlign w:val="subscript"/>
                <w:lang w:val="en-AU"/>
              </w:rPr>
              <w:t>10</w:t>
            </w:r>
            <w:r w:rsidRPr="00FD70DE">
              <w:rPr>
                <w:rFonts w:ascii="Arial Narrow" w:hAnsi="Arial Narrow"/>
                <w:sz w:val="20"/>
                <w:szCs w:val="20"/>
                <w:lang w:val="en-AU"/>
              </w:rPr>
              <w:t xml:space="preserve"> HDV RNA decline at end of treatment</w:t>
            </w:r>
            <w:r w:rsidRPr="00FD70DE">
              <w:rPr>
                <w:rFonts w:ascii="Arial Narrow" w:hAnsi="Arial Narrow"/>
                <w:sz w:val="20"/>
                <w:szCs w:val="20"/>
                <w:lang w:val="en-AU"/>
              </w:rPr>
              <w:br/>
            </w:r>
            <w:r w:rsidRPr="00FD70DE">
              <w:rPr>
                <w:rFonts w:ascii="Arial Narrow" w:hAnsi="Arial Narrow"/>
                <w:sz w:val="20"/>
                <w:szCs w:val="20"/>
                <w:lang w:val="en-AU"/>
              </w:rPr>
              <w:tab/>
            </w:r>
            <w:r w:rsidR="00C6082E">
              <w:rPr>
                <w:rFonts w:ascii="Arial Narrow" w:hAnsi="Arial Narrow"/>
                <w:sz w:val="20"/>
                <w:szCs w:val="20"/>
                <w:lang w:val="en-AU"/>
              </w:rPr>
              <w:t>clinical endpoints</w:t>
            </w:r>
            <w:r w:rsidRPr="00FD70DE">
              <w:rPr>
                <w:rFonts w:ascii="Arial Narrow" w:hAnsi="Arial Narrow"/>
                <w:sz w:val="20"/>
                <w:szCs w:val="20"/>
                <w:lang w:val="en-AU"/>
              </w:rPr>
              <w:t xml:space="preserve">: 6/27 (22%) vs 6/33 (18%) </w:t>
            </w:r>
            <w:r w:rsidRPr="00FD70DE">
              <w:rPr>
                <w:rFonts w:ascii="Arial Narrow" w:hAnsi="Arial Narrow"/>
                <w:sz w:val="20"/>
                <w:szCs w:val="20"/>
                <w:lang w:val="en-AU"/>
              </w:rPr>
              <w:br/>
            </w:r>
            <w:r w:rsidRPr="00FD70DE">
              <w:rPr>
                <w:rFonts w:ascii="Arial Narrow" w:hAnsi="Arial Narrow"/>
                <w:i/>
                <w:iCs/>
                <w:sz w:val="20"/>
                <w:szCs w:val="20"/>
                <w:lang w:val="en-AU"/>
              </w:rPr>
              <w:tab/>
              <w:t>RR=1.22 (95% CI 0.44, 3.36)</w:t>
            </w:r>
            <w:r w:rsidRPr="00FD70DE">
              <w:rPr>
                <w:rFonts w:ascii="Arial Narrow" w:hAnsi="Arial Narrow"/>
                <w:i/>
                <w:iCs/>
                <w:sz w:val="20"/>
                <w:szCs w:val="20"/>
                <w:lang w:val="en-AU"/>
              </w:rPr>
              <w:tab/>
              <w:t>p=0.47</w:t>
            </w:r>
          </w:p>
          <w:p w14:paraId="4DCB41FA" w14:textId="54AA1908" w:rsidR="00C42FC5" w:rsidRPr="00FD70DE" w:rsidRDefault="00C42FC5" w:rsidP="00003DDF">
            <w:pPr>
              <w:keepNext/>
              <w:keepLines/>
              <w:tabs>
                <w:tab w:val="left" w:pos="860"/>
                <w:tab w:val="left" w:pos="3417"/>
              </w:tabs>
              <w:spacing w:before="40" w:after="40"/>
              <w:jc w:val="left"/>
              <w:rPr>
                <w:rFonts w:ascii="Arial Narrow" w:hAnsi="Arial Narrow"/>
                <w:i/>
                <w:iCs/>
                <w:sz w:val="20"/>
                <w:szCs w:val="20"/>
                <w:lang w:val="en-AU"/>
              </w:rPr>
            </w:pPr>
            <w:r w:rsidRPr="00FD70DE">
              <w:rPr>
                <w:rFonts w:ascii="Arial Narrow" w:hAnsi="Arial Narrow"/>
                <w:sz w:val="20"/>
                <w:szCs w:val="20"/>
                <w:lang w:val="en-AU"/>
              </w:rPr>
              <w:t>&gt;2 log</w:t>
            </w:r>
            <w:r w:rsidRPr="00FD70DE">
              <w:rPr>
                <w:rFonts w:ascii="Arial Narrow" w:hAnsi="Arial Narrow"/>
                <w:sz w:val="20"/>
                <w:vertAlign w:val="subscript"/>
                <w:lang w:val="en-AU"/>
              </w:rPr>
              <w:t>10</w:t>
            </w:r>
            <w:r w:rsidRPr="00FD70DE">
              <w:rPr>
                <w:rFonts w:ascii="Arial Narrow" w:hAnsi="Arial Narrow"/>
                <w:sz w:val="20"/>
                <w:szCs w:val="20"/>
                <w:lang w:val="en-AU"/>
              </w:rPr>
              <w:t xml:space="preserve"> HDV RNA decline at end of treatment</w:t>
            </w:r>
            <w:r w:rsidRPr="00FD70DE">
              <w:rPr>
                <w:rFonts w:ascii="Arial Narrow" w:hAnsi="Arial Narrow"/>
                <w:sz w:val="20"/>
                <w:szCs w:val="20"/>
                <w:lang w:val="en-AU"/>
              </w:rPr>
              <w:br/>
            </w:r>
            <w:r w:rsidRPr="00FD70DE">
              <w:rPr>
                <w:rFonts w:ascii="Arial Narrow" w:hAnsi="Arial Narrow"/>
                <w:sz w:val="20"/>
                <w:szCs w:val="20"/>
                <w:lang w:val="en-AU"/>
              </w:rPr>
              <w:tab/>
            </w:r>
            <w:r w:rsidR="00C6082E">
              <w:rPr>
                <w:rFonts w:ascii="Arial Narrow" w:hAnsi="Arial Narrow"/>
                <w:sz w:val="20"/>
                <w:szCs w:val="20"/>
                <w:lang w:val="en-AU"/>
              </w:rPr>
              <w:t>clinical endpoints</w:t>
            </w:r>
            <w:r w:rsidRPr="00FD70DE">
              <w:rPr>
                <w:rFonts w:ascii="Arial Narrow" w:hAnsi="Arial Narrow"/>
                <w:sz w:val="20"/>
                <w:szCs w:val="20"/>
                <w:lang w:val="en-AU"/>
              </w:rPr>
              <w:t>: 4/17 (24%) vs 8/43 (19%)</w:t>
            </w:r>
            <w:r w:rsidRPr="00FD70DE">
              <w:rPr>
                <w:rFonts w:ascii="Arial Narrow" w:hAnsi="Arial Narrow"/>
                <w:sz w:val="20"/>
                <w:szCs w:val="20"/>
                <w:lang w:val="en-AU"/>
              </w:rPr>
              <w:br/>
            </w:r>
            <w:r w:rsidRPr="00FD70DE">
              <w:rPr>
                <w:rFonts w:ascii="Arial Narrow" w:hAnsi="Arial Narrow"/>
                <w:i/>
                <w:iCs/>
                <w:sz w:val="20"/>
                <w:szCs w:val="20"/>
                <w:lang w:val="en-AU"/>
              </w:rPr>
              <w:tab/>
              <w:t>RR=1.27 (95% CI 0.44, 3.65)</w:t>
            </w:r>
            <w:r w:rsidRPr="00FD70DE">
              <w:rPr>
                <w:rFonts w:ascii="Arial Narrow" w:hAnsi="Arial Narrow"/>
                <w:i/>
                <w:iCs/>
                <w:sz w:val="20"/>
                <w:szCs w:val="20"/>
                <w:lang w:val="en-AU"/>
              </w:rPr>
              <w:tab/>
            </w:r>
            <w:r w:rsidRPr="00FD70DE">
              <w:rPr>
                <w:rFonts w:ascii="Arial Narrow" w:hAnsi="Arial Narrow"/>
                <w:sz w:val="20"/>
                <w:szCs w:val="20"/>
                <w:lang w:val="en-AU"/>
              </w:rPr>
              <w:t>p=0.32</w:t>
            </w:r>
          </w:p>
          <w:p w14:paraId="09AEEBCA" w14:textId="5C9E0B6E" w:rsidR="00C42FC5" w:rsidRPr="00FD70DE" w:rsidRDefault="00C42FC5" w:rsidP="00003DDF">
            <w:pPr>
              <w:keepNext/>
              <w:keepLines/>
              <w:tabs>
                <w:tab w:val="left" w:pos="3417"/>
              </w:tabs>
              <w:spacing w:before="40" w:after="40"/>
              <w:jc w:val="left"/>
              <w:rPr>
                <w:rFonts w:ascii="Arial Narrow" w:hAnsi="Arial Narrow"/>
                <w:sz w:val="20"/>
                <w:szCs w:val="20"/>
                <w:lang w:val="en-AU"/>
              </w:rPr>
            </w:pPr>
            <w:r w:rsidRPr="00FD70DE">
              <w:rPr>
                <w:rFonts w:ascii="Arial Narrow" w:hAnsi="Arial Narrow"/>
                <w:sz w:val="20"/>
                <w:szCs w:val="20"/>
                <w:lang w:val="en-AU"/>
              </w:rPr>
              <w:t>&gt;2 log</w:t>
            </w:r>
            <w:r w:rsidRPr="00FD70DE">
              <w:rPr>
                <w:rFonts w:ascii="Arial Narrow" w:hAnsi="Arial Narrow"/>
                <w:sz w:val="20"/>
                <w:vertAlign w:val="subscript"/>
                <w:lang w:val="en-AU"/>
              </w:rPr>
              <w:t>10</w:t>
            </w:r>
            <w:r w:rsidRPr="00FD70DE">
              <w:rPr>
                <w:rFonts w:ascii="Arial Narrow" w:hAnsi="Arial Narrow"/>
                <w:sz w:val="20"/>
                <w:szCs w:val="20"/>
                <w:lang w:val="en-AU"/>
              </w:rPr>
              <w:t xml:space="preserve"> HDV RNA decline at week 72 or end of follow-up</w:t>
            </w:r>
            <w:r w:rsidRPr="00FD70DE">
              <w:rPr>
                <w:rFonts w:ascii="Arial Narrow" w:hAnsi="Arial Narrow"/>
                <w:sz w:val="20"/>
                <w:szCs w:val="20"/>
                <w:lang w:val="en-AU"/>
              </w:rPr>
              <w:br/>
            </w:r>
            <w:r w:rsidRPr="00FD70DE">
              <w:rPr>
                <w:rFonts w:ascii="Arial Narrow" w:hAnsi="Arial Narrow"/>
                <w:sz w:val="20"/>
                <w:szCs w:val="20"/>
                <w:lang w:val="en-AU"/>
              </w:rPr>
              <w:tab/>
              <w:t>p=0.11</w:t>
            </w:r>
          </w:p>
        </w:tc>
      </w:tr>
    </w:tbl>
    <w:p w14:paraId="6ED9944C" w14:textId="62983CA2" w:rsidR="00C42FC5" w:rsidRPr="00FD70DE" w:rsidRDefault="00C42FC5" w:rsidP="00003DDF">
      <w:pPr>
        <w:pStyle w:val="TableFooter"/>
        <w:keepNext/>
        <w:keepLines/>
      </w:pPr>
      <w:r w:rsidRPr="00FD70DE">
        <w:t xml:space="preserve">Source: </w:t>
      </w:r>
      <w:r w:rsidR="00CB4751">
        <w:rPr>
          <w:i/>
          <w:iCs/>
        </w:rPr>
        <w:t>Table compiled during the evaluation.</w:t>
      </w:r>
    </w:p>
    <w:p w14:paraId="13B7AE1B" w14:textId="15E40A7D" w:rsidR="007B5136" w:rsidRDefault="02B51100" w:rsidP="00003DDF">
      <w:pPr>
        <w:pStyle w:val="TableFooter"/>
        <w:keepNext/>
        <w:keepLines/>
      </w:pPr>
      <w:r w:rsidRPr="4904BCD2">
        <w:t>*For each liver biopsy specimen, stage of fibrosis and grade of activity were established as follows:</w:t>
      </w:r>
    </w:p>
    <w:p w14:paraId="78DA1807" w14:textId="77777777" w:rsidR="007B5136" w:rsidRDefault="02B51100" w:rsidP="00C6349A">
      <w:pPr>
        <w:pStyle w:val="TableFooter"/>
        <w:keepNext/>
        <w:keepLines/>
        <w:numPr>
          <w:ilvl w:val="0"/>
          <w:numId w:val="13"/>
        </w:numPr>
        <w:ind w:left="426" w:hanging="219"/>
      </w:pPr>
      <w:r w:rsidRPr="4904BCD2">
        <w:t xml:space="preserve">Fibrosis was scored on a scale of 0 to 4, with 0 indicating absence of fibrosis, 1 fibrous portal expansion, 3 bridging fibrosis, and 4 cirrhosis. </w:t>
      </w:r>
    </w:p>
    <w:p w14:paraId="54B648E1" w14:textId="6C78FEF6" w:rsidR="007B5136" w:rsidRPr="00FD70DE" w:rsidRDefault="02B51100" w:rsidP="00C6349A">
      <w:pPr>
        <w:pStyle w:val="TableFooter"/>
        <w:keepNext/>
        <w:keepLines/>
        <w:numPr>
          <w:ilvl w:val="0"/>
          <w:numId w:val="13"/>
        </w:numPr>
        <w:ind w:left="426" w:hanging="219"/>
      </w:pPr>
      <w:r w:rsidRPr="4904BCD2">
        <w:t xml:space="preserve">The intensity of the </w:t>
      </w:r>
      <w:proofErr w:type="spellStart"/>
      <w:r w:rsidRPr="4904BCD2">
        <w:t>necroinflammatory</w:t>
      </w:r>
      <w:proofErr w:type="spellEnd"/>
      <w:r w:rsidRPr="4904BCD2">
        <w:t xml:space="preserve"> lesions was measured by grade of activity, which comprised the sum of 3 scores, including interface hepatitis </w:t>
      </w:r>
      <w:r w:rsidRPr="4904BCD2">
        <w:rPr>
          <w:rFonts w:ascii="Cambria Math" w:hAnsi="Cambria Math" w:cs="Cambria Math"/>
        </w:rPr>
        <w:t>⫾</w:t>
      </w:r>
      <w:r w:rsidRPr="4904BCD2">
        <w:t xml:space="preserve"> bridging necrosis (0 </w:t>
      </w:r>
      <w:r w:rsidRPr="4904BCD2">
        <w:rPr>
          <w:rFonts w:cs="Arial Narrow"/>
        </w:rPr>
        <w:t>–</w:t>
      </w:r>
      <w:r w:rsidRPr="4904BCD2">
        <w:t xml:space="preserve">10), lobular necrosis and inflammation (0 </w:t>
      </w:r>
      <w:r w:rsidRPr="4904BCD2">
        <w:rPr>
          <w:rFonts w:cs="Arial Narrow"/>
        </w:rPr>
        <w:t>–</w:t>
      </w:r>
      <w:r w:rsidRPr="4904BCD2">
        <w:t xml:space="preserve"> 4), and portal inflammation (0 </w:t>
      </w:r>
      <w:r w:rsidRPr="4904BCD2">
        <w:rPr>
          <w:rFonts w:cs="Arial Narrow"/>
        </w:rPr>
        <w:t>–</w:t>
      </w:r>
      <w:r w:rsidRPr="4904BCD2">
        <w:t xml:space="preserve"> 4).</w:t>
      </w:r>
    </w:p>
    <w:p w14:paraId="17AC2EA7" w14:textId="1F536F04" w:rsidR="00A80653" w:rsidRPr="00FD70DE" w:rsidRDefault="00C42FC5" w:rsidP="00003DDF">
      <w:pPr>
        <w:pStyle w:val="TableFooter"/>
        <w:keepNext/>
        <w:keepLines/>
      </w:pPr>
      <w:r w:rsidRPr="4904BCD2">
        <w:t xml:space="preserve">ADV = adefovir; CI = confidence interval; HCC = hepatocellular carcinoma; HDV = hepatitis D virus; IFN = interferon; </w:t>
      </w:r>
      <w:r w:rsidR="3FBDFBE2" w:rsidRPr="4904BCD2">
        <w:t>NA=</w:t>
      </w:r>
      <w:r w:rsidR="22076F23" w:rsidRPr="4904BCD2">
        <w:t xml:space="preserve"> </w:t>
      </w:r>
      <w:proofErr w:type="spellStart"/>
      <w:r w:rsidR="22076F23" w:rsidRPr="4904BCD2">
        <w:t>nucleos</w:t>
      </w:r>
      <w:proofErr w:type="spellEnd"/>
      <w:r w:rsidR="22076F23" w:rsidRPr="4904BCD2">
        <w:t xml:space="preserve">(t)ide analogues; </w:t>
      </w:r>
      <w:r w:rsidRPr="4904BCD2">
        <w:t xml:space="preserve">PEG = </w:t>
      </w:r>
      <w:r w:rsidR="37D13183" w:rsidRPr="4904BCD2">
        <w:t>pegylated</w:t>
      </w:r>
      <w:r w:rsidRPr="4904BCD2">
        <w:t>; RNA = ribonucleic acid; RR = relative risk; U = units.</w:t>
      </w:r>
    </w:p>
    <w:p w14:paraId="25AE4C86" w14:textId="77777777" w:rsidR="00C42FC5" w:rsidRPr="003473B2" w:rsidRDefault="00C42FC5" w:rsidP="00BD2A33">
      <w:pPr>
        <w:jc w:val="left"/>
        <w:rPr>
          <w:rFonts w:ascii="Franklin Gothic Book" w:hAnsi="Franklin Gothic Book"/>
          <w:sz w:val="22"/>
        </w:rPr>
      </w:pPr>
      <w:r w:rsidRPr="003473B2">
        <w:rPr>
          <w:rFonts w:ascii="Franklin Gothic Book" w:hAnsi="Franklin Gothic Book"/>
          <w:sz w:val="22"/>
        </w:rPr>
        <w:t>Of the three studies reporting on the prognostic value of a &gt;2 log</w:t>
      </w:r>
      <w:r w:rsidRPr="003473B2">
        <w:rPr>
          <w:rFonts w:ascii="Franklin Gothic Book" w:hAnsi="Franklin Gothic Book"/>
          <w:sz w:val="22"/>
          <w:vertAlign w:val="subscript"/>
        </w:rPr>
        <w:t>10</w:t>
      </w:r>
      <w:r w:rsidRPr="003473B2">
        <w:rPr>
          <w:rFonts w:ascii="Franklin Gothic Book" w:hAnsi="Franklin Gothic Book"/>
          <w:sz w:val="22"/>
        </w:rPr>
        <w:t xml:space="preserve"> IU/mL decline in HDV RNA levels, only one reported a statistically significant difference compared to having a decline of &lt;2 log</w:t>
      </w:r>
      <w:r w:rsidRPr="003473B2">
        <w:rPr>
          <w:rFonts w:ascii="Franklin Gothic Book" w:hAnsi="Franklin Gothic Book"/>
          <w:sz w:val="22"/>
          <w:vertAlign w:val="subscript"/>
        </w:rPr>
        <w:t>10</w:t>
      </w:r>
      <w:r w:rsidRPr="003473B2">
        <w:rPr>
          <w:rFonts w:ascii="Franklin Gothic Book" w:hAnsi="Franklin Gothic Book"/>
          <w:sz w:val="22"/>
        </w:rPr>
        <w:t xml:space="preserve"> IU/</w:t>
      </w:r>
      <w:proofErr w:type="spellStart"/>
      <w:r w:rsidRPr="003473B2">
        <w:rPr>
          <w:rFonts w:ascii="Franklin Gothic Book" w:hAnsi="Franklin Gothic Book"/>
          <w:sz w:val="22"/>
        </w:rPr>
        <w:t>mL.</w:t>
      </w:r>
      <w:proofErr w:type="spellEnd"/>
      <w:r w:rsidRPr="003473B2">
        <w:rPr>
          <w:rFonts w:ascii="Franklin Gothic Book" w:hAnsi="Franklin Gothic Book"/>
          <w:sz w:val="22"/>
        </w:rPr>
        <w:t xml:space="preserve"> This study reported on 41 patients with CHD who were treated with 2 different doses of IFN or with no treatment, using the HDV RNA level at last evaluation to determine the decline </w:t>
      </w:r>
      <w:r w:rsidRPr="003473B2">
        <w:rPr>
          <w:rFonts w:ascii="Franklin Gothic Book" w:hAnsi="Franklin Gothic Book"/>
          <w:sz w:val="22"/>
        </w:rPr>
        <w:lastRenderedPageBreak/>
        <w:t>in HDV RNA from baseline</w:t>
      </w:r>
      <w:r w:rsidRPr="003473B2">
        <w:rPr>
          <w:rStyle w:val="FootnoteReference"/>
          <w:rFonts w:ascii="Franklin Gothic Book" w:hAnsi="Franklin Gothic Book"/>
          <w:sz w:val="22"/>
        </w:rPr>
        <w:footnoteReference w:id="18"/>
      </w:r>
      <w:r w:rsidRPr="003473B2">
        <w:rPr>
          <w:rFonts w:ascii="Franklin Gothic Book" w:hAnsi="Franklin Gothic Book"/>
          <w:sz w:val="22"/>
        </w:rPr>
        <w:t>. The authors reported that the most striking finding was that patients with reduced viral loads of &gt;2 log</w:t>
      </w:r>
      <w:r w:rsidRPr="003473B2">
        <w:rPr>
          <w:rFonts w:ascii="Franklin Gothic Book" w:hAnsi="Franklin Gothic Book"/>
          <w:sz w:val="22"/>
          <w:vertAlign w:val="subscript"/>
        </w:rPr>
        <w:t>10</w:t>
      </w:r>
      <w:r w:rsidRPr="003473B2">
        <w:rPr>
          <w:rFonts w:ascii="Franklin Gothic Book" w:hAnsi="Franklin Gothic Book"/>
          <w:sz w:val="22"/>
        </w:rPr>
        <w:t xml:space="preserve"> copies/mL had significantly improved hepatic function and liver histology.</w:t>
      </w:r>
    </w:p>
    <w:p w14:paraId="2ABA6DAC" w14:textId="65307ECD" w:rsidR="00C42FC5" w:rsidRPr="003473B2" w:rsidRDefault="00C42FC5" w:rsidP="00BD2A33">
      <w:pPr>
        <w:jc w:val="left"/>
        <w:rPr>
          <w:rFonts w:ascii="Franklin Gothic Book" w:hAnsi="Franklin Gothic Book"/>
          <w:sz w:val="22"/>
        </w:rPr>
      </w:pPr>
      <w:r w:rsidRPr="003473B2">
        <w:rPr>
          <w:rFonts w:ascii="Franklin Gothic Book" w:hAnsi="Franklin Gothic Book"/>
          <w:sz w:val="22"/>
        </w:rPr>
        <w:t xml:space="preserve">The results from this study were the basis for an international expert panel proposing </w:t>
      </w:r>
      <w:r w:rsidR="2D5D30B5" w:rsidRPr="003473B2">
        <w:rPr>
          <w:rFonts w:ascii="Franklin Gothic Book" w:hAnsi="Franklin Gothic Book"/>
          <w:sz w:val="22"/>
        </w:rPr>
        <w:t xml:space="preserve">a </w:t>
      </w:r>
      <w:r w:rsidRPr="003473B2">
        <w:rPr>
          <w:rFonts w:ascii="Franklin Gothic Book" w:hAnsi="Franklin Gothic Book"/>
          <w:sz w:val="22"/>
        </w:rPr>
        <w:t>combined response criteria for drug development studies</w:t>
      </w:r>
      <w:r w:rsidRPr="003473B2">
        <w:rPr>
          <w:rStyle w:val="FootnoteReference"/>
          <w:rFonts w:ascii="Franklin Gothic Book" w:hAnsi="Franklin Gothic Book"/>
          <w:sz w:val="22"/>
        </w:rPr>
        <w:footnoteReference w:id="19"/>
      </w:r>
      <w:r w:rsidRPr="003473B2">
        <w:rPr>
          <w:rFonts w:ascii="Franklin Gothic Book" w:hAnsi="Franklin Gothic Book"/>
          <w:sz w:val="22"/>
        </w:rPr>
        <w:t>. This is defined as &gt;2 log</w:t>
      </w:r>
      <w:r w:rsidRPr="003473B2">
        <w:rPr>
          <w:rFonts w:ascii="Franklin Gothic Book" w:hAnsi="Franklin Gothic Book"/>
          <w:sz w:val="22"/>
          <w:vertAlign w:val="subscript"/>
        </w:rPr>
        <w:t>10</w:t>
      </w:r>
      <w:r w:rsidRPr="003473B2">
        <w:rPr>
          <w:rFonts w:ascii="Franklin Gothic Book" w:hAnsi="Franklin Gothic Book"/>
          <w:sz w:val="22"/>
        </w:rPr>
        <w:t xml:space="preserve"> decline in HDV RNA combined with normal ALT levels as an intermediate endpoint when the desired endpoint of HDV RNA &lt; </w:t>
      </w:r>
      <w:r w:rsidR="2D5D30B5" w:rsidRPr="003473B2">
        <w:rPr>
          <w:rFonts w:ascii="Franklin Gothic Book" w:hAnsi="Franklin Gothic Book"/>
          <w:sz w:val="22"/>
        </w:rPr>
        <w:t>lower limit of detection (</w:t>
      </w:r>
      <w:proofErr w:type="spellStart"/>
      <w:r w:rsidRPr="003473B2">
        <w:rPr>
          <w:rFonts w:ascii="Franklin Gothic Book" w:hAnsi="Franklin Gothic Book"/>
          <w:sz w:val="22"/>
        </w:rPr>
        <w:t>LLoD</w:t>
      </w:r>
      <w:proofErr w:type="spellEnd"/>
      <w:r w:rsidR="2D5D30B5" w:rsidRPr="003473B2">
        <w:rPr>
          <w:rFonts w:ascii="Franklin Gothic Book" w:hAnsi="Franklin Gothic Book"/>
          <w:sz w:val="22"/>
        </w:rPr>
        <w:t>)</w:t>
      </w:r>
      <w:r w:rsidRPr="003473B2">
        <w:rPr>
          <w:rFonts w:ascii="Franklin Gothic Book" w:hAnsi="Franklin Gothic Book"/>
          <w:sz w:val="22"/>
        </w:rPr>
        <w:t xml:space="preserve"> at 48 weeks cannot be achieved. However, two more recent studies have since failed to find an association between &gt;2 log</w:t>
      </w:r>
      <w:r w:rsidRPr="003473B2">
        <w:rPr>
          <w:rFonts w:ascii="Franklin Gothic Book" w:hAnsi="Franklin Gothic Book"/>
          <w:sz w:val="22"/>
          <w:vertAlign w:val="subscript"/>
        </w:rPr>
        <w:t>10</w:t>
      </w:r>
      <w:r w:rsidRPr="003473B2">
        <w:rPr>
          <w:rFonts w:ascii="Franklin Gothic Book" w:hAnsi="Franklin Gothic Book"/>
          <w:sz w:val="22"/>
        </w:rPr>
        <w:t xml:space="preserve"> IU/mL decline in HDV RNA and improved clinical outcomes (</w:t>
      </w:r>
      <w:r w:rsidRPr="003473B2">
        <w:rPr>
          <w:rFonts w:ascii="Franklin Gothic Book" w:hAnsi="Franklin Gothic Book"/>
          <w:sz w:val="22"/>
        </w:rPr>
        <w:fldChar w:fldCharType="begin"/>
      </w:r>
      <w:r w:rsidRPr="003473B2">
        <w:rPr>
          <w:rFonts w:ascii="Franklin Gothic Book" w:hAnsi="Franklin Gothic Book"/>
          <w:sz w:val="22"/>
        </w:rPr>
        <w:instrText xml:space="preserve"> REF _Ref183533910 \h  \* MERGEFORMAT </w:instrText>
      </w:r>
      <w:r w:rsidRPr="003473B2">
        <w:rPr>
          <w:rFonts w:ascii="Franklin Gothic Book" w:hAnsi="Franklin Gothic Book"/>
          <w:sz w:val="22"/>
        </w:rPr>
      </w:r>
      <w:r w:rsidRPr="003473B2">
        <w:rPr>
          <w:rFonts w:ascii="Franklin Gothic Book" w:hAnsi="Franklin Gothic Book"/>
          <w:sz w:val="22"/>
        </w:rPr>
        <w:fldChar w:fldCharType="separate"/>
      </w:r>
      <w:r w:rsidR="00815583" w:rsidRPr="003473B2">
        <w:rPr>
          <w:rFonts w:ascii="Franklin Gothic Book" w:hAnsi="Franklin Gothic Book"/>
          <w:sz w:val="22"/>
        </w:rPr>
        <w:t>Table 7</w:t>
      </w:r>
      <w:r w:rsidRPr="003473B2">
        <w:rPr>
          <w:rFonts w:ascii="Franklin Gothic Book" w:hAnsi="Franklin Gothic Book"/>
          <w:sz w:val="22"/>
        </w:rPr>
        <w:fldChar w:fldCharType="end"/>
      </w:r>
      <w:r w:rsidRPr="003473B2">
        <w:rPr>
          <w:rFonts w:ascii="Franklin Gothic Book" w:hAnsi="Franklin Gothic Book"/>
          <w:sz w:val="22"/>
        </w:rPr>
        <w:t xml:space="preserve">). </w:t>
      </w:r>
    </w:p>
    <w:p w14:paraId="4D0E33C7" w14:textId="7C9AC632" w:rsidR="00C42FC5" w:rsidRPr="00BD2A33" w:rsidRDefault="00C42FC5" w:rsidP="00C42FC5">
      <w:pPr>
        <w:pStyle w:val="Heading4"/>
        <w:spacing w:after="120"/>
        <w:ind w:left="1298" w:hanging="1298"/>
        <w:rPr>
          <w:rFonts w:ascii="Franklin Gothic Book" w:hAnsi="Franklin Gothic Book"/>
          <w:color w:val="auto"/>
        </w:rPr>
      </w:pPr>
      <w:r w:rsidRPr="00BD2A33">
        <w:rPr>
          <w:rFonts w:ascii="Franklin Gothic Book" w:hAnsi="Franklin Gothic Book"/>
          <w:color w:val="auto"/>
        </w:rPr>
        <w:t>Summary</w:t>
      </w:r>
      <w:r w:rsidR="00203363" w:rsidRPr="00BD2A33">
        <w:rPr>
          <w:rFonts w:ascii="Franklin Gothic Book" w:hAnsi="Franklin Gothic Book"/>
          <w:color w:val="auto"/>
        </w:rPr>
        <w:t xml:space="preserve"> of prognostic evidence</w:t>
      </w:r>
    </w:p>
    <w:p w14:paraId="34E54065" w14:textId="58CBDC04" w:rsidR="00C42FC5" w:rsidRPr="003473B2" w:rsidRDefault="00C42FC5" w:rsidP="00BD2A33">
      <w:pPr>
        <w:jc w:val="left"/>
        <w:rPr>
          <w:rFonts w:ascii="Franklin Gothic Book" w:hAnsi="Franklin Gothic Book"/>
          <w:sz w:val="22"/>
        </w:rPr>
      </w:pPr>
      <w:r w:rsidRPr="003473B2">
        <w:rPr>
          <w:rFonts w:ascii="Franklin Gothic Book" w:hAnsi="Franklin Gothic Book"/>
          <w:sz w:val="22"/>
        </w:rPr>
        <w:t xml:space="preserve">Overall, </w:t>
      </w:r>
      <w:r w:rsidR="15CB42FE" w:rsidRPr="003473B2">
        <w:rPr>
          <w:rFonts w:ascii="Franklin Gothic Book" w:hAnsi="Franklin Gothic Book"/>
          <w:sz w:val="22"/>
        </w:rPr>
        <w:t xml:space="preserve">the commentary noted that </w:t>
      </w:r>
      <w:r w:rsidRPr="003473B2">
        <w:rPr>
          <w:rFonts w:ascii="Franklin Gothic Book" w:hAnsi="Franklin Gothic Book"/>
          <w:sz w:val="22"/>
        </w:rPr>
        <w:t>the evidence is supportive of a clinical benefit for CH</w:t>
      </w:r>
      <w:r w:rsidR="187D1DE7" w:rsidRPr="003473B2">
        <w:rPr>
          <w:rFonts w:ascii="Franklin Gothic Book" w:hAnsi="Franklin Gothic Book"/>
          <w:sz w:val="22"/>
        </w:rPr>
        <w:t>B</w:t>
      </w:r>
      <w:r w:rsidR="66CEC503" w:rsidRPr="003473B2">
        <w:rPr>
          <w:rFonts w:ascii="Franklin Gothic Book" w:hAnsi="Franklin Gothic Book"/>
          <w:sz w:val="22"/>
        </w:rPr>
        <w:t>/CHD</w:t>
      </w:r>
      <w:r w:rsidRPr="003473B2">
        <w:rPr>
          <w:rFonts w:ascii="Franklin Gothic Book" w:hAnsi="Franklin Gothic Book"/>
          <w:sz w:val="22"/>
        </w:rPr>
        <w:t xml:space="preserve"> patients who are either HDV RNA negative at baseline or are HDV RNA positive and subsequently clear the HDV RNA to undetectable levels</w:t>
      </w:r>
      <w:r w:rsidR="1E1AB869" w:rsidRPr="003473B2">
        <w:rPr>
          <w:rFonts w:ascii="Franklin Gothic Book" w:hAnsi="Franklin Gothic Book"/>
          <w:sz w:val="22"/>
        </w:rPr>
        <w:t xml:space="preserve"> as they are less likely to develop liver-related adverse events such as hepatic decompensation, HCC, liver transplantation or death</w:t>
      </w:r>
      <w:r w:rsidRPr="003473B2">
        <w:rPr>
          <w:rFonts w:ascii="Franklin Gothic Book" w:hAnsi="Franklin Gothic Book"/>
          <w:sz w:val="22"/>
        </w:rPr>
        <w:t xml:space="preserve">. </w:t>
      </w:r>
      <w:r w:rsidR="78AF4C47" w:rsidRPr="003473B2">
        <w:rPr>
          <w:rFonts w:ascii="Franklin Gothic Book" w:hAnsi="Franklin Gothic Book"/>
          <w:sz w:val="22"/>
        </w:rPr>
        <w:t>Some</w:t>
      </w:r>
      <w:r w:rsidRPr="003473B2">
        <w:rPr>
          <w:rFonts w:ascii="Franklin Gothic Book" w:hAnsi="Franklin Gothic Book"/>
          <w:sz w:val="22"/>
        </w:rPr>
        <w:t xml:space="preserve"> evidence suggested that patients with lower detectable viral loads may have a reduced risk of developing liver-related clinical events compared to those with higher detectable viral loads. However, </w:t>
      </w:r>
      <w:r w:rsidR="15CB42FE" w:rsidRPr="003473B2">
        <w:rPr>
          <w:rFonts w:ascii="Franklin Gothic Book" w:hAnsi="Franklin Gothic Book"/>
          <w:sz w:val="22"/>
        </w:rPr>
        <w:t xml:space="preserve">the commentary concluded that </w:t>
      </w:r>
      <w:r w:rsidRPr="003473B2">
        <w:rPr>
          <w:rFonts w:ascii="Franklin Gothic Book" w:hAnsi="Franklin Gothic Book"/>
          <w:sz w:val="22"/>
        </w:rPr>
        <w:t xml:space="preserve">there was no </w:t>
      </w:r>
      <w:r w:rsidR="364A2CFD" w:rsidRPr="003473B2">
        <w:rPr>
          <w:rFonts w:ascii="Franklin Gothic Book" w:hAnsi="Franklin Gothic Book"/>
          <w:sz w:val="22"/>
        </w:rPr>
        <w:t xml:space="preserve">clear </w:t>
      </w:r>
      <w:r w:rsidRPr="003473B2">
        <w:rPr>
          <w:rFonts w:ascii="Franklin Gothic Book" w:hAnsi="Franklin Gothic Book"/>
          <w:sz w:val="22"/>
        </w:rPr>
        <w:t>evidence to support a reduction of viral load by &gt;2 log</w:t>
      </w:r>
      <w:r w:rsidRPr="003473B2">
        <w:rPr>
          <w:rFonts w:ascii="Franklin Gothic Book" w:hAnsi="Franklin Gothic Book"/>
          <w:sz w:val="22"/>
          <w:vertAlign w:val="subscript"/>
        </w:rPr>
        <w:t>10</w:t>
      </w:r>
      <w:r w:rsidRPr="003473B2">
        <w:rPr>
          <w:rFonts w:ascii="Franklin Gothic Book" w:hAnsi="Franklin Gothic Book"/>
          <w:sz w:val="22"/>
        </w:rPr>
        <w:t xml:space="preserve"> IU/mL conferring any clinical benefits</w:t>
      </w:r>
      <w:r w:rsidR="1AD33F23" w:rsidRPr="003473B2">
        <w:rPr>
          <w:rFonts w:ascii="Franklin Gothic Book" w:hAnsi="Franklin Gothic Book"/>
          <w:sz w:val="22"/>
        </w:rPr>
        <w:t xml:space="preserve">, </w:t>
      </w:r>
      <w:r w:rsidR="01E9CAD0" w:rsidRPr="003473B2">
        <w:rPr>
          <w:rFonts w:ascii="Franklin Gothic Book" w:hAnsi="Franklin Gothic Book"/>
          <w:sz w:val="22"/>
        </w:rPr>
        <w:t>as the absolute viral load reached is also important</w:t>
      </w:r>
      <w:r w:rsidRPr="003473B2">
        <w:rPr>
          <w:rFonts w:ascii="Franklin Gothic Book" w:hAnsi="Franklin Gothic Book"/>
          <w:sz w:val="22"/>
        </w:rPr>
        <w:t>. In fact, a review identified by the resubmission</w:t>
      </w:r>
      <w:r w:rsidRPr="003473B2">
        <w:rPr>
          <w:rStyle w:val="FootnoteReference"/>
          <w:rFonts w:ascii="Franklin Gothic Book" w:hAnsi="Franklin Gothic Book"/>
          <w:sz w:val="22"/>
        </w:rPr>
        <w:footnoteReference w:id="20"/>
      </w:r>
      <w:r w:rsidRPr="003473B2">
        <w:rPr>
          <w:rFonts w:ascii="Franklin Gothic Book" w:hAnsi="Franklin Gothic Book"/>
          <w:sz w:val="22"/>
        </w:rPr>
        <w:t xml:space="preserve"> raised the point that the clinical </w:t>
      </w:r>
      <w:r w:rsidR="4A5AA61D" w:rsidRPr="003473B2">
        <w:rPr>
          <w:rFonts w:ascii="Franklin Gothic Book" w:hAnsi="Franklin Gothic Book"/>
          <w:sz w:val="22"/>
        </w:rPr>
        <w:t xml:space="preserve">benefit </w:t>
      </w:r>
      <w:r w:rsidRPr="003473B2">
        <w:rPr>
          <w:rFonts w:ascii="Franklin Gothic Book" w:hAnsi="Franklin Gothic Book"/>
          <w:sz w:val="22"/>
        </w:rPr>
        <w:t>could differ in patients with very high baseline HDV RNA achieving a 2-log</w:t>
      </w:r>
      <w:r w:rsidRPr="003473B2">
        <w:rPr>
          <w:rFonts w:ascii="Franklin Gothic Book" w:hAnsi="Franklin Gothic Book"/>
          <w:sz w:val="22"/>
          <w:vertAlign w:val="subscript"/>
        </w:rPr>
        <w:t>10</w:t>
      </w:r>
      <w:r w:rsidRPr="003473B2">
        <w:rPr>
          <w:rFonts w:ascii="Franklin Gothic Book" w:hAnsi="Franklin Gothic Book"/>
          <w:sz w:val="22"/>
        </w:rPr>
        <w:t xml:space="preserve"> decline to 10</w:t>
      </w:r>
      <w:r w:rsidRPr="003473B2">
        <w:rPr>
          <w:rFonts w:ascii="Franklin Gothic Book" w:hAnsi="Franklin Gothic Book"/>
          <w:sz w:val="22"/>
          <w:vertAlign w:val="superscript"/>
        </w:rPr>
        <w:t>4</w:t>
      </w:r>
      <w:r w:rsidRPr="003473B2">
        <w:rPr>
          <w:rFonts w:ascii="Franklin Gothic Book" w:hAnsi="Franklin Gothic Book"/>
          <w:sz w:val="22"/>
        </w:rPr>
        <w:t>–10</w:t>
      </w:r>
      <w:r w:rsidRPr="003473B2">
        <w:rPr>
          <w:rFonts w:ascii="Franklin Gothic Book" w:hAnsi="Franklin Gothic Book"/>
          <w:sz w:val="22"/>
          <w:vertAlign w:val="superscript"/>
        </w:rPr>
        <w:t>5</w:t>
      </w:r>
      <w:r w:rsidRPr="003473B2">
        <w:rPr>
          <w:rFonts w:ascii="Franklin Gothic Book" w:hAnsi="Franklin Gothic Book"/>
          <w:sz w:val="22"/>
        </w:rPr>
        <w:t xml:space="preserve"> IU/mL versus patients whose 2-log</w:t>
      </w:r>
      <w:r w:rsidRPr="003473B2">
        <w:rPr>
          <w:rFonts w:ascii="Franklin Gothic Book" w:hAnsi="Franklin Gothic Book"/>
          <w:sz w:val="22"/>
          <w:vertAlign w:val="subscript"/>
        </w:rPr>
        <w:t>10</w:t>
      </w:r>
      <w:r w:rsidRPr="003473B2">
        <w:rPr>
          <w:rFonts w:ascii="Franklin Gothic Book" w:hAnsi="Franklin Gothic Book"/>
          <w:sz w:val="22"/>
        </w:rPr>
        <w:t xml:space="preserve"> decline achieves levels of 10</w:t>
      </w:r>
      <w:r w:rsidRPr="003473B2">
        <w:rPr>
          <w:rFonts w:ascii="Franklin Gothic Book" w:hAnsi="Franklin Gothic Book"/>
          <w:sz w:val="22"/>
          <w:vertAlign w:val="superscript"/>
        </w:rPr>
        <w:t>2</w:t>
      </w:r>
      <w:r w:rsidRPr="003473B2">
        <w:rPr>
          <w:rFonts w:ascii="Franklin Gothic Book" w:hAnsi="Franklin Gothic Book"/>
          <w:sz w:val="22"/>
        </w:rPr>
        <w:t xml:space="preserve"> IU/mL or lower. Interestingly, two studies reported that those who responded to antiviral treatments and cleared the infection had lower HDV RNA levels at baseline than those who did not respond to treatment</w:t>
      </w:r>
      <w:r w:rsidRPr="003473B2">
        <w:rPr>
          <w:rStyle w:val="FootnoteReference"/>
          <w:rFonts w:ascii="Franklin Gothic Book" w:hAnsi="Franklin Gothic Book"/>
          <w:sz w:val="22"/>
        </w:rPr>
        <w:footnoteReference w:id="21"/>
      </w:r>
      <w:r w:rsidRPr="003473B2">
        <w:rPr>
          <w:rFonts w:ascii="Franklin Gothic Book" w:hAnsi="Franklin Gothic Book"/>
          <w:sz w:val="22"/>
        </w:rPr>
        <w:t>.</w:t>
      </w:r>
    </w:p>
    <w:p w14:paraId="59E43A22" w14:textId="67261548" w:rsidR="00C42FC5" w:rsidRPr="003473B2" w:rsidRDefault="00C42FC5" w:rsidP="00BD2A33">
      <w:pPr>
        <w:jc w:val="left"/>
        <w:rPr>
          <w:rFonts w:ascii="Franklin Gothic Book" w:hAnsi="Franklin Gothic Book"/>
          <w:sz w:val="22"/>
        </w:rPr>
      </w:pPr>
      <w:r w:rsidRPr="003473B2">
        <w:rPr>
          <w:rFonts w:ascii="Franklin Gothic Book" w:hAnsi="Franklin Gothic Book"/>
          <w:sz w:val="22"/>
        </w:rPr>
        <w:t>Taken together,</w:t>
      </w:r>
      <w:r w:rsidR="691F3B52" w:rsidRPr="003473B2">
        <w:rPr>
          <w:rFonts w:ascii="Franklin Gothic Book" w:hAnsi="Franklin Gothic Book"/>
          <w:sz w:val="22"/>
        </w:rPr>
        <w:t xml:space="preserve"> the commentary concluded that</w:t>
      </w:r>
      <w:r w:rsidRPr="003473B2">
        <w:rPr>
          <w:rFonts w:ascii="Franklin Gothic Book" w:hAnsi="Franklin Gothic Book"/>
          <w:sz w:val="22"/>
        </w:rPr>
        <w:t xml:space="preserve"> the data suggest that a qualitative result (detectable vs undetectable) could be sufficient to provide the clinician with the information required for the likely progression of disease and to guide patient management. There is insufficient evidence to support the premise that reporting quantitative HDV RNA levels provides additional prognostic information to the clinician or the patient.</w:t>
      </w:r>
    </w:p>
    <w:p w14:paraId="23970338" w14:textId="1FC4794B" w:rsidR="00C42FC5" w:rsidRDefault="00671D15" w:rsidP="00BD2A33">
      <w:pPr>
        <w:jc w:val="left"/>
        <w:rPr>
          <w:rFonts w:ascii="Franklin Gothic Book" w:hAnsi="Franklin Gothic Book"/>
          <w:sz w:val="22"/>
        </w:rPr>
      </w:pPr>
      <w:r w:rsidRPr="003473B2">
        <w:rPr>
          <w:rFonts w:ascii="Franklin Gothic Book" w:hAnsi="Franklin Gothic Book"/>
          <w:sz w:val="22"/>
        </w:rPr>
        <w:t>The commentary noted that t</w:t>
      </w:r>
      <w:r w:rsidR="00C42FC5" w:rsidRPr="003473B2">
        <w:rPr>
          <w:rFonts w:ascii="Franklin Gothic Book" w:hAnsi="Franklin Gothic Book"/>
          <w:sz w:val="22"/>
        </w:rPr>
        <w:t xml:space="preserve">his contrasts with the claim by the resubmission that “the studies, both old and new, consistently demonstrate that substantially higher viral loads are associated with worse liver outcomes,” and “further validating HDV RNA quantification as a predictor of disease progression.” </w:t>
      </w:r>
    </w:p>
    <w:p w14:paraId="18ED7687" w14:textId="77777777" w:rsidR="00D44F9D" w:rsidRPr="00BD2A33" w:rsidRDefault="00D44F9D" w:rsidP="00565A06">
      <w:pPr>
        <w:pStyle w:val="Heading4"/>
        <w:rPr>
          <w:rFonts w:ascii="Franklin Gothic Book" w:hAnsi="Franklin Gothic Book"/>
          <w:color w:val="auto"/>
        </w:rPr>
      </w:pPr>
      <w:r w:rsidRPr="00BD2A33">
        <w:rPr>
          <w:rFonts w:ascii="Franklin Gothic Book" w:hAnsi="Franklin Gothic Book"/>
          <w:color w:val="auto"/>
        </w:rPr>
        <w:lastRenderedPageBreak/>
        <w:t xml:space="preserve">Predictive evidence </w:t>
      </w:r>
    </w:p>
    <w:p w14:paraId="5408A074" w14:textId="6D7CCAF3" w:rsidR="00C42FC5" w:rsidRPr="00CF300A" w:rsidRDefault="00C42FC5" w:rsidP="00BD2A33">
      <w:pPr>
        <w:jc w:val="left"/>
        <w:rPr>
          <w:rFonts w:ascii="Franklin Gothic Book" w:hAnsi="Franklin Gothic Book"/>
          <w:sz w:val="22"/>
        </w:rPr>
      </w:pPr>
      <w:r w:rsidRPr="00CF300A">
        <w:rPr>
          <w:rFonts w:ascii="Franklin Gothic Book" w:hAnsi="Franklin Gothic Book"/>
          <w:sz w:val="22"/>
        </w:rPr>
        <w:t xml:space="preserve">Both the previous submission and the resubmission </w:t>
      </w:r>
      <w:r w:rsidR="364A2CFD" w:rsidRPr="00CF300A">
        <w:rPr>
          <w:rFonts w:ascii="Franklin Gothic Book" w:hAnsi="Franklin Gothic Book"/>
          <w:sz w:val="22"/>
        </w:rPr>
        <w:t xml:space="preserve">did not </w:t>
      </w:r>
      <w:r w:rsidRPr="00CF300A">
        <w:rPr>
          <w:rFonts w:ascii="Franklin Gothic Book" w:hAnsi="Franklin Gothic Book"/>
          <w:sz w:val="22"/>
        </w:rPr>
        <w:t>identif</w:t>
      </w:r>
      <w:r w:rsidR="364A2CFD" w:rsidRPr="00CF300A">
        <w:rPr>
          <w:rFonts w:ascii="Franklin Gothic Book" w:hAnsi="Franklin Gothic Book"/>
          <w:sz w:val="22"/>
        </w:rPr>
        <w:t>y any</w:t>
      </w:r>
      <w:r w:rsidRPr="00CF300A">
        <w:rPr>
          <w:rFonts w:ascii="Franklin Gothic Book" w:hAnsi="Franklin Gothic Book"/>
          <w:sz w:val="22"/>
        </w:rPr>
        <w:t xml:space="preserve"> studies </w:t>
      </w:r>
      <w:r w:rsidR="364A2CFD" w:rsidRPr="00CF300A">
        <w:rPr>
          <w:rFonts w:ascii="Franklin Gothic Book" w:hAnsi="Franklin Gothic Book"/>
          <w:sz w:val="22"/>
        </w:rPr>
        <w:t xml:space="preserve">reporting </w:t>
      </w:r>
      <w:r w:rsidRPr="00CF300A">
        <w:rPr>
          <w:rFonts w:ascii="Franklin Gothic Book" w:hAnsi="Franklin Gothic Book"/>
          <w:sz w:val="22"/>
        </w:rPr>
        <w:t>on the ability of HDV RNA testing</w:t>
      </w:r>
      <w:r w:rsidR="289D65E9" w:rsidRPr="00CF300A">
        <w:rPr>
          <w:rFonts w:ascii="Franklin Gothic Book" w:hAnsi="Franklin Gothic Book"/>
          <w:sz w:val="22"/>
        </w:rPr>
        <w:t>, using either qualitative or quantitative reporting,</w:t>
      </w:r>
      <w:r w:rsidRPr="00CF300A">
        <w:rPr>
          <w:rFonts w:ascii="Franklin Gothic Book" w:hAnsi="Franklin Gothic Book"/>
          <w:sz w:val="22"/>
        </w:rPr>
        <w:t xml:space="preserve"> to predict response to bulevirtide treatment.</w:t>
      </w:r>
    </w:p>
    <w:p w14:paraId="6A005B4E" w14:textId="77777777" w:rsidR="00C42FC5" w:rsidRPr="00CF300A" w:rsidRDefault="00C42FC5" w:rsidP="00BD2A33">
      <w:pPr>
        <w:jc w:val="left"/>
        <w:rPr>
          <w:rFonts w:ascii="Franklin Gothic Book" w:hAnsi="Franklin Gothic Book"/>
          <w:sz w:val="22"/>
        </w:rPr>
      </w:pPr>
      <w:r w:rsidRPr="00CF300A">
        <w:rPr>
          <w:rFonts w:ascii="Franklin Gothic Book" w:hAnsi="Franklin Gothic Book"/>
          <w:sz w:val="22"/>
        </w:rPr>
        <w:t>Five studies provided evidence that quantification of HDV RNA levels at baseline and/or during antiviral treatment, mostly with conventional or pegylated IFN, predicted response to treatment and/or the likelihood of having a relapse.</w:t>
      </w:r>
    </w:p>
    <w:p w14:paraId="2ABB9F05" w14:textId="0832091B" w:rsidR="00C42FC5" w:rsidRPr="00CF300A" w:rsidRDefault="00C42FC5" w:rsidP="00BD2A33">
      <w:pPr>
        <w:jc w:val="left"/>
        <w:rPr>
          <w:rFonts w:ascii="Franklin Gothic Book" w:hAnsi="Franklin Gothic Book"/>
          <w:sz w:val="22"/>
        </w:rPr>
      </w:pPr>
      <w:r w:rsidRPr="00CF300A">
        <w:rPr>
          <w:rFonts w:ascii="Franklin Gothic Book" w:hAnsi="Franklin Gothic Book"/>
          <w:sz w:val="22"/>
        </w:rPr>
        <w:t xml:space="preserve">The three studies </w:t>
      </w:r>
      <w:r w:rsidR="00140032" w:rsidRPr="00CF300A">
        <w:rPr>
          <w:rFonts w:ascii="Franklin Gothic Book" w:hAnsi="Franklin Gothic Book"/>
          <w:sz w:val="22"/>
        </w:rPr>
        <w:t>assessing</w:t>
      </w:r>
      <w:r w:rsidRPr="00CF300A">
        <w:rPr>
          <w:rFonts w:ascii="Franklin Gothic Book" w:hAnsi="Franklin Gothic Book"/>
          <w:sz w:val="22"/>
        </w:rPr>
        <w:t xml:space="preserve"> the ability of HDV RNA levels to predict response to anti-viral treatments reported that HDV RNA levels significantly decreased during the earlier months of treatment in patients who cleared the HDV RNA to undetectable levels. </w:t>
      </w:r>
    </w:p>
    <w:p w14:paraId="7AD05AEE" w14:textId="0294100D" w:rsidR="00C42FC5" w:rsidRPr="00CF300A" w:rsidRDefault="00C42FC5" w:rsidP="00BD2A33">
      <w:pPr>
        <w:jc w:val="left"/>
        <w:rPr>
          <w:rFonts w:ascii="Franklin Gothic Book" w:hAnsi="Franklin Gothic Book"/>
          <w:sz w:val="22"/>
        </w:rPr>
      </w:pPr>
      <w:r w:rsidRPr="00CF300A">
        <w:rPr>
          <w:rFonts w:ascii="Franklin Gothic Book" w:hAnsi="Franklin Gothic Book"/>
          <w:sz w:val="22"/>
        </w:rPr>
        <w:t xml:space="preserve">In contrast, the three studies reporting on the ability of HDV RNA levels </w:t>
      </w:r>
      <w:r w:rsidR="00140032" w:rsidRPr="00CF300A">
        <w:rPr>
          <w:rFonts w:ascii="Franklin Gothic Book" w:hAnsi="Franklin Gothic Book"/>
          <w:sz w:val="22"/>
        </w:rPr>
        <w:t xml:space="preserve">to </w:t>
      </w:r>
      <w:r w:rsidRPr="00CF300A">
        <w:rPr>
          <w:rFonts w:ascii="Franklin Gothic Book" w:hAnsi="Franklin Gothic Book"/>
          <w:sz w:val="22"/>
        </w:rPr>
        <w:t>predict relapse in patients who had responded to treatment and cleared the HDV infection</w:t>
      </w:r>
      <w:r w:rsidR="00140032" w:rsidRPr="00CF300A">
        <w:rPr>
          <w:rFonts w:ascii="Franklin Gothic Book" w:hAnsi="Franklin Gothic Book"/>
          <w:sz w:val="22"/>
        </w:rPr>
        <w:t>,</w:t>
      </w:r>
      <w:r w:rsidRPr="00CF300A">
        <w:rPr>
          <w:rFonts w:ascii="Franklin Gothic Book" w:hAnsi="Franklin Gothic Book"/>
          <w:sz w:val="22"/>
        </w:rPr>
        <w:t xml:space="preserve"> such that HDV RNA levels were undetectable</w:t>
      </w:r>
      <w:r w:rsidR="00140032" w:rsidRPr="00CF300A">
        <w:rPr>
          <w:rFonts w:ascii="Franklin Gothic Book" w:hAnsi="Franklin Gothic Book"/>
          <w:sz w:val="22"/>
        </w:rPr>
        <w:t>,</w:t>
      </w:r>
      <w:r w:rsidRPr="00CF300A">
        <w:rPr>
          <w:rFonts w:ascii="Franklin Gothic Book" w:hAnsi="Franklin Gothic Book"/>
          <w:sz w:val="22"/>
        </w:rPr>
        <w:t xml:space="preserve"> had inconsistent findings. </w:t>
      </w:r>
    </w:p>
    <w:p w14:paraId="263D4DAE" w14:textId="4F6E050B" w:rsidR="00C42FC5" w:rsidRPr="00CF300A" w:rsidRDefault="00C42FC5" w:rsidP="00BD2A33">
      <w:pPr>
        <w:jc w:val="left"/>
        <w:rPr>
          <w:rFonts w:ascii="Franklin Gothic Book" w:hAnsi="Franklin Gothic Book"/>
          <w:sz w:val="22"/>
        </w:rPr>
      </w:pPr>
      <w:r w:rsidRPr="00CF300A">
        <w:rPr>
          <w:rFonts w:ascii="Franklin Gothic Book" w:hAnsi="Franklin Gothic Book"/>
          <w:sz w:val="22"/>
        </w:rPr>
        <w:t>Overall, the evidence suggests that early treatment response, as measured by HDV RNA levels measured at regular intervals during treatment can predict the long</w:t>
      </w:r>
      <w:r w:rsidR="364A2CFD" w:rsidRPr="00CF300A">
        <w:rPr>
          <w:rFonts w:ascii="Franklin Gothic Book" w:hAnsi="Franklin Gothic Book"/>
          <w:sz w:val="22"/>
        </w:rPr>
        <w:t>er</w:t>
      </w:r>
      <w:r w:rsidRPr="00CF300A">
        <w:rPr>
          <w:rFonts w:ascii="Franklin Gothic Book" w:hAnsi="Franklin Gothic Book"/>
          <w:sz w:val="22"/>
        </w:rPr>
        <w:t>-term outcome</w:t>
      </w:r>
      <w:r w:rsidR="364A2CFD" w:rsidRPr="00CF300A">
        <w:rPr>
          <w:rFonts w:ascii="Franklin Gothic Book" w:hAnsi="Franklin Gothic Book"/>
          <w:sz w:val="22"/>
        </w:rPr>
        <w:t>s</w:t>
      </w:r>
      <w:r w:rsidRPr="00CF300A">
        <w:rPr>
          <w:rFonts w:ascii="Franklin Gothic Book" w:hAnsi="Franklin Gothic Book"/>
          <w:sz w:val="22"/>
        </w:rPr>
        <w:t xml:space="preserve"> of treatments such as IFN. </w:t>
      </w:r>
      <w:r w:rsidR="7E47CBF5" w:rsidRPr="00CF300A">
        <w:rPr>
          <w:rFonts w:ascii="Franklin Gothic Book" w:hAnsi="Franklin Gothic Book"/>
          <w:sz w:val="22"/>
        </w:rPr>
        <w:t>The commentary noted that t</w:t>
      </w:r>
      <w:r w:rsidRPr="00CF300A">
        <w:rPr>
          <w:rFonts w:ascii="Franklin Gothic Book" w:hAnsi="Franklin Gothic Book"/>
          <w:sz w:val="22"/>
        </w:rPr>
        <w:t>he ability of HDV RNA levels to predict relapse is inconsistent, suggesting that relapse may not be predictable bas</w:t>
      </w:r>
      <w:r w:rsidR="289D65E9" w:rsidRPr="00CF300A">
        <w:rPr>
          <w:rFonts w:ascii="Franklin Gothic Book" w:hAnsi="Franklin Gothic Book"/>
          <w:sz w:val="22"/>
        </w:rPr>
        <w:t>ed</w:t>
      </w:r>
      <w:r w:rsidR="364A2CFD" w:rsidRPr="00CF300A">
        <w:rPr>
          <w:rFonts w:ascii="Franklin Gothic Book" w:hAnsi="Franklin Gothic Book"/>
          <w:sz w:val="22"/>
        </w:rPr>
        <w:t xml:space="preserve"> o</w:t>
      </w:r>
      <w:r w:rsidR="289D65E9" w:rsidRPr="00CF300A">
        <w:rPr>
          <w:rFonts w:ascii="Franklin Gothic Book" w:hAnsi="Franklin Gothic Book"/>
          <w:sz w:val="22"/>
        </w:rPr>
        <w:t>n</w:t>
      </w:r>
      <w:r w:rsidRPr="00CF300A">
        <w:rPr>
          <w:rFonts w:ascii="Franklin Gothic Book" w:hAnsi="Franklin Gothic Book"/>
          <w:sz w:val="22"/>
        </w:rPr>
        <w:t xml:space="preserve"> HDV RNA levels alone. Additionally,</w:t>
      </w:r>
      <w:r w:rsidR="134A6EC6" w:rsidRPr="00CF300A">
        <w:rPr>
          <w:rFonts w:ascii="Franklin Gothic Book" w:hAnsi="Franklin Gothic Book"/>
          <w:sz w:val="22"/>
        </w:rPr>
        <w:t xml:space="preserve"> the commentary noted that</w:t>
      </w:r>
      <w:r w:rsidRPr="00CF300A">
        <w:rPr>
          <w:rFonts w:ascii="Franklin Gothic Book" w:hAnsi="Franklin Gothic Book"/>
          <w:sz w:val="22"/>
        </w:rPr>
        <w:t xml:space="preserve"> it is also uncertain if the same HDV RNA dynamic response would be associated with clearance of HDV RNA after treatment with bulevirtide, as none of the studies used this treatment.</w:t>
      </w:r>
      <w:r w:rsidR="7E47CBF5" w:rsidRPr="00CF300A">
        <w:rPr>
          <w:rFonts w:ascii="Franklin Gothic Book" w:hAnsi="Franklin Gothic Book"/>
          <w:sz w:val="22"/>
        </w:rPr>
        <w:t xml:space="preserve"> </w:t>
      </w:r>
      <w:proofErr w:type="gramStart"/>
      <w:r w:rsidR="7E47CBF5" w:rsidRPr="00CF300A">
        <w:rPr>
          <w:rFonts w:ascii="Franklin Gothic Book" w:hAnsi="Franklin Gothic Book"/>
          <w:sz w:val="22"/>
        </w:rPr>
        <w:t>However</w:t>
      </w:r>
      <w:proofErr w:type="gramEnd"/>
      <w:r w:rsidR="7E47CBF5" w:rsidRPr="00CF300A">
        <w:rPr>
          <w:rFonts w:ascii="Franklin Gothic Book" w:hAnsi="Franklin Gothic Book"/>
          <w:sz w:val="22"/>
        </w:rPr>
        <w:t xml:space="preserve"> refer to the discussion below of an </w:t>
      </w:r>
      <w:r w:rsidR="564183AE" w:rsidRPr="00CF300A">
        <w:rPr>
          <w:rFonts w:ascii="Franklin Gothic Book" w:hAnsi="Franklin Gothic Book"/>
          <w:sz w:val="22"/>
        </w:rPr>
        <w:t xml:space="preserve">additional study that was identified post-ESC. </w:t>
      </w:r>
    </w:p>
    <w:p w14:paraId="39992F57" w14:textId="77777777" w:rsidR="003D3E6A" w:rsidRPr="00BD2A33" w:rsidRDefault="003D3E6A" w:rsidP="00565A06">
      <w:pPr>
        <w:pStyle w:val="Heading4"/>
        <w:rPr>
          <w:rFonts w:ascii="Franklin Gothic Book" w:hAnsi="Franklin Gothic Book"/>
          <w:color w:val="auto"/>
        </w:rPr>
      </w:pPr>
      <w:r w:rsidRPr="00BD2A33">
        <w:rPr>
          <w:rFonts w:ascii="Franklin Gothic Book" w:hAnsi="Franklin Gothic Book"/>
          <w:color w:val="auto"/>
        </w:rPr>
        <w:t>Change in management in practice</w:t>
      </w:r>
    </w:p>
    <w:p w14:paraId="14C65EFF" w14:textId="37CBF0F7" w:rsidR="00C42FC5" w:rsidRPr="00D522BC" w:rsidRDefault="00C42FC5" w:rsidP="00BD2A33">
      <w:pPr>
        <w:jc w:val="left"/>
        <w:rPr>
          <w:rFonts w:ascii="Franklin Gothic Book" w:hAnsi="Franklin Gothic Book"/>
          <w:sz w:val="22"/>
        </w:rPr>
      </w:pPr>
      <w:r w:rsidRPr="00D522BC">
        <w:rPr>
          <w:rFonts w:ascii="Franklin Gothic Book" w:hAnsi="Franklin Gothic Book"/>
          <w:sz w:val="22"/>
        </w:rPr>
        <w:t xml:space="preserve">The </w:t>
      </w:r>
      <w:r w:rsidR="24D84A3D" w:rsidRPr="00D522BC">
        <w:rPr>
          <w:rFonts w:ascii="Franklin Gothic Book" w:hAnsi="Franklin Gothic Book"/>
          <w:sz w:val="22"/>
        </w:rPr>
        <w:t>Commentary</w:t>
      </w:r>
      <w:r w:rsidRPr="00D522BC">
        <w:rPr>
          <w:rFonts w:ascii="Franklin Gothic Book" w:hAnsi="Franklin Gothic Book"/>
          <w:sz w:val="22"/>
        </w:rPr>
        <w:t xml:space="preserve"> on the previous submission found two studies that reported on the use of HDV RNA test results to alter the management of patients treated with bulevirtide.</w:t>
      </w:r>
    </w:p>
    <w:p w14:paraId="19370A58" w14:textId="4AC445D2" w:rsidR="00C42FC5" w:rsidRPr="00BD2A33" w:rsidRDefault="00C42FC5" w:rsidP="00BD2A33">
      <w:pPr>
        <w:jc w:val="left"/>
        <w:rPr>
          <w:rFonts w:ascii="Franklin Gothic Book" w:hAnsi="Franklin Gothic Book"/>
          <w:i/>
          <w:iCs/>
          <w:sz w:val="22"/>
        </w:rPr>
      </w:pPr>
      <w:r w:rsidRPr="00BD2A33">
        <w:rPr>
          <w:rFonts w:ascii="Franklin Gothic Book" w:hAnsi="Franklin Gothic Book"/>
          <w:sz w:val="22"/>
        </w:rPr>
        <w:t xml:space="preserve">The updated searches, conducted by the resubmission identified four articles reporting on a change in management after </w:t>
      </w:r>
      <w:r w:rsidR="364A2CFD" w:rsidRPr="00BD2A33">
        <w:rPr>
          <w:rFonts w:ascii="Franklin Gothic Book" w:hAnsi="Franklin Gothic Book"/>
          <w:sz w:val="22"/>
        </w:rPr>
        <w:t xml:space="preserve">the </w:t>
      </w:r>
      <w:r w:rsidRPr="00BD2A33">
        <w:rPr>
          <w:rFonts w:ascii="Franklin Gothic Book" w:hAnsi="Franklin Gothic Book"/>
          <w:sz w:val="22"/>
        </w:rPr>
        <w:t xml:space="preserve">monitoring of HDV RNA levels. These four articles represent only two bodies of work. One was a review (report of a conference) that was published in two different journals. The other was a clinical study that was published as a conference poster and as a peer-reviewed article presenting </w:t>
      </w:r>
      <w:r w:rsidR="0DA678DA" w:rsidRPr="00BD2A33">
        <w:rPr>
          <w:rFonts w:ascii="Franklin Gothic Book" w:hAnsi="Franklin Gothic Book"/>
          <w:sz w:val="22"/>
        </w:rPr>
        <w:t>overlapping</w:t>
      </w:r>
      <w:r w:rsidR="3A6E6084" w:rsidRPr="00BD2A33">
        <w:rPr>
          <w:rFonts w:ascii="Franklin Gothic Book" w:hAnsi="Franklin Gothic Book"/>
          <w:sz w:val="22"/>
        </w:rPr>
        <w:t xml:space="preserve"> </w:t>
      </w:r>
      <w:r w:rsidRPr="00BD2A33">
        <w:rPr>
          <w:rFonts w:ascii="Franklin Gothic Book" w:hAnsi="Franklin Gothic Book"/>
          <w:sz w:val="22"/>
        </w:rPr>
        <w:t xml:space="preserve">data. </w:t>
      </w:r>
      <w:r w:rsidRPr="00BD2A33">
        <w:rPr>
          <w:rFonts w:ascii="Franklin Gothic Book" w:hAnsi="Franklin Gothic Book"/>
          <w:i/>
          <w:iCs/>
          <w:sz w:val="22"/>
        </w:rPr>
        <w:t>Only the clinical study was included as new evidence in the analysis of the change in management evidence presented by the resubmission.</w:t>
      </w:r>
    </w:p>
    <w:p w14:paraId="7B0B4B26" w14:textId="7EF0ABA4" w:rsidR="00140032" w:rsidRPr="00D522BC" w:rsidRDefault="364A2CFD" w:rsidP="00BD2A33">
      <w:pPr>
        <w:jc w:val="left"/>
        <w:rPr>
          <w:rFonts w:ascii="Franklin Gothic Book" w:hAnsi="Franklin Gothic Book"/>
          <w:sz w:val="22"/>
        </w:rPr>
      </w:pPr>
      <w:r w:rsidRPr="00D522BC">
        <w:rPr>
          <w:rFonts w:ascii="Franklin Gothic Book" w:hAnsi="Franklin Gothic Book"/>
          <w:sz w:val="22"/>
        </w:rPr>
        <w:t xml:space="preserve">The study identified by the resubmission found that a more sensitive HDV RNA PCR test (with a lower </w:t>
      </w:r>
      <w:proofErr w:type="spellStart"/>
      <w:r w:rsidRPr="00D522BC">
        <w:rPr>
          <w:rFonts w:ascii="Franklin Gothic Book" w:hAnsi="Franklin Gothic Book"/>
          <w:sz w:val="22"/>
        </w:rPr>
        <w:t>LLoD</w:t>
      </w:r>
      <w:proofErr w:type="spellEnd"/>
      <w:r w:rsidRPr="00D522BC">
        <w:rPr>
          <w:rFonts w:ascii="Franklin Gothic Book" w:hAnsi="Franklin Gothic Book"/>
          <w:sz w:val="22"/>
        </w:rPr>
        <w:t xml:space="preserve"> than the in-house PCR test routinely used by the</w:t>
      </w:r>
      <w:r w:rsidR="289D65E9" w:rsidRPr="00D522BC">
        <w:rPr>
          <w:rFonts w:ascii="Franklin Gothic Book" w:hAnsi="Franklin Gothic Book"/>
          <w:sz w:val="22"/>
        </w:rPr>
        <w:t xml:space="preserve"> German</w:t>
      </w:r>
      <w:r w:rsidRPr="00D522BC">
        <w:rPr>
          <w:rFonts w:ascii="Franklin Gothic Book" w:hAnsi="Franklin Gothic Book"/>
          <w:sz w:val="22"/>
        </w:rPr>
        <w:t xml:space="preserve"> laboratory) was able to detect relapse in 3/6 patients earlier than the in-house test used for routine monitoring, but it is unclear if this would have affected the decision to retreat the patient or not</w:t>
      </w:r>
      <w:r w:rsidR="00140032" w:rsidRPr="00D522BC">
        <w:rPr>
          <w:rStyle w:val="FootnoteReference"/>
          <w:rFonts w:ascii="Franklin Gothic Book" w:hAnsi="Franklin Gothic Book"/>
          <w:sz w:val="22"/>
        </w:rPr>
        <w:footnoteReference w:id="22"/>
      </w:r>
      <w:r w:rsidRPr="00D522BC">
        <w:rPr>
          <w:rFonts w:ascii="Franklin Gothic Book" w:hAnsi="Franklin Gothic Book"/>
          <w:sz w:val="22"/>
        </w:rPr>
        <w:t xml:space="preserve">. However, it does illustrate the importance of using a test with a low </w:t>
      </w:r>
      <w:proofErr w:type="spellStart"/>
      <w:r w:rsidRPr="00D522BC">
        <w:rPr>
          <w:rFonts w:ascii="Franklin Gothic Book" w:hAnsi="Franklin Gothic Book"/>
          <w:sz w:val="22"/>
        </w:rPr>
        <w:t>LLoD</w:t>
      </w:r>
      <w:proofErr w:type="spellEnd"/>
      <w:r w:rsidRPr="00D522BC">
        <w:rPr>
          <w:rFonts w:ascii="Franklin Gothic Book" w:hAnsi="Franklin Gothic Book"/>
          <w:sz w:val="22"/>
        </w:rPr>
        <w:t xml:space="preserve"> when using undetectable HDV RNA as an endpoint for clinical management.</w:t>
      </w:r>
    </w:p>
    <w:p w14:paraId="6F94A42A" w14:textId="578CDA8F" w:rsidR="00C42FC5" w:rsidRPr="00D522BC" w:rsidRDefault="364A2CFD" w:rsidP="00BD2A33">
      <w:pPr>
        <w:jc w:val="left"/>
        <w:rPr>
          <w:rFonts w:ascii="Franklin Gothic Book" w:hAnsi="Franklin Gothic Book"/>
          <w:sz w:val="22"/>
        </w:rPr>
      </w:pPr>
      <w:r w:rsidRPr="00D522BC">
        <w:rPr>
          <w:rFonts w:ascii="Franklin Gothic Book" w:hAnsi="Franklin Gothic Book"/>
          <w:sz w:val="22"/>
        </w:rPr>
        <w:t>L</w:t>
      </w:r>
      <w:r w:rsidR="00C42FC5" w:rsidRPr="00D522BC">
        <w:rPr>
          <w:rFonts w:ascii="Franklin Gothic Book" w:hAnsi="Franklin Gothic Book"/>
          <w:sz w:val="22"/>
        </w:rPr>
        <w:t xml:space="preserve">imited evidence was identified in the previous </w:t>
      </w:r>
      <w:r w:rsidR="24D84A3D" w:rsidRPr="00D522BC">
        <w:rPr>
          <w:rFonts w:ascii="Franklin Gothic Book" w:hAnsi="Franklin Gothic Book"/>
          <w:sz w:val="22"/>
        </w:rPr>
        <w:t>Commentary</w:t>
      </w:r>
      <w:r w:rsidR="00C42FC5" w:rsidRPr="00D522BC">
        <w:rPr>
          <w:rFonts w:ascii="Franklin Gothic Book" w:hAnsi="Franklin Gothic Book"/>
          <w:sz w:val="22"/>
        </w:rPr>
        <w:t xml:space="preserve"> linking HDV RNA monitoring to changes in management. One uncontrolled before</w:t>
      </w:r>
      <w:r w:rsidRPr="00D522BC">
        <w:rPr>
          <w:rFonts w:ascii="Franklin Gothic Book" w:hAnsi="Franklin Gothic Book"/>
          <w:sz w:val="22"/>
        </w:rPr>
        <w:t>-</w:t>
      </w:r>
      <w:r w:rsidR="00C42FC5" w:rsidRPr="00D522BC">
        <w:rPr>
          <w:rFonts w:ascii="Franklin Gothic Book" w:hAnsi="Franklin Gothic Book"/>
          <w:sz w:val="22"/>
        </w:rPr>
        <w:t>and</w:t>
      </w:r>
      <w:r w:rsidRPr="00D522BC">
        <w:rPr>
          <w:rFonts w:ascii="Franklin Gothic Book" w:hAnsi="Franklin Gothic Book"/>
          <w:sz w:val="22"/>
        </w:rPr>
        <w:t>-</w:t>
      </w:r>
      <w:r w:rsidR="00C42FC5" w:rsidRPr="00D522BC">
        <w:rPr>
          <w:rFonts w:ascii="Franklin Gothic Book" w:hAnsi="Franklin Gothic Book"/>
          <w:sz w:val="22"/>
        </w:rPr>
        <w:t>after study of 15 patients from Austria reported that 2/15 patients had their bulevirtide treatment stopped due to a maintained virologic</w:t>
      </w:r>
      <w:r w:rsidR="37D3C861" w:rsidRPr="00D522BC">
        <w:rPr>
          <w:rFonts w:ascii="Franklin Gothic Book" w:hAnsi="Franklin Gothic Book"/>
          <w:sz w:val="22"/>
        </w:rPr>
        <w:t>al</w:t>
      </w:r>
      <w:r w:rsidR="00C42FC5" w:rsidRPr="00D522BC">
        <w:rPr>
          <w:rFonts w:ascii="Franklin Gothic Book" w:hAnsi="Franklin Gothic Book"/>
          <w:sz w:val="22"/>
        </w:rPr>
        <w:t xml:space="preserve"> response (&gt;6 months), and that one patient had their treatment regimen altered (by the addition of pegylated IFN) due to </w:t>
      </w:r>
      <w:r w:rsidR="343C6B47" w:rsidRPr="00D522BC">
        <w:rPr>
          <w:rFonts w:ascii="Franklin Gothic Book" w:hAnsi="Franklin Gothic Book"/>
          <w:sz w:val="22"/>
        </w:rPr>
        <w:t xml:space="preserve">a </w:t>
      </w:r>
      <w:r w:rsidR="00C42FC5" w:rsidRPr="00D522BC">
        <w:rPr>
          <w:rFonts w:ascii="Franklin Gothic Book" w:hAnsi="Franklin Gothic Book"/>
          <w:sz w:val="22"/>
        </w:rPr>
        <w:t>lack of virologic</w:t>
      </w:r>
      <w:r w:rsidR="37D3C861" w:rsidRPr="00D522BC">
        <w:rPr>
          <w:rFonts w:ascii="Franklin Gothic Book" w:hAnsi="Franklin Gothic Book"/>
          <w:sz w:val="22"/>
        </w:rPr>
        <w:t>al</w:t>
      </w:r>
      <w:r w:rsidR="00C42FC5" w:rsidRPr="00D522BC">
        <w:rPr>
          <w:rFonts w:ascii="Franklin Gothic Book" w:hAnsi="Franklin Gothic Book"/>
          <w:sz w:val="22"/>
        </w:rPr>
        <w:t xml:space="preserve"> response to bulevirtide</w:t>
      </w:r>
      <w:r w:rsidR="00C42FC5" w:rsidRPr="00D522BC">
        <w:rPr>
          <w:rStyle w:val="FootnoteReference"/>
          <w:rFonts w:ascii="Franklin Gothic Book" w:hAnsi="Franklin Gothic Book"/>
          <w:sz w:val="22"/>
        </w:rPr>
        <w:footnoteReference w:id="23"/>
      </w:r>
      <w:r w:rsidR="00C42FC5" w:rsidRPr="00D522BC">
        <w:rPr>
          <w:rFonts w:ascii="Franklin Gothic Book" w:hAnsi="Franklin Gothic Book"/>
          <w:sz w:val="22"/>
        </w:rPr>
        <w:t>.</w:t>
      </w:r>
      <w:r w:rsidR="49385CAF" w:rsidRPr="00D522BC">
        <w:rPr>
          <w:rFonts w:ascii="Franklin Gothic Book" w:hAnsi="Franklin Gothic Book"/>
          <w:sz w:val="22"/>
        </w:rPr>
        <w:t xml:space="preserve"> </w:t>
      </w:r>
      <w:r w:rsidR="00C42FC5" w:rsidRPr="00D522BC">
        <w:rPr>
          <w:rFonts w:ascii="Franklin Gothic Book" w:hAnsi="Franklin Gothic Book"/>
          <w:sz w:val="22"/>
        </w:rPr>
        <w:t xml:space="preserve">Another </w:t>
      </w:r>
      <w:r w:rsidR="00C42FC5" w:rsidRPr="00D522BC">
        <w:rPr>
          <w:rFonts w:ascii="Franklin Gothic Book" w:hAnsi="Franklin Gothic Book"/>
          <w:sz w:val="22"/>
        </w:rPr>
        <w:lastRenderedPageBreak/>
        <w:t>patient with a maintained virologic</w:t>
      </w:r>
      <w:r w:rsidR="37D3C861" w:rsidRPr="00D522BC">
        <w:rPr>
          <w:rFonts w:ascii="Franklin Gothic Book" w:hAnsi="Franklin Gothic Book"/>
          <w:sz w:val="22"/>
        </w:rPr>
        <w:t>al</w:t>
      </w:r>
      <w:r w:rsidR="00C42FC5" w:rsidRPr="00D522BC">
        <w:rPr>
          <w:rFonts w:ascii="Franklin Gothic Book" w:hAnsi="Franklin Gothic Book"/>
          <w:sz w:val="22"/>
        </w:rPr>
        <w:t xml:space="preserve"> response </w:t>
      </w:r>
      <w:r w:rsidR="343C6B47" w:rsidRPr="00D522BC">
        <w:rPr>
          <w:rFonts w:ascii="Franklin Gothic Book" w:hAnsi="Franklin Gothic Book"/>
          <w:sz w:val="22"/>
        </w:rPr>
        <w:t xml:space="preserve">- the planned endpoint for stopping treatment - </w:t>
      </w:r>
      <w:r w:rsidR="00C42FC5" w:rsidRPr="00D522BC">
        <w:rPr>
          <w:rFonts w:ascii="Franklin Gothic Book" w:hAnsi="Franklin Gothic Book"/>
          <w:sz w:val="22"/>
        </w:rPr>
        <w:t xml:space="preserve">did not have their treatment stopped. </w:t>
      </w:r>
      <w:proofErr w:type="gramStart"/>
      <w:r w:rsidR="1EBDC89E" w:rsidRPr="00D522BC">
        <w:rPr>
          <w:rFonts w:ascii="Franklin Gothic Book" w:hAnsi="Franklin Gothic Book"/>
          <w:sz w:val="22"/>
        </w:rPr>
        <w:t>However</w:t>
      </w:r>
      <w:proofErr w:type="gramEnd"/>
      <w:r w:rsidR="1EBDC89E" w:rsidRPr="00D522BC">
        <w:rPr>
          <w:rFonts w:ascii="Franklin Gothic Book" w:hAnsi="Franklin Gothic Book"/>
          <w:sz w:val="22"/>
        </w:rPr>
        <w:t xml:space="preserve"> this study was an abstract with incomplete results of a later study</w:t>
      </w:r>
      <w:r w:rsidR="2867EE9D" w:rsidRPr="00D522BC">
        <w:rPr>
          <w:rFonts w:ascii="Franklin Gothic Book" w:hAnsi="Franklin Gothic Book"/>
          <w:sz w:val="22"/>
        </w:rPr>
        <w:t xml:space="preserve"> with</w:t>
      </w:r>
      <w:r w:rsidR="6D4A9CAC" w:rsidRPr="00D522BC">
        <w:rPr>
          <w:rFonts w:ascii="Franklin Gothic Book" w:hAnsi="Franklin Gothic Book"/>
          <w:sz w:val="22"/>
        </w:rPr>
        <w:t xml:space="preserve"> updated </w:t>
      </w:r>
      <w:r w:rsidR="00243F6E" w:rsidRPr="00D522BC">
        <w:rPr>
          <w:rFonts w:ascii="Franklin Gothic Book" w:hAnsi="Franklin Gothic Book"/>
          <w:sz w:val="22"/>
        </w:rPr>
        <w:t xml:space="preserve">results </w:t>
      </w:r>
      <w:r w:rsidR="000F6A9C" w:rsidRPr="00D522BC">
        <w:rPr>
          <w:rFonts w:ascii="Franklin Gothic Book" w:hAnsi="Franklin Gothic Book"/>
          <w:sz w:val="22"/>
        </w:rPr>
        <w:t>discussed below</w:t>
      </w:r>
      <w:r w:rsidR="1EBDC89E" w:rsidRPr="00D522BC">
        <w:rPr>
          <w:rFonts w:ascii="Franklin Gothic Book" w:hAnsi="Franklin Gothic Book"/>
          <w:sz w:val="22"/>
        </w:rPr>
        <w:t xml:space="preserve"> which did provide more evidence of change in management (see ’Critical appraisal of Jachs et al’).</w:t>
      </w:r>
      <w:r w:rsidR="7D5266F6" w:rsidRPr="00D522BC">
        <w:rPr>
          <w:rFonts w:ascii="Franklin Gothic Book" w:hAnsi="Franklin Gothic Book"/>
          <w:sz w:val="22"/>
        </w:rPr>
        <w:t xml:space="preserve"> </w:t>
      </w:r>
      <w:r w:rsidR="00C42FC5" w:rsidRPr="00D522BC">
        <w:rPr>
          <w:rFonts w:ascii="Franklin Gothic Book" w:hAnsi="Franklin Gothic Book"/>
          <w:sz w:val="22"/>
        </w:rPr>
        <w:t>A case series of 114 patients treated with bulevirtide in Germany reported that one patient ceased treatment due to lack of response (likely determined by HDV RNA, although it was not explicitly described how this was defined)</w:t>
      </w:r>
      <w:r w:rsidR="00C42FC5" w:rsidRPr="00D522BC">
        <w:rPr>
          <w:rStyle w:val="FootnoteReference"/>
          <w:rFonts w:ascii="Franklin Gothic Book" w:hAnsi="Franklin Gothic Book"/>
          <w:sz w:val="22"/>
        </w:rPr>
        <w:footnoteReference w:id="24"/>
      </w:r>
      <w:r w:rsidR="00C42FC5" w:rsidRPr="00D522BC">
        <w:rPr>
          <w:rFonts w:ascii="Franklin Gothic Book" w:hAnsi="Franklin Gothic Book"/>
          <w:sz w:val="22"/>
        </w:rPr>
        <w:t>.</w:t>
      </w:r>
    </w:p>
    <w:p w14:paraId="7ECA148D" w14:textId="6FA2DF7A" w:rsidR="00C42FC5" w:rsidRPr="00D522BC" w:rsidRDefault="00C42FC5" w:rsidP="00BD2A33">
      <w:pPr>
        <w:jc w:val="left"/>
        <w:rPr>
          <w:rFonts w:ascii="Franklin Gothic Book" w:hAnsi="Franklin Gothic Book"/>
          <w:sz w:val="22"/>
        </w:rPr>
      </w:pPr>
      <w:r w:rsidRPr="00D522BC">
        <w:rPr>
          <w:rFonts w:ascii="Franklin Gothic Book" w:hAnsi="Franklin Gothic Book"/>
          <w:sz w:val="22"/>
        </w:rPr>
        <w:t xml:space="preserve">Some of the remaining studies included in the previous submission and mentioned in the resubmission were considered in the previous evaluation and found that monitoring of HDV RNA levels during treatment (mostly with pegylated IFN) could predict response to treatment and/or relapse and hypothesised ways in which HDV RNA testing could potentially be used to alter the management of patients receiving pegylated IFN. These studies </w:t>
      </w:r>
      <w:r w:rsidR="00360744" w:rsidRPr="00D522BC">
        <w:rPr>
          <w:rFonts w:ascii="Franklin Gothic Book" w:hAnsi="Franklin Gothic Book"/>
          <w:sz w:val="22"/>
        </w:rPr>
        <w:t xml:space="preserve">showed HDV RNA levels </w:t>
      </w:r>
      <w:r w:rsidRPr="00D522BC">
        <w:rPr>
          <w:rFonts w:ascii="Franklin Gothic Book" w:hAnsi="Franklin Gothic Book"/>
          <w:sz w:val="22"/>
        </w:rPr>
        <w:t xml:space="preserve">could potentially affect patient management by: </w:t>
      </w:r>
    </w:p>
    <w:p w14:paraId="298359F6" w14:textId="77777777" w:rsidR="00C42FC5" w:rsidRPr="00D522BC" w:rsidRDefault="00C42FC5" w:rsidP="00BD2A33">
      <w:pPr>
        <w:pStyle w:val="MainBodyBulletPoint"/>
        <w:ind w:left="720" w:hanging="360"/>
        <w:rPr>
          <w:rFonts w:ascii="Franklin Gothic Book" w:hAnsi="Franklin Gothic Book"/>
          <w:sz w:val="22"/>
        </w:rPr>
      </w:pPr>
      <w:r w:rsidRPr="00D522BC">
        <w:rPr>
          <w:rFonts w:ascii="Franklin Gothic Book" w:hAnsi="Franklin Gothic Book"/>
          <w:sz w:val="22"/>
        </w:rPr>
        <w:t>establishing stopping rules</w:t>
      </w:r>
      <w:r w:rsidRPr="00D522BC">
        <w:rPr>
          <w:rStyle w:val="FootnoteReference"/>
          <w:rFonts w:ascii="Franklin Gothic Book" w:hAnsi="Franklin Gothic Book"/>
          <w:sz w:val="22"/>
        </w:rPr>
        <w:footnoteReference w:id="25"/>
      </w:r>
      <w:r w:rsidRPr="00D522BC">
        <w:rPr>
          <w:rFonts w:ascii="Franklin Gothic Book" w:hAnsi="Franklin Gothic Book"/>
          <w:sz w:val="22"/>
        </w:rPr>
        <w:t>,</w:t>
      </w:r>
    </w:p>
    <w:p w14:paraId="2F1F0C35" w14:textId="77777777" w:rsidR="00C42FC5" w:rsidRPr="00D522BC" w:rsidRDefault="00C42FC5" w:rsidP="00BD2A33">
      <w:pPr>
        <w:pStyle w:val="MainBodyBulletPoint"/>
        <w:ind w:left="720" w:hanging="360"/>
        <w:rPr>
          <w:rFonts w:ascii="Franklin Gothic Book" w:hAnsi="Franklin Gothic Book"/>
          <w:sz w:val="22"/>
        </w:rPr>
      </w:pPr>
      <w:r w:rsidRPr="00D522BC">
        <w:rPr>
          <w:rFonts w:ascii="Franklin Gothic Book" w:hAnsi="Franklin Gothic Book"/>
          <w:sz w:val="22"/>
        </w:rPr>
        <w:t>individualising treatment (continuing treatment or reinstating treatment depending on response)</w:t>
      </w:r>
      <w:r w:rsidRPr="00D522BC">
        <w:rPr>
          <w:rStyle w:val="FootnoteReference"/>
          <w:rFonts w:ascii="Franklin Gothic Book" w:hAnsi="Franklin Gothic Book"/>
          <w:sz w:val="22"/>
        </w:rPr>
        <w:footnoteReference w:id="26"/>
      </w:r>
    </w:p>
    <w:p w14:paraId="55241EED" w14:textId="16ED7DBC" w:rsidR="00C42FC5" w:rsidRPr="00D522BC" w:rsidRDefault="00C42FC5" w:rsidP="00BD2A33">
      <w:pPr>
        <w:pStyle w:val="MainBodyBulletPoint"/>
        <w:ind w:left="720" w:hanging="360"/>
        <w:rPr>
          <w:rFonts w:ascii="Franklin Gothic Book" w:hAnsi="Franklin Gothic Book"/>
          <w:sz w:val="22"/>
        </w:rPr>
      </w:pPr>
      <w:r w:rsidRPr="00D522BC">
        <w:rPr>
          <w:rFonts w:ascii="Franklin Gothic Book" w:hAnsi="Franklin Gothic Book"/>
          <w:sz w:val="22"/>
        </w:rPr>
        <w:t>motivating patients who are found to have virologic</w:t>
      </w:r>
      <w:r w:rsidR="00AB5FD7" w:rsidRPr="00D522BC">
        <w:rPr>
          <w:rFonts w:ascii="Franklin Gothic Book" w:hAnsi="Franklin Gothic Book"/>
          <w:sz w:val="22"/>
        </w:rPr>
        <w:t>al</w:t>
      </w:r>
      <w:r w:rsidRPr="00D522BC">
        <w:rPr>
          <w:rFonts w:ascii="Franklin Gothic Book" w:hAnsi="Franklin Gothic Book"/>
          <w:sz w:val="22"/>
        </w:rPr>
        <w:t xml:space="preserve"> response to treatment to continue with treatment, despite side effects</w:t>
      </w:r>
      <w:r w:rsidRPr="00D522BC">
        <w:rPr>
          <w:rStyle w:val="FootnoteReference"/>
          <w:rFonts w:ascii="Franklin Gothic Book" w:hAnsi="Franklin Gothic Book"/>
          <w:sz w:val="22"/>
        </w:rPr>
        <w:footnoteReference w:id="27"/>
      </w:r>
      <w:r w:rsidRPr="00D522BC">
        <w:rPr>
          <w:rFonts w:ascii="Franklin Gothic Book" w:hAnsi="Franklin Gothic Book"/>
          <w:sz w:val="22"/>
        </w:rPr>
        <w:t>.</w:t>
      </w:r>
    </w:p>
    <w:p w14:paraId="65C3437C" w14:textId="1F00F3D1" w:rsidR="00C42FC5" w:rsidRPr="00D522BC" w:rsidRDefault="00C42FC5" w:rsidP="00BD2A33">
      <w:pPr>
        <w:jc w:val="left"/>
        <w:rPr>
          <w:rFonts w:ascii="Franklin Gothic Book" w:hAnsi="Franklin Gothic Book"/>
          <w:sz w:val="22"/>
        </w:rPr>
      </w:pPr>
      <w:r w:rsidRPr="00D522BC">
        <w:rPr>
          <w:rFonts w:ascii="Franklin Gothic Book" w:hAnsi="Franklin Gothic Book"/>
          <w:sz w:val="22"/>
        </w:rPr>
        <w:t>In contrast to these findings, another study found no predictive evidence and concluded that it would be very difficult to use on-treatment monitoring of HDV RNA levels to develop stopping rules or even to individualize treatment duration</w:t>
      </w:r>
      <w:r w:rsidRPr="00D522BC">
        <w:rPr>
          <w:rStyle w:val="FootnoteReference"/>
          <w:rFonts w:ascii="Franklin Gothic Book" w:hAnsi="Franklin Gothic Book"/>
          <w:sz w:val="22"/>
        </w:rPr>
        <w:footnoteReference w:id="28"/>
      </w:r>
      <w:r w:rsidRPr="00D522BC">
        <w:rPr>
          <w:rFonts w:ascii="Franklin Gothic Book" w:hAnsi="Franklin Gothic Book"/>
          <w:sz w:val="22"/>
        </w:rPr>
        <w:t>.</w:t>
      </w:r>
    </w:p>
    <w:p w14:paraId="0F00E0A3" w14:textId="260DF391" w:rsidR="00C42FC5" w:rsidRPr="00D522BC" w:rsidRDefault="00C42FC5" w:rsidP="00BD2A33">
      <w:pPr>
        <w:jc w:val="left"/>
        <w:rPr>
          <w:rFonts w:ascii="Franklin Gothic Book" w:hAnsi="Franklin Gothic Book"/>
          <w:sz w:val="22"/>
        </w:rPr>
      </w:pPr>
      <w:r w:rsidRPr="00D522BC">
        <w:rPr>
          <w:rFonts w:ascii="Franklin Gothic Book" w:hAnsi="Franklin Gothic Book"/>
          <w:sz w:val="22"/>
        </w:rPr>
        <w:t>Overall,</w:t>
      </w:r>
      <w:r w:rsidR="6D4A9CAC" w:rsidRPr="00D522BC">
        <w:rPr>
          <w:rFonts w:ascii="Franklin Gothic Book" w:hAnsi="Franklin Gothic Book"/>
          <w:sz w:val="22"/>
        </w:rPr>
        <w:t xml:space="preserve"> the commentary concluded that</w:t>
      </w:r>
      <w:r w:rsidRPr="00D522BC">
        <w:rPr>
          <w:rFonts w:ascii="Franklin Gothic Book" w:hAnsi="Franklin Gothic Book"/>
          <w:sz w:val="22"/>
        </w:rPr>
        <w:t xml:space="preserve"> these results indicate that few patients have had a change in management due to monitoring of HDV RNA levels during any anti-viral treatment. </w:t>
      </w:r>
      <w:r w:rsidR="343C6B47" w:rsidRPr="00D522BC">
        <w:rPr>
          <w:rFonts w:ascii="Franklin Gothic Book" w:hAnsi="Franklin Gothic Book"/>
          <w:sz w:val="22"/>
        </w:rPr>
        <w:t>I</w:t>
      </w:r>
      <w:r w:rsidRPr="00D522BC">
        <w:rPr>
          <w:rFonts w:ascii="Franklin Gothic Book" w:hAnsi="Franklin Gothic Book"/>
          <w:sz w:val="22"/>
        </w:rPr>
        <w:t xml:space="preserve">t is </w:t>
      </w:r>
      <w:r w:rsidR="343C6B47" w:rsidRPr="00D522BC">
        <w:rPr>
          <w:rFonts w:ascii="Franklin Gothic Book" w:hAnsi="Franklin Gothic Book"/>
          <w:sz w:val="22"/>
        </w:rPr>
        <w:t xml:space="preserve">therefore </w:t>
      </w:r>
      <w:r w:rsidRPr="00D522BC">
        <w:rPr>
          <w:rFonts w:ascii="Franklin Gothic Book" w:hAnsi="Franklin Gothic Book"/>
          <w:sz w:val="22"/>
        </w:rPr>
        <w:t>unclear how 6-monthly HDV RNA PCR test results would be used to influence ongoing management of patients with CHD receiving bulevirtide</w:t>
      </w:r>
      <w:r w:rsidR="2E40934B" w:rsidRPr="00D522BC">
        <w:rPr>
          <w:rFonts w:ascii="Franklin Gothic Book" w:hAnsi="Franklin Gothic Book"/>
          <w:sz w:val="22"/>
        </w:rPr>
        <w:t xml:space="preserve"> in the </w:t>
      </w:r>
      <w:r w:rsidR="5BFEA01D" w:rsidRPr="00D522BC">
        <w:rPr>
          <w:rFonts w:ascii="Franklin Gothic Book" w:hAnsi="Franklin Gothic Book"/>
          <w:sz w:val="22"/>
        </w:rPr>
        <w:t>absence of guidelines and evolving literature</w:t>
      </w:r>
      <w:r w:rsidRPr="00D522BC">
        <w:rPr>
          <w:rFonts w:ascii="Franklin Gothic Book" w:hAnsi="Franklin Gothic Book"/>
          <w:sz w:val="22"/>
        </w:rPr>
        <w:t>. Thus,</w:t>
      </w:r>
      <w:r w:rsidR="6D4A9CAC" w:rsidRPr="00D522BC">
        <w:rPr>
          <w:rFonts w:ascii="Franklin Gothic Book" w:hAnsi="Franklin Gothic Book"/>
          <w:sz w:val="22"/>
        </w:rPr>
        <w:t xml:space="preserve"> the commentary concluded that</w:t>
      </w:r>
      <w:r w:rsidRPr="00D522BC">
        <w:rPr>
          <w:rFonts w:ascii="Franklin Gothic Book" w:hAnsi="Franklin Gothic Book"/>
          <w:sz w:val="22"/>
        </w:rPr>
        <w:t xml:space="preserve"> it is possible that quantitative HDV RNA test results will have little direct clinical utility in Australia, at this time.</w:t>
      </w:r>
    </w:p>
    <w:p w14:paraId="0EE59F13" w14:textId="63B9FB9D" w:rsidR="00B819A7" w:rsidRPr="00BD2A33" w:rsidRDefault="00820369" w:rsidP="008D4744">
      <w:pPr>
        <w:keepNext/>
        <w:keepLines/>
        <w:rPr>
          <w:rFonts w:ascii="Franklin Gothic Book" w:hAnsi="Franklin Gothic Book"/>
          <w:b/>
          <w:bCs/>
        </w:rPr>
      </w:pPr>
      <w:r w:rsidRPr="00BD2A33">
        <w:rPr>
          <w:rFonts w:ascii="Franklin Gothic Book" w:hAnsi="Franklin Gothic Book"/>
          <w:b/>
          <w:bCs/>
        </w:rPr>
        <w:lastRenderedPageBreak/>
        <w:t xml:space="preserve">Critical appraisal of </w:t>
      </w:r>
      <w:r w:rsidR="00255E3A" w:rsidRPr="00BD2A33">
        <w:rPr>
          <w:rFonts w:ascii="Franklin Gothic Book" w:hAnsi="Franklin Gothic Book"/>
          <w:b/>
          <w:bCs/>
        </w:rPr>
        <w:t>Jachs et al</w:t>
      </w:r>
    </w:p>
    <w:p w14:paraId="653DF42A" w14:textId="46CE0D11" w:rsidR="00255E3A" w:rsidRPr="00311140" w:rsidRDefault="0B95395F" w:rsidP="008D4744">
      <w:pPr>
        <w:keepNext/>
        <w:keepLines/>
        <w:jc w:val="left"/>
        <w:rPr>
          <w:rFonts w:ascii="Franklin Gothic Book" w:hAnsi="Franklin Gothic Book"/>
          <w:b/>
          <w:bCs/>
          <w:i/>
          <w:iCs/>
          <w:sz w:val="22"/>
        </w:rPr>
      </w:pPr>
      <w:r w:rsidRPr="00311140">
        <w:rPr>
          <w:rFonts w:ascii="Franklin Gothic Book" w:hAnsi="Franklin Gothic Book"/>
          <w:b/>
          <w:bCs/>
          <w:i/>
          <w:iCs/>
          <w:sz w:val="22"/>
        </w:rPr>
        <w:t>Post-ESC a critical appraisal of Jachs et al was requested. This is provided below.</w:t>
      </w:r>
    </w:p>
    <w:p w14:paraId="7729D67D" w14:textId="6CBAD398" w:rsidR="00D22DB2" w:rsidRPr="00311140" w:rsidRDefault="00255E3A" w:rsidP="008D4744">
      <w:pPr>
        <w:keepNext/>
        <w:keepLines/>
        <w:jc w:val="left"/>
        <w:rPr>
          <w:rFonts w:ascii="Franklin Gothic Book" w:hAnsi="Franklin Gothic Book"/>
          <w:sz w:val="22"/>
        </w:rPr>
      </w:pPr>
      <w:r w:rsidRPr="00311140">
        <w:rPr>
          <w:rFonts w:ascii="Franklin Gothic Book" w:hAnsi="Franklin Gothic Book"/>
          <w:sz w:val="22"/>
        </w:rPr>
        <w:t>In the study, t</w:t>
      </w:r>
      <w:r w:rsidR="00D22DB2" w:rsidRPr="00311140">
        <w:rPr>
          <w:rFonts w:ascii="Franklin Gothic Book" w:hAnsi="Franklin Gothic Book"/>
          <w:sz w:val="22"/>
        </w:rPr>
        <w:t>wo different tests were used at the various sites:</w:t>
      </w:r>
    </w:p>
    <w:p w14:paraId="1B165ECA" w14:textId="77777777" w:rsidR="00D22DB2" w:rsidRPr="00311140" w:rsidRDefault="740BA591" w:rsidP="008D4744">
      <w:pPr>
        <w:keepNext/>
        <w:keepLines/>
        <w:numPr>
          <w:ilvl w:val="0"/>
          <w:numId w:val="22"/>
        </w:numPr>
        <w:jc w:val="left"/>
        <w:rPr>
          <w:rFonts w:ascii="Franklin Gothic Book" w:hAnsi="Franklin Gothic Book"/>
          <w:sz w:val="22"/>
        </w:rPr>
      </w:pPr>
      <w:r w:rsidRPr="00311140">
        <w:rPr>
          <w:rFonts w:ascii="Franklin Gothic Book" w:hAnsi="Franklin Gothic Book"/>
          <w:sz w:val="22"/>
        </w:rPr>
        <w:t xml:space="preserve">Vienna, Linz and Salzburg HDV-RNA was quantified by PCR with </w:t>
      </w:r>
      <w:proofErr w:type="spellStart"/>
      <w:r w:rsidRPr="00311140">
        <w:rPr>
          <w:rFonts w:ascii="Franklin Gothic Book" w:hAnsi="Franklin Gothic Book"/>
          <w:sz w:val="22"/>
        </w:rPr>
        <w:t>LLoD</w:t>
      </w:r>
      <w:proofErr w:type="spellEnd"/>
      <w:r w:rsidRPr="00311140">
        <w:rPr>
          <w:rFonts w:ascii="Franklin Gothic Book" w:hAnsi="Franklin Gothic Book"/>
          <w:sz w:val="22"/>
        </w:rPr>
        <w:t xml:space="preserve"> = 100 copies/ml</w:t>
      </w:r>
    </w:p>
    <w:p w14:paraId="443F3C15" w14:textId="77777777" w:rsidR="00D22DB2" w:rsidRPr="00311140" w:rsidRDefault="740BA591" w:rsidP="008D4744">
      <w:pPr>
        <w:keepNext/>
        <w:keepLines/>
        <w:numPr>
          <w:ilvl w:val="0"/>
          <w:numId w:val="22"/>
        </w:numPr>
        <w:jc w:val="left"/>
        <w:rPr>
          <w:rFonts w:ascii="Franklin Gothic Book" w:hAnsi="Franklin Gothic Book"/>
          <w:sz w:val="22"/>
        </w:rPr>
      </w:pPr>
      <w:r w:rsidRPr="00311140">
        <w:rPr>
          <w:rFonts w:ascii="Franklin Gothic Book" w:hAnsi="Franklin Gothic Book"/>
          <w:sz w:val="22"/>
        </w:rPr>
        <w:t xml:space="preserve">Innsbruck and the Hall group used the </w:t>
      </w:r>
      <w:proofErr w:type="spellStart"/>
      <w:r w:rsidRPr="00311140">
        <w:rPr>
          <w:rFonts w:ascii="Franklin Gothic Book" w:hAnsi="Franklin Gothic Book"/>
          <w:sz w:val="22"/>
        </w:rPr>
        <w:t>RoboGene</w:t>
      </w:r>
      <w:proofErr w:type="spellEnd"/>
      <w:r w:rsidRPr="00311140">
        <w:rPr>
          <w:rFonts w:ascii="Franklin Gothic Book" w:hAnsi="Franklin Gothic Book"/>
          <w:sz w:val="22"/>
        </w:rPr>
        <w:t xml:space="preserve">® assay with </w:t>
      </w:r>
      <w:proofErr w:type="spellStart"/>
      <w:r w:rsidRPr="00311140">
        <w:rPr>
          <w:rFonts w:ascii="Franklin Gothic Book" w:hAnsi="Franklin Gothic Book"/>
          <w:sz w:val="22"/>
        </w:rPr>
        <w:t>LLoD</w:t>
      </w:r>
      <w:proofErr w:type="spellEnd"/>
      <w:r w:rsidRPr="00311140">
        <w:rPr>
          <w:rFonts w:ascii="Franklin Gothic Book" w:hAnsi="Franklin Gothic Book"/>
          <w:sz w:val="22"/>
        </w:rPr>
        <w:t xml:space="preserve"> = 6 IU/ml x37 = 222 copies/ml</w:t>
      </w:r>
    </w:p>
    <w:p w14:paraId="48F0BD28" w14:textId="77777777" w:rsidR="00D22DB2" w:rsidRPr="00311140" w:rsidRDefault="00D22DB2" w:rsidP="008D4744">
      <w:pPr>
        <w:keepNext/>
        <w:keepLines/>
        <w:jc w:val="left"/>
        <w:rPr>
          <w:rFonts w:ascii="Franklin Gothic Book" w:hAnsi="Franklin Gothic Book"/>
          <w:sz w:val="22"/>
        </w:rPr>
      </w:pPr>
      <w:r w:rsidRPr="00311140">
        <w:rPr>
          <w:rFonts w:ascii="Franklin Gothic Book" w:hAnsi="Franklin Gothic Book"/>
          <w:sz w:val="22"/>
        </w:rPr>
        <w:t>23 patients received BLV:</w:t>
      </w:r>
    </w:p>
    <w:p w14:paraId="569584F7" w14:textId="77777777" w:rsidR="00D22DB2" w:rsidRPr="00311140" w:rsidRDefault="00D22DB2" w:rsidP="008D4744">
      <w:pPr>
        <w:keepNext/>
        <w:keepLines/>
        <w:numPr>
          <w:ilvl w:val="0"/>
          <w:numId w:val="23"/>
        </w:numPr>
        <w:jc w:val="left"/>
        <w:rPr>
          <w:rFonts w:ascii="Franklin Gothic Book" w:hAnsi="Franklin Gothic Book"/>
          <w:sz w:val="22"/>
        </w:rPr>
      </w:pPr>
      <w:r w:rsidRPr="00311140">
        <w:rPr>
          <w:rFonts w:ascii="Franklin Gothic Book" w:hAnsi="Franklin Gothic Book"/>
          <w:sz w:val="22"/>
        </w:rPr>
        <w:t>22 patients received 2 mg/day BLV, the dose was increased from 2 mg to 10 mg/day for 1 patient</w:t>
      </w:r>
    </w:p>
    <w:p w14:paraId="411AE4FA" w14:textId="77777777" w:rsidR="00D22DB2" w:rsidRPr="00311140" w:rsidRDefault="00D22DB2" w:rsidP="00C6349A">
      <w:pPr>
        <w:numPr>
          <w:ilvl w:val="0"/>
          <w:numId w:val="23"/>
        </w:numPr>
        <w:jc w:val="left"/>
        <w:rPr>
          <w:rFonts w:ascii="Franklin Gothic Book" w:hAnsi="Franklin Gothic Book"/>
          <w:sz w:val="22"/>
        </w:rPr>
      </w:pPr>
      <w:r w:rsidRPr="00311140">
        <w:rPr>
          <w:rFonts w:ascii="Franklin Gothic Book" w:hAnsi="Franklin Gothic Book"/>
          <w:sz w:val="22"/>
        </w:rPr>
        <w:t>1 patient received 10 mg/day BLV</w:t>
      </w:r>
    </w:p>
    <w:p w14:paraId="3FCF1E37" w14:textId="77777777" w:rsidR="00D22DB2" w:rsidRPr="00311140" w:rsidRDefault="00D22DB2" w:rsidP="00C6349A">
      <w:pPr>
        <w:numPr>
          <w:ilvl w:val="0"/>
          <w:numId w:val="23"/>
        </w:numPr>
        <w:jc w:val="left"/>
        <w:rPr>
          <w:rFonts w:ascii="Franklin Gothic Book" w:hAnsi="Franklin Gothic Book"/>
          <w:sz w:val="22"/>
        </w:rPr>
      </w:pPr>
      <w:r w:rsidRPr="00311140">
        <w:rPr>
          <w:rFonts w:ascii="Franklin Gothic Book" w:hAnsi="Franklin Gothic Book"/>
          <w:sz w:val="22"/>
        </w:rPr>
        <w:t>Responders defined as &gt;2 log reduction or undetectable HDV RNA</w:t>
      </w:r>
    </w:p>
    <w:p w14:paraId="07C70431" w14:textId="77777777" w:rsidR="00D22DB2" w:rsidRPr="00311140" w:rsidRDefault="00D22DB2" w:rsidP="00C6349A">
      <w:pPr>
        <w:numPr>
          <w:ilvl w:val="0"/>
          <w:numId w:val="23"/>
        </w:numPr>
        <w:jc w:val="left"/>
        <w:rPr>
          <w:rFonts w:ascii="Franklin Gothic Book" w:hAnsi="Franklin Gothic Book"/>
          <w:sz w:val="22"/>
        </w:rPr>
      </w:pPr>
      <w:r w:rsidRPr="00311140">
        <w:rPr>
          <w:rFonts w:ascii="Franklin Gothic Book" w:hAnsi="Franklin Gothic Book"/>
          <w:sz w:val="22"/>
        </w:rPr>
        <w:t xml:space="preserve">1 patient did not show up after week 8 </w:t>
      </w:r>
      <w:r w:rsidRPr="00311140">
        <w:rPr>
          <w:rFonts w:ascii="Franklin Gothic Book" w:hAnsi="Franklin Gothic Book"/>
          <w:i/>
          <w:iCs/>
          <w:sz w:val="22"/>
        </w:rPr>
        <w:t>(and was excluded from the analysis)</w:t>
      </w:r>
      <w:r w:rsidRPr="00311140">
        <w:rPr>
          <w:rFonts w:ascii="Franklin Gothic Book" w:hAnsi="Franklin Gothic Book"/>
          <w:sz w:val="22"/>
        </w:rPr>
        <w:t>.</w:t>
      </w:r>
    </w:p>
    <w:p w14:paraId="78F887F7" w14:textId="77777777" w:rsidR="00D22DB2" w:rsidRPr="00311140" w:rsidRDefault="00D22DB2" w:rsidP="00311140">
      <w:pPr>
        <w:jc w:val="left"/>
        <w:rPr>
          <w:rFonts w:ascii="Franklin Gothic Book" w:hAnsi="Franklin Gothic Book"/>
          <w:sz w:val="22"/>
        </w:rPr>
      </w:pPr>
      <w:r w:rsidRPr="00311140">
        <w:rPr>
          <w:rFonts w:ascii="Franklin Gothic Book" w:hAnsi="Franklin Gothic Book"/>
          <w:sz w:val="22"/>
        </w:rPr>
        <w:t>Previous/additional treatments:</w:t>
      </w:r>
    </w:p>
    <w:p w14:paraId="71850976" w14:textId="77777777" w:rsidR="00D22DB2" w:rsidRPr="00311140" w:rsidRDefault="740BA591" w:rsidP="00C6349A">
      <w:pPr>
        <w:numPr>
          <w:ilvl w:val="0"/>
          <w:numId w:val="24"/>
        </w:numPr>
        <w:jc w:val="left"/>
        <w:rPr>
          <w:rFonts w:ascii="Franklin Gothic Book" w:hAnsi="Franklin Gothic Book"/>
          <w:sz w:val="22"/>
        </w:rPr>
      </w:pPr>
      <w:r w:rsidRPr="00311140">
        <w:rPr>
          <w:rFonts w:ascii="Franklin Gothic Book" w:hAnsi="Franklin Gothic Book"/>
          <w:sz w:val="22"/>
        </w:rPr>
        <w:t>18 were previous PEG-IFN non-responders</w:t>
      </w:r>
    </w:p>
    <w:p w14:paraId="17C8E217" w14:textId="77777777" w:rsidR="00D22DB2" w:rsidRPr="00311140" w:rsidRDefault="740BA591" w:rsidP="00C6349A">
      <w:pPr>
        <w:numPr>
          <w:ilvl w:val="0"/>
          <w:numId w:val="24"/>
        </w:numPr>
        <w:jc w:val="left"/>
        <w:rPr>
          <w:rFonts w:ascii="Franklin Gothic Book" w:hAnsi="Franklin Gothic Book"/>
          <w:sz w:val="22"/>
        </w:rPr>
      </w:pPr>
      <w:r w:rsidRPr="00311140">
        <w:rPr>
          <w:rFonts w:ascii="Franklin Gothic Book" w:hAnsi="Franklin Gothic Book"/>
          <w:sz w:val="22"/>
        </w:rPr>
        <w:t xml:space="preserve">21 were on concomitant </w:t>
      </w:r>
      <w:proofErr w:type="spellStart"/>
      <w:r w:rsidRPr="00311140">
        <w:rPr>
          <w:rFonts w:ascii="Franklin Gothic Book" w:hAnsi="Franklin Gothic Book"/>
          <w:sz w:val="22"/>
        </w:rPr>
        <w:t>nucleos</w:t>
      </w:r>
      <w:proofErr w:type="spellEnd"/>
      <w:r w:rsidRPr="00311140">
        <w:rPr>
          <w:rFonts w:ascii="Franklin Gothic Book" w:hAnsi="Franklin Gothic Book"/>
          <w:sz w:val="22"/>
        </w:rPr>
        <w:t>(t)ide analogues (ETV:3, TDF:16, TAF:2)</w:t>
      </w:r>
    </w:p>
    <w:p w14:paraId="10964754" w14:textId="77777777" w:rsidR="00D22DB2" w:rsidRPr="00311140" w:rsidRDefault="00D22DB2" w:rsidP="00C6349A">
      <w:pPr>
        <w:numPr>
          <w:ilvl w:val="0"/>
          <w:numId w:val="24"/>
        </w:numPr>
        <w:jc w:val="left"/>
        <w:rPr>
          <w:rFonts w:ascii="Franklin Gothic Book" w:hAnsi="Franklin Gothic Book"/>
          <w:sz w:val="22"/>
        </w:rPr>
      </w:pPr>
      <w:r w:rsidRPr="00311140">
        <w:rPr>
          <w:rFonts w:ascii="Franklin Gothic Book" w:hAnsi="Franklin Gothic Book"/>
          <w:sz w:val="22"/>
        </w:rPr>
        <w:t xml:space="preserve">22 patients completed at least 24 (24-137) weeks of BLV </w:t>
      </w:r>
    </w:p>
    <w:p w14:paraId="703B131E" w14:textId="51A99549" w:rsidR="00D22DB2" w:rsidRPr="00311140" w:rsidRDefault="0B95395F" w:rsidP="0018586D">
      <w:pPr>
        <w:spacing w:before="240"/>
        <w:jc w:val="left"/>
        <w:rPr>
          <w:rFonts w:ascii="Franklin Gothic Book" w:hAnsi="Franklin Gothic Book"/>
          <w:sz w:val="22"/>
        </w:rPr>
      </w:pPr>
      <w:r w:rsidRPr="00311140">
        <w:rPr>
          <w:rFonts w:ascii="Franklin Gothic Book" w:hAnsi="Franklin Gothic Book"/>
          <w:sz w:val="22"/>
        </w:rPr>
        <w:t xml:space="preserve">Table </w:t>
      </w:r>
      <w:r w:rsidR="2D1D65B3" w:rsidRPr="00311140">
        <w:rPr>
          <w:rFonts w:ascii="Franklin Gothic Book" w:hAnsi="Franklin Gothic Book"/>
          <w:sz w:val="22"/>
        </w:rPr>
        <w:t>8 provides a s</w:t>
      </w:r>
      <w:r w:rsidR="740BA591" w:rsidRPr="00311140">
        <w:rPr>
          <w:rFonts w:ascii="Franklin Gothic Book" w:hAnsi="Franklin Gothic Book"/>
          <w:sz w:val="22"/>
        </w:rPr>
        <w:t>ummary of responders and non-responders to BLV treatment for at least 24 weeks</w:t>
      </w:r>
      <w:r w:rsidR="00311140">
        <w:rPr>
          <w:rFonts w:ascii="Franklin Gothic Book" w:hAnsi="Franklin Gothic Book"/>
          <w:sz w:val="22"/>
        </w:rPr>
        <w:t>.</w:t>
      </w:r>
    </w:p>
    <w:p w14:paraId="0B2CB912" w14:textId="02F4DA7F" w:rsidR="00255E3A" w:rsidRPr="00D22DB2" w:rsidRDefault="00493F80" w:rsidP="00BD2A33">
      <w:pPr>
        <w:pStyle w:val="Caption"/>
      </w:pPr>
      <w:r w:rsidRPr="4904BCD2">
        <w:t xml:space="preserve">Table </w:t>
      </w:r>
      <w:r w:rsidRPr="4904BCD2">
        <w:fldChar w:fldCharType="begin"/>
      </w:r>
      <w:r>
        <w:instrText xml:space="preserve"> SEQ Table_MSAC \* ARABIC </w:instrText>
      </w:r>
      <w:r w:rsidRPr="4904BCD2">
        <w:fldChar w:fldCharType="separate"/>
      </w:r>
      <w:r>
        <w:rPr>
          <w:noProof/>
        </w:rPr>
        <w:t>8</w:t>
      </w:r>
      <w:r w:rsidRPr="4904BCD2">
        <w:rPr>
          <w:noProof/>
        </w:rPr>
        <w:fldChar w:fldCharType="end"/>
      </w:r>
      <w:r w:rsidR="00255E3A">
        <w:tab/>
      </w:r>
      <w:r w:rsidR="004A526E">
        <w:t>R</w:t>
      </w:r>
      <w:r w:rsidR="004A526E" w:rsidRPr="004A526E">
        <w:t>esponders and non-responders to BLV treatment for at least 24 weeks</w:t>
      </w:r>
    </w:p>
    <w:tbl>
      <w:tblPr>
        <w:tblStyle w:val="TableGrid"/>
        <w:tblW w:w="0" w:type="auto"/>
        <w:tblLook w:val="04A0" w:firstRow="1" w:lastRow="0" w:firstColumn="1" w:lastColumn="0" w:noHBand="0" w:noVBand="1"/>
      </w:tblPr>
      <w:tblGrid>
        <w:gridCol w:w="2231"/>
        <w:gridCol w:w="2232"/>
        <w:gridCol w:w="2231"/>
        <w:gridCol w:w="2232"/>
      </w:tblGrid>
      <w:tr w:rsidR="00D22DB2" w:rsidRPr="00D22DB2" w14:paraId="5B6CB3B2" w14:textId="77777777" w:rsidTr="00D22DB2">
        <w:trPr>
          <w:cnfStyle w:val="100000000000" w:firstRow="1" w:lastRow="0" w:firstColumn="0" w:lastColumn="0" w:oddVBand="0" w:evenVBand="0" w:oddHBand="0" w:evenHBand="0" w:firstRowFirstColumn="0" w:firstRowLastColumn="0" w:lastRowFirstColumn="0" w:lastRowLastColumn="0"/>
        </w:trPr>
        <w:tc>
          <w:tcPr>
            <w:tcW w:w="2231" w:type="dxa"/>
            <w:tcBorders>
              <w:top w:val="single" w:sz="4" w:space="0" w:color="auto"/>
              <w:left w:val="single" w:sz="4" w:space="0" w:color="auto"/>
              <w:bottom w:val="single" w:sz="4" w:space="0" w:color="auto"/>
              <w:right w:val="single" w:sz="4" w:space="0" w:color="auto"/>
            </w:tcBorders>
            <w:hideMark/>
          </w:tcPr>
          <w:p w14:paraId="2559492E" w14:textId="77777777" w:rsidR="00D22DB2" w:rsidRPr="00D22DB2" w:rsidRDefault="00D22DB2" w:rsidP="00F65238">
            <w:pPr>
              <w:pStyle w:val="PBACTableText"/>
              <w:rPr>
                <w:bCs/>
              </w:rPr>
            </w:pPr>
            <w:r w:rsidRPr="00D22DB2">
              <w:rPr>
                <w:bCs/>
              </w:rPr>
              <w:t>Week 24</w:t>
            </w:r>
          </w:p>
        </w:tc>
        <w:tc>
          <w:tcPr>
            <w:tcW w:w="2232" w:type="dxa"/>
            <w:tcBorders>
              <w:top w:val="single" w:sz="4" w:space="0" w:color="auto"/>
              <w:left w:val="single" w:sz="4" w:space="0" w:color="auto"/>
              <w:bottom w:val="single" w:sz="4" w:space="0" w:color="auto"/>
              <w:right w:val="single" w:sz="4" w:space="0" w:color="auto"/>
            </w:tcBorders>
            <w:hideMark/>
          </w:tcPr>
          <w:p w14:paraId="6D59371C" w14:textId="77777777" w:rsidR="00D22DB2" w:rsidRPr="00D22DB2" w:rsidRDefault="00D22DB2" w:rsidP="00F65238">
            <w:pPr>
              <w:pStyle w:val="PBACTableText"/>
              <w:rPr>
                <w:bCs/>
              </w:rPr>
            </w:pPr>
            <w:r w:rsidRPr="00D22DB2">
              <w:rPr>
                <w:bCs/>
              </w:rPr>
              <w:t>Week 36</w:t>
            </w:r>
          </w:p>
        </w:tc>
        <w:tc>
          <w:tcPr>
            <w:tcW w:w="2231" w:type="dxa"/>
            <w:tcBorders>
              <w:top w:val="single" w:sz="4" w:space="0" w:color="auto"/>
              <w:left w:val="single" w:sz="4" w:space="0" w:color="auto"/>
              <w:bottom w:val="single" w:sz="4" w:space="0" w:color="auto"/>
              <w:right w:val="single" w:sz="4" w:space="0" w:color="auto"/>
            </w:tcBorders>
            <w:hideMark/>
          </w:tcPr>
          <w:p w14:paraId="12A41F5E" w14:textId="77777777" w:rsidR="00D22DB2" w:rsidRPr="00D22DB2" w:rsidRDefault="00D22DB2" w:rsidP="00F65238">
            <w:pPr>
              <w:pStyle w:val="PBACTableText"/>
              <w:rPr>
                <w:bCs/>
              </w:rPr>
            </w:pPr>
            <w:r w:rsidRPr="00D22DB2">
              <w:rPr>
                <w:bCs/>
              </w:rPr>
              <w:t>Week 48</w:t>
            </w:r>
          </w:p>
        </w:tc>
        <w:tc>
          <w:tcPr>
            <w:tcW w:w="2232" w:type="dxa"/>
            <w:tcBorders>
              <w:top w:val="single" w:sz="4" w:space="0" w:color="auto"/>
              <w:left w:val="single" w:sz="4" w:space="0" w:color="auto"/>
              <w:bottom w:val="single" w:sz="4" w:space="0" w:color="auto"/>
              <w:right w:val="single" w:sz="4" w:space="0" w:color="auto"/>
            </w:tcBorders>
            <w:hideMark/>
          </w:tcPr>
          <w:p w14:paraId="3D5405BB" w14:textId="77777777" w:rsidR="00D22DB2" w:rsidRPr="00D22DB2" w:rsidRDefault="00D22DB2" w:rsidP="00F65238">
            <w:pPr>
              <w:pStyle w:val="PBACTableText"/>
              <w:rPr>
                <w:bCs/>
              </w:rPr>
            </w:pPr>
            <w:r w:rsidRPr="00D22DB2">
              <w:rPr>
                <w:bCs/>
              </w:rPr>
              <w:t>Week 60</w:t>
            </w:r>
          </w:p>
        </w:tc>
      </w:tr>
      <w:tr w:rsidR="00D22DB2" w:rsidRPr="00D22DB2" w14:paraId="5D0A9EE0" w14:textId="77777777" w:rsidTr="00D22DB2">
        <w:tc>
          <w:tcPr>
            <w:tcW w:w="2231" w:type="dxa"/>
            <w:tcBorders>
              <w:top w:val="single" w:sz="4" w:space="0" w:color="auto"/>
              <w:left w:val="single" w:sz="4" w:space="0" w:color="auto"/>
              <w:bottom w:val="single" w:sz="4" w:space="0" w:color="auto"/>
              <w:right w:val="single" w:sz="4" w:space="0" w:color="auto"/>
            </w:tcBorders>
            <w:hideMark/>
          </w:tcPr>
          <w:p w14:paraId="7436888E" w14:textId="77777777" w:rsidR="00D22DB2" w:rsidRPr="00D22DB2" w:rsidRDefault="00D22DB2" w:rsidP="00F65238">
            <w:pPr>
              <w:pStyle w:val="PBACTableText"/>
            </w:pPr>
            <w:r w:rsidRPr="00D22DB2">
              <w:t>10/22 responders</w:t>
            </w:r>
          </w:p>
          <w:p w14:paraId="6B21A811" w14:textId="77777777" w:rsidR="00D22DB2" w:rsidRPr="00D22DB2" w:rsidRDefault="00D22DB2" w:rsidP="00F65238">
            <w:pPr>
              <w:pStyle w:val="PBACTableText"/>
            </w:pPr>
            <w:r w:rsidRPr="00D22DB2">
              <w:t>7/10 had normal ALT</w:t>
            </w:r>
          </w:p>
        </w:tc>
        <w:tc>
          <w:tcPr>
            <w:tcW w:w="2232" w:type="dxa"/>
            <w:tcBorders>
              <w:top w:val="single" w:sz="4" w:space="0" w:color="auto"/>
              <w:left w:val="single" w:sz="4" w:space="0" w:color="auto"/>
              <w:bottom w:val="single" w:sz="4" w:space="0" w:color="auto"/>
              <w:right w:val="single" w:sz="4" w:space="0" w:color="auto"/>
            </w:tcBorders>
            <w:hideMark/>
          </w:tcPr>
          <w:p w14:paraId="05399761" w14:textId="77777777" w:rsidR="00D22DB2" w:rsidRPr="00D22DB2" w:rsidRDefault="00D22DB2" w:rsidP="00F65238">
            <w:pPr>
              <w:pStyle w:val="PBACTableText"/>
            </w:pPr>
            <w:r w:rsidRPr="00D22DB2">
              <w:t>11/20 responders</w:t>
            </w:r>
          </w:p>
          <w:p w14:paraId="0D7119D1" w14:textId="77777777" w:rsidR="00D22DB2" w:rsidRPr="00D22DB2" w:rsidRDefault="00D22DB2" w:rsidP="00F65238">
            <w:pPr>
              <w:pStyle w:val="PBACTableText"/>
            </w:pPr>
            <w:r w:rsidRPr="00D22DB2">
              <w:t>10/11 had normal ALT</w:t>
            </w:r>
          </w:p>
        </w:tc>
        <w:tc>
          <w:tcPr>
            <w:tcW w:w="2231" w:type="dxa"/>
            <w:tcBorders>
              <w:top w:val="single" w:sz="4" w:space="0" w:color="auto"/>
              <w:left w:val="single" w:sz="4" w:space="0" w:color="auto"/>
              <w:bottom w:val="single" w:sz="4" w:space="0" w:color="auto"/>
              <w:right w:val="single" w:sz="4" w:space="0" w:color="auto"/>
            </w:tcBorders>
            <w:hideMark/>
          </w:tcPr>
          <w:p w14:paraId="46F81588" w14:textId="77777777" w:rsidR="00D22DB2" w:rsidRPr="00D22DB2" w:rsidRDefault="00D22DB2" w:rsidP="00F65238">
            <w:pPr>
              <w:pStyle w:val="PBACTableText"/>
            </w:pPr>
            <w:r w:rsidRPr="00D22DB2">
              <w:t>13/20 responders</w:t>
            </w:r>
          </w:p>
          <w:p w14:paraId="365EDB7F" w14:textId="77777777" w:rsidR="00D22DB2" w:rsidRPr="00D22DB2" w:rsidRDefault="00D22DB2" w:rsidP="00F65238">
            <w:pPr>
              <w:pStyle w:val="PBACTableText"/>
            </w:pPr>
            <w:r w:rsidRPr="00D22DB2">
              <w:t>12/13 had normal ALT</w:t>
            </w:r>
          </w:p>
        </w:tc>
        <w:tc>
          <w:tcPr>
            <w:tcW w:w="2232" w:type="dxa"/>
            <w:tcBorders>
              <w:top w:val="single" w:sz="4" w:space="0" w:color="auto"/>
              <w:left w:val="single" w:sz="4" w:space="0" w:color="auto"/>
              <w:bottom w:val="single" w:sz="4" w:space="0" w:color="auto"/>
              <w:right w:val="single" w:sz="4" w:space="0" w:color="auto"/>
            </w:tcBorders>
            <w:hideMark/>
          </w:tcPr>
          <w:p w14:paraId="70176FD9" w14:textId="77777777" w:rsidR="00D22DB2" w:rsidRPr="00D22DB2" w:rsidRDefault="00D22DB2" w:rsidP="00F65238">
            <w:pPr>
              <w:pStyle w:val="PBACTableText"/>
            </w:pPr>
            <w:r w:rsidRPr="00D22DB2">
              <w:t>9/13 responders</w:t>
            </w:r>
          </w:p>
          <w:p w14:paraId="4E2ADA6E" w14:textId="77777777" w:rsidR="00D22DB2" w:rsidRPr="00D22DB2" w:rsidRDefault="00D22DB2" w:rsidP="00F65238">
            <w:pPr>
              <w:pStyle w:val="PBACTableText"/>
            </w:pPr>
            <w:r w:rsidRPr="00D22DB2">
              <w:t>8/9 normal ALT</w:t>
            </w:r>
          </w:p>
        </w:tc>
      </w:tr>
      <w:tr w:rsidR="00D22DB2" w:rsidRPr="00D22DB2" w14:paraId="50FA1E5B" w14:textId="77777777" w:rsidTr="00D22DB2">
        <w:tc>
          <w:tcPr>
            <w:tcW w:w="2231" w:type="dxa"/>
            <w:tcBorders>
              <w:top w:val="single" w:sz="4" w:space="0" w:color="auto"/>
              <w:left w:val="single" w:sz="4" w:space="0" w:color="auto"/>
              <w:bottom w:val="single" w:sz="4" w:space="0" w:color="auto"/>
              <w:right w:val="single" w:sz="4" w:space="0" w:color="auto"/>
            </w:tcBorders>
            <w:hideMark/>
          </w:tcPr>
          <w:p w14:paraId="7B7DED4F" w14:textId="77777777" w:rsidR="00D22DB2" w:rsidRPr="00D22DB2" w:rsidRDefault="00D22DB2" w:rsidP="00F65238">
            <w:pPr>
              <w:pStyle w:val="PBACTableText"/>
            </w:pPr>
            <w:r w:rsidRPr="00D22DB2">
              <w:t>12/22 non-responders</w:t>
            </w:r>
          </w:p>
          <w:p w14:paraId="2905EC28" w14:textId="77777777" w:rsidR="00D22DB2" w:rsidRPr="00D22DB2" w:rsidRDefault="00D22DB2" w:rsidP="00F65238">
            <w:pPr>
              <w:pStyle w:val="PBACTableText"/>
            </w:pPr>
            <w:r w:rsidRPr="00D22DB2">
              <w:t>7/12 had normal ALT</w:t>
            </w:r>
          </w:p>
        </w:tc>
        <w:tc>
          <w:tcPr>
            <w:tcW w:w="2232" w:type="dxa"/>
            <w:tcBorders>
              <w:top w:val="single" w:sz="4" w:space="0" w:color="auto"/>
              <w:left w:val="single" w:sz="4" w:space="0" w:color="auto"/>
              <w:bottom w:val="single" w:sz="4" w:space="0" w:color="auto"/>
              <w:right w:val="single" w:sz="4" w:space="0" w:color="auto"/>
            </w:tcBorders>
            <w:hideMark/>
          </w:tcPr>
          <w:p w14:paraId="63418921" w14:textId="77777777" w:rsidR="00D22DB2" w:rsidRPr="00D22DB2" w:rsidRDefault="00D22DB2" w:rsidP="00F65238">
            <w:pPr>
              <w:pStyle w:val="PBACTableText"/>
            </w:pPr>
            <w:r w:rsidRPr="00D22DB2">
              <w:t>9/20 non-responders</w:t>
            </w:r>
          </w:p>
          <w:p w14:paraId="6436A595" w14:textId="77777777" w:rsidR="00D22DB2" w:rsidRPr="00D22DB2" w:rsidRDefault="00D22DB2" w:rsidP="00F65238">
            <w:pPr>
              <w:pStyle w:val="PBACTableText"/>
            </w:pPr>
            <w:r w:rsidRPr="00D22DB2">
              <w:t>7/9 had normal ALT</w:t>
            </w:r>
          </w:p>
        </w:tc>
        <w:tc>
          <w:tcPr>
            <w:tcW w:w="2231" w:type="dxa"/>
            <w:tcBorders>
              <w:top w:val="single" w:sz="4" w:space="0" w:color="auto"/>
              <w:left w:val="single" w:sz="4" w:space="0" w:color="auto"/>
              <w:bottom w:val="single" w:sz="4" w:space="0" w:color="auto"/>
              <w:right w:val="single" w:sz="4" w:space="0" w:color="auto"/>
            </w:tcBorders>
            <w:hideMark/>
          </w:tcPr>
          <w:p w14:paraId="1F7B22DE" w14:textId="77777777" w:rsidR="00D22DB2" w:rsidRPr="00D22DB2" w:rsidRDefault="00D22DB2" w:rsidP="00F65238">
            <w:pPr>
              <w:pStyle w:val="PBACTableText"/>
            </w:pPr>
            <w:r w:rsidRPr="00D22DB2">
              <w:t>7/20 non-responders</w:t>
            </w:r>
          </w:p>
          <w:p w14:paraId="51F55B0A" w14:textId="77777777" w:rsidR="00D22DB2" w:rsidRPr="00D22DB2" w:rsidRDefault="00D22DB2" w:rsidP="00F65238">
            <w:pPr>
              <w:pStyle w:val="PBACTableText"/>
            </w:pPr>
            <w:r w:rsidRPr="00D22DB2">
              <w:t>6/7 had normal ALT</w:t>
            </w:r>
          </w:p>
        </w:tc>
        <w:tc>
          <w:tcPr>
            <w:tcW w:w="2232" w:type="dxa"/>
            <w:tcBorders>
              <w:top w:val="single" w:sz="4" w:space="0" w:color="auto"/>
              <w:left w:val="single" w:sz="4" w:space="0" w:color="auto"/>
              <w:bottom w:val="single" w:sz="4" w:space="0" w:color="auto"/>
              <w:right w:val="single" w:sz="4" w:space="0" w:color="auto"/>
            </w:tcBorders>
            <w:hideMark/>
          </w:tcPr>
          <w:p w14:paraId="4CB277E8" w14:textId="77777777" w:rsidR="00D22DB2" w:rsidRPr="00D22DB2" w:rsidRDefault="00D22DB2" w:rsidP="00F65238">
            <w:pPr>
              <w:pStyle w:val="PBACTableText"/>
            </w:pPr>
            <w:r w:rsidRPr="00D22DB2">
              <w:t>4/13 non-responders</w:t>
            </w:r>
          </w:p>
          <w:p w14:paraId="75AEE0FC" w14:textId="77777777" w:rsidR="00D22DB2" w:rsidRPr="00D22DB2" w:rsidRDefault="00D22DB2" w:rsidP="00F65238">
            <w:pPr>
              <w:pStyle w:val="PBACTableText"/>
            </w:pPr>
            <w:r w:rsidRPr="00D22DB2">
              <w:t>4/4 had normal ALT</w:t>
            </w:r>
          </w:p>
        </w:tc>
      </w:tr>
    </w:tbl>
    <w:p w14:paraId="7F14765D" w14:textId="525903D0" w:rsidR="00D22DB2" w:rsidRPr="00311140" w:rsidRDefault="004A526E" w:rsidP="00311140">
      <w:pPr>
        <w:spacing w:before="240" w:after="240"/>
        <w:jc w:val="left"/>
        <w:rPr>
          <w:rFonts w:ascii="Franklin Gothic Book" w:hAnsi="Franklin Gothic Book"/>
          <w:sz w:val="22"/>
        </w:rPr>
      </w:pPr>
      <w:r w:rsidRPr="00311140">
        <w:rPr>
          <w:rFonts w:ascii="Franklin Gothic Book" w:hAnsi="Franklin Gothic Book"/>
          <w:sz w:val="22"/>
        </w:rPr>
        <w:t>The smaller tables below provide a summary of patients subject to a change in management</w:t>
      </w:r>
      <w:r w:rsidR="00832FD9" w:rsidRPr="00311140">
        <w:rPr>
          <w:rFonts w:ascii="Franklin Gothic Book" w:hAnsi="Franklin Gothic Book"/>
          <w:sz w:val="22"/>
        </w:rPr>
        <w:t>.</w:t>
      </w:r>
    </w:p>
    <w:tbl>
      <w:tblPr>
        <w:tblStyle w:val="TableGrid"/>
        <w:tblW w:w="0" w:type="auto"/>
        <w:tblInd w:w="-5" w:type="dxa"/>
        <w:tblLook w:val="04A0" w:firstRow="1" w:lastRow="0" w:firstColumn="1" w:lastColumn="0" w:noHBand="0" w:noVBand="1"/>
      </w:tblPr>
      <w:tblGrid>
        <w:gridCol w:w="2231"/>
        <w:gridCol w:w="2232"/>
        <w:gridCol w:w="2231"/>
        <w:gridCol w:w="2232"/>
      </w:tblGrid>
      <w:tr w:rsidR="00DB4CFB" w:rsidRPr="00D22DB2" w14:paraId="3175CA0D" w14:textId="77777777" w:rsidTr="0E43F874">
        <w:trPr>
          <w:cnfStyle w:val="100000000000" w:firstRow="1" w:lastRow="0" w:firstColumn="0" w:lastColumn="0" w:oddVBand="0" w:evenVBand="0" w:oddHBand="0" w:evenHBand="0" w:firstRowFirstColumn="0" w:firstRowLastColumn="0" w:lastRowFirstColumn="0" w:lastRowLastColumn="0"/>
        </w:trPr>
        <w:tc>
          <w:tcPr>
            <w:tcW w:w="2231" w:type="dxa"/>
            <w:tcBorders>
              <w:top w:val="single" w:sz="8" w:space="0" w:color="auto"/>
              <w:left w:val="single" w:sz="8" w:space="0" w:color="auto"/>
              <w:bottom w:val="single" w:sz="8" w:space="0" w:color="auto"/>
              <w:right w:val="single" w:sz="8" w:space="0" w:color="auto"/>
            </w:tcBorders>
            <w:hideMark/>
          </w:tcPr>
          <w:p w14:paraId="4F0DC9A4" w14:textId="77777777" w:rsidR="00D22DB2" w:rsidRPr="00D22DB2" w:rsidRDefault="00D22DB2" w:rsidP="004562C8">
            <w:pPr>
              <w:pStyle w:val="PBACTableText"/>
              <w:rPr>
                <w:bCs/>
              </w:rPr>
            </w:pPr>
            <w:r w:rsidRPr="00D22DB2">
              <w:rPr>
                <w:bCs/>
              </w:rPr>
              <w:t>Week 24</w:t>
            </w:r>
          </w:p>
        </w:tc>
        <w:tc>
          <w:tcPr>
            <w:tcW w:w="2232" w:type="dxa"/>
            <w:tcBorders>
              <w:top w:val="single" w:sz="8" w:space="0" w:color="auto"/>
              <w:left w:val="single" w:sz="8" w:space="0" w:color="auto"/>
              <w:bottom w:val="single" w:sz="8" w:space="0" w:color="auto"/>
              <w:right w:val="single" w:sz="8" w:space="0" w:color="auto"/>
            </w:tcBorders>
            <w:hideMark/>
          </w:tcPr>
          <w:p w14:paraId="5EFD7C28" w14:textId="77777777" w:rsidR="00D22DB2" w:rsidRPr="00D22DB2" w:rsidRDefault="00D22DB2" w:rsidP="004562C8">
            <w:pPr>
              <w:pStyle w:val="PBACTableText"/>
              <w:rPr>
                <w:bCs/>
              </w:rPr>
            </w:pPr>
            <w:r w:rsidRPr="00D22DB2">
              <w:rPr>
                <w:bCs/>
              </w:rPr>
              <w:t>Week 36</w:t>
            </w:r>
          </w:p>
        </w:tc>
        <w:tc>
          <w:tcPr>
            <w:tcW w:w="2231" w:type="dxa"/>
            <w:tcBorders>
              <w:top w:val="single" w:sz="8" w:space="0" w:color="auto"/>
              <w:left w:val="single" w:sz="8" w:space="0" w:color="auto"/>
              <w:bottom w:val="single" w:sz="8" w:space="0" w:color="auto"/>
              <w:right w:val="single" w:sz="8" w:space="0" w:color="auto"/>
            </w:tcBorders>
            <w:hideMark/>
          </w:tcPr>
          <w:p w14:paraId="3D90F3BB" w14:textId="77777777" w:rsidR="00D22DB2" w:rsidRPr="00D22DB2" w:rsidRDefault="00D22DB2" w:rsidP="004562C8">
            <w:pPr>
              <w:pStyle w:val="PBACTableText"/>
              <w:rPr>
                <w:bCs/>
              </w:rPr>
            </w:pPr>
            <w:r w:rsidRPr="00D22DB2">
              <w:rPr>
                <w:bCs/>
              </w:rPr>
              <w:t>Week 48</w:t>
            </w:r>
          </w:p>
        </w:tc>
        <w:tc>
          <w:tcPr>
            <w:tcW w:w="2232" w:type="dxa"/>
            <w:tcBorders>
              <w:top w:val="single" w:sz="8" w:space="0" w:color="auto"/>
              <w:left w:val="single" w:sz="8" w:space="0" w:color="auto"/>
              <w:bottom w:val="single" w:sz="8" w:space="0" w:color="auto"/>
              <w:right w:val="single" w:sz="8" w:space="0" w:color="auto"/>
            </w:tcBorders>
            <w:hideMark/>
          </w:tcPr>
          <w:p w14:paraId="7CE327AB" w14:textId="77777777" w:rsidR="00D22DB2" w:rsidRPr="00D22DB2" w:rsidRDefault="00D22DB2" w:rsidP="004562C8">
            <w:pPr>
              <w:pStyle w:val="PBACTableText"/>
              <w:rPr>
                <w:bCs/>
              </w:rPr>
            </w:pPr>
            <w:r w:rsidRPr="00D22DB2">
              <w:rPr>
                <w:bCs/>
              </w:rPr>
              <w:t>Week 60</w:t>
            </w:r>
          </w:p>
        </w:tc>
      </w:tr>
      <w:tr w:rsidR="00437AD1" w:rsidRPr="00D22DB2" w14:paraId="21B32FA5" w14:textId="77777777" w:rsidTr="0E43F874">
        <w:tc>
          <w:tcPr>
            <w:tcW w:w="8926" w:type="dxa"/>
            <w:gridSpan w:val="4"/>
            <w:tcBorders>
              <w:top w:val="single" w:sz="8" w:space="0" w:color="auto"/>
              <w:left w:val="single" w:sz="8" w:space="0" w:color="auto"/>
              <w:bottom w:val="single" w:sz="4" w:space="0" w:color="auto"/>
              <w:right w:val="single" w:sz="8" w:space="0" w:color="auto"/>
            </w:tcBorders>
            <w:hideMark/>
          </w:tcPr>
          <w:p w14:paraId="0ED5232D" w14:textId="77777777" w:rsidR="00D22DB2" w:rsidRPr="00D22DB2" w:rsidRDefault="00D22DB2" w:rsidP="004562C8">
            <w:pPr>
              <w:pStyle w:val="PBACTableText"/>
            </w:pPr>
            <w:r w:rsidRPr="00D22DB2">
              <w:t xml:space="preserve">1 responder had liver transplant at week 25 for HCC (preplanned - received BLV treatment until a donor organ became available) </w:t>
            </w:r>
            <w:r w:rsidRPr="00D22DB2">
              <w:rPr>
                <w:i/>
                <w:iCs/>
              </w:rPr>
              <w:t>(as it was preplanned, the transplant was not guided by the HDV RNA result)</w:t>
            </w:r>
          </w:p>
        </w:tc>
      </w:tr>
      <w:tr w:rsidR="00770EA7" w:rsidRPr="00D22DB2" w14:paraId="30F77CD5" w14:textId="77777777" w:rsidTr="0E43F874">
        <w:tc>
          <w:tcPr>
            <w:tcW w:w="2231" w:type="dxa"/>
            <w:tcBorders>
              <w:top w:val="single" w:sz="4" w:space="0" w:color="auto"/>
              <w:left w:val="single" w:sz="8" w:space="0" w:color="auto"/>
              <w:bottom w:val="single" w:sz="8" w:space="0" w:color="auto"/>
              <w:right w:val="single" w:sz="4" w:space="0" w:color="auto"/>
            </w:tcBorders>
            <w:hideMark/>
          </w:tcPr>
          <w:p w14:paraId="72378C8E" w14:textId="77777777" w:rsidR="00D22DB2" w:rsidRPr="00D22DB2" w:rsidRDefault="00D22DB2" w:rsidP="004562C8">
            <w:pPr>
              <w:pStyle w:val="PBACTableText"/>
            </w:pPr>
            <w:r w:rsidRPr="00D22DB2">
              <w:t>-2.1 log HDV-RNA + normal ALT</w:t>
            </w:r>
          </w:p>
        </w:tc>
        <w:tc>
          <w:tcPr>
            <w:tcW w:w="2232" w:type="dxa"/>
            <w:tcBorders>
              <w:top w:val="single" w:sz="4" w:space="0" w:color="auto"/>
              <w:left w:val="single" w:sz="4" w:space="0" w:color="auto"/>
              <w:bottom w:val="single" w:sz="8" w:space="0" w:color="auto"/>
              <w:right w:val="single" w:sz="4" w:space="0" w:color="auto"/>
            </w:tcBorders>
          </w:tcPr>
          <w:p w14:paraId="58180597" w14:textId="77777777" w:rsidR="00D22DB2" w:rsidRPr="00D22DB2" w:rsidRDefault="00D22DB2" w:rsidP="004562C8">
            <w:pPr>
              <w:pStyle w:val="PBACTableText"/>
            </w:pPr>
          </w:p>
        </w:tc>
        <w:tc>
          <w:tcPr>
            <w:tcW w:w="2231" w:type="dxa"/>
            <w:tcBorders>
              <w:top w:val="single" w:sz="4" w:space="0" w:color="auto"/>
              <w:left w:val="single" w:sz="4" w:space="0" w:color="auto"/>
              <w:bottom w:val="single" w:sz="8" w:space="0" w:color="auto"/>
              <w:right w:val="single" w:sz="4" w:space="0" w:color="auto"/>
            </w:tcBorders>
          </w:tcPr>
          <w:p w14:paraId="2C9B622D" w14:textId="77777777" w:rsidR="00D22DB2" w:rsidRPr="00D22DB2" w:rsidRDefault="00D22DB2" w:rsidP="004562C8">
            <w:pPr>
              <w:pStyle w:val="PBACTableText"/>
            </w:pPr>
          </w:p>
        </w:tc>
        <w:tc>
          <w:tcPr>
            <w:tcW w:w="2232" w:type="dxa"/>
            <w:tcBorders>
              <w:top w:val="single" w:sz="4" w:space="0" w:color="auto"/>
              <w:left w:val="single" w:sz="4" w:space="0" w:color="auto"/>
              <w:bottom w:val="single" w:sz="8" w:space="0" w:color="auto"/>
              <w:right w:val="single" w:sz="8" w:space="0" w:color="auto"/>
            </w:tcBorders>
            <w:hideMark/>
          </w:tcPr>
          <w:p w14:paraId="60121689" w14:textId="77777777" w:rsidR="00D22DB2" w:rsidRPr="00D22DB2" w:rsidRDefault="00D22DB2" w:rsidP="004562C8">
            <w:pPr>
              <w:pStyle w:val="PBACTableText"/>
            </w:pPr>
            <w:r w:rsidRPr="00D22DB2">
              <w:t>Undetectable HDV RNA</w:t>
            </w:r>
          </w:p>
        </w:tc>
      </w:tr>
      <w:tr w:rsidR="00437AD1" w:rsidRPr="00D22DB2" w14:paraId="4A4E1BB7" w14:textId="77777777" w:rsidTr="0E43F874">
        <w:tc>
          <w:tcPr>
            <w:tcW w:w="8926" w:type="dxa"/>
            <w:gridSpan w:val="4"/>
            <w:tcBorders>
              <w:top w:val="single" w:sz="8" w:space="0" w:color="auto"/>
              <w:left w:val="nil"/>
              <w:bottom w:val="single" w:sz="8" w:space="0" w:color="auto"/>
              <w:right w:val="nil"/>
            </w:tcBorders>
          </w:tcPr>
          <w:p w14:paraId="217CC2E9" w14:textId="77777777" w:rsidR="00D22DB2" w:rsidRPr="00D22DB2" w:rsidRDefault="00D22DB2" w:rsidP="004562C8">
            <w:pPr>
              <w:pStyle w:val="PBACTableText"/>
            </w:pPr>
          </w:p>
        </w:tc>
      </w:tr>
      <w:tr w:rsidR="00437AD1" w:rsidRPr="00D22DB2" w14:paraId="1C493AF8" w14:textId="77777777" w:rsidTr="0E43F874">
        <w:tc>
          <w:tcPr>
            <w:tcW w:w="8926" w:type="dxa"/>
            <w:gridSpan w:val="4"/>
            <w:tcBorders>
              <w:top w:val="single" w:sz="8" w:space="0" w:color="auto"/>
              <w:left w:val="single" w:sz="8" w:space="0" w:color="auto"/>
              <w:bottom w:val="single" w:sz="4" w:space="0" w:color="auto"/>
              <w:right w:val="single" w:sz="8" w:space="0" w:color="auto"/>
            </w:tcBorders>
            <w:hideMark/>
          </w:tcPr>
          <w:p w14:paraId="318A28BA" w14:textId="77777777" w:rsidR="00D22DB2" w:rsidRPr="00D22DB2" w:rsidRDefault="00D22DB2" w:rsidP="004562C8">
            <w:pPr>
              <w:pStyle w:val="PBACTableText"/>
            </w:pPr>
            <w:r w:rsidRPr="00D22DB2">
              <w:t xml:space="preserve">2 responders stopped treatment at week 48 after having undetectable HDV RNA for &lt;24 weeks </w:t>
            </w:r>
            <w:r w:rsidRPr="00D22DB2">
              <w:rPr>
                <w:i/>
                <w:iCs/>
              </w:rPr>
              <w:t>(both relapsed)</w:t>
            </w:r>
          </w:p>
        </w:tc>
      </w:tr>
      <w:tr w:rsidR="00770EA7" w:rsidRPr="00D22DB2" w14:paraId="59DAFB95" w14:textId="77777777" w:rsidTr="0E43F874">
        <w:tc>
          <w:tcPr>
            <w:tcW w:w="2231" w:type="dxa"/>
            <w:tcBorders>
              <w:top w:val="single" w:sz="4" w:space="0" w:color="auto"/>
              <w:left w:val="single" w:sz="8" w:space="0" w:color="auto"/>
              <w:bottom w:val="single" w:sz="8" w:space="0" w:color="auto"/>
              <w:right w:val="single" w:sz="4" w:space="0" w:color="auto"/>
            </w:tcBorders>
            <w:hideMark/>
          </w:tcPr>
          <w:p w14:paraId="4067F5F0" w14:textId="77777777" w:rsidR="00D22DB2" w:rsidRPr="00D22DB2" w:rsidRDefault="00D22DB2" w:rsidP="004562C8">
            <w:pPr>
              <w:pStyle w:val="PBACTableText"/>
            </w:pPr>
            <w:r w:rsidRPr="00D22DB2">
              <w:t>1 had undetectable HDV RNA + normal ALT</w:t>
            </w:r>
          </w:p>
          <w:p w14:paraId="6F52DAB7" w14:textId="77777777" w:rsidR="00D22DB2" w:rsidRPr="00D22DB2" w:rsidRDefault="00D22DB2" w:rsidP="004562C8">
            <w:pPr>
              <w:pStyle w:val="PBACTableText"/>
            </w:pPr>
            <w:r w:rsidRPr="00D22DB2">
              <w:t>1 had -1.36 log HDV RNA + elevated ALT</w:t>
            </w:r>
          </w:p>
        </w:tc>
        <w:tc>
          <w:tcPr>
            <w:tcW w:w="2232" w:type="dxa"/>
            <w:tcBorders>
              <w:top w:val="single" w:sz="4" w:space="0" w:color="auto"/>
              <w:left w:val="single" w:sz="4" w:space="0" w:color="auto"/>
              <w:bottom w:val="single" w:sz="8" w:space="0" w:color="auto"/>
              <w:right w:val="single" w:sz="4" w:space="0" w:color="auto"/>
            </w:tcBorders>
            <w:hideMark/>
          </w:tcPr>
          <w:p w14:paraId="589D9936" w14:textId="77777777" w:rsidR="00D22DB2" w:rsidRPr="00D22DB2" w:rsidRDefault="00D22DB2" w:rsidP="004562C8">
            <w:pPr>
              <w:pStyle w:val="PBACTableText"/>
            </w:pPr>
            <w:r w:rsidRPr="00D22DB2">
              <w:t>Both undetectable HDV RNA</w:t>
            </w:r>
          </w:p>
          <w:p w14:paraId="310B9AD7" w14:textId="77777777" w:rsidR="00D22DB2" w:rsidRPr="00D22DB2" w:rsidRDefault="00D22DB2" w:rsidP="004562C8">
            <w:pPr>
              <w:pStyle w:val="PBACTableText"/>
            </w:pPr>
            <w:r w:rsidRPr="00D22DB2">
              <w:t>Normal ALT</w:t>
            </w:r>
          </w:p>
        </w:tc>
        <w:tc>
          <w:tcPr>
            <w:tcW w:w="2231" w:type="dxa"/>
            <w:tcBorders>
              <w:top w:val="single" w:sz="4" w:space="0" w:color="auto"/>
              <w:left w:val="single" w:sz="4" w:space="0" w:color="auto"/>
              <w:bottom w:val="single" w:sz="8" w:space="0" w:color="auto"/>
              <w:right w:val="single" w:sz="4" w:space="0" w:color="auto"/>
            </w:tcBorders>
            <w:hideMark/>
          </w:tcPr>
          <w:p w14:paraId="253FE500" w14:textId="77777777" w:rsidR="00D22DB2" w:rsidRPr="00D22DB2" w:rsidRDefault="00D22DB2" w:rsidP="004562C8">
            <w:pPr>
              <w:pStyle w:val="PBACTableText"/>
            </w:pPr>
            <w:r w:rsidRPr="00D22DB2">
              <w:t>Both undetectable HDV RNA</w:t>
            </w:r>
          </w:p>
          <w:p w14:paraId="1F410200" w14:textId="77777777" w:rsidR="00D22DB2" w:rsidRPr="00D22DB2" w:rsidRDefault="00D22DB2" w:rsidP="004562C8">
            <w:pPr>
              <w:pStyle w:val="PBACTableText"/>
            </w:pPr>
            <w:r w:rsidRPr="00D22DB2">
              <w:t>Normal ALT</w:t>
            </w:r>
          </w:p>
        </w:tc>
        <w:tc>
          <w:tcPr>
            <w:tcW w:w="2232" w:type="dxa"/>
            <w:tcBorders>
              <w:top w:val="single" w:sz="4" w:space="0" w:color="auto"/>
              <w:left w:val="single" w:sz="4" w:space="0" w:color="auto"/>
              <w:bottom w:val="single" w:sz="8" w:space="0" w:color="auto"/>
              <w:right w:val="single" w:sz="8" w:space="0" w:color="auto"/>
            </w:tcBorders>
            <w:hideMark/>
          </w:tcPr>
          <w:p w14:paraId="1BF67B0A" w14:textId="77777777" w:rsidR="00D22DB2" w:rsidRPr="00D22DB2" w:rsidRDefault="00D22DB2" w:rsidP="004562C8">
            <w:pPr>
              <w:pStyle w:val="PBACTableText"/>
            </w:pPr>
            <w:r w:rsidRPr="00D22DB2">
              <w:t>HDV RNA was detectable (level NR) in both but normal ALT</w:t>
            </w:r>
          </w:p>
        </w:tc>
      </w:tr>
      <w:tr w:rsidR="00437AD1" w:rsidRPr="00D22DB2" w14:paraId="300763AF" w14:textId="77777777" w:rsidTr="00C72B20">
        <w:tc>
          <w:tcPr>
            <w:tcW w:w="8926" w:type="dxa"/>
            <w:gridSpan w:val="4"/>
            <w:tcBorders>
              <w:top w:val="single" w:sz="8" w:space="0" w:color="auto"/>
              <w:left w:val="nil"/>
              <w:bottom w:val="nil"/>
              <w:right w:val="nil"/>
            </w:tcBorders>
          </w:tcPr>
          <w:p w14:paraId="40F271E0" w14:textId="77777777" w:rsidR="00D22DB2" w:rsidRPr="00D22DB2" w:rsidRDefault="00D22DB2" w:rsidP="004562C8">
            <w:pPr>
              <w:pStyle w:val="PBACTableText"/>
            </w:pPr>
          </w:p>
        </w:tc>
      </w:tr>
      <w:tr w:rsidR="00C72B20" w:rsidRPr="00D22DB2" w14:paraId="4F3D63E5" w14:textId="77777777" w:rsidTr="00C72B20">
        <w:tc>
          <w:tcPr>
            <w:tcW w:w="8926" w:type="dxa"/>
            <w:gridSpan w:val="4"/>
            <w:tcBorders>
              <w:top w:val="nil"/>
              <w:left w:val="nil"/>
              <w:bottom w:val="nil"/>
              <w:right w:val="nil"/>
            </w:tcBorders>
          </w:tcPr>
          <w:p w14:paraId="2A35063F" w14:textId="77777777" w:rsidR="00C72B20" w:rsidRPr="00D22DB2" w:rsidRDefault="00C72B20" w:rsidP="004562C8">
            <w:pPr>
              <w:pStyle w:val="PBACTableText"/>
            </w:pPr>
          </w:p>
        </w:tc>
      </w:tr>
      <w:tr w:rsidR="00C72B20" w:rsidRPr="00D22DB2" w14:paraId="464DFA18" w14:textId="77777777" w:rsidTr="00C72B20">
        <w:tc>
          <w:tcPr>
            <w:tcW w:w="8926" w:type="dxa"/>
            <w:gridSpan w:val="4"/>
            <w:tcBorders>
              <w:top w:val="nil"/>
              <w:left w:val="nil"/>
              <w:bottom w:val="single" w:sz="4" w:space="0" w:color="auto"/>
              <w:right w:val="nil"/>
            </w:tcBorders>
          </w:tcPr>
          <w:p w14:paraId="753D28AA" w14:textId="77777777" w:rsidR="00C72B20" w:rsidRPr="00D22DB2" w:rsidRDefault="00C72B20" w:rsidP="004562C8">
            <w:pPr>
              <w:pStyle w:val="PBACTableText"/>
            </w:pPr>
          </w:p>
        </w:tc>
      </w:tr>
      <w:tr w:rsidR="00437AD1" w:rsidRPr="00D22DB2" w14:paraId="4C1E3504" w14:textId="77777777" w:rsidTr="00C72B20">
        <w:tc>
          <w:tcPr>
            <w:tcW w:w="8926" w:type="dxa"/>
            <w:gridSpan w:val="4"/>
            <w:tcBorders>
              <w:top w:val="single" w:sz="4" w:space="0" w:color="auto"/>
              <w:left w:val="single" w:sz="4" w:space="0" w:color="auto"/>
              <w:bottom w:val="single" w:sz="4" w:space="0" w:color="auto"/>
              <w:right w:val="single" w:sz="4" w:space="0" w:color="auto"/>
            </w:tcBorders>
            <w:hideMark/>
          </w:tcPr>
          <w:p w14:paraId="26880B17" w14:textId="77777777" w:rsidR="00D22DB2" w:rsidRPr="00D22DB2" w:rsidRDefault="00D22DB2" w:rsidP="004562C8">
            <w:pPr>
              <w:pStyle w:val="PBACTableText"/>
            </w:pPr>
            <w:r w:rsidRPr="00D22DB2">
              <w:lastRenderedPageBreak/>
              <w:t xml:space="preserve">1 responder stopped treatment at week 63 after having undetectable HDV RNA for &lt;24 weeks </w:t>
            </w:r>
            <w:r w:rsidRPr="00D22DB2">
              <w:rPr>
                <w:i/>
                <w:iCs/>
              </w:rPr>
              <w:t>(relapsed 4 weeks later)</w:t>
            </w:r>
          </w:p>
        </w:tc>
      </w:tr>
      <w:tr w:rsidR="00770EA7" w:rsidRPr="00D22DB2" w14:paraId="50DFB25B" w14:textId="77777777" w:rsidTr="0E43F874">
        <w:tc>
          <w:tcPr>
            <w:tcW w:w="2231" w:type="dxa"/>
            <w:tcBorders>
              <w:top w:val="single" w:sz="4" w:space="0" w:color="auto"/>
              <w:left w:val="single" w:sz="8" w:space="0" w:color="auto"/>
              <w:bottom w:val="single" w:sz="8" w:space="0" w:color="auto"/>
              <w:right w:val="single" w:sz="4" w:space="0" w:color="auto"/>
            </w:tcBorders>
            <w:hideMark/>
          </w:tcPr>
          <w:p w14:paraId="3DE4B51E" w14:textId="77777777" w:rsidR="00D22DB2" w:rsidRPr="00D22DB2" w:rsidRDefault="00D22DB2" w:rsidP="004562C8">
            <w:pPr>
              <w:pStyle w:val="PBACTableText"/>
            </w:pPr>
            <w:r w:rsidRPr="00D22DB2">
              <w:t>-1.14 log HDV RNA + elevated ALT</w:t>
            </w:r>
          </w:p>
        </w:tc>
        <w:tc>
          <w:tcPr>
            <w:tcW w:w="2232" w:type="dxa"/>
            <w:tcBorders>
              <w:top w:val="single" w:sz="4" w:space="0" w:color="auto"/>
              <w:left w:val="single" w:sz="4" w:space="0" w:color="auto"/>
              <w:bottom w:val="single" w:sz="8" w:space="0" w:color="auto"/>
              <w:right w:val="single" w:sz="4" w:space="0" w:color="auto"/>
            </w:tcBorders>
            <w:hideMark/>
          </w:tcPr>
          <w:p w14:paraId="0A051180" w14:textId="77777777" w:rsidR="00D22DB2" w:rsidRPr="00D22DB2" w:rsidRDefault="00D22DB2" w:rsidP="004562C8">
            <w:pPr>
              <w:pStyle w:val="PBACTableText"/>
            </w:pPr>
            <w:r w:rsidRPr="00D22DB2">
              <w:t>-1.56 log HDV RNA + normal ALT</w:t>
            </w:r>
          </w:p>
        </w:tc>
        <w:tc>
          <w:tcPr>
            <w:tcW w:w="2231" w:type="dxa"/>
            <w:tcBorders>
              <w:top w:val="single" w:sz="4" w:space="0" w:color="auto"/>
              <w:left w:val="single" w:sz="4" w:space="0" w:color="auto"/>
              <w:bottom w:val="single" w:sz="8" w:space="0" w:color="auto"/>
              <w:right w:val="single" w:sz="4" w:space="0" w:color="auto"/>
            </w:tcBorders>
            <w:hideMark/>
          </w:tcPr>
          <w:p w14:paraId="7F7D078E" w14:textId="77777777" w:rsidR="00D22DB2" w:rsidRPr="00D22DB2" w:rsidRDefault="00D22DB2" w:rsidP="004562C8">
            <w:pPr>
              <w:pStyle w:val="PBACTableText"/>
            </w:pPr>
            <w:r w:rsidRPr="00D22DB2">
              <w:t>Undetectable HDV RNA</w:t>
            </w:r>
          </w:p>
          <w:p w14:paraId="7A97CB4B" w14:textId="77777777" w:rsidR="00D22DB2" w:rsidRPr="00D22DB2" w:rsidRDefault="00D22DB2" w:rsidP="004562C8">
            <w:pPr>
              <w:pStyle w:val="PBACTableText"/>
            </w:pPr>
            <w:r w:rsidRPr="00D22DB2">
              <w:t>Normal ALT</w:t>
            </w:r>
          </w:p>
        </w:tc>
        <w:tc>
          <w:tcPr>
            <w:tcW w:w="2232" w:type="dxa"/>
            <w:tcBorders>
              <w:top w:val="single" w:sz="4" w:space="0" w:color="auto"/>
              <w:left w:val="single" w:sz="4" w:space="0" w:color="auto"/>
              <w:bottom w:val="single" w:sz="8" w:space="0" w:color="auto"/>
              <w:right w:val="single" w:sz="8" w:space="0" w:color="auto"/>
            </w:tcBorders>
            <w:hideMark/>
          </w:tcPr>
          <w:p w14:paraId="2C5EEE10" w14:textId="77777777" w:rsidR="00D22DB2" w:rsidRPr="00D22DB2" w:rsidRDefault="00D22DB2" w:rsidP="004562C8">
            <w:pPr>
              <w:pStyle w:val="PBACTableText"/>
            </w:pPr>
            <w:r w:rsidRPr="00D22DB2">
              <w:t>HDV RNA detectable at week 67 and resumed treatment</w:t>
            </w:r>
          </w:p>
        </w:tc>
      </w:tr>
      <w:tr w:rsidR="00437AD1" w:rsidRPr="00D22DB2" w14:paraId="551544CE" w14:textId="77777777" w:rsidTr="0E43F874">
        <w:tc>
          <w:tcPr>
            <w:tcW w:w="8926" w:type="dxa"/>
            <w:gridSpan w:val="4"/>
            <w:tcBorders>
              <w:top w:val="single" w:sz="8" w:space="0" w:color="auto"/>
              <w:left w:val="nil"/>
              <w:bottom w:val="single" w:sz="8" w:space="0" w:color="auto"/>
              <w:right w:val="nil"/>
            </w:tcBorders>
          </w:tcPr>
          <w:p w14:paraId="30CA1F08" w14:textId="77777777" w:rsidR="00CD64A3" w:rsidRPr="00D22DB2" w:rsidRDefault="00CD64A3" w:rsidP="004562C8">
            <w:pPr>
              <w:pStyle w:val="PBACTableText"/>
            </w:pPr>
          </w:p>
        </w:tc>
      </w:tr>
      <w:tr w:rsidR="00437AD1" w:rsidRPr="00D22DB2" w14:paraId="35C8C8CE" w14:textId="77777777" w:rsidTr="009E0B8B">
        <w:trPr>
          <w:cantSplit/>
        </w:trPr>
        <w:tc>
          <w:tcPr>
            <w:tcW w:w="8926" w:type="dxa"/>
            <w:gridSpan w:val="4"/>
            <w:tcBorders>
              <w:top w:val="single" w:sz="8" w:space="0" w:color="auto"/>
              <w:left w:val="single" w:sz="8" w:space="0" w:color="auto"/>
              <w:bottom w:val="single" w:sz="4" w:space="0" w:color="auto"/>
              <w:right w:val="single" w:sz="8" w:space="0" w:color="auto"/>
            </w:tcBorders>
            <w:hideMark/>
          </w:tcPr>
          <w:p w14:paraId="2BFD76F1" w14:textId="77777777" w:rsidR="00D22DB2" w:rsidRPr="00D22DB2" w:rsidRDefault="00D22DB2" w:rsidP="004562C8">
            <w:pPr>
              <w:pStyle w:val="PBACTableText"/>
            </w:pPr>
            <w:r w:rsidRPr="00D22DB2">
              <w:t xml:space="preserve">2 responders and 1 non-responder at week 36 received PEG-IFN in addition to BLV before week 48 </w:t>
            </w:r>
            <w:r w:rsidRPr="00D22DB2">
              <w:rPr>
                <w:i/>
                <w:iCs/>
              </w:rPr>
              <w:t>(PEG-IFN achieved a response in non-responder)</w:t>
            </w:r>
          </w:p>
        </w:tc>
      </w:tr>
      <w:tr w:rsidR="00770EA7" w:rsidRPr="00D22DB2" w14:paraId="4041FB7B" w14:textId="77777777" w:rsidTr="009E0B8B">
        <w:trPr>
          <w:cantSplit/>
        </w:trPr>
        <w:tc>
          <w:tcPr>
            <w:tcW w:w="2231" w:type="dxa"/>
            <w:tcBorders>
              <w:top w:val="single" w:sz="4" w:space="0" w:color="auto"/>
              <w:left w:val="single" w:sz="8" w:space="0" w:color="auto"/>
              <w:bottom w:val="single" w:sz="8" w:space="0" w:color="auto"/>
              <w:right w:val="single" w:sz="4" w:space="0" w:color="auto"/>
            </w:tcBorders>
            <w:hideMark/>
          </w:tcPr>
          <w:p w14:paraId="72CC44B9" w14:textId="77777777" w:rsidR="00D22DB2" w:rsidRPr="00D22DB2" w:rsidRDefault="00D22DB2" w:rsidP="004562C8">
            <w:pPr>
              <w:pStyle w:val="PBACTableText"/>
            </w:pPr>
            <w:r w:rsidRPr="00D22DB2">
              <w:t>1. -2.6 log HDV RNA</w:t>
            </w:r>
          </w:p>
          <w:p w14:paraId="21756EC3" w14:textId="77777777" w:rsidR="00D22DB2" w:rsidRPr="00D22DB2" w:rsidRDefault="00D22DB2" w:rsidP="004562C8">
            <w:pPr>
              <w:pStyle w:val="PBACTableText"/>
            </w:pPr>
            <w:r w:rsidRPr="00D22DB2">
              <w:t>2. -2.15 log HDV RNA</w:t>
            </w:r>
          </w:p>
          <w:p w14:paraId="3126E491" w14:textId="77777777" w:rsidR="00D22DB2" w:rsidRPr="00D22DB2" w:rsidRDefault="00D22DB2" w:rsidP="004562C8">
            <w:pPr>
              <w:pStyle w:val="PBACTableText"/>
            </w:pPr>
            <w:r w:rsidRPr="00D22DB2">
              <w:t xml:space="preserve">3. -0.86 </w:t>
            </w:r>
            <w:proofErr w:type="gramStart"/>
            <w:r w:rsidRPr="00D22DB2">
              <w:t>log</w:t>
            </w:r>
            <w:proofErr w:type="gramEnd"/>
            <w:r w:rsidRPr="00D22DB2">
              <w:t xml:space="preserve"> HDV RNA</w:t>
            </w:r>
          </w:p>
          <w:p w14:paraId="3C1B4B38" w14:textId="77777777" w:rsidR="00D22DB2" w:rsidRPr="00D22DB2" w:rsidRDefault="00D22DB2" w:rsidP="004562C8">
            <w:pPr>
              <w:pStyle w:val="PBACTableText"/>
            </w:pPr>
            <w:r w:rsidRPr="00D22DB2">
              <w:t>All had normal ALT</w:t>
            </w:r>
          </w:p>
        </w:tc>
        <w:tc>
          <w:tcPr>
            <w:tcW w:w="2232" w:type="dxa"/>
            <w:tcBorders>
              <w:top w:val="single" w:sz="4" w:space="0" w:color="auto"/>
              <w:left w:val="single" w:sz="4" w:space="0" w:color="auto"/>
              <w:bottom w:val="single" w:sz="8" w:space="0" w:color="auto"/>
              <w:right w:val="single" w:sz="4" w:space="0" w:color="auto"/>
            </w:tcBorders>
            <w:hideMark/>
          </w:tcPr>
          <w:p w14:paraId="7E217430" w14:textId="77777777" w:rsidR="00D22DB2" w:rsidRPr="00D22DB2" w:rsidRDefault="00D22DB2" w:rsidP="004562C8">
            <w:pPr>
              <w:pStyle w:val="PBACTableText"/>
            </w:pPr>
            <w:r w:rsidRPr="00D22DB2">
              <w:t>1. -2.59 log HDV RNA</w:t>
            </w:r>
          </w:p>
          <w:p w14:paraId="64735543" w14:textId="77777777" w:rsidR="00D22DB2" w:rsidRPr="00D22DB2" w:rsidRDefault="00D22DB2" w:rsidP="004562C8">
            <w:pPr>
              <w:pStyle w:val="PBACTableText"/>
            </w:pPr>
            <w:r w:rsidRPr="00D22DB2">
              <w:t>2. -2.39 log HDV RNA</w:t>
            </w:r>
          </w:p>
          <w:p w14:paraId="379AE70C" w14:textId="77777777" w:rsidR="00D22DB2" w:rsidRPr="00D22DB2" w:rsidRDefault="00D22DB2" w:rsidP="004562C8">
            <w:pPr>
              <w:pStyle w:val="PBACTableText"/>
            </w:pPr>
            <w:r w:rsidRPr="00D22DB2">
              <w:t>3. -1.75 log HDV RNA</w:t>
            </w:r>
          </w:p>
          <w:p w14:paraId="4C9E8CED" w14:textId="77777777" w:rsidR="00D22DB2" w:rsidRPr="00D22DB2" w:rsidRDefault="00D22DB2" w:rsidP="004562C8">
            <w:pPr>
              <w:pStyle w:val="PBACTableText"/>
            </w:pPr>
            <w:r w:rsidRPr="00D22DB2">
              <w:t>All had normal ALT</w:t>
            </w:r>
          </w:p>
        </w:tc>
        <w:tc>
          <w:tcPr>
            <w:tcW w:w="2231" w:type="dxa"/>
            <w:tcBorders>
              <w:top w:val="single" w:sz="4" w:space="0" w:color="auto"/>
              <w:left w:val="single" w:sz="4" w:space="0" w:color="auto"/>
              <w:bottom w:val="single" w:sz="8" w:space="0" w:color="auto"/>
              <w:right w:val="single" w:sz="4" w:space="0" w:color="auto"/>
            </w:tcBorders>
            <w:hideMark/>
          </w:tcPr>
          <w:p w14:paraId="79914A91" w14:textId="77777777" w:rsidR="00D22DB2" w:rsidRPr="00D22DB2" w:rsidRDefault="00D22DB2" w:rsidP="004562C8">
            <w:pPr>
              <w:pStyle w:val="PBACTableText"/>
            </w:pPr>
            <w:r w:rsidRPr="00D22DB2">
              <w:t xml:space="preserve">1. -3.0 </w:t>
            </w:r>
            <w:proofErr w:type="gramStart"/>
            <w:r w:rsidRPr="00D22DB2">
              <w:t>log</w:t>
            </w:r>
            <w:proofErr w:type="gramEnd"/>
            <w:r w:rsidRPr="00D22DB2">
              <w:t xml:space="preserve"> HDV RNA</w:t>
            </w:r>
          </w:p>
          <w:p w14:paraId="55E6A126" w14:textId="77777777" w:rsidR="00D22DB2" w:rsidRPr="00D22DB2" w:rsidRDefault="00D22DB2" w:rsidP="004562C8">
            <w:pPr>
              <w:pStyle w:val="PBACTableText"/>
            </w:pPr>
            <w:r w:rsidRPr="00D22DB2">
              <w:t>2. -3.0 log HDV RNA</w:t>
            </w:r>
          </w:p>
          <w:p w14:paraId="0BC10E0B" w14:textId="77777777" w:rsidR="00D22DB2" w:rsidRPr="00D22DB2" w:rsidRDefault="00D22DB2" w:rsidP="004562C8">
            <w:pPr>
              <w:pStyle w:val="PBACTableText"/>
            </w:pPr>
            <w:r w:rsidRPr="00D22DB2">
              <w:t>3. -2.71 log HDV RNA</w:t>
            </w:r>
          </w:p>
          <w:p w14:paraId="08446A4E" w14:textId="77777777" w:rsidR="00D22DB2" w:rsidRPr="00D22DB2" w:rsidRDefault="00D22DB2" w:rsidP="004562C8">
            <w:pPr>
              <w:pStyle w:val="PBACTableText"/>
            </w:pPr>
            <w:r w:rsidRPr="00D22DB2">
              <w:t>All had normal ALT</w:t>
            </w:r>
          </w:p>
        </w:tc>
        <w:tc>
          <w:tcPr>
            <w:tcW w:w="2232" w:type="dxa"/>
            <w:tcBorders>
              <w:top w:val="single" w:sz="4" w:space="0" w:color="auto"/>
              <w:left w:val="single" w:sz="4" w:space="0" w:color="auto"/>
              <w:bottom w:val="single" w:sz="8" w:space="0" w:color="auto"/>
              <w:right w:val="single" w:sz="8" w:space="0" w:color="auto"/>
            </w:tcBorders>
            <w:hideMark/>
          </w:tcPr>
          <w:p w14:paraId="43AEEF8D" w14:textId="77777777" w:rsidR="00D22DB2" w:rsidRPr="00D22DB2" w:rsidRDefault="00D22DB2" w:rsidP="004562C8">
            <w:pPr>
              <w:pStyle w:val="PBACTableText"/>
            </w:pPr>
            <w:r w:rsidRPr="00D22DB2">
              <w:t xml:space="preserve">1. -2.90 </w:t>
            </w:r>
            <w:proofErr w:type="gramStart"/>
            <w:r w:rsidRPr="00D22DB2">
              <w:t>log</w:t>
            </w:r>
            <w:proofErr w:type="gramEnd"/>
            <w:r w:rsidRPr="00D22DB2">
              <w:t xml:space="preserve"> HDV RNA</w:t>
            </w:r>
          </w:p>
          <w:p w14:paraId="2928DD6C" w14:textId="77777777" w:rsidR="00D22DB2" w:rsidRPr="00D22DB2" w:rsidRDefault="00D22DB2" w:rsidP="004562C8">
            <w:pPr>
              <w:pStyle w:val="PBACTableText"/>
            </w:pPr>
            <w:r w:rsidRPr="00D22DB2">
              <w:t>2. -3.0 log HDV RNA</w:t>
            </w:r>
          </w:p>
          <w:p w14:paraId="1FC352FA" w14:textId="77777777" w:rsidR="00D22DB2" w:rsidRPr="00D22DB2" w:rsidRDefault="00D22DB2" w:rsidP="004562C8">
            <w:pPr>
              <w:pStyle w:val="PBACTableText"/>
            </w:pPr>
            <w:r w:rsidRPr="00D22DB2">
              <w:t>3. NR</w:t>
            </w:r>
          </w:p>
          <w:p w14:paraId="2352F306" w14:textId="77777777" w:rsidR="00D22DB2" w:rsidRPr="00D22DB2" w:rsidRDefault="00D22DB2" w:rsidP="004562C8">
            <w:pPr>
              <w:pStyle w:val="PBACTableText"/>
            </w:pPr>
            <w:r w:rsidRPr="00D22DB2">
              <w:t>Both had normal ALT</w:t>
            </w:r>
          </w:p>
        </w:tc>
      </w:tr>
      <w:tr w:rsidR="00437AD1" w:rsidRPr="00D22DB2" w14:paraId="083A0DA4" w14:textId="77777777" w:rsidTr="0E43F874">
        <w:tc>
          <w:tcPr>
            <w:tcW w:w="8926" w:type="dxa"/>
            <w:gridSpan w:val="4"/>
            <w:tcBorders>
              <w:top w:val="single" w:sz="8" w:space="0" w:color="auto"/>
              <w:left w:val="nil"/>
              <w:bottom w:val="single" w:sz="8" w:space="0" w:color="auto"/>
              <w:right w:val="nil"/>
            </w:tcBorders>
          </w:tcPr>
          <w:p w14:paraId="3E597068" w14:textId="77777777" w:rsidR="00D22DB2" w:rsidRPr="00D22DB2" w:rsidRDefault="00D22DB2" w:rsidP="004562C8">
            <w:pPr>
              <w:pStyle w:val="PBACTableText"/>
            </w:pPr>
          </w:p>
        </w:tc>
      </w:tr>
      <w:tr w:rsidR="00437AD1" w:rsidRPr="00D22DB2" w14:paraId="5485E10A" w14:textId="77777777" w:rsidTr="0E43F874">
        <w:tc>
          <w:tcPr>
            <w:tcW w:w="8926" w:type="dxa"/>
            <w:gridSpan w:val="4"/>
            <w:tcBorders>
              <w:top w:val="single" w:sz="8" w:space="0" w:color="auto"/>
              <w:left w:val="single" w:sz="8" w:space="0" w:color="auto"/>
              <w:bottom w:val="single" w:sz="4" w:space="0" w:color="auto"/>
              <w:right w:val="single" w:sz="8" w:space="0" w:color="auto"/>
            </w:tcBorders>
            <w:hideMark/>
          </w:tcPr>
          <w:p w14:paraId="362A0779" w14:textId="77777777" w:rsidR="00D22DB2" w:rsidRPr="00D22DB2" w:rsidRDefault="00D22DB2" w:rsidP="004562C8">
            <w:pPr>
              <w:pStyle w:val="PBACTableText"/>
            </w:pPr>
            <w:r w:rsidRPr="00D22DB2">
              <w:rPr>
                <w:lang w:val="en-AU"/>
              </w:rPr>
              <w:t xml:space="preserve">1 non-responder had cirrhosis with marked portal hypertension (HVPG 18 mm Hg, thrombo-and </w:t>
            </w:r>
            <w:proofErr w:type="spellStart"/>
            <w:r w:rsidRPr="00D22DB2">
              <w:rPr>
                <w:lang w:val="en-AU"/>
              </w:rPr>
              <w:t>leucopenia</w:t>
            </w:r>
            <w:proofErr w:type="spellEnd"/>
            <w:r w:rsidRPr="00D22DB2">
              <w:rPr>
                <w:lang w:val="en-AU"/>
              </w:rPr>
              <w:t xml:space="preserve">) received 2 mg/day BLV which increased to 10 mg/day after 24 weeks. </w:t>
            </w:r>
          </w:p>
          <w:p w14:paraId="056D7DF5" w14:textId="77777777" w:rsidR="00D22DB2" w:rsidRPr="00D22DB2" w:rsidRDefault="00D22DB2" w:rsidP="004562C8">
            <w:pPr>
              <w:pStyle w:val="PBACTableText"/>
            </w:pPr>
            <w:r w:rsidRPr="00D22DB2">
              <w:rPr>
                <w:lang w:val="en-AU"/>
              </w:rPr>
              <w:t xml:space="preserve">PEG-IFN was added at week 58 together with 25 mg </w:t>
            </w:r>
            <w:proofErr w:type="spellStart"/>
            <w:r w:rsidRPr="00D22DB2">
              <w:rPr>
                <w:lang w:val="en-AU"/>
              </w:rPr>
              <w:t>Eltrombopag</w:t>
            </w:r>
            <w:proofErr w:type="spellEnd"/>
            <w:r w:rsidRPr="00D22DB2">
              <w:rPr>
                <w:lang w:val="en-AU"/>
              </w:rPr>
              <w:t xml:space="preserve"> QD and 48 MU/week filgrastim, leading to a rapid decline of HDV-RNA </w:t>
            </w:r>
            <w:r w:rsidRPr="00D22DB2">
              <w:rPr>
                <w:i/>
                <w:lang w:val="en-AU"/>
              </w:rPr>
              <w:t>(assuming this occurred after week 60, as data was not captured in Table 2)</w:t>
            </w:r>
          </w:p>
        </w:tc>
      </w:tr>
      <w:tr w:rsidR="00770EA7" w:rsidRPr="00D22DB2" w14:paraId="0D765FF2" w14:textId="77777777" w:rsidTr="0E43F874">
        <w:tc>
          <w:tcPr>
            <w:tcW w:w="2231" w:type="dxa"/>
            <w:tcBorders>
              <w:top w:val="single" w:sz="4" w:space="0" w:color="auto"/>
              <w:left w:val="single" w:sz="8" w:space="0" w:color="auto"/>
              <w:bottom w:val="single" w:sz="8" w:space="0" w:color="auto"/>
              <w:right w:val="single" w:sz="4" w:space="0" w:color="auto"/>
            </w:tcBorders>
            <w:hideMark/>
          </w:tcPr>
          <w:p w14:paraId="2F172FF3" w14:textId="77777777" w:rsidR="00D22DB2" w:rsidRPr="00D22DB2" w:rsidRDefault="00D22DB2" w:rsidP="004562C8">
            <w:pPr>
              <w:pStyle w:val="PBACTableText"/>
            </w:pPr>
            <w:r w:rsidRPr="00D22DB2">
              <w:t>1. -0.68 log HDV RNA, elevated ALT</w:t>
            </w:r>
          </w:p>
        </w:tc>
        <w:tc>
          <w:tcPr>
            <w:tcW w:w="2232" w:type="dxa"/>
            <w:tcBorders>
              <w:top w:val="single" w:sz="4" w:space="0" w:color="auto"/>
              <w:left w:val="single" w:sz="4" w:space="0" w:color="auto"/>
              <w:bottom w:val="single" w:sz="8" w:space="0" w:color="auto"/>
              <w:right w:val="single" w:sz="4" w:space="0" w:color="auto"/>
            </w:tcBorders>
            <w:hideMark/>
          </w:tcPr>
          <w:p w14:paraId="279745A9" w14:textId="77777777" w:rsidR="00D22DB2" w:rsidRPr="00D22DB2" w:rsidRDefault="00D22DB2" w:rsidP="004562C8">
            <w:pPr>
              <w:pStyle w:val="PBACTableText"/>
            </w:pPr>
            <w:r w:rsidRPr="00D22DB2">
              <w:t>1. -0.72 log HDV RNA, elevated ALT</w:t>
            </w:r>
          </w:p>
        </w:tc>
        <w:tc>
          <w:tcPr>
            <w:tcW w:w="2231" w:type="dxa"/>
            <w:tcBorders>
              <w:top w:val="single" w:sz="4" w:space="0" w:color="auto"/>
              <w:left w:val="single" w:sz="4" w:space="0" w:color="auto"/>
              <w:bottom w:val="single" w:sz="8" w:space="0" w:color="auto"/>
              <w:right w:val="single" w:sz="4" w:space="0" w:color="auto"/>
            </w:tcBorders>
            <w:hideMark/>
          </w:tcPr>
          <w:p w14:paraId="715829B3" w14:textId="77777777" w:rsidR="00D22DB2" w:rsidRPr="00D22DB2" w:rsidRDefault="00D22DB2" w:rsidP="004562C8">
            <w:pPr>
              <w:pStyle w:val="PBACTableText"/>
            </w:pPr>
            <w:r w:rsidRPr="00D22DB2">
              <w:t>1. -1.16 log HDV RNA, elevated ALT</w:t>
            </w:r>
          </w:p>
        </w:tc>
        <w:tc>
          <w:tcPr>
            <w:tcW w:w="2232" w:type="dxa"/>
            <w:tcBorders>
              <w:top w:val="single" w:sz="4" w:space="0" w:color="auto"/>
              <w:left w:val="single" w:sz="4" w:space="0" w:color="auto"/>
              <w:bottom w:val="single" w:sz="8" w:space="0" w:color="auto"/>
              <w:right w:val="single" w:sz="8" w:space="0" w:color="auto"/>
            </w:tcBorders>
            <w:hideMark/>
          </w:tcPr>
          <w:p w14:paraId="5E44B8E7" w14:textId="77777777" w:rsidR="00D22DB2" w:rsidRPr="00D22DB2" w:rsidRDefault="00D22DB2" w:rsidP="004562C8">
            <w:pPr>
              <w:pStyle w:val="PBACTableText"/>
            </w:pPr>
            <w:r w:rsidRPr="00D22DB2">
              <w:t>1. -1.20 log HDV RNA, normal ALT</w:t>
            </w:r>
          </w:p>
        </w:tc>
      </w:tr>
      <w:tr w:rsidR="00437AD1" w:rsidRPr="00D22DB2" w14:paraId="17C2BE95" w14:textId="77777777" w:rsidTr="0E43F874">
        <w:tc>
          <w:tcPr>
            <w:tcW w:w="8926" w:type="dxa"/>
            <w:gridSpan w:val="4"/>
            <w:tcBorders>
              <w:top w:val="single" w:sz="8" w:space="0" w:color="auto"/>
              <w:left w:val="nil"/>
              <w:bottom w:val="single" w:sz="8" w:space="0" w:color="auto"/>
              <w:right w:val="nil"/>
            </w:tcBorders>
          </w:tcPr>
          <w:p w14:paraId="114B7B38" w14:textId="77777777" w:rsidR="00D22DB2" w:rsidRPr="00D22DB2" w:rsidRDefault="00D22DB2" w:rsidP="004562C8">
            <w:pPr>
              <w:pStyle w:val="PBACTableText"/>
            </w:pPr>
          </w:p>
        </w:tc>
      </w:tr>
      <w:tr w:rsidR="00437AD1" w:rsidRPr="00D22DB2" w14:paraId="58F831C8" w14:textId="77777777" w:rsidTr="0E43F874">
        <w:tc>
          <w:tcPr>
            <w:tcW w:w="8926" w:type="dxa"/>
            <w:gridSpan w:val="4"/>
            <w:tcBorders>
              <w:top w:val="single" w:sz="8" w:space="0" w:color="auto"/>
              <w:left w:val="single" w:sz="8" w:space="0" w:color="auto"/>
              <w:bottom w:val="single" w:sz="4" w:space="0" w:color="auto"/>
              <w:right w:val="single" w:sz="8" w:space="0" w:color="auto"/>
            </w:tcBorders>
            <w:hideMark/>
          </w:tcPr>
          <w:p w14:paraId="25160630" w14:textId="77777777" w:rsidR="00D22DB2" w:rsidRPr="00D22DB2" w:rsidRDefault="00D22DB2" w:rsidP="004562C8">
            <w:pPr>
              <w:pStyle w:val="PBACTableText"/>
            </w:pPr>
            <w:r w:rsidRPr="00D22DB2">
              <w:t xml:space="preserve">2 non-responders </w:t>
            </w:r>
            <w:proofErr w:type="gramStart"/>
            <w:r w:rsidRPr="00D22DB2">
              <w:t>at</w:t>
            </w:r>
            <w:proofErr w:type="gramEnd"/>
            <w:r w:rsidRPr="00D22DB2">
              <w:t xml:space="preserve"> week 36 received PEG-IFN in addition to BLV before week 60 </w:t>
            </w:r>
            <w:r w:rsidRPr="00D22DB2">
              <w:rPr>
                <w:i/>
                <w:iCs/>
              </w:rPr>
              <w:t>(both had an improved response)</w:t>
            </w:r>
          </w:p>
        </w:tc>
      </w:tr>
      <w:tr w:rsidR="00770EA7" w:rsidRPr="00D22DB2" w14:paraId="405E3549" w14:textId="77777777" w:rsidTr="0E43F874">
        <w:trPr>
          <w:cantSplit/>
        </w:trPr>
        <w:tc>
          <w:tcPr>
            <w:tcW w:w="2231" w:type="dxa"/>
            <w:tcBorders>
              <w:top w:val="single" w:sz="4" w:space="0" w:color="auto"/>
              <w:left w:val="single" w:sz="8" w:space="0" w:color="auto"/>
              <w:bottom w:val="single" w:sz="8" w:space="0" w:color="auto"/>
              <w:right w:val="single" w:sz="4" w:space="0" w:color="auto"/>
            </w:tcBorders>
            <w:hideMark/>
          </w:tcPr>
          <w:p w14:paraId="449AB766" w14:textId="77777777" w:rsidR="00D22DB2" w:rsidRPr="00D22DB2" w:rsidRDefault="00D22DB2" w:rsidP="004562C8">
            <w:pPr>
              <w:pStyle w:val="PBACTableText"/>
            </w:pPr>
            <w:r w:rsidRPr="00D22DB2">
              <w:t xml:space="preserve">1. -0.5 </w:t>
            </w:r>
            <w:proofErr w:type="gramStart"/>
            <w:r w:rsidRPr="00D22DB2">
              <w:t>log</w:t>
            </w:r>
            <w:proofErr w:type="gramEnd"/>
            <w:r w:rsidRPr="00D22DB2">
              <w:t xml:space="preserve"> HDV RNA, normal ALT</w:t>
            </w:r>
          </w:p>
          <w:p w14:paraId="7E7A938D" w14:textId="77777777" w:rsidR="00D22DB2" w:rsidRPr="00D22DB2" w:rsidRDefault="00D22DB2" w:rsidP="004562C8">
            <w:pPr>
              <w:pStyle w:val="PBACTableText"/>
            </w:pPr>
            <w:r w:rsidRPr="00D22DB2">
              <w:t>2. -1.29 log HDV RNA, elevated ALT</w:t>
            </w:r>
          </w:p>
        </w:tc>
        <w:tc>
          <w:tcPr>
            <w:tcW w:w="2232" w:type="dxa"/>
            <w:tcBorders>
              <w:top w:val="single" w:sz="4" w:space="0" w:color="auto"/>
              <w:left w:val="single" w:sz="4" w:space="0" w:color="auto"/>
              <w:bottom w:val="single" w:sz="8" w:space="0" w:color="auto"/>
              <w:right w:val="single" w:sz="4" w:space="0" w:color="auto"/>
            </w:tcBorders>
            <w:hideMark/>
          </w:tcPr>
          <w:p w14:paraId="3F7B7DB6" w14:textId="77777777" w:rsidR="00D22DB2" w:rsidRPr="00D22DB2" w:rsidRDefault="00D22DB2" w:rsidP="004562C8">
            <w:pPr>
              <w:pStyle w:val="PBACTableText"/>
            </w:pPr>
            <w:r w:rsidRPr="00D22DB2">
              <w:t>1. -0.46 log HDV RNA, normal ALT</w:t>
            </w:r>
          </w:p>
          <w:p w14:paraId="7F9281C2" w14:textId="77777777" w:rsidR="00D22DB2" w:rsidRPr="00D22DB2" w:rsidRDefault="00D22DB2" w:rsidP="004562C8">
            <w:pPr>
              <w:pStyle w:val="PBACTableText"/>
            </w:pPr>
            <w:r w:rsidRPr="00D22DB2">
              <w:t>2. -1.69 log HDV RNA, elevated ALT</w:t>
            </w:r>
          </w:p>
        </w:tc>
        <w:tc>
          <w:tcPr>
            <w:tcW w:w="2231" w:type="dxa"/>
            <w:tcBorders>
              <w:top w:val="single" w:sz="4" w:space="0" w:color="auto"/>
              <w:left w:val="single" w:sz="4" w:space="0" w:color="auto"/>
              <w:bottom w:val="single" w:sz="8" w:space="0" w:color="auto"/>
              <w:right w:val="single" w:sz="4" w:space="0" w:color="auto"/>
            </w:tcBorders>
            <w:hideMark/>
          </w:tcPr>
          <w:p w14:paraId="3288FD18" w14:textId="77777777" w:rsidR="00D22DB2" w:rsidRPr="00D22DB2" w:rsidRDefault="00D22DB2" w:rsidP="004562C8">
            <w:pPr>
              <w:pStyle w:val="PBACTableText"/>
            </w:pPr>
            <w:r w:rsidRPr="00D22DB2">
              <w:t>1. -0.47 log HDV RNA, normal ALT</w:t>
            </w:r>
          </w:p>
          <w:p w14:paraId="4C6240E2" w14:textId="77777777" w:rsidR="00D22DB2" w:rsidRPr="00D22DB2" w:rsidRDefault="00D22DB2" w:rsidP="004562C8">
            <w:pPr>
              <w:pStyle w:val="PBACTableText"/>
            </w:pPr>
            <w:r w:rsidRPr="00D22DB2">
              <w:t xml:space="preserve">2. -1.32 </w:t>
            </w:r>
            <w:proofErr w:type="gramStart"/>
            <w:r w:rsidRPr="00D22DB2">
              <w:t>log</w:t>
            </w:r>
            <w:proofErr w:type="gramEnd"/>
            <w:r w:rsidRPr="00D22DB2">
              <w:t xml:space="preserve"> HDV RNA, normal ALT</w:t>
            </w:r>
          </w:p>
        </w:tc>
        <w:tc>
          <w:tcPr>
            <w:tcW w:w="2232" w:type="dxa"/>
            <w:tcBorders>
              <w:top w:val="single" w:sz="4" w:space="0" w:color="auto"/>
              <w:left w:val="single" w:sz="4" w:space="0" w:color="auto"/>
              <w:bottom w:val="single" w:sz="8" w:space="0" w:color="auto"/>
              <w:right w:val="single" w:sz="8" w:space="0" w:color="auto"/>
            </w:tcBorders>
            <w:hideMark/>
          </w:tcPr>
          <w:p w14:paraId="705FFCA9" w14:textId="77777777" w:rsidR="00D22DB2" w:rsidRPr="00D22DB2" w:rsidRDefault="00D22DB2" w:rsidP="004562C8">
            <w:pPr>
              <w:pStyle w:val="PBACTableText"/>
            </w:pPr>
            <w:r w:rsidRPr="00D22DB2">
              <w:t>1. -2.31 log HDV RNA, normal ALT</w:t>
            </w:r>
          </w:p>
          <w:p w14:paraId="2D6CC214" w14:textId="77777777" w:rsidR="00D22DB2" w:rsidRPr="00D22DB2" w:rsidRDefault="00D22DB2" w:rsidP="004562C8">
            <w:pPr>
              <w:pStyle w:val="PBACTableText"/>
            </w:pPr>
            <w:r w:rsidRPr="00D22DB2">
              <w:t>2. -1.90 log HDV RNA, normal ALT</w:t>
            </w:r>
          </w:p>
        </w:tc>
      </w:tr>
      <w:tr w:rsidR="00437AD1" w:rsidRPr="00D22DB2" w14:paraId="19EB1B97" w14:textId="77777777" w:rsidTr="0E43F874">
        <w:tc>
          <w:tcPr>
            <w:tcW w:w="8926" w:type="dxa"/>
            <w:gridSpan w:val="4"/>
            <w:tcBorders>
              <w:top w:val="single" w:sz="8" w:space="0" w:color="auto"/>
              <w:left w:val="nil"/>
              <w:bottom w:val="single" w:sz="8" w:space="0" w:color="auto"/>
              <w:right w:val="nil"/>
            </w:tcBorders>
          </w:tcPr>
          <w:p w14:paraId="792EF7F3" w14:textId="77777777" w:rsidR="00D22DB2" w:rsidRPr="00D22DB2" w:rsidRDefault="00D22DB2" w:rsidP="004562C8">
            <w:pPr>
              <w:pStyle w:val="PBACTableText"/>
            </w:pPr>
          </w:p>
        </w:tc>
      </w:tr>
      <w:tr w:rsidR="00437AD1" w:rsidRPr="00D22DB2" w14:paraId="4B9A0FC0" w14:textId="77777777" w:rsidTr="0E43F874">
        <w:tc>
          <w:tcPr>
            <w:tcW w:w="8926" w:type="dxa"/>
            <w:gridSpan w:val="4"/>
            <w:tcBorders>
              <w:top w:val="single" w:sz="8" w:space="0" w:color="auto"/>
              <w:left w:val="single" w:sz="8" w:space="0" w:color="auto"/>
              <w:bottom w:val="single" w:sz="4" w:space="0" w:color="auto"/>
              <w:right w:val="single" w:sz="8" w:space="0" w:color="auto"/>
            </w:tcBorders>
            <w:hideMark/>
          </w:tcPr>
          <w:p w14:paraId="6B8E4280" w14:textId="77777777" w:rsidR="00D22DB2" w:rsidRPr="00D22DB2" w:rsidRDefault="00D22DB2" w:rsidP="004562C8">
            <w:pPr>
              <w:pStyle w:val="PBACTableText"/>
            </w:pPr>
            <w:r w:rsidRPr="00D22DB2">
              <w:t>1 non-responder had treatment stopped because of severe alcohol abuse. Treatment was restarted after 6 months of sobriety and PEG-IFN was added after 20 weeks</w:t>
            </w:r>
          </w:p>
        </w:tc>
      </w:tr>
      <w:tr w:rsidR="00770EA7" w:rsidRPr="00D22DB2" w14:paraId="2C1C2E31" w14:textId="77777777" w:rsidTr="0E43F874">
        <w:tc>
          <w:tcPr>
            <w:tcW w:w="2231" w:type="dxa"/>
            <w:tcBorders>
              <w:top w:val="single" w:sz="4" w:space="0" w:color="auto"/>
              <w:left w:val="single" w:sz="8" w:space="0" w:color="auto"/>
              <w:bottom w:val="single" w:sz="8" w:space="0" w:color="auto"/>
              <w:right w:val="single" w:sz="4" w:space="0" w:color="auto"/>
            </w:tcBorders>
            <w:hideMark/>
          </w:tcPr>
          <w:p w14:paraId="705B1E46" w14:textId="77777777" w:rsidR="00D22DB2" w:rsidRPr="00D22DB2" w:rsidRDefault="00D22DB2" w:rsidP="004562C8">
            <w:pPr>
              <w:pStyle w:val="PBACTableText"/>
            </w:pPr>
            <w:r w:rsidRPr="00D22DB2">
              <w:t>-1.32 log HDV RNA, elevated ALT</w:t>
            </w:r>
          </w:p>
        </w:tc>
        <w:tc>
          <w:tcPr>
            <w:tcW w:w="2232" w:type="dxa"/>
            <w:tcBorders>
              <w:top w:val="single" w:sz="4" w:space="0" w:color="auto"/>
              <w:left w:val="single" w:sz="4" w:space="0" w:color="auto"/>
              <w:bottom w:val="single" w:sz="8" w:space="0" w:color="auto"/>
              <w:right w:val="single" w:sz="4" w:space="0" w:color="auto"/>
            </w:tcBorders>
            <w:hideMark/>
          </w:tcPr>
          <w:p w14:paraId="72A5685A" w14:textId="77777777" w:rsidR="00D22DB2" w:rsidRPr="00D22DB2" w:rsidRDefault="00D22DB2" w:rsidP="004562C8">
            <w:pPr>
              <w:pStyle w:val="PBACTableText"/>
            </w:pPr>
            <w:r w:rsidRPr="00D22DB2">
              <w:t>NR</w:t>
            </w:r>
          </w:p>
        </w:tc>
        <w:tc>
          <w:tcPr>
            <w:tcW w:w="2231" w:type="dxa"/>
            <w:tcBorders>
              <w:top w:val="single" w:sz="4" w:space="0" w:color="auto"/>
              <w:left w:val="single" w:sz="4" w:space="0" w:color="auto"/>
              <w:bottom w:val="single" w:sz="8" w:space="0" w:color="auto"/>
              <w:right w:val="single" w:sz="4" w:space="0" w:color="auto"/>
            </w:tcBorders>
            <w:hideMark/>
          </w:tcPr>
          <w:p w14:paraId="4EA12786" w14:textId="77777777" w:rsidR="00D22DB2" w:rsidRPr="00D22DB2" w:rsidRDefault="00D22DB2" w:rsidP="004562C8">
            <w:pPr>
              <w:pStyle w:val="PBACTableText"/>
            </w:pPr>
            <w:r w:rsidRPr="00D22DB2">
              <w:t>NR</w:t>
            </w:r>
          </w:p>
        </w:tc>
        <w:tc>
          <w:tcPr>
            <w:tcW w:w="2232" w:type="dxa"/>
            <w:tcBorders>
              <w:top w:val="single" w:sz="4" w:space="0" w:color="auto"/>
              <w:left w:val="single" w:sz="4" w:space="0" w:color="auto"/>
              <w:bottom w:val="single" w:sz="8" w:space="0" w:color="auto"/>
              <w:right w:val="single" w:sz="8" w:space="0" w:color="auto"/>
            </w:tcBorders>
            <w:hideMark/>
          </w:tcPr>
          <w:p w14:paraId="17763000" w14:textId="77777777" w:rsidR="00D22DB2" w:rsidRPr="00D22DB2" w:rsidRDefault="00D22DB2" w:rsidP="004562C8">
            <w:pPr>
              <w:pStyle w:val="PBACTableText"/>
            </w:pPr>
            <w:r w:rsidRPr="00D22DB2">
              <w:t>NR</w:t>
            </w:r>
          </w:p>
        </w:tc>
      </w:tr>
      <w:tr w:rsidR="00437AD1" w:rsidRPr="00D22DB2" w14:paraId="3178A007" w14:textId="77777777" w:rsidTr="0E43F874">
        <w:tc>
          <w:tcPr>
            <w:tcW w:w="8926" w:type="dxa"/>
            <w:gridSpan w:val="4"/>
            <w:tcBorders>
              <w:top w:val="single" w:sz="8" w:space="0" w:color="auto"/>
              <w:left w:val="nil"/>
              <w:bottom w:val="single" w:sz="8" w:space="0" w:color="auto"/>
              <w:right w:val="nil"/>
            </w:tcBorders>
          </w:tcPr>
          <w:p w14:paraId="5024DE7F" w14:textId="77777777" w:rsidR="00D22DB2" w:rsidRPr="00D22DB2" w:rsidRDefault="00D22DB2" w:rsidP="004562C8">
            <w:pPr>
              <w:pStyle w:val="PBACTableText"/>
            </w:pPr>
          </w:p>
        </w:tc>
      </w:tr>
      <w:tr w:rsidR="00437AD1" w:rsidRPr="00D22DB2" w14:paraId="45ABA911" w14:textId="77777777" w:rsidTr="0E43F874">
        <w:tc>
          <w:tcPr>
            <w:tcW w:w="8926" w:type="dxa"/>
            <w:gridSpan w:val="4"/>
            <w:tcBorders>
              <w:top w:val="single" w:sz="8" w:space="0" w:color="auto"/>
              <w:left w:val="single" w:sz="8" w:space="0" w:color="auto"/>
              <w:bottom w:val="single" w:sz="4" w:space="0" w:color="auto"/>
              <w:right w:val="single" w:sz="8" w:space="0" w:color="auto"/>
            </w:tcBorders>
            <w:hideMark/>
          </w:tcPr>
          <w:p w14:paraId="7BA009FA" w14:textId="77777777" w:rsidR="00D22DB2" w:rsidRPr="00D22DB2" w:rsidRDefault="00D22DB2" w:rsidP="004562C8">
            <w:pPr>
              <w:pStyle w:val="PBACTableText"/>
            </w:pPr>
            <w:r w:rsidRPr="00D22DB2">
              <w:rPr>
                <w:lang w:val="en-AU"/>
              </w:rPr>
              <w:t>1 responder received PEG-IFN in addition to BLV before week 60 and then had treatment terminated because of intolerability of the combination PEG-IFN with BLV at week 60</w:t>
            </w:r>
          </w:p>
        </w:tc>
      </w:tr>
      <w:tr w:rsidR="00770EA7" w:rsidRPr="00D22DB2" w14:paraId="4DB2FDF8" w14:textId="77777777" w:rsidTr="0E43F874">
        <w:tc>
          <w:tcPr>
            <w:tcW w:w="2231" w:type="dxa"/>
            <w:tcBorders>
              <w:top w:val="single" w:sz="4" w:space="0" w:color="auto"/>
              <w:left w:val="single" w:sz="8" w:space="0" w:color="auto"/>
              <w:bottom w:val="single" w:sz="8" w:space="0" w:color="auto"/>
              <w:right w:val="single" w:sz="4" w:space="0" w:color="auto"/>
            </w:tcBorders>
            <w:hideMark/>
          </w:tcPr>
          <w:p w14:paraId="6581C4B8" w14:textId="77777777" w:rsidR="00D22DB2" w:rsidRPr="00D22DB2" w:rsidRDefault="00D22DB2" w:rsidP="004562C8">
            <w:pPr>
              <w:pStyle w:val="PBACTableText"/>
            </w:pPr>
            <w:r w:rsidRPr="00D22DB2">
              <w:t>-0.74 log HDV RNA, normal ALT</w:t>
            </w:r>
          </w:p>
        </w:tc>
        <w:tc>
          <w:tcPr>
            <w:tcW w:w="2232" w:type="dxa"/>
            <w:tcBorders>
              <w:top w:val="single" w:sz="4" w:space="0" w:color="auto"/>
              <w:left w:val="single" w:sz="4" w:space="0" w:color="auto"/>
              <w:bottom w:val="single" w:sz="8" w:space="0" w:color="auto"/>
              <w:right w:val="single" w:sz="4" w:space="0" w:color="auto"/>
            </w:tcBorders>
            <w:hideMark/>
          </w:tcPr>
          <w:p w14:paraId="3E64B4FD" w14:textId="77777777" w:rsidR="00D22DB2" w:rsidRPr="00D22DB2" w:rsidRDefault="00D22DB2" w:rsidP="004562C8">
            <w:pPr>
              <w:pStyle w:val="PBACTableText"/>
            </w:pPr>
            <w:r w:rsidRPr="00D22DB2">
              <w:t>NR, normal ALT</w:t>
            </w:r>
          </w:p>
        </w:tc>
        <w:tc>
          <w:tcPr>
            <w:tcW w:w="2231" w:type="dxa"/>
            <w:tcBorders>
              <w:top w:val="single" w:sz="4" w:space="0" w:color="auto"/>
              <w:left w:val="single" w:sz="4" w:space="0" w:color="auto"/>
              <w:bottom w:val="single" w:sz="8" w:space="0" w:color="auto"/>
              <w:right w:val="single" w:sz="4" w:space="0" w:color="auto"/>
            </w:tcBorders>
            <w:hideMark/>
          </w:tcPr>
          <w:p w14:paraId="38802833" w14:textId="77777777" w:rsidR="00D22DB2" w:rsidRPr="00D22DB2" w:rsidRDefault="00D22DB2" w:rsidP="004562C8">
            <w:pPr>
              <w:pStyle w:val="PBACTableText"/>
            </w:pPr>
            <w:r w:rsidRPr="00D22DB2">
              <w:t xml:space="preserve">-1.67 </w:t>
            </w:r>
            <w:proofErr w:type="gramStart"/>
            <w:r w:rsidRPr="00D22DB2">
              <w:t>log</w:t>
            </w:r>
            <w:proofErr w:type="gramEnd"/>
            <w:r w:rsidRPr="00D22DB2">
              <w:t xml:space="preserve"> HDV RNA, normal ALT</w:t>
            </w:r>
          </w:p>
        </w:tc>
        <w:tc>
          <w:tcPr>
            <w:tcW w:w="2232" w:type="dxa"/>
            <w:tcBorders>
              <w:top w:val="single" w:sz="4" w:space="0" w:color="auto"/>
              <w:left w:val="single" w:sz="4" w:space="0" w:color="auto"/>
              <w:bottom w:val="single" w:sz="8" w:space="0" w:color="auto"/>
              <w:right w:val="single" w:sz="8" w:space="0" w:color="auto"/>
            </w:tcBorders>
            <w:hideMark/>
          </w:tcPr>
          <w:p w14:paraId="279301A6" w14:textId="77777777" w:rsidR="00D22DB2" w:rsidRPr="00D22DB2" w:rsidRDefault="00D22DB2" w:rsidP="004562C8">
            <w:pPr>
              <w:pStyle w:val="PBACTableText"/>
            </w:pPr>
            <w:r w:rsidRPr="00D22DB2">
              <w:t>-2.30 log HDV RNA, elevated ALT</w:t>
            </w:r>
          </w:p>
        </w:tc>
      </w:tr>
    </w:tbl>
    <w:p w14:paraId="50B80EA9" w14:textId="77777777" w:rsidR="00D22DB2" w:rsidRPr="004506DC" w:rsidRDefault="00D22DB2" w:rsidP="004506DC">
      <w:pPr>
        <w:spacing w:before="240"/>
        <w:jc w:val="left"/>
        <w:rPr>
          <w:rFonts w:ascii="Franklin Gothic Book" w:hAnsi="Franklin Gothic Book"/>
          <w:sz w:val="22"/>
        </w:rPr>
      </w:pPr>
      <w:r w:rsidRPr="004506DC">
        <w:rPr>
          <w:rFonts w:ascii="Franklin Gothic Book" w:hAnsi="Franklin Gothic Book"/>
          <w:sz w:val="22"/>
        </w:rPr>
        <w:t>All 5 patients who stopped treatment at weeks 48-130, after having undetectable HDV RNA for at least 6 months, relapsed.</w:t>
      </w:r>
    </w:p>
    <w:p w14:paraId="40175332" w14:textId="77777777" w:rsidR="00D22DB2" w:rsidRPr="00D522BC" w:rsidRDefault="00D22DB2" w:rsidP="004506DC">
      <w:pPr>
        <w:jc w:val="left"/>
        <w:rPr>
          <w:rFonts w:ascii="Franklin Gothic Book" w:hAnsi="Franklin Gothic Book"/>
          <w:sz w:val="22"/>
        </w:rPr>
      </w:pPr>
      <w:r w:rsidRPr="00D522BC">
        <w:rPr>
          <w:rFonts w:ascii="Franklin Gothic Book" w:hAnsi="Franklin Gothic Book"/>
          <w:sz w:val="22"/>
        </w:rPr>
        <w:t>10 patients were still on BLV monotherapy at the end of the study, but details on HDV RNA and ALT levels were only shown for 7 of these patients. Five were responders and 2 had not responded to BLV treatment (with 0.82 and 1.25 log decreases in viral load). The reasons why PEG-IFN was not added to the treatment of these patients was not discussed.</w:t>
      </w:r>
    </w:p>
    <w:p w14:paraId="59DF6AEC" w14:textId="7223EE8C" w:rsidR="00D22DB2" w:rsidRPr="00D522BC" w:rsidRDefault="740BA591" w:rsidP="004506DC">
      <w:pPr>
        <w:jc w:val="left"/>
        <w:rPr>
          <w:rFonts w:ascii="Franklin Gothic Book" w:hAnsi="Franklin Gothic Book"/>
          <w:sz w:val="22"/>
        </w:rPr>
      </w:pPr>
      <w:r w:rsidRPr="00D522BC">
        <w:rPr>
          <w:rFonts w:ascii="Franklin Gothic Book" w:hAnsi="Franklin Gothic Book"/>
          <w:sz w:val="22"/>
        </w:rPr>
        <w:t>The addition of PEG-IFN resulted in a &gt;2 log decrease in HDV RNA in 3 out of 6 non-responders to BLV monotherapy. No explanation was given as to why the other non-responders were not given PEG-IFN</w:t>
      </w:r>
      <w:r w:rsidR="4BF7638C" w:rsidRPr="00D522BC">
        <w:rPr>
          <w:rFonts w:ascii="Franklin Gothic Book" w:hAnsi="Franklin Gothic Book"/>
          <w:sz w:val="22"/>
        </w:rPr>
        <w:t xml:space="preserve">, </w:t>
      </w:r>
      <w:r w:rsidR="317F9C1F" w:rsidRPr="00D522BC">
        <w:rPr>
          <w:rFonts w:ascii="Franklin Gothic Book" w:hAnsi="Franklin Gothic Book"/>
          <w:sz w:val="22"/>
        </w:rPr>
        <w:t xml:space="preserve">though it may be related </w:t>
      </w:r>
      <w:r w:rsidR="0020066F">
        <w:rPr>
          <w:rFonts w:ascii="Franklin Gothic Book" w:hAnsi="Franklin Gothic Book"/>
          <w:sz w:val="22"/>
        </w:rPr>
        <w:t xml:space="preserve">to </w:t>
      </w:r>
      <w:r w:rsidR="70C5BCB1" w:rsidRPr="00D522BC">
        <w:rPr>
          <w:rFonts w:ascii="Franklin Gothic Book" w:hAnsi="Franklin Gothic Book"/>
          <w:sz w:val="22"/>
        </w:rPr>
        <w:t xml:space="preserve">the finding of a normal </w:t>
      </w:r>
      <w:r w:rsidR="317F9C1F" w:rsidRPr="00D522BC">
        <w:rPr>
          <w:rFonts w:ascii="Franklin Gothic Book" w:hAnsi="Franklin Gothic Book"/>
          <w:sz w:val="22"/>
        </w:rPr>
        <w:t>ALT</w:t>
      </w:r>
      <w:r w:rsidRPr="00D522BC">
        <w:rPr>
          <w:rFonts w:ascii="Franklin Gothic Book" w:hAnsi="Franklin Gothic Book"/>
          <w:sz w:val="22"/>
        </w:rPr>
        <w:t xml:space="preserve">. The log decrease in viral load </w:t>
      </w:r>
      <w:r w:rsidR="27CF8656" w:rsidRPr="00D522BC">
        <w:rPr>
          <w:rFonts w:ascii="Franklin Gothic Book" w:hAnsi="Franklin Gothic Book"/>
          <w:sz w:val="22"/>
        </w:rPr>
        <w:t>did</w:t>
      </w:r>
      <w:r w:rsidRPr="00D522BC">
        <w:rPr>
          <w:rFonts w:ascii="Franklin Gothic Book" w:hAnsi="Franklin Gothic Book"/>
          <w:sz w:val="22"/>
        </w:rPr>
        <w:t xml:space="preserve"> not </w:t>
      </w:r>
      <w:r w:rsidR="27CF8656" w:rsidRPr="00D522BC">
        <w:rPr>
          <w:rFonts w:ascii="Franklin Gothic Book" w:hAnsi="Franklin Gothic Book"/>
          <w:sz w:val="22"/>
        </w:rPr>
        <w:t xml:space="preserve">in isolation </w:t>
      </w:r>
      <w:r w:rsidRPr="00D522BC">
        <w:rPr>
          <w:rFonts w:ascii="Franklin Gothic Book" w:hAnsi="Franklin Gothic Book"/>
          <w:sz w:val="22"/>
        </w:rPr>
        <w:t>appear to factor into the decision about which non-responders should have PEG-IFN treatment in addition to BLV. As only the change in HDV RNA levels has been reported, it is unknown what the residual viral load is in these patients, i.e. whether it is low (as in close to undetectable) or high. Thus, it cannot be determined if the level of residual HDV RNA plays a role in determining clinical management.</w:t>
      </w:r>
    </w:p>
    <w:p w14:paraId="6B15BDB1" w14:textId="15197B7A" w:rsidR="00D22DB2" w:rsidRPr="00D522BC" w:rsidRDefault="740BA591" w:rsidP="004506DC">
      <w:pPr>
        <w:jc w:val="left"/>
        <w:rPr>
          <w:rFonts w:ascii="Franklin Gothic Book" w:hAnsi="Franklin Gothic Book"/>
          <w:sz w:val="22"/>
        </w:rPr>
      </w:pPr>
      <w:r w:rsidRPr="00D522BC">
        <w:rPr>
          <w:rFonts w:ascii="Franklin Gothic Book" w:hAnsi="Franklin Gothic Book"/>
          <w:sz w:val="22"/>
        </w:rPr>
        <w:lastRenderedPageBreak/>
        <w:t xml:space="preserve">PEG-IFN treatment was added to 2 patients who responded to BLV with a &gt;2 log </w:t>
      </w:r>
      <w:proofErr w:type="gramStart"/>
      <w:r w:rsidRPr="00D522BC">
        <w:rPr>
          <w:rFonts w:ascii="Franklin Gothic Book" w:hAnsi="Franklin Gothic Book"/>
          <w:sz w:val="22"/>
        </w:rPr>
        <w:t>decrease</w:t>
      </w:r>
      <w:proofErr w:type="gramEnd"/>
      <w:r w:rsidRPr="00D522BC">
        <w:rPr>
          <w:rFonts w:ascii="Franklin Gothic Book" w:hAnsi="Franklin Gothic Book"/>
          <w:sz w:val="22"/>
        </w:rPr>
        <w:t xml:space="preserve"> due an increase in HDV-RNA at week 44 in one patient (not captured with information provided in Table 2). The other patient had a &gt;2 log decrease at week 24, which did not decrease any further, thus PEG-IFN was thus added at week 39. The decision to change treatment for these 2 patients does appear to be directly related to the quantitative HDV RNA </w:t>
      </w:r>
      <w:proofErr w:type="gramStart"/>
      <w:r w:rsidRPr="00D522BC">
        <w:rPr>
          <w:rFonts w:ascii="Franklin Gothic Book" w:hAnsi="Franklin Gothic Book"/>
          <w:sz w:val="22"/>
        </w:rPr>
        <w:t>result</w:t>
      </w:r>
      <w:r w:rsidR="1EEC3A21" w:rsidRPr="00D522BC">
        <w:rPr>
          <w:rFonts w:ascii="Franklin Gothic Book" w:hAnsi="Franklin Gothic Book"/>
          <w:sz w:val="22"/>
        </w:rPr>
        <w:t>, but</w:t>
      </w:r>
      <w:proofErr w:type="gramEnd"/>
      <w:r w:rsidR="1EEC3A21" w:rsidRPr="00D522BC">
        <w:rPr>
          <w:rFonts w:ascii="Franklin Gothic Book" w:hAnsi="Franklin Gothic Book"/>
          <w:sz w:val="22"/>
        </w:rPr>
        <w:t xml:space="preserve"> was infl</w:t>
      </w:r>
      <w:r w:rsidR="387DECB6" w:rsidRPr="00D522BC">
        <w:rPr>
          <w:rFonts w:ascii="Franklin Gothic Book" w:hAnsi="Franklin Gothic Book"/>
          <w:sz w:val="22"/>
        </w:rPr>
        <w:t>uenced by the trend</w:t>
      </w:r>
      <w:r w:rsidRPr="00D522BC">
        <w:rPr>
          <w:rFonts w:ascii="Franklin Gothic Book" w:hAnsi="Franklin Gothic Book"/>
          <w:sz w:val="22"/>
        </w:rPr>
        <w:t>.</w:t>
      </w:r>
    </w:p>
    <w:p w14:paraId="1B8BA8F0" w14:textId="2BA6B5F9" w:rsidR="007E6D79" w:rsidRPr="00D22DB2" w:rsidRDefault="007E6D79" w:rsidP="00D22DB2">
      <w:pPr>
        <w:rPr>
          <w:i/>
          <w:iCs/>
        </w:rPr>
      </w:pPr>
      <w:r>
        <w:rPr>
          <w:noProof/>
        </w:rPr>
        <w:drawing>
          <wp:inline distT="0" distB="0" distL="0" distR="0" wp14:anchorId="53B3A661" wp14:editId="60B2CF68">
            <wp:extent cx="3593465" cy="5162550"/>
            <wp:effectExtent l="0" t="0" r="6985" b="0"/>
            <wp:docPr id="824897886"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4689" cy="5193041"/>
                    </a:xfrm>
                    <a:prstGeom prst="rect">
                      <a:avLst/>
                    </a:prstGeom>
                    <a:noFill/>
                    <a:ln>
                      <a:noFill/>
                    </a:ln>
                  </pic:spPr>
                </pic:pic>
              </a:graphicData>
            </a:graphic>
          </wp:inline>
        </w:drawing>
      </w:r>
    </w:p>
    <w:p w14:paraId="20A5126F" w14:textId="066EDA0F" w:rsidR="007E6D79" w:rsidRPr="004506DC" w:rsidRDefault="00642C46" w:rsidP="00D22DB2">
      <w:pPr>
        <w:rPr>
          <w:rFonts w:ascii="Arial Narrow" w:hAnsi="Arial Narrow"/>
          <w:b/>
          <w:bCs/>
          <w:i/>
          <w:iCs/>
          <w:sz w:val="20"/>
          <w:szCs w:val="20"/>
        </w:rPr>
      </w:pPr>
      <w:r w:rsidRPr="00642C46">
        <w:rPr>
          <w:rFonts w:ascii="Arial Narrow" w:hAnsi="Arial Narrow"/>
          <w:b/>
          <w:bCs/>
          <w:sz w:val="20"/>
          <w:szCs w:val="20"/>
        </w:rPr>
        <w:t xml:space="preserve">Figure </w:t>
      </w:r>
      <w:r w:rsidRPr="00642C46">
        <w:rPr>
          <w:rFonts w:ascii="Arial Narrow" w:hAnsi="Arial Narrow"/>
          <w:b/>
          <w:bCs/>
          <w:sz w:val="20"/>
          <w:szCs w:val="20"/>
        </w:rPr>
        <w:fldChar w:fldCharType="begin"/>
      </w:r>
      <w:r w:rsidRPr="00642C46">
        <w:rPr>
          <w:rFonts w:ascii="Arial Narrow" w:hAnsi="Arial Narrow"/>
          <w:b/>
          <w:bCs/>
          <w:sz w:val="20"/>
          <w:szCs w:val="20"/>
        </w:rPr>
        <w:instrText xml:space="preserve"> SEQ Figure_MSAC \* ARABIC </w:instrText>
      </w:r>
      <w:r w:rsidRPr="00642C46">
        <w:rPr>
          <w:rFonts w:ascii="Arial Narrow" w:hAnsi="Arial Narrow"/>
          <w:b/>
          <w:bCs/>
          <w:sz w:val="20"/>
          <w:szCs w:val="20"/>
        </w:rPr>
        <w:fldChar w:fldCharType="separate"/>
      </w:r>
      <w:r w:rsidRPr="00642C46">
        <w:rPr>
          <w:rFonts w:ascii="Arial Narrow" w:hAnsi="Arial Narrow"/>
          <w:b/>
          <w:bCs/>
          <w:sz w:val="20"/>
          <w:szCs w:val="20"/>
        </w:rPr>
        <w:t>3</w:t>
      </w:r>
      <w:r w:rsidRPr="00642C46">
        <w:rPr>
          <w:rFonts w:ascii="Arial Narrow" w:hAnsi="Arial Narrow"/>
          <w:b/>
          <w:bCs/>
          <w:sz w:val="20"/>
          <w:szCs w:val="20"/>
        </w:rPr>
        <w:fldChar w:fldCharType="end"/>
      </w:r>
      <w:r w:rsidRPr="003D78E9">
        <w:rPr>
          <w:rFonts w:ascii="Arial Narrow" w:hAnsi="Arial Narrow"/>
          <w:b/>
          <w:bCs/>
          <w:sz w:val="20"/>
          <w:szCs w:val="20"/>
        </w:rPr>
        <w:t xml:space="preserve"> </w:t>
      </w:r>
      <w:r w:rsidR="006F035E" w:rsidRPr="003D78E9">
        <w:rPr>
          <w:rFonts w:ascii="Arial Narrow" w:hAnsi="Arial Narrow"/>
          <w:b/>
          <w:bCs/>
          <w:sz w:val="20"/>
          <w:szCs w:val="20"/>
        </w:rPr>
        <w:t>(A) HDV</w:t>
      </w:r>
      <w:r w:rsidR="006F035E" w:rsidRPr="003D78E9">
        <w:rPr>
          <w:rFonts w:ascii="Cambria Math" w:hAnsi="Cambria Math" w:cs="Cambria Math"/>
          <w:b/>
          <w:bCs/>
          <w:sz w:val="20"/>
          <w:szCs w:val="20"/>
        </w:rPr>
        <w:t>‐</w:t>
      </w:r>
      <w:r w:rsidR="006F035E" w:rsidRPr="003D78E9">
        <w:rPr>
          <w:rFonts w:ascii="Arial Narrow" w:hAnsi="Arial Narrow"/>
          <w:b/>
          <w:bCs/>
          <w:sz w:val="20"/>
          <w:szCs w:val="20"/>
        </w:rPr>
        <w:t>RNA in patients on BLV monotherapy responding to BLV. Data of treatment of patient P1 until week 24 of follow</w:t>
      </w:r>
      <w:r w:rsidR="006F035E" w:rsidRPr="003D78E9">
        <w:rPr>
          <w:rFonts w:ascii="Cambria Math" w:hAnsi="Cambria Math" w:cs="Cambria Math"/>
          <w:b/>
          <w:bCs/>
          <w:sz w:val="20"/>
          <w:szCs w:val="20"/>
        </w:rPr>
        <w:t>‐</w:t>
      </w:r>
      <w:r w:rsidR="006F035E" w:rsidRPr="003D78E9">
        <w:rPr>
          <w:rFonts w:ascii="Arial Narrow" w:hAnsi="Arial Narrow"/>
          <w:b/>
          <w:bCs/>
          <w:sz w:val="20"/>
          <w:szCs w:val="20"/>
        </w:rPr>
        <w:t>up were published. 16 # retreatment with 2 mg BLV/day is considered. (B) Changes in HDV</w:t>
      </w:r>
      <w:r w:rsidR="006F035E" w:rsidRPr="003D78E9">
        <w:rPr>
          <w:rFonts w:ascii="Cambria Math" w:hAnsi="Cambria Math" w:cs="Cambria Math"/>
          <w:b/>
          <w:bCs/>
          <w:sz w:val="20"/>
          <w:szCs w:val="20"/>
        </w:rPr>
        <w:t>‐</w:t>
      </w:r>
      <w:r w:rsidR="006F035E" w:rsidRPr="003D78E9">
        <w:rPr>
          <w:rFonts w:ascii="Arial Narrow" w:hAnsi="Arial Narrow"/>
          <w:b/>
          <w:bCs/>
          <w:sz w:val="20"/>
          <w:szCs w:val="20"/>
        </w:rPr>
        <w:t>RNA before and after the addition of PEG</w:t>
      </w:r>
      <w:r w:rsidR="006F035E" w:rsidRPr="003D78E9">
        <w:rPr>
          <w:rFonts w:ascii="Cambria Math" w:hAnsi="Cambria Math" w:cs="Cambria Math"/>
          <w:b/>
          <w:bCs/>
          <w:sz w:val="20"/>
          <w:szCs w:val="20"/>
        </w:rPr>
        <w:t>‐</w:t>
      </w:r>
      <w:r w:rsidR="006F035E" w:rsidRPr="003D78E9">
        <w:rPr>
          <w:rFonts w:ascii="Arial Narrow" w:hAnsi="Arial Narrow"/>
          <w:b/>
          <w:bCs/>
          <w:sz w:val="20"/>
          <w:szCs w:val="20"/>
        </w:rPr>
        <w:t>IFN</w:t>
      </w:r>
    </w:p>
    <w:p w14:paraId="3C1B26F6" w14:textId="77777777" w:rsidR="00D22DB2" w:rsidRPr="004506DC" w:rsidRDefault="00D22DB2" w:rsidP="00D22DB2">
      <w:pPr>
        <w:rPr>
          <w:rFonts w:ascii="Franklin Gothic Book" w:hAnsi="Franklin Gothic Book"/>
          <w:b/>
          <w:bCs/>
          <w:i/>
          <w:iCs/>
        </w:rPr>
      </w:pPr>
      <w:r w:rsidRPr="004506DC">
        <w:rPr>
          <w:rFonts w:ascii="Franklin Gothic Book" w:hAnsi="Franklin Gothic Book"/>
          <w:b/>
          <w:bCs/>
          <w:i/>
          <w:iCs/>
        </w:rPr>
        <w:t>Discussion of the results</w:t>
      </w:r>
    </w:p>
    <w:p w14:paraId="78B2885A" w14:textId="77777777" w:rsidR="00D22DB2" w:rsidRPr="004506DC" w:rsidRDefault="740BA591" w:rsidP="004506DC">
      <w:pPr>
        <w:jc w:val="left"/>
        <w:rPr>
          <w:rFonts w:ascii="Franklin Gothic Book" w:hAnsi="Franklin Gothic Book"/>
          <w:i/>
          <w:iCs/>
          <w:sz w:val="22"/>
        </w:rPr>
      </w:pPr>
      <w:r w:rsidRPr="004506DC">
        <w:rPr>
          <w:rFonts w:ascii="Franklin Gothic Book" w:hAnsi="Franklin Gothic Book"/>
          <w:sz w:val="22"/>
        </w:rPr>
        <w:t xml:space="preserve">The authors noted that there is a lack of an accepted surrogate for virological efficacy of BLV therapy. However, the use of a combination of a &gt;2log decrease in viral load and normalisation of ALT as a primary endpoint implies that many patients still have detectable HDV-RNA and the impact of incomplete viral suppression on the further evolution of CHD remains unknown. Furthermore, the authors noted that ALT is an uncertain marker of liver disease and patients with advanced chronic liver disease may have ALT in the normal range. </w:t>
      </w:r>
      <w:r w:rsidRPr="004506DC">
        <w:rPr>
          <w:rFonts w:ascii="Franklin Gothic Book" w:hAnsi="Franklin Gothic Book"/>
          <w:i/>
          <w:iCs/>
          <w:sz w:val="22"/>
        </w:rPr>
        <w:t>In fact, 58%, 78%, 86% and 100% of non-responders had normal ALT levels at weeks 24, 36, 48 and 60, respectively.</w:t>
      </w:r>
    </w:p>
    <w:p w14:paraId="7425CE7E" w14:textId="77777777" w:rsidR="00D22DB2" w:rsidRPr="004506DC" w:rsidRDefault="00D22DB2" w:rsidP="004506DC">
      <w:pPr>
        <w:jc w:val="left"/>
        <w:rPr>
          <w:rFonts w:ascii="Franklin Gothic Book" w:hAnsi="Franklin Gothic Book"/>
          <w:sz w:val="22"/>
        </w:rPr>
      </w:pPr>
      <w:r w:rsidRPr="004506DC">
        <w:rPr>
          <w:rFonts w:ascii="Franklin Gothic Book" w:hAnsi="Franklin Gothic Book"/>
          <w:sz w:val="22"/>
        </w:rPr>
        <w:t>Thus, the authors performed paired hepatic venous pressure gradient (HVPG) measurements, as a 10%-decrease in HVPG translated into a decreased risk of hepatic decompensation in patients achieving HCV cure as well as favourable outcomes in studies investigating medical therapies for portal hypertension.</w:t>
      </w:r>
    </w:p>
    <w:p w14:paraId="696FA3E5" w14:textId="77777777" w:rsidR="00D22DB2" w:rsidRPr="004506DC" w:rsidRDefault="740BA591" w:rsidP="004506DC">
      <w:pPr>
        <w:jc w:val="left"/>
        <w:rPr>
          <w:rFonts w:ascii="Franklin Gothic Book" w:hAnsi="Franklin Gothic Book"/>
          <w:sz w:val="22"/>
        </w:rPr>
      </w:pPr>
      <w:r w:rsidRPr="004506DC">
        <w:rPr>
          <w:rFonts w:ascii="Franklin Gothic Book" w:hAnsi="Franklin Gothic Book"/>
          <w:sz w:val="22"/>
        </w:rPr>
        <w:lastRenderedPageBreak/>
        <w:t xml:space="preserve">Paired data on liver stiffness at baseline and at 48 weeks of treatment was available in 11 patients </w:t>
      </w:r>
      <w:r w:rsidRPr="004506DC">
        <w:rPr>
          <w:rFonts w:ascii="Franklin Gothic Book" w:hAnsi="Franklin Gothic Book"/>
          <w:i/>
          <w:iCs/>
          <w:sz w:val="22"/>
        </w:rPr>
        <w:t>(six responders at 1 year and five non-responders)</w:t>
      </w:r>
      <w:r w:rsidRPr="004506DC">
        <w:rPr>
          <w:rFonts w:ascii="Franklin Gothic Book" w:hAnsi="Franklin Gothic Book"/>
          <w:sz w:val="22"/>
        </w:rPr>
        <w:t xml:space="preserve">. Liver stiffness decreased in nine out of 11 patients and did not seem to correlate with the degree of virological response. Only two patients showed increases in liver stiffness; the patient in whom treatment was suspended due to alcohol abuse (with the increase most likely due to the alcohol abuse), and another patient who was an excellent virological responder </w:t>
      </w:r>
      <w:r w:rsidRPr="004506DC">
        <w:rPr>
          <w:rFonts w:ascii="Franklin Gothic Book" w:hAnsi="Franklin Gothic Book"/>
          <w:i/>
          <w:iCs/>
          <w:sz w:val="22"/>
        </w:rPr>
        <w:t>(-2.08 log decrease at 1 year)</w:t>
      </w:r>
      <w:r w:rsidRPr="004506DC">
        <w:rPr>
          <w:rFonts w:ascii="Franklin Gothic Book" w:hAnsi="Franklin Gothic Book"/>
          <w:sz w:val="22"/>
        </w:rPr>
        <w:t>.</w:t>
      </w:r>
    </w:p>
    <w:p w14:paraId="4D319756" w14:textId="6E84BC2A" w:rsidR="00D22DB2" w:rsidRPr="005C0C29" w:rsidRDefault="740BA591" w:rsidP="004506DC">
      <w:pPr>
        <w:jc w:val="left"/>
        <w:rPr>
          <w:rFonts w:ascii="Franklin Gothic Book" w:hAnsi="Franklin Gothic Book"/>
          <w:sz w:val="22"/>
        </w:rPr>
      </w:pPr>
      <w:r w:rsidRPr="005C0C29">
        <w:rPr>
          <w:rFonts w:ascii="Franklin Gothic Book" w:hAnsi="Franklin Gothic Book"/>
          <w:sz w:val="22"/>
        </w:rPr>
        <w:t xml:space="preserve">The use of PEG-IFN in the change in management for some of these patients </w:t>
      </w:r>
      <w:r w:rsidR="55D2286E" w:rsidRPr="005C0C29">
        <w:rPr>
          <w:rFonts w:ascii="Franklin Gothic Book" w:hAnsi="Franklin Gothic Book"/>
          <w:sz w:val="22"/>
        </w:rPr>
        <w:t>may</w:t>
      </w:r>
      <w:r w:rsidRPr="005C0C29">
        <w:rPr>
          <w:rFonts w:ascii="Franklin Gothic Book" w:hAnsi="Franklin Gothic Book"/>
          <w:sz w:val="22"/>
        </w:rPr>
        <w:t xml:space="preserve"> not </w:t>
      </w:r>
      <w:r w:rsidR="608709FB" w:rsidRPr="005C0C29">
        <w:rPr>
          <w:rFonts w:ascii="Franklin Gothic Book" w:hAnsi="Franklin Gothic Book"/>
          <w:sz w:val="22"/>
        </w:rPr>
        <w:t xml:space="preserve">be </w:t>
      </w:r>
      <w:r w:rsidRPr="005C0C29">
        <w:rPr>
          <w:rFonts w:ascii="Franklin Gothic Book" w:hAnsi="Franklin Gothic Book"/>
          <w:sz w:val="22"/>
        </w:rPr>
        <w:t xml:space="preserve">applicable to the Australian setting as PEG-IFN is not TGA-approved for this indication. </w:t>
      </w:r>
    </w:p>
    <w:p w14:paraId="2F5E57D5" w14:textId="55309348" w:rsidR="00B819A7" w:rsidRPr="005C0C29" w:rsidRDefault="00D22DB2" w:rsidP="004506DC">
      <w:pPr>
        <w:jc w:val="left"/>
        <w:rPr>
          <w:rFonts w:ascii="Franklin Gothic Book" w:hAnsi="Franklin Gothic Book"/>
          <w:sz w:val="22"/>
        </w:rPr>
      </w:pPr>
      <w:r w:rsidRPr="005C0C29">
        <w:rPr>
          <w:rFonts w:ascii="Franklin Gothic Book" w:hAnsi="Franklin Gothic Book"/>
          <w:sz w:val="22"/>
        </w:rPr>
        <w:t xml:space="preserve">Although the decision to add PEG-IFN treatment for two patients who responded to BLV treatment seems to have been guided by the residual viral load detected, the same cannot be concluded for those patients classed as non-responders. Some non-responders received PEG-IFN and some did not. The reasons for the discrepancy in treatments were not discussed in this study. </w:t>
      </w:r>
    </w:p>
    <w:p w14:paraId="1E5BDA7D" w14:textId="4D94A611" w:rsidR="00EE5014" w:rsidRPr="004506DC" w:rsidRDefault="606ECB71" w:rsidP="4904BCD2">
      <w:pPr>
        <w:pStyle w:val="Heading4"/>
        <w:rPr>
          <w:rFonts w:ascii="Franklin Gothic Book" w:hAnsi="Franklin Gothic Book"/>
          <w:color w:val="auto"/>
          <w:sz w:val="22"/>
          <w:szCs w:val="22"/>
        </w:rPr>
      </w:pPr>
      <w:r w:rsidRPr="004506DC">
        <w:rPr>
          <w:rFonts w:ascii="Franklin Gothic Book" w:hAnsi="Franklin Gothic Book"/>
          <w:color w:val="auto"/>
          <w:sz w:val="22"/>
          <w:szCs w:val="22"/>
        </w:rPr>
        <w:t xml:space="preserve">Claim of codependence </w:t>
      </w:r>
    </w:p>
    <w:p w14:paraId="3E02D90E" w14:textId="3893721A" w:rsidR="00C42FC5" w:rsidRPr="004506DC" w:rsidRDefault="00C42FC5" w:rsidP="004506DC">
      <w:pPr>
        <w:pStyle w:val="InstructionalText"/>
        <w:jc w:val="left"/>
        <w:rPr>
          <w:rFonts w:ascii="Franklin Gothic Book" w:hAnsi="Franklin Gothic Book"/>
          <w:color w:val="auto"/>
          <w:sz w:val="22"/>
        </w:rPr>
      </w:pPr>
      <w:bookmarkStart w:id="46" w:name="_Hlk183604252"/>
      <w:bookmarkStart w:id="47" w:name="_Hlk153205189"/>
      <w:r w:rsidRPr="004506DC">
        <w:rPr>
          <w:rFonts w:ascii="Franklin Gothic Book" w:hAnsi="Franklin Gothic Book"/>
          <w:color w:val="auto"/>
          <w:sz w:val="22"/>
        </w:rPr>
        <w:t xml:space="preserve">The resubmission noted that </w:t>
      </w:r>
      <w:r w:rsidR="2DD4E9D8" w:rsidRPr="004506DC">
        <w:rPr>
          <w:rFonts w:ascii="Franklin Gothic Book" w:hAnsi="Franklin Gothic Book"/>
          <w:color w:val="auto"/>
          <w:sz w:val="22"/>
        </w:rPr>
        <w:t>‘</w:t>
      </w:r>
      <w:r w:rsidRPr="004506DC">
        <w:rPr>
          <w:rFonts w:ascii="Franklin Gothic Book" w:hAnsi="Franklin Gothic Book"/>
          <w:color w:val="auto"/>
          <w:sz w:val="22"/>
        </w:rPr>
        <w:t>The ESC for both the PBAC and MSAC considered “the claim of codependence was reasonable for HDV RNA PCR testing to establish the presence of chronic HDV infection and for access to treatment with bulevirtide”</w:t>
      </w:r>
      <w:r w:rsidR="2DD4E9D8" w:rsidRPr="004506DC">
        <w:rPr>
          <w:rFonts w:ascii="Franklin Gothic Book" w:hAnsi="Franklin Gothic Book"/>
          <w:color w:val="auto"/>
          <w:sz w:val="22"/>
        </w:rPr>
        <w:t>’</w:t>
      </w:r>
    </w:p>
    <w:bookmarkEnd w:id="46"/>
    <w:p w14:paraId="0E4DC47B" w14:textId="2F1DB0AC" w:rsidR="00C42FC5" w:rsidRPr="005C0C29" w:rsidRDefault="343C6B47" w:rsidP="004506DC">
      <w:pPr>
        <w:pStyle w:val="InstructionalText"/>
        <w:jc w:val="left"/>
        <w:rPr>
          <w:rFonts w:ascii="Franklin Gothic Book" w:hAnsi="Franklin Gothic Book"/>
          <w:color w:val="auto"/>
          <w:sz w:val="22"/>
        </w:rPr>
      </w:pPr>
      <w:r w:rsidRPr="005C0C29">
        <w:rPr>
          <w:rFonts w:ascii="Franklin Gothic Book" w:hAnsi="Franklin Gothic Book"/>
          <w:color w:val="auto"/>
          <w:sz w:val="22"/>
        </w:rPr>
        <w:t>T</w:t>
      </w:r>
      <w:r w:rsidR="00C42FC5" w:rsidRPr="005C0C29">
        <w:rPr>
          <w:rFonts w:ascii="Franklin Gothic Book" w:hAnsi="Franklin Gothic Book"/>
          <w:color w:val="auto"/>
          <w:sz w:val="22"/>
        </w:rPr>
        <w:t xml:space="preserve">he </w:t>
      </w:r>
      <w:r w:rsidR="6D4A9CAC" w:rsidRPr="005C0C29">
        <w:rPr>
          <w:rFonts w:ascii="Franklin Gothic Book" w:hAnsi="Franklin Gothic Book"/>
          <w:color w:val="auto"/>
          <w:sz w:val="22"/>
        </w:rPr>
        <w:t xml:space="preserve">commentary concluded that the </w:t>
      </w:r>
      <w:r w:rsidR="00C42FC5" w:rsidRPr="005C0C29">
        <w:rPr>
          <w:rFonts w:ascii="Franklin Gothic Book" w:hAnsi="Franklin Gothic Book"/>
          <w:color w:val="auto"/>
          <w:sz w:val="22"/>
        </w:rPr>
        <w:t>claim of codependence for HDV RNA PCR testing for monitoring of response to bulevirtide was not properly addressed in the previous submission. In the PSD, MSAC considered it was unknown whether the level of HDV RNA (other than the presence of HDV RNA) would be used to alter patient management in non-responders or partial responders.</w:t>
      </w:r>
    </w:p>
    <w:p w14:paraId="587766B8" w14:textId="77777777" w:rsidR="00C42FC5" w:rsidRPr="005C0C29" w:rsidRDefault="00C42FC5" w:rsidP="004506DC">
      <w:pPr>
        <w:pStyle w:val="InstructionalText"/>
        <w:jc w:val="left"/>
        <w:rPr>
          <w:rFonts w:ascii="Franklin Gothic Book" w:hAnsi="Franklin Gothic Book"/>
          <w:color w:val="auto"/>
          <w:sz w:val="22"/>
        </w:rPr>
      </w:pPr>
      <w:bookmarkStart w:id="48" w:name="_Hlk183604368"/>
      <w:r w:rsidRPr="005C0C29">
        <w:rPr>
          <w:rFonts w:ascii="Franklin Gothic Book" w:hAnsi="Franklin Gothic Book"/>
          <w:color w:val="auto"/>
          <w:sz w:val="22"/>
        </w:rPr>
        <w:t>The resubmission claimed that “codependence will be met when HEPCLUDEX and the HDV RNA PCR test are both recommended and available on the PBS and MBS, respectively.” The resubmission also claimed that “viral load reduction is required to be measured to ensure patient is benefitting from treatment,” establishing “codependence of the test with HEPCLUDEX for both establishing the presence of chronic HDV and the monitoring of viral load for continued treatment with HEPCLUDEX.”</w:t>
      </w:r>
    </w:p>
    <w:p w14:paraId="77AC77FB" w14:textId="51F93988" w:rsidR="00C42FC5" w:rsidRPr="005C0C29" w:rsidRDefault="00C42FC5" w:rsidP="004506DC">
      <w:pPr>
        <w:pStyle w:val="InstructionalText"/>
        <w:jc w:val="left"/>
        <w:rPr>
          <w:rFonts w:ascii="Franklin Gothic Book" w:hAnsi="Franklin Gothic Book"/>
          <w:color w:val="auto"/>
          <w:sz w:val="22"/>
        </w:rPr>
      </w:pPr>
      <w:bookmarkStart w:id="49" w:name="_Hlk183604476"/>
      <w:bookmarkEnd w:id="48"/>
      <w:r w:rsidRPr="005C0C29">
        <w:rPr>
          <w:rFonts w:ascii="Franklin Gothic Book" w:hAnsi="Franklin Gothic Book"/>
          <w:color w:val="auto"/>
          <w:sz w:val="22"/>
        </w:rPr>
        <w:t xml:space="preserve">However, </w:t>
      </w:r>
      <w:r w:rsidR="003C2701" w:rsidRPr="005C0C29">
        <w:rPr>
          <w:rFonts w:ascii="Franklin Gothic Book" w:hAnsi="Franklin Gothic Book"/>
          <w:color w:val="auto"/>
          <w:sz w:val="22"/>
        </w:rPr>
        <w:t xml:space="preserve">the commentary noted that </w:t>
      </w:r>
      <w:r w:rsidRPr="005C0C29">
        <w:rPr>
          <w:rFonts w:ascii="Franklin Gothic Book" w:hAnsi="Franklin Gothic Book"/>
          <w:color w:val="auto"/>
          <w:sz w:val="22"/>
        </w:rPr>
        <w:t xml:space="preserve">no patient had a change in management due to monitoring of HDV RNA levels detected by the PCR test in the key clinical trial, MYR301. </w:t>
      </w:r>
      <w:r w:rsidR="00360744" w:rsidRPr="005C0C29">
        <w:rPr>
          <w:rFonts w:ascii="Franklin Gothic Book" w:hAnsi="Franklin Gothic Book"/>
          <w:color w:val="auto"/>
          <w:sz w:val="22"/>
        </w:rPr>
        <w:t>P</w:t>
      </w:r>
      <w:r w:rsidRPr="005C0C29">
        <w:rPr>
          <w:rFonts w:ascii="Franklin Gothic Book" w:hAnsi="Franklin Gothic Book"/>
          <w:color w:val="auto"/>
          <w:sz w:val="22"/>
        </w:rPr>
        <w:t xml:space="preserve">atients not responding to treatment (where HDV RNA levels did not decline sufficiently) </w:t>
      </w:r>
      <w:r w:rsidR="00360744" w:rsidRPr="005C0C29">
        <w:rPr>
          <w:rFonts w:ascii="Franklin Gothic Book" w:hAnsi="Franklin Gothic Book"/>
          <w:color w:val="auto"/>
          <w:sz w:val="22"/>
        </w:rPr>
        <w:t xml:space="preserve">and </w:t>
      </w:r>
      <w:r w:rsidRPr="005C0C29">
        <w:rPr>
          <w:rFonts w:ascii="Franklin Gothic Book" w:hAnsi="Franklin Gothic Book"/>
          <w:color w:val="auto"/>
          <w:sz w:val="22"/>
        </w:rPr>
        <w:t xml:space="preserve">those with sustained undetectable HDV RNA </w:t>
      </w:r>
      <w:r w:rsidR="00360744" w:rsidRPr="005C0C29">
        <w:rPr>
          <w:rFonts w:ascii="Franklin Gothic Book" w:hAnsi="Franklin Gothic Book"/>
          <w:color w:val="auto"/>
          <w:sz w:val="22"/>
        </w:rPr>
        <w:t>did not</w:t>
      </w:r>
      <w:r w:rsidRPr="005C0C29">
        <w:rPr>
          <w:rFonts w:ascii="Franklin Gothic Book" w:hAnsi="Franklin Gothic Book"/>
          <w:color w:val="auto"/>
          <w:sz w:val="22"/>
        </w:rPr>
        <w:t xml:space="preserve"> stop treatment.</w:t>
      </w:r>
    </w:p>
    <w:p w14:paraId="2E83E1E7" w14:textId="53A20506" w:rsidR="00C42FC5" w:rsidRPr="005C0C29" w:rsidRDefault="00C42FC5" w:rsidP="004506DC">
      <w:pPr>
        <w:pStyle w:val="InstructionalText"/>
        <w:jc w:val="left"/>
        <w:rPr>
          <w:rFonts w:ascii="Franklin Gothic Book" w:hAnsi="Franklin Gothic Book"/>
          <w:color w:val="auto"/>
          <w:sz w:val="22"/>
        </w:rPr>
      </w:pPr>
      <w:r w:rsidRPr="005C0C29">
        <w:rPr>
          <w:rFonts w:ascii="Franklin Gothic Book" w:hAnsi="Franklin Gothic Book"/>
          <w:color w:val="auto"/>
          <w:sz w:val="22"/>
        </w:rPr>
        <w:t xml:space="preserve">Additionally, </w:t>
      </w:r>
      <w:r w:rsidR="6D4A9CAC" w:rsidRPr="005C0C29">
        <w:rPr>
          <w:rFonts w:ascii="Franklin Gothic Book" w:hAnsi="Franklin Gothic Book"/>
          <w:color w:val="auto"/>
          <w:sz w:val="22"/>
        </w:rPr>
        <w:t xml:space="preserve">the commentary noted that </w:t>
      </w:r>
      <w:r w:rsidRPr="005C0C29">
        <w:rPr>
          <w:rFonts w:ascii="Franklin Gothic Book" w:hAnsi="Franklin Gothic Book"/>
          <w:color w:val="auto"/>
          <w:sz w:val="22"/>
        </w:rPr>
        <w:t xml:space="preserve">the </w:t>
      </w:r>
      <w:r w:rsidR="343C6B47" w:rsidRPr="005C0C29">
        <w:rPr>
          <w:rFonts w:ascii="Franklin Gothic Book" w:hAnsi="Franklin Gothic Book"/>
          <w:color w:val="auto"/>
          <w:sz w:val="22"/>
        </w:rPr>
        <w:t>literature searches</w:t>
      </w:r>
      <w:r w:rsidR="24F1FC7E" w:rsidRPr="005C0C29">
        <w:rPr>
          <w:rFonts w:ascii="Franklin Gothic Book" w:hAnsi="Franklin Gothic Book"/>
          <w:color w:val="auto"/>
          <w:sz w:val="22"/>
        </w:rPr>
        <w:t xml:space="preserve"> in the ADAR</w:t>
      </w:r>
      <w:r w:rsidR="343C6B47" w:rsidRPr="005C0C29">
        <w:rPr>
          <w:rFonts w:ascii="Franklin Gothic Book" w:hAnsi="Franklin Gothic Book"/>
          <w:color w:val="auto"/>
          <w:sz w:val="22"/>
        </w:rPr>
        <w:t xml:space="preserve"> identified scant </w:t>
      </w:r>
      <w:r w:rsidRPr="005C0C29">
        <w:rPr>
          <w:rFonts w:ascii="Franklin Gothic Book" w:hAnsi="Franklin Gothic Book"/>
          <w:color w:val="auto"/>
          <w:sz w:val="22"/>
        </w:rPr>
        <w:t xml:space="preserve">evidence that HDV RNA levels would guide patient management. </w:t>
      </w:r>
      <w:r w:rsidR="40FB3FD7" w:rsidRPr="005C0C29">
        <w:rPr>
          <w:rFonts w:ascii="Franklin Gothic Book" w:hAnsi="Franklin Gothic Book"/>
          <w:color w:val="auto"/>
          <w:sz w:val="22"/>
        </w:rPr>
        <w:t>Two</w:t>
      </w:r>
      <w:r w:rsidRPr="005C0C29">
        <w:rPr>
          <w:rFonts w:ascii="Franklin Gothic Book" w:hAnsi="Franklin Gothic Book"/>
          <w:color w:val="auto"/>
          <w:sz w:val="22"/>
        </w:rPr>
        <w:t xml:space="preserve"> patient</w:t>
      </w:r>
      <w:r w:rsidR="40FB3FD7" w:rsidRPr="005C0C29">
        <w:rPr>
          <w:rFonts w:ascii="Franklin Gothic Book" w:hAnsi="Franklin Gothic Book"/>
          <w:color w:val="auto"/>
          <w:sz w:val="22"/>
        </w:rPr>
        <w:t>s</w:t>
      </w:r>
      <w:r w:rsidRPr="005C0C29">
        <w:rPr>
          <w:rFonts w:ascii="Franklin Gothic Book" w:hAnsi="Franklin Gothic Book"/>
          <w:color w:val="auto"/>
          <w:sz w:val="22"/>
        </w:rPr>
        <w:t xml:space="preserve"> had treatment stopped due to insufficient response, and no patients had a change in management reported in the literature due to a reduction of &gt;2 log</w:t>
      </w:r>
      <w:r w:rsidRPr="005C0C29">
        <w:rPr>
          <w:rFonts w:ascii="Franklin Gothic Book" w:hAnsi="Franklin Gothic Book"/>
          <w:color w:val="auto"/>
          <w:sz w:val="22"/>
          <w:vertAlign w:val="subscript"/>
        </w:rPr>
        <w:t>10</w:t>
      </w:r>
      <w:r w:rsidRPr="005C0C29">
        <w:rPr>
          <w:rFonts w:ascii="Franklin Gothic Book" w:hAnsi="Franklin Gothic Book"/>
          <w:color w:val="auto"/>
          <w:sz w:val="22"/>
        </w:rPr>
        <w:t xml:space="preserve"> IU/mL in viral load. Only two other patients who had a change in management following HDV RNA PCR testing were identified; </w:t>
      </w:r>
      <w:r w:rsidR="343C6B47" w:rsidRPr="005C0C29">
        <w:rPr>
          <w:rFonts w:ascii="Franklin Gothic Book" w:hAnsi="Franklin Gothic Book"/>
          <w:color w:val="auto"/>
          <w:sz w:val="22"/>
        </w:rPr>
        <w:t xml:space="preserve">in both these instances </w:t>
      </w:r>
      <w:r w:rsidRPr="005C0C29">
        <w:rPr>
          <w:rFonts w:ascii="Franklin Gothic Book" w:hAnsi="Franklin Gothic Book"/>
          <w:color w:val="auto"/>
          <w:sz w:val="22"/>
        </w:rPr>
        <w:t xml:space="preserve">the change in management (stopping of treatment) was due to a qualitative </w:t>
      </w:r>
      <w:r w:rsidR="343C6B47" w:rsidRPr="005C0C29">
        <w:rPr>
          <w:rFonts w:ascii="Franklin Gothic Book" w:hAnsi="Franklin Gothic Book"/>
          <w:color w:val="auto"/>
          <w:sz w:val="22"/>
        </w:rPr>
        <w:t xml:space="preserve">test </w:t>
      </w:r>
      <w:r w:rsidRPr="005C0C29">
        <w:rPr>
          <w:rFonts w:ascii="Franklin Gothic Book" w:hAnsi="Franklin Gothic Book"/>
          <w:color w:val="auto"/>
          <w:sz w:val="22"/>
        </w:rPr>
        <w:t xml:space="preserve">result </w:t>
      </w:r>
      <w:r w:rsidR="343C6B47" w:rsidRPr="005C0C29">
        <w:rPr>
          <w:rFonts w:ascii="Franklin Gothic Book" w:hAnsi="Franklin Gothic Book"/>
          <w:color w:val="auto"/>
          <w:sz w:val="22"/>
        </w:rPr>
        <w:t>showing</w:t>
      </w:r>
      <w:r w:rsidRPr="005C0C29">
        <w:rPr>
          <w:rFonts w:ascii="Franklin Gothic Book" w:hAnsi="Franklin Gothic Book"/>
          <w:color w:val="auto"/>
          <w:sz w:val="22"/>
        </w:rPr>
        <w:t xml:space="preserve"> sustained undetectable HDV RNA (i.e. below the </w:t>
      </w:r>
      <w:proofErr w:type="spellStart"/>
      <w:r w:rsidRPr="005C0C29">
        <w:rPr>
          <w:rFonts w:ascii="Franklin Gothic Book" w:hAnsi="Franklin Gothic Book"/>
          <w:color w:val="auto"/>
          <w:sz w:val="22"/>
        </w:rPr>
        <w:t>LLoD</w:t>
      </w:r>
      <w:proofErr w:type="spellEnd"/>
      <w:r w:rsidRPr="005C0C29">
        <w:rPr>
          <w:rFonts w:ascii="Franklin Gothic Book" w:hAnsi="Franklin Gothic Book"/>
          <w:color w:val="auto"/>
          <w:sz w:val="22"/>
        </w:rPr>
        <w:t xml:space="preserve"> of the test) for at least 6 months. </w:t>
      </w:r>
      <w:r w:rsidR="5BC97A33" w:rsidRPr="005C0C29">
        <w:rPr>
          <w:rFonts w:ascii="Franklin Gothic Book" w:hAnsi="Franklin Gothic Book"/>
          <w:color w:val="auto"/>
          <w:sz w:val="22"/>
        </w:rPr>
        <w:t xml:space="preserve">However additional evidence was identified and discussed at ESC (refer to ‘ESC discussion’). </w:t>
      </w:r>
    </w:p>
    <w:p w14:paraId="147E2F5D" w14:textId="753387DF" w:rsidR="00C42FC5" w:rsidRPr="005C0C29" w:rsidRDefault="6D4A9CAC" w:rsidP="004506DC">
      <w:pPr>
        <w:pStyle w:val="InstructionalText"/>
        <w:jc w:val="left"/>
        <w:rPr>
          <w:rFonts w:ascii="Franklin Gothic Book" w:hAnsi="Franklin Gothic Book"/>
          <w:color w:val="auto"/>
          <w:sz w:val="22"/>
        </w:rPr>
      </w:pPr>
      <w:r w:rsidRPr="005C0C29">
        <w:rPr>
          <w:rFonts w:ascii="Franklin Gothic Book" w:hAnsi="Franklin Gothic Book"/>
          <w:color w:val="auto"/>
          <w:sz w:val="22"/>
        </w:rPr>
        <w:t xml:space="preserve">The commentary </w:t>
      </w:r>
      <w:r w:rsidR="5BC97A33" w:rsidRPr="005C0C29">
        <w:rPr>
          <w:rFonts w:ascii="Franklin Gothic Book" w:hAnsi="Franklin Gothic Book"/>
          <w:color w:val="auto"/>
          <w:sz w:val="22"/>
        </w:rPr>
        <w:t>noted</w:t>
      </w:r>
      <w:r w:rsidRPr="005C0C29">
        <w:rPr>
          <w:rFonts w:ascii="Franklin Gothic Book" w:hAnsi="Franklin Gothic Book"/>
          <w:color w:val="auto"/>
          <w:sz w:val="22"/>
        </w:rPr>
        <w:t xml:space="preserve"> that i</w:t>
      </w:r>
      <w:r w:rsidR="00C42FC5" w:rsidRPr="005C0C29">
        <w:rPr>
          <w:rFonts w:ascii="Franklin Gothic Book" w:hAnsi="Franklin Gothic Book"/>
          <w:color w:val="auto"/>
          <w:sz w:val="22"/>
        </w:rPr>
        <w:t xml:space="preserve">t remains unclear how </w:t>
      </w:r>
      <w:bookmarkStart w:id="50" w:name="_Hlk183602529"/>
      <w:r w:rsidR="343C6B47" w:rsidRPr="005C0C29">
        <w:rPr>
          <w:rFonts w:ascii="Franklin Gothic Book" w:hAnsi="Franklin Gothic Book"/>
          <w:color w:val="auto"/>
          <w:sz w:val="22"/>
        </w:rPr>
        <w:t xml:space="preserve">quantitative </w:t>
      </w:r>
      <w:r w:rsidR="00C42FC5" w:rsidRPr="005C0C29">
        <w:rPr>
          <w:rFonts w:ascii="Franklin Gothic Book" w:hAnsi="Franklin Gothic Book"/>
          <w:color w:val="auto"/>
          <w:sz w:val="22"/>
        </w:rPr>
        <w:t>HDV RNA PCR testing</w:t>
      </w:r>
      <w:bookmarkEnd w:id="50"/>
      <w:r w:rsidR="00C42FC5" w:rsidRPr="005C0C29">
        <w:rPr>
          <w:rFonts w:ascii="Franklin Gothic Book" w:hAnsi="Franklin Gothic Book"/>
          <w:color w:val="auto"/>
          <w:sz w:val="22"/>
        </w:rPr>
        <w:t xml:space="preserve"> to monitor the response to bulevirtide would influence bulevirtide use. Thus, </w:t>
      </w:r>
      <w:r w:rsidR="5BC97A33" w:rsidRPr="005C0C29">
        <w:rPr>
          <w:rFonts w:ascii="Franklin Gothic Book" w:hAnsi="Franklin Gothic Book"/>
          <w:color w:val="auto"/>
          <w:sz w:val="22"/>
        </w:rPr>
        <w:t xml:space="preserve">the commentary concluded that </w:t>
      </w:r>
      <w:r w:rsidR="00C42FC5" w:rsidRPr="005C0C29">
        <w:rPr>
          <w:rFonts w:ascii="Franklin Gothic Book" w:hAnsi="Franklin Gothic Book"/>
          <w:color w:val="auto"/>
          <w:sz w:val="22"/>
        </w:rPr>
        <w:t>the resubmission has not established codependency between monitoring of HDV RNA levels using the PCR test and bulevirtide treatment.</w:t>
      </w:r>
    </w:p>
    <w:p w14:paraId="7D440CC3" w14:textId="65B03376" w:rsidR="00FA416C" w:rsidRPr="004506DC" w:rsidRDefault="32575EFB" w:rsidP="004506DC">
      <w:pPr>
        <w:pStyle w:val="InstructionalText"/>
        <w:jc w:val="left"/>
        <w:rPr>
          <w:rFonts w:ascii="Franklin Gothic Book" w:hAnsi="Franklin Gothic Book"/>
          <w:b/>
          <w:bCs/>
          <w:i/>
          <w:iCs/>
          <w:color w:val="auto"/>
          <w:sz w:val="22"/>
        </w:rPr>
      </w:pPr>
      <w:r w:rsidRPr="004506DC">
        <w:rPr>
          <w:rFonts w:ascii="Franklin Gothic Book" w:hAnsi="Franklin Gothic Book"/>
          <w:b/>
          <w:bCs/>
          <w:i/>
          <w:iCs/>
          <w:color w:val="auto"/>
          <w:sz w:val="22"/>
        </w:rPr>
        <w:t xml:space="preserve">The above represents the commentary’s view of the claim of codependence. </w:t>
      </w:r>
      <w:proofErr w:type="gramStart"/>
      <w:r w:rsidR="007F7DE3" w:rsidRPr="007F7DE3">
        <w:rPr>
          <w:rFonts w:ascii="Franklin Gothic Book" w:hAnsi="Franklin Gothic Book"/>
          <w:b/>
          <w:bCs/>
          <w:i/>
          <w:iCs/>
          <w:color w:val="auto"/>
          <w:sz w:val="22"/>
        </w:rPr>
        <w:t>However</w:t>
      </w:r>
      <w:proofErr w:type="gramEnd"/>
      <w:r w:rsidR="007F7DE3" w:rsidRPr="007F7DE3">
        <w:rPr>
          <w:rFonts w:ascii="Franklin Gothic Book" w:hAnsi="Franklin Gothic Book"/>
          <w:b/>
          <w:bCs/>
          <w:i/>
          <w:iCs/>
          <w:color w:val="auto"/>
          <w:sz w:val="22"/>
        </w:rPr>
        <w:t xml:space="preserve"> refer to ‘Summary of consideration and rationale for MSAC’s advice’</w:t>
      </w:r>
      <w:r w:rsidR="007F7DE3">
        <w:rPr>
          <w:rFonts w:ascii="Franklin Gothic Book" w:hAnsi="Franklin Gothic Book"/>
          <w:b/>
          <w:bCs/>
          <w:i/>
          <w:iCs/>
          <w:color w:val="auto"/>
          <w:sz w:val="22"/>
        </w:rPr>
        <w:t>.</w:t>
      </w:r>
      <w:r w:rsidRPr="004506DC">
        <w:rPr>
          <w:rFonts w:ascii="Franklin Gothic Book" w:hAnsi="Franklin Gothic Book"/>
          <w:b/>
          <w:bCs/>
          <w:i/>
          <w:iCs/>
          <w:color w:val="auto"/>
          <w:sz w:val="22"/>
        </w:rPr>
        <w:t xml:space="preserve"> </w:t>
      </w:r>
    </w:p>
    <w:p w14:paraId="06751D9E" w14:textId="77777777" w:rsidR="00EE5014" w:rsidRPr="004506DC" w:rsidRDefault="00EE5014"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51" w:name="_Toc188360783"/>
      <w:bookmarkEnd w:id="47"/>
      <w:bookmarkEnd w:id="49"/>
      <w:r w:rsidRPr="004506DC">
        <w:rPr>
          <w:rFonts w:ascii="Franklin Gothic Medium" w:hAnsi="Franklin Gothic Medium"/>
          <w:b w:val="0"/>
          <w:i w:val="0"/>
          <w:snapToGrid/>
          <w:color w:val="000000" w:themeColor="text1"/>
          <w:sz w:val="32"/>
          <w:szCs w:val="26"/>
        </w:rPr>
        <w:lastRenderedPageBreak/>
        <w:t xml:space="preserve">Economic </w:t>
      </w:r>
      <w:r w:rsidR="00331A16" w:rsidRPr="004506DC">
        <w:rPr>
          <w:rFonts w:ascii="Franklin Gothic Medium" w:hAnsi="Franklin Gothic Medium"/>
          <w:b w:val="0"/>
          <w:i w:val="0"/>
          <w:snapToGrid/>
          <w:color w:val="000000" w:themeColor="text1"/>
          <w:sz w:val="32"/>
          <w:szCs w:val="26"/>
        </w:rPr>
        <w:t>e</w:t>
      </w:r>
      <w:r w:rsidRPr="004506DC">
        <w:rPr>
          <w:rFonts w:ascii="Franklin Gothic Medium" w:hAnsi="Franklin Gothic Medium"/>
          <w:b w:val="0"/>
          <w:i w:val="0"/>
          <w:snapToGrid/>
          <w:color w:val="000000" w:themeColor="text1"/>
          <w:sz w:val="32"/>
          <w:szCs w:val="26"/>
        </w:rPr>
        <w:t>valuation</w:t>
      </w:r>
      <w:bookmarkEnd w:id="51"/>
    </w:p>
    <w:p w14:paraId="0C2D680E" w14:textId="77777777" w:rsidR="003D69E1" w:rsidRPr="004506DC" w:rsidRDefault="003D69E1" w:rsidP="003D69E1">
      <w:pPr>
        <w:pStyle w:val="Heading4"/>
        <w:rPr>
          <w:rFonts w:ascii="Franklin Gothic Book" w:hAnsi="Franklin Gothic Book"/>
          <w:color w:val="auto"/>
        </w:rPr>
      </w:pPr>
      <w:r w:rsidRPr="004506DC">
        <w:rPr>
          <w:rFonts w:ascii="Franklin Gothic Book" w:hAnsi="Franklin Gothic Book"/>
          <w:color w:val="auto"/>
        </w:rPr>
        <w:t>Structure of the economic model</w:t>
      </w:r>
    </w:p>
    <w:p w14:paraId="08F61290" w14:textId="1CB7C5BE" w:rsidR="0021265F" w:rsidRPr="007F7DE3" w:rsidRDefault="0021265F" w:rsidP="004506DC">
      <w:pPr>
        <w:pStyle w:val="MSACESParagraph"/>
        <w:rPr>
          <w:rFonts w:ascii="Franklin Gothic Book" w:hAnsi="Franklin Gothic Book"/>
          <w:sz w:val="22"/>
        </w:rPr>
      </w:pPr>
      <w:r w:rsidRPr="007F7DE3">
        <w:rPr>
          <w:rFonts w:ascii="Franklin Gothic Book" w:hAnsi="Franklin Gothic Book"/>
          <w:sz w:val="22"/>
        </w:rPr>
        <w:t>The resubmission presented an updated modelled economic evaluation, based on the Week 144 data from the key trial MYR301 that compared bulevirtide treatment to best supportive care (BSC) in patients with HDV RNA positive CHD. The type of economic evaluation presented was a cost-utility analysis, measuring outcome in terms of quality-adjusted life years (QALYs) gained. This is unchanged from the previous submission.</w:t>
      </w:r>
    </w:p>
    <w:p w14:paraId="6332E604" w14:textId="7FA1FC5C" w:rsidR="0021265F" w:rsidRPr="007F7DE3" w:rsidRDefault="0021265F" w:rsidP="004506DC">
      <w:pPr>
        <w:pStyle w:val="MSACESParagraph"/>
        <w:rPr>
          <w:rFonts w:ascii="Franklin Gothic Book" w:hAnsi="Franklin Gothic Book"/>
          <w:sz w:val="22"/>
        </w:rPr>
      </w:pPr>
      <w:r w:rsidRPr="007F7DE3">
        <w:rPr>
          <w:rFonts w:ascii="Franklin Gothic Book" w:hAnsi="Franklin Gothic Book"/>
          <w:sz w:val="22"/>
        </w:rPr>
        <w:t xml:space="preserve">No alternative scenarios of test/treatment provision were explored in the resubmission. </w:t>
      </w:r>
      <w:r w:rsidRPr="007F7DE3">
        <w:rPr>
          <w:rFonts w:ascii="Franklin Gothic Book" w:eastAsia="Calibri" w:hAnsi="Franklin Gothic Book"/>
          <w:sz w:val="22"/>
        </w:rPr>
        <w:t>The previous Commentary noted that there may be some benefits of HDV RNA testing, independent of guiding treatment, given the prognostic information about a patient’s HDV that RNA testing may provide. This approach was supported by public consultation received on the PICO Confirmation but was not addressed in the resubmission.</w:t>
      </w:r>
    </w:p>
    <w:p w14:paraId="32AF2123" w14:textId="61A89C42" w:rsidR="0021265F" w:rsidRPr="007F7DE3" w:rsidRDefault="0021265F" w:rsidP="004506DC">
      <w:pPr>
        <w:jc w:val="left"/>
        <w:rPr>
          <w:rFonts w:ascii="Franklin Gothic Book" w:hAnsi="Franklin Gothic Book"/>
          <w:sz w:val="22"/>
        </w:rPr>
      </w:pPr>
      <w:r w:rsidRPr="007F7DE3">
        <w:rPr>
          <w:rFonts w:ascii="Franklin Gothic Book" w:hAnsi="Franklin Gothic Book"/>
          <w:sz w:val="22"/>
        </w:rPr>
        <w:t xml:space="preserve">The structure of the model remains the same as in the previous submission. Patients enter the economic model at the point of treatment, and the cost of identifying one patient eligible for bulevirtide is applied as a one-off cost at Cycle 0. As in the previous submission, the resubmission’s base case analysis assumed 100% sensitivity and 100% specificity for HDV RNA PCR testing. When the March 2024 submission was considered, the MSAC noted that there were numerous and important uncertainties associated with the economic model because it did not </w:t>
      </w:r>
      <w:proofErr w:type="gramStart"/>
      <w:r w:rsidRPr="007F7DE3">
        <w:rPr>
          <w:rFonts w:ascii="Franklin Gothic Book" w:hAnsi="Franklin Gothic Book"/>
          <w:sz w:val="22"/>
        </w:rPr>
        <w:t>take into account</w:t>
      </w:r>
      <w:proofErr w:type="gramEnd"/>
      <w:r w:rsidRPr="007F7DE3">
        <w:rPr>
          <w:rFonts w:ascii="Franklin Gothic Book" w:hAnsi="Franklin Gothic Book"/>
          <w:sz w:val="22"/>
        </w:rPr>
        <w:t xml:space="preserve"> false positive and false negative test results, and the pattern of use of testing and retesting (p2 and p7, Application No. 1708 PSD, April 2024 MSAC meeting). The resubmission argued that the clinical evidence showed high performance accuracy for HDV RNA testing and the change in </w:t>
      </w:r>
      <w:proofErr w:type="spellStart"/>
      <w:r w:rsidRPr="007F7DE3">
        <w:rPr>
          <w:rFonts w:ascii="Franklin Gothic Book" w:hAnsi="Franklin Gothic Book"/>
          <w:sz w:val="22"/>
        </w:rPr>
        <w:t>LLoD</w:t>
      </w:r>
      <w:proofErr w:type="spellEnd"/>
      <w:r w:rsidRPr="007F7DE3">
        <w:rPr>
          <w:rFonts w:ascii="Franklin Gothic Book" w:hAnsi="Franklin Gothic Book"/>
          <w:sz w:val="22"/>
        </w:rPr>
        <w:t xml:space="preserve"> is unlikely to change the diagnostic accuracy. Therefore, false positives and false negatives were not modelled in the base case. To address MSAC concern regarding the impact of false negative and false positive results from HDV RNA testing at initial diagnosis, the resubmission presented a scenario analysis comparing bulevirtide with BSC, by assuming 95% sensitivity and 95% specificity for the HDV RNA PCR test. Refer to the “Scenario analysis” subsection below. Based on the clinical evidence that the qualitative (positive/negative) concordance of the VIDRL in-house test compared with the </w:t>
      </w:r>
      <w:proofErr w:type="spellStart"/>
      <w:r w:rsidRPr="007F7DE3">
        <w:rPr>
          <w:rFonts w:ascii="Franklin Gothic Book" w:hAnsi="Franklin Gothic Book"/>
          <w:sz w:val="22"/>
        </w:rPr>
        <w:t>RoboGene</w:t>
      </w:r>
      <w:proofErr w:type="spellEnd"/>
      <w:r w:rsidRPr="007F7DE3">
        <w:rPr>
          <w:rFonts w:ascii="Franklin Gothic Book" w:hAnsi="Franklin Gothic Book"/>
          <w:sz w:val="22"/>
        </w:rPr>
        <w:t xml:space="preserve"> clinical utility standard was </w:t>
      </w:r>
      <w:r w:rsidR="00D71262" w:rsidRPr="004C24B7">
        <w:rPr>
          <w:rFonts w:ascii="Franklin Gothic Book" w:hAnsi="Franklin Gothic Book"/>
          <w:b/>
          <w:bCs/>
          <w:sz w:val="22"/>
        </w:rPr>
        <w:t>redacted</w:t>
      </w:r>
      <w:r w:rsidR="00D71262" w:rsidRPr="00DF1E49" w:rsidDel="00D71262">
        <w:rPr>
          <w:rFonts w:ascii="Franklin Gothic Book" w:hAnsi="Franklin Gothic Book"/>
          <w:b/>
          <w:bCs/>
          <w:sz w:val="22"/>
          <w:u w:val="single"/>
        </w:rPr>
        <w:t xml:space="preserve"> </w:t>
      </w:r>
      <w:r w:rsidRPr="007F7DE3">
        <w:rPr>
          <w:rFonts w:ascii="Franklin Gothic Book" w:hAnsi="Franklin Gothic Book"/>
          <w:sz w:val="22"/>
        </w:rPr>
        <w:t xml:space="preserve">positive percent agreement and </w:t>
      </w:r>
      <w:r w:rsidR="00D71262" w:rsidRPr="004C24B7">
        <w:rPr>
          <w:rFonts w:ascii="Franklin Gothic Book" w:hAnsi="Franklin Gothic Book"/>
          <w:b/>
          <w:bCs/>
          <w:sz w:val="22"/>
        </w:rPr>
        <w:t>redacted</w:t>
      </w:r>
      <w:r w:rsidRPr="004C24B7">
        <w:rPr>
          <w:rFonts w:ascii="Franklin Gothic Book" w:hAnsi="Franklin Gothic Book"/>
          <w:sz w:val="22"/>
        </w:rPr>
        <w:t xml:space="preserve"> </w:t>
      </w:r>
      <w:r w:rsidRPr="007F7DE3">
        <w:rPr>
          <w:rFonts w:ascii="Franklin Gothic Book" w:hAnsi="Franklin Gothic Book"/>
          <w:sz w:val="22"/>
        </w:rPr>
        <w:t xml:space="preserve">negative percent agreement, an additional analysis was performed by assuming </w:t>
      </w:r>
      <w:r w:rsidR="00D71262" w:rsidRPr="004C24B7">
        <w:rPr>
          <w:rFonts w:ascii="Franklin Gothic Book" w:hAnsi="Franklin Gothic Book"/>
          <w:b/>
          <w:bCs/>
          <w:sz w:val="22"/>
        </w:rPr>
        <w:t>redacted</w:t>
      </w:r>
      <w:r w:rsidRPr="007F7DE3">
        <w:rPr>
          <w:rFonts w:ascii="Franklin Gothic Book" w:hAnsi="Franklin Gothic Book"/>
          <w:sz w:val="22"/>
        </w:rPr>
        <w:t xml:space="preserve"> sensitivity and </w:t>
      </w:r>
      <w:r w:rsidR="00D71262" w:rsidRPr="004C24B7">
        <w:rPr>
          <w:rFonts w:ascii="Franklin Gothic Book" w:hAnsi="Franklin Gothic Book"/>
          <w:b/>
          <w:bCs/>
          <w:sz w:val="22"/>
        </w:rPr>
        <w:t>redacted</w:t>
      </w:r>
      <w:r w:rsidRPr="007F7DE3">
        <w:rPr>
          <w:rFonts w:ascii="Franklin Gothic Book" w:hAnsi="Franklin Gothic Book"/>
          <w:sz w:val="22"/>
        </w:rPr>
        <w:t xml:space="preserve"> specificity. </w:t>
      </w:r>
    </w:p>
    <w:p w14:paraId="039714F5" w14:textId="3BC2B4CB" w:rsidR="0021265F" w:rsidRPr="00F855F3" w:rsidRDefault="0021265F" w:rsidP="004506DC">
      <w:pPr>
        <w:jc w:val="left"/>
        <w:rPr>
          <w:rFonts w:ascii="Franklin Gothic Book" w:hAnsi="Franklin Gothic Book"/>
          <w:sz w:val="22"/>
        </w:rPr>
      </w:pPr>
      <w:r w:rsidRPr="004506DC">
        <w:rPr>
          <w:rFonts w:ascii="Franklin Gothic Book" w:hAnsi="Franklin Gothic Book"/>
          <w:sz w:val="22"/>
        </w:rPr>
        <w:t>In the base case analysis, the HDV RNA positivity rate in anti-HDV positive patients was estimated based on the same studies as in the previous submission (Coghill et al. (2018, Jackson et al. (2018) and Shadur et al. (2013))</w:t>
      </w:r>
      <w:r w:rsidRPr="004506DC">
        <w:rPr>
          <w:rStyle w:val="FootnoteReference"/>
          <w:rFonts w:ascii="Franklin Gothic Book" w:hAnsi="Franklin Gothic Book"/>
          <w:sz w:val="22"/>
        </w:rPr>
        <w:footnoteReference w:id="29"/>
      </w:r>
      <w:r w:rsidRPr="004506DC">
        <w:rPr>
          <w:rFonts w:ascii="Franklin Gothic Book" w:hAnsi="Franklin Gothic Book"/>
          <w:sz w:val="22"/>
        </w:rPr>
        <w:t xml:space="preserve">, </w:t>
      </w:r>
      <w:r w:rsidRPr="00F855F3">
        <w:rPr>
          <w:rFonts w:ascii="Franklin Gothic Book" w:hAnsi="Franklin Gothic Book"/>
          <w:sz w:val="22"/>
        </w:rPr>
        <w:t>with the weighted average corrected to 54.4% (vs. 56.2% in the previous submission) as per the March 2024 Commentary. By assuming 100% sensitivity and 100% specificity, it was estimated that 1.84 patients (=1/54.4%) would require testing to identify one patient eligible for treatment.</w:t>
      </w:r>
    </w:p>
    <w:p w14:paraId="560BBB4B" w14:textId="7D89493C" w:rsidR="0021265F" w:rsidRPr="00F855F3" w:rsidRDefault="0021265F" w:rsidP="004506DC">
      <w:pPr>
        <w:jc w:val="left"/>
        <w:rPr>
          <w:rFonts w:ascii="Franklin Gothic Book" w:hAnsi="Franklin Gothic Book"/>
          <w:sz w:val="22"/>
        </w:rPr>
      </w:pPr>
      <w:r w:rsidRPr="00F855F3">
        <w:rPr>
          <w:rFonts w:ascii="Franklin Gothic Book" w:hAnsi="Franklin Gothic Book"/>
          <w:sz w:val="22"/>
        </w:rPr>
        <w:t xml:space="preserve">The resubmission assumed 6-monthly HDV RNA testing while patients remain on treatment. While this is consistent with the proposed MBS item, the only change in management modelled due to the inclusion of HDV RNA monitoring is to cease treatment in non-responders at Week 144. Patients who respond to treatment were assumed to remain on bulevirtide unless they experience disease progression, HBsAg </w:t>
      </w:r>
      <w:proofErr w:type="spellStart"/>
      <w:r w:rsidRPr="00F855F3">
        <w:rPr>
          <w:rFonts w:ascii="Franklin Gothic Book" w:hAnsi="Franklin Gothic Book"/>
          <w:sz w:val="22"/>
        </w:rPr>
        <w:t>seroclearance</w:t>
      </w:r>
      <w:proofErr w:type="spellEnd"/>
      <w:r w:rsidRPr="00F855F3">
        <w:rPr>
          <w:rFonts w:ascii="Franklin Gothic Book" w:hAnsi="Franklin Gothic Book"/>
          <w:sz w:val="22"/>
        </w:rPr>
        <w:t>, or discontinue due to other reasons. The role of testing to monitor HDV RNA levels during bulevirtide treatment is highly uncertain</w:t>
      </w:r>
      <w:r w:rsidR="53E1F935" w:rsidRPr="00F855F3">
        <w:rPr>
          <w:rFonts w:ascii="Franklin Gothic Book" w:hAnsi="Franklin Gothic Book"/>
          <w:sz w:val="22"/>
        </w:rPr>
        <w:t>.</w:t>
      </w:r>
    </w:p>
    <w:p w14:paraId="1B1D003E" w14:textId="77777777" w:rsidR="0021265F" w:rsidRPr="004506DC" w:rsidRDefault="0021265F" w:rsidP="00165776">
      <w:pPr>
        <w:keepNext/>
        <w:keepLines/>
        <w:jc w:val="left"/>
        <w:rPr>
          <w:rFonts w:ascii="Franklin Gothic Book" w:hAnsi="Franklin Gothic Book"/>
          <w:i/>
          <w:sz w:val="22"/>
        </w:rPr>
      </w:pPr>
      <w:r w:rsidRPr="004506DC">
        <w:rPr>
          <w:rFonts w:ascii="Franklin Gothic Book" w:hAnsi="Franklin Gothic Book"/>
          <w:iCs/>
          <w:sz w:val="22"/>
        </w:rPr>
        <w:lastRenderedPageBreak/>
        <w:t>The base case analysis was generated using the same approach as per the original submission,</w:t>
      </w:r>
      <w:r w:rsidRPr="004506DC">
        <w:rPr>
          <w:rFonts w:ascii="Franklin Gothic Book" w:hAnsi="Franklin Gothic Book"/>
          <w:i/>
          <w:sz w:val="22"/>
        </w:rPr>
        <w:t xml:space="preserve"> </w:t>
      </w:r>
      <w:r w:rsidRPr="004506DC">
        <w:rPr>
          <w:rFonts w:ascii="Franklin Gothic Book" w:hAnsi="Franklin Gothic Book"/>
          <w:iCs/>
          <w:sz w:val="22"/>
        </w:rPr>
        <w:t>with the following main changes in model inputs:</w:t>
      </w:r>
    </w:p>
    <w:p w14:paraId="429F15C0" w14:textId="77777777" w:rsidR="0021265F" w:rsidRPr="00F855F3" w:rsidRDefault="0021265F" w:rsidP="00165776">
      <w:pPr>
        <w:pStyle w:val="ListParagraph"/>
        <w:keepNext/>
        <w:keepLines/>
        <w:numPr>
          <w:ilvl w:val="0"/>
          <w:numId w:val="20"/>
        </w:numPr>
        <w:jc w:val="left"/>
        <w:rPr>
          <w:rFonts w:ascii="Franklin Gothic Book" w:hAnsi="Franklin Gothic Book"/>
          <w:color w:val="auto"/>
          <w:sz w:val="22"/>
        </w:rPr>
      </w:pPr>
      <w:r w:rsidRPr="00F855F3">
        <w:rPr>
          <w:rFonts w:ascii="Franklin Gothic Book" w:hAnsi="Franklin Gothic Book"/>
          <w:iCs/>
          <w:color w:val="auto"/>
          <w:sz w:val="22"/>
        </w:rPr>
        <w:t>The updated virological response rates up to 144 weeks in the MYR301 trial. Although the use of trial data with the longest follow-up is appropriate, the treatment response applied in the model (undetectable HDV RNA or decrease in HDV RNA levels by ≥2 log</w:t>
      </w:r>
      <w:r w:rsidRPr="00F855F3">
        <w:rPr>
          <w:rFonts w:ascii="Franklin Gothic Book" w:hAnsi="Franklin Gothic Book"/>
          <w:iCs/>
          <w:color w:val="auto"/>
          <w:sz w:val="22"/>
          <w:vertAlign w:val="subscript"/>
        </w:rPr>
        <w:t>10</w:t>
      </w:r>
      <w:r w:rsidRPr="00F855F3">
        <w:rPr>
          <w:rFonts w:ascii="Franklin Gothic Book" w:hAnsi="Franklin Gothic Book"/>
          <w:iCs/>
          <w:color w:val="auto"/>
          <w:sz w:val="22"/>
        </w:rPr>
        <w:t xml:space="preserve"> IU/mL) is neither the primary efficacy endpoint in the key trial (undetectable HDV RNA </w:t>
      </w:r>
      <w:r w:rsidRPr="00F855F3">
        <w:rPr>
          <w:rFonts w:ascii="Franklin Gothic Book" w:hAnsi="Franklin Gothic Book" w:cstheme="minorHAnsi"/>
          <w:iCs/>
          <w:color w:val="auto"/>
          <w:sz w:val="22"/>
        </w:rPr>
        <w:t>or decrease in HDV RNA levels by ≥2 log</w:t>
      </w:r>
      <w:r w:rsidRPr="00F855F3">
        <w:rPr>
          <w:rFonts w:ascii="Franklin Gothic Book" w:hAnsi="Franklin Gothic Book" w:cstheme="minorHAnsi"/>
          <w:iCs/>
          <w:color w:val="auto"/>
          <w:sz w:val="22"/>
          <w:vertAlign w:val="subscript"/>
        </w:rPr>
        <w:t>10</w:t>
      </w:r>
      <w:r w:rsidRPr="00F855F3">
        <w:rPr>
          <w:rFonts w:ascii="Franklin Gothic Book" w:hAnsi="Franklin Gothic Book" w:cstheme="minorHAnsi"/>
          <w:iCs/>
          <w:color w:val="auto"/>
          <w:sz w:val="22"/>
        </w:rPr>
        <w:t xml:space="preserve"> IU/mL from baseline </w:t>
      </w:r>
      <w:r w:rsidRPr="00F855F3">
        <w:rPr>
          <w:rFonts w:ascii="Franklin Gothic Book" w:hAnsi="Franklin Gothic Book"/>
          <w:iCs/>
          <w:color w:val="auto"/>
          <w:sz w:val="22"/>
        </w:rPr>
        <w:t>and ALT normalisation) nor the surrogate measure (undetectable HDV RNA levels) used to estimate</w:t>
      </w:r>
      <w:r w:rsidRPr="004506DC">
        <w:rPr>
          <w:rFonts w:ascii="Franklin Gothic Book" w:hAnsi="Franklin Gothic Book"/>
          <w:i/>
          <w:iCs/>
          <w:color w:val="auto"/>
          <w:sz w:val="22"/>
        </w:rPr>
        <w:t xml:space="preserve"> </w:t>
      </w:r>
      <w:r w:rsidRPr="00F855F3">
        <w:rPr>
          <w:rFonts w:ascii="Franklin Gothic Book" w:hAnsi="Franklin Gothic Book"/>
          <w:color w:val="auto"/>
          <w:sz w:val="22"/>
        </w:rPr>
        <w:t xml:space="preserve">the effect of response on liver-related clinical outcomes (see the dot point below). </w:t>
      </w:r>
    </w:p>
    <w:p w14:paraId="6C124EAC" w14:textId="5468A800" w:rsidR="0021265F" w:rsidRPr="00F855F3" w:rsidRDefault="0021265F" w:rsidP="00C6349A">
      <w:pPr>
        <w:pStyle w:val="ListParagraph"/>
        <w:numPr>
          <w:ilvl w:val="0"/>
          <w:numId w:val="20"/>
        </w:numPr>
        <w:jc w:val="left"/>
        <w:rPr>
          <w:rFonts w:ascii="Franklin Gothic Book" w:hAnsi="Franklin Gothic Book"/>
          <w:color w:val="auto"/>
          <w:sz w:val="22"/>
        </w:rPr>
      </w:pPr>
      <w:r w:rsidRPr="00F855F3">
        <w:rPr>
          <w:rFonts w:ascii="Franklin Gothic Book" w:hAnsi="Franklin Gothic Book"/>
          <w:color w:val="auto"/>
          <w:sz w:val="22"/>
        </w:rPr>
        <w:t>The HRs for disease progression of CHD in responders sourced from a recently published meta-analysis by Gish et al. (2024)</w:t>
      </w:r>
      <w:r w:rsidRPr="00F855F3">
        <w:rPr>
          <w:rStyle w:val="FootnoteReference"/>
          <w:rFonts w:ascii="Franklin Gothic Book" w:hAnsi="Franklin Gothic Book"/>
          <w:color w:val="auto"/>
          <w:sz w:val="22"/>
        </w:rPr>
        <w:footnoteReference w:id="30"/>
      </w:r>
      <w:r w:rsidRPr="00F855F3">
        <w:rPr>
          <w:rFonts w:ascii="Franklin Gothic Book" w:hAnsi="Franklin Gothic Book"/>
          <w:color w:val="auto"/>
          <w:sz w:val="22"/>
        </w:rPr>
        <w:t>. Several studies in the meta-analysis included irrelevant comparisons, e.g. acute versus chronic HDV infections and HBV mono-infection versus HBV/HDV infection, limiting the applicability to the target clinical benefit of a response in patients with CHD. Also, Gish et al.’s meta-analysis missed one relevant study identified by the sponsor-commissioned meta-analysis presented in the previous submission</w:t>
      </w:r>
      <w:r w:rsidRPr="00F855F3">
        <w:rPr>
          <w:rStyle w:val="FootnoteReference"/>
          <w:rFonts w:ascii="Franklin Gothic Book" w:hAnsi="Franklin Gothic Book"/>
          <w:color w:val="auto"/>
          <w:sz w:val="22"/>
        </w:rPr>
        <w:footnoteReference w:id="31"/>
      </w:r>
      <w:r w:rsidRPr="00F855F3">
        <w:rPr>
          <w:rFonts w:ascii="Franklin Gothic Book" w:hAnsi="Franklin Gothic Book"/>
          <w:color w:val="auto"/>
          <w:sz w:val="22"/>
        </w:rPr>
        <w:t xml:space="preserve">. In the clinical studies where relevant comparisons were presented, the definition used for the surrogate outcome measure (detectable versus undetectable HDV RNA) was narrower than the definition of virological response used in the economic model (undetectable HDV RNA or decrease in HDV RNA levels by ≥2 </w:t>
      </w:r>
      <w:r w:rsidR="00F142E3" w:rsidRPr="00193386">
        <w:rPr>
          <w:rFonts w:ascii="Franklin Gothic Book" w:hAnsi="Franklin Gothic Book"/>
          <w:sz w:val="22"/>
        </w:rPr>
        <w:t>log</w:t>
      </w:r>
      <w:r w:rsidR="00F142E3" w:rsidRPr="00193386">
        <w:rPr>
          <w:rFonts w:ascii="Franklin Gothic Book" w:hAnsi="Franklin Gothic Book"/>
          <w:sz w:val="22"/>
          <w:vertAlign w:val="subscript"/>
        </w:rPr>
        <w:t>10</w:t>
      </w:r>
      <w:r w:rsidRPr="00F855F3">
        <w:rPr>
          <w:rFonts w:ascii="Franklin Gothic Book" w:hAnsi="Franklin Gothic Book"/>
          <w:color w:val="auto"/>
          <w:sz w:val="22"/>
        </w:rPr>
        <w:t xml:space="preserve"> IU/mL). The use of undetectable viral load as the response measure would be more consistent with studies used to quantify the effect of virological response on clinical outcomes.</w:t>
      </w:r>
    </w:p>
    <w:p w14:paraId="15611A38" w14:textId="40D0477F" w:rsidR="0021265F" w:rsidRPr="00F855F3" w:rsidRDefault="0021265F" w:rsidP="00C6349A">
      <w:pPr>
        <w:pStyle w:val="ListParagraph"/>
        <w:numPr>
          <w:ilvl w:val="0"/>
          <w:numId w:val="20"/>
        </w:numPr>
        <w:jc w:val="left"/>
        <w:rPr>
          <w:rFonts w:ascii="Franklin Gothic Book" w:hAnsi="Franklin Gothic Book"/>
          <w:color w:val="auto"/>
          <w:sz w:val="22"/>
        </w:rPr>
      </w:pPr>
      <w:r w:rsidRPr="00F855F3">
        <w:rPr>
          <w:rFonts w:ascii="Franklin Gothic Book" w:hAnsi="Franklin Gothic Book"/>
          <w:color w:val="auto"/>
          <w:sz w:val="22"/>
        </w:rPr>
        <w:t xml:space="preserve">The extended duration of bulevirtide treatment. The resubmission assumed that all patients in the bulevirtide arm would receive 144 weeks of bulevirtide treatment, unless they experience HBsAg </w:t>
      </w:r>
      <w:proofErr w:type="spellStart"/>
      <w:r w:rsidRPr="00F855F3">
        <w:rPr>
          <w:rFonts w:ascii="Franklin Gothic Book" w:hAnsi="Franklin Gothic Book"/>
          <w:color w:val="auto"/>
          <w:sz w:val="22"/>
        </w:rPr>
        <w:t>seroclearance</w:t>
      </w:r>
      <w:proofErr w:type="spellEnd"/>
      <w:r w:rsidRPr="00F855F3">
        <w:rPr>
          <w:rFonts w:ascii="Franklin Gothic Book" w:hAnsi="Franklin Gothic Book"/>
          <w:color w:val="auto"/>
          <w:sz w:val="22"/>
        </w:rPr>
        <w:t xml:space="preserve">, disease progression (decompensated cirrhosis (DCC) or HCC) or death. After Week 144, non-responders were assumed to cease treatment. Responders were assumed to continue treatment unless they experienced the events noted above or discontinued due to other reasons. It is unknown whether the treatment duration modelled in the economic evaluation would reflect clinical practice. The proposed PBS restriction did not specify stopping rules and/or treatment continuation criteria. The decision to continue or cease treatment, based on virological response, is likely to be a matter of clinical judgement and the available evidence suggests that changes in management are rarely exercised </w:t>
      </w:r>
      <w:proofErr w:type="gramStart"/>
      <w:r w:rsidRPr="00F855F3">
        <w:rPr>
          <w:rFonts w:ascii="Franklin Gothic Book" w:hAnsi="Franklin Gothic Book"/>
          <w:color w:val="auto"/>
          <w:sz w:val="22"/>
        </w:rPr>
        <w:t>on the basis of</w:t>
      </w:r>
      <w:proofErr w:type="gramEnd"/>
      <w:r w:rsidRPr="00F855F3">
        <w:rPr>
          <w:rFonts w:ascii="Franklin Gothic Book" w:hAnsi="Franklin Gothic Book"/>
          <w:color w:val="auto"/>
          <w:sz w:val="22"/>
        </w:rPr>
        <w:t xml:space="preserve"> changes in HDV RNA levels (see Clinical section).</w:t>
      </w:r>
    </w:p>
    <w:p w14:paraId="49378207" w14:textId="77777777" w:rsidR="0021265F" w:rsidRPr="00F855F3" w:rsidRDefault="0021265F" w:rsidP="00C6349A">
      <w:pPr>
        <w:pStyle w:val="ListParagraph"/>
        <w:numPr>
          <w:ilvl w:val="0"/>
          <w:numId w:val="20"/>
        </w:numPr>
        <w:jc w:val="left"/>
        <w:rPr>
          <w:rFonts w:ascii="Franklin Gothic Book" w:hAnsi="Franklin Gothic Book"/>
          <w:color w:val="auto"/>
          <w:sz w:val="22"/>
        </w:rPr>
      </w:pPr>
      <w:r w:rsidRPr="00F855F3">
        <w:rPr>
          <w:rFonts w:ascii="Franklin Gothic Book" w:hAnsi="Franklin Gothic Book"/>
          <w:color w:val="auto"/>
          <w:sz w:val="22"/>
        </w:rPr>
        <w:t xml:space="preserve">The updated utilities associated with non-cirrhosis (NC) and compensated cirrhosis (CC) health states based on Australian population weights. The utilities for the NC and CC patients applied to the resubmission’s model lack face validity and are notably higher than the utility weights in the HCV model previously considered by the PBAC. </w:t>
      </w:r>
    </w:p>
    <w:p w14:paraId="71841C68" w14:textId="27FDE0FD" w:rsidR="0021265F" w:rsidRPr="00F855F3" w:rsidRDefault="0021265F" w:rsidP="004506DC">
      <w:pPr>
        <w:jc w:val="left"/>
        <w:rPr>
          <w:rFonts w:ascii="Franklin Gothic Book" w:hAnsi="Franklin Gothic Book"/>
          <w:sz w:val="22"/>
        </w:rPr>
      </w:pPr>
      <w:r w:rsidRPr="00F855F3">
        <w:rPr>
          <w:rFonts w:ascii="Franklin Gothic Book" w:hAnsi="Franklin Gothic Book"/>
          <w:sz w:val="22"/>
        </w:rPr>
        <w:t xml:space="preserve">Other major areas of concern in the economic model, previously noted by the PBAC, include the assumption of a utility gain in the responders, the time horizon, the source used to model the natural history of chronic HDV, and the rate of compliance with bulevirtide treatment. These model inputs essentially remain unchanged since the previous submission and their continued use has not been adequately justified in the resubmission. </w:t>
      </w:r>
    </w:p>
    <w:p w14:paraId="7442C820" w14:textId="77777777" w:rsidR="0021265F" w:rsidRPr="004506DC" w:rsidRDefault="0021265F" w:rsidP="00575CAD">
      <w:pPr>
        <w:pStyle w:val="Heading4"/>
        <w:rPr>
          <w:rFonts w:ascii="Franklin Gothic Book" w:hAnsi="Franklin Gothic Book"/>
          <w:color w:val="auto"/>
        </w:rPr>
      </w:pPr>
      <w:r w:rsidRPr="004506DC">
        <w:rPr>
          <w:rFonts w:ascii="Franklin Gothic Book" w:hAnsi="Franklin Gothic Book"/>
          <w:color w:val="auto"/>
        </w:rPr>
        <w:lastRenderedPageBreak/>
        <w:t>Results of the economic analysis</w:t>
      </w:r>
    </w:p>
    <w:p w14:paraId="410467B0" w14:textId="44D0BFF0" w:rsidR="0021265F" w:rsidRPr="00F855F3" w:rsidRDefault="0021265F" w:rsidP="00575CAD">
      <w:pPr>
        <w:keepNext/>
        <w:keepLines/>
        <w:jc w:val="left"/>
        <w:rPr>
          <w:rFonts w:ascii="Franklin Gothic Book" w:hAnsi="Franklin Gothic Book"/>
          <w:i/>
          <w:iCs/>
          <w:sz w:val="22"/>
        </w:rPr>
      </w:pPr>
      <w:r w:rsidRPr="00F855F3">
        <w:rPr>
          <w:rFonts w:ascii="Franklin Gothic Book" w:hAnsi="Franklin Gothic Book"/>
          <w:i/>
          <w:iCs/>
          <w:sz w:val="22"/>
        </w:rPr>
        <w:t xml:space="preserve">The proposed cost of HDV RNA PCR testing to determine a patient’s eligibility for bulevirtide therapy was $152.10 per test. </w:t>
      </w:r>
      <w:proofErr w:type="gramStart"/>
      <w:r w:rsidRPr="00F855F3">
        <w:rPr>
          <w:rFonts w:ascii="Franklin Gothic Book" w:hAnsi="Franklin Gothic Book"/>
          <w:i/>
          <w:iCs/>
          <w:sz w:val="22"/>
        </w:rPr>
        <w:t>Assuming that</w:t>
      </w:r>
      <w:proofErr w:type="gramEnd"/>
      <w:r w:rsidRPr="00F855F3">
        <w:rPr>
          <w:rFonts w:ascii="Franklin Gothic Book" w:hAnsi="Franklin Gothic Book"/>
          <w:i/>
          <w:iCs/>
          <w:sz w:val="22"/>
        </w:rPr>
        <w:t xml:space="preserve"> 54.4% of anti-HDV antibody positive patients would be positive for HDV RNA, the one-off cost applied on model entry to identify one patient eligible for treatment was $279.60. HDV RNA monitoring was assumed twice per year while on treatment. Therefore, the cost per year for monitoring was $304.20. Given that the duration of bulevirtide treatment modelled was 12.3 years, the cost of test monitoring applied per treatment course would be $</w:t>
      </w:r>
      <w:r w:rsidR="00B73E06" w:rsidRPr="00B73E06">
        <w:rPr>
          <w:rFonts w:ascii="Franklin Gothic Book" w:hAnsi="Franklin Gothic Book"/>
          <w:b/>
          <w:bCs/>
          <w:i/>
          <w:iCs/>
          <w:sz w:val="22"/>
        </w:rPr>
        <w:t>redacted</w:t>
      </w:r>
      <w:r w:rsidRPr="00F855F3">
        <w:rPr>
          <w:rFonts w:ascii="Franklin Gothic Book" w:hAnsi="Franklin Gothic Book"/>
          <w:i/>
          <w:iCs/>
          <w:sz w:val="22"/>
        </w:rPr>
        <w:t xml:space="preserve"> (undiscounted).</w:t>
      </w:r>
    </w:p>
    <w:p w14:paraId="610AB2B6" w14:textId="466FE097" w:rsidR="0021265F" w:rsidRPr="00F855F3" w:rsidRDefault="0021265F" w:rsidP="004506DC">
      <w:pPr>
        <w:pStyle w:val="MSACESParagraph"/>
        <w:rPr>
          <w:rFonts w:ascii="Franklin Gothic Book" w:hAnsi="Franklin Gothic Book"/>
          <w:i/>
          <w:iCs/>
          <w:sz w:val="22"/>
        </w:rPr>
      </w:pPr>
      <w:r w:rsidRPr="00F855F3">
        <w:rPr>
          <w:rFonts w:ascii="Franklin Gothic Book" w:hAnsi="Franklin Gothic Book"/>
          <w:i/>
          <w:iCs/>
          <w:sz w:val="22"/>
        </w:rPr>
        <w:t xml:space="preserve">The results of the stepped economic evaluation are presented in </w:t>
      </w:r>
      <w:r w:rsidRPr="00F855F3">
        <w:rPr>
          <w:rFonts w:ascii="Franklin Gothic Book" w:hAnsi="Franklin Gothic Book"/>
          <w:i/>
          <w:iCs/>
          <w:sz w:val="22"/>
        </w:rPr>
        <w:fldChar w:fldCharType="begin"/>
      </w:r>
      <w:r w:rsidRPr="00F855F3">
        <w:rPr>
          <w:rFonts w:ascii="Franklin Gothic Book" w:hAnsi="Franklin Gothic Book"/>
          <w:i/>
          <w:iCs/>
          <w:sz w:val="22"/>
        </w:rPr>
        <w:instrText xml:space="preserve"> REF _Ref184663023 \h  \* MERGEFORMAT </w:instrText>
      </w:r>
      <w:r w:rsidRPr="00F855F3">
        <w:rPr>
          <w:rFonts w:ascii="Franklin Gothic Book" w:hAnsi="Franklin Gothic Book"/>
          <w:i/>
          <w:iCs/>
          <w:sz w:val="22"/>
        </w:rPr>
      </w:r>
      <w:r w:rsidRPr="00F855F3">
        <w:rPr>
          <w:rFonts w:ascii="Franklin Gothic Book" w:hAnsi="Franklin Gothic Book"/>
          <w:i/>
          <w:iCs/>
          <w:sz w:val="22"/>
        </w:rPr>
        <w:fldChar w:fldCharType="separate"/>
      </w:r>
      <w:r w:rsidR="006C45A0" w:rsidRPr="00F855F3">
        <w:rPr>
          <w:rFonts w:ascii="Franklin Gothic Book" w:hAnsi="Franklin Gothic Book"/>
          <w:i/>
          <w:iCs/>
          <w:sz w:val="22"/>
        </w:rPr>
        <w:t>Table 9</w:t>
      </w:r>
      <w:r w:rsidRPr="00F855F3">
        <w:rPr>
          <w:rFonts w:ascii="Franklin Gothic Book" w:hAnsi="Franklin Gothic Book"/>
          <w:i/>
          <w:iCs/>
          <w:sz w:val="22"/>
        </w:rPr>
        <w:fldChar w:fldCharType="end"/>
      </w:r>
      <w:r w:rsidRPr="00F855F3">
        <w:rPr>
          <w:rFonts w:ascii="Franklin Gothic Book" w:hAnsi="Franklin Gothic Book"/>
          <w:i/>
          <w:iCs/>
          <w:sz w:val="22"/>
        </w:rPr>
        <w:t xml:space="preserve">. To keep consistent with the previous Commentary, additional steps (3a and 3b) were included from Step 3 to Step 4 to allow the effect of transformations to be distinguished from one another. </w:t>
      </w:r>
    </w:p>
    <w:p w14:paraId="7276DFE8" w14:textId="4D07DB98" w:rsidR="0021265F" w:rsidRPr="0021265F" w:rsidRDefault="00493F80" w:rsidP="00BD2A33">
      <w:pPr>
        <w:pStyle w:val="Caption"/>
      </w:pPr>
      <w:bookmarkStart w:id="52" w:name="_Ref184663023"/>
      <w:r w:rsidRPr="4904BCD2">
        <w:lastRenderedPageBreak/>
        <w:t xml:space="preserve">Table  </w:t>
      </w:r>
      <w:r w:rsidRPr="4904BCD2">
        <w:fldChar w:fldCharType="begin"/>
      </w:r>
      <w:r>
        <w:instrText xml:space="preserve"> SEQ Table_MSAC \* ARABIC </w:instrText>
      </w:r>
      <w:r w:rsidRPr="4904BCD2">
        <w:fldChar w:fldCharType="separate"/>
      </w:r>
      <w:r w:rsidR="006C45A0">
        <w:rPr>
          <w:noProof/>
        </w:rPr>
        <w:t>9</w:t>
      </w:r>
      <w:r w:rsidRPr="4904BCD2">
        <w:rPr>
          <w:noProof/>
        </w:rPr>
        <w:fldChar w:fldCharType="end"/>
      </w:r>
      <w:bookmarkEnd w:id="52"/>
      <w:r w:rsidR="0021265F" w:rsidRPr="0021265F">
        <w:tab/>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41"/>
        <w:gridCol w:w="2434"/>
        <w:gridCol w:w="2281"/>
        <w:gridCol w:w="1560"/>
      </w:tblGrid>
      <w:tr w:rsidR="0021265F" w:rsidRPr="0021265F" w14:paraId="6B81BC9C" w14:textId="77777777" w:rsidTr="4904BCD2">
        <w:trPr>
          <w:tblHeader/>
        </w:trPr>
        <w:tc>
          <w:tcPr>
            <w:tcW w:w="1520" w:type="pct"/>
            <w:vAlign w:val="center"/>
          </w:tcPr>
          <w:p w14:paraId="5578C7C8" w14:textId="77777777" w:rsidR="0021265F" w:rsidRPr="0021265F" w:rsidRDefault="0021265F" w:rsidP="00C4658A">
            <w:pPr>
              <w:pStyle w:val="In-tableHeading"/>
              <w:rPr>
                <w:lang w:val="en-AU"/>
              </w:rPr>
            </w:pPr>
            <w:r w:rsidRPr="0021265F">
              <w:rPr>
                <w:lang w:val="en-AU"/>
              </w:rPr>
              <w:t>Step and component</w:t>
            </w:r>
          </w:p>
        </w:tc>
        <w:tc>
          <w:tcPr>
            <w:tcW w:w="1350" w:type="pct"/>
            <w:vAlign w:val="center"/>
          </w:tcPr>
          <w:p w14:paraId="15953147" w14:textId="77777777" w:rsidR="0021265F" w:rsidRPr="0021265F" w:rsidRDefault="0021265F" w:rsidP="00C4658A">
            <w:pPr>
              <w:pStyle w:val="In-tableHeading"/>
              <w:jc w:val="center"/>
              <w:rPr>
                <w:lang w:val="en-AU"/>
              </w:rPr>
            </w:pPr>
            <w:r w:rsidRPr="0021265F">
              <w:rPr>
                <w:lang w:val="en-AU"/>
              </w:rPr>
              <w:t>Bulevirtide</w:t>
            </w:r>
          </w:p>
        </w:tc>
        <w:tc>
          <w:tcPr>
            <w:tcW w:w="1265" w:type="pct"/>
            <w:vAlign w:val="center"/>
          </w:tcPr>
          <w:p w14:paraId="179040AB" w14:textId="77777777" w:rsidR="0021265F" w:rsidRPr="0021265F" w:rsidRDefault="0021265F" w:rsidP="00C4658A">
            <w:pPr>
              <w:pStyle w:val="In-tableHeading"/>
              <w:jc w:val="center"/>
              <w:rPr>
                <w:lang w:val="en-AU"/>
              </w:rPr>
            </w:pPr>
            <w:r w:rsidRPr="0021265F">
              <w:rPr>
                <w:lang w:val="en-AU"/>
              </w:rPr>
              <w:t>BSC</w:t>
            </w:r>
          </w:p>
        </w:tc>
        <w:tc>
          <w:tcPr>
            <w:tcW w:w="866" w:type="pct"/>
            <w:vAlign w:val="center"/>
          </w:tcPr>
          <w:p w14:paraId="140DABBA" w14:textId="77777777" w:rsidR="0021265F" w:rsidRPr="0021265F" w:rsidRDefault="0021265F" w:rsidP="00C4658A">
            <w:pPr>
              <w:pStyle w:val="In-tableHeading"/>
              <w:jc w:val="center"/>
              <w:rPr>
                <w:lang w:val="en-AU"/>
              </w:rPr>
            </w:pPr>
            <w:r w:rsidRPr="0021265F">
              <w:rPr>
                <w:lang w:val="en-AU"/>
              </w:rPr>
              <w:t>Increment</w:t>
            </w:r>
          </w:p>
        </w:tc>
      </w:tr>
      <w:tr w:rsidR="0021265F" w:rsidRPr="0021265F" w14:paraId="63BE225E" w14:textId="77777777" w:rsidTr="4904BCD2">
        <w:tc>
          <w:tcPr>
            <w:tcW w:w="5000" w:type="pct"/>
            <w:gridSpan w:val="4"/>
            <w:vAlign w:val="center"/>
          </w:tcPr>
          <w:p w14:paraId="6B2D95CB" w14:textId="77777777" w:rsidR="0021265F" w:rsidRPr="0021265F" w:rsidRDefault="0021265F" w:rsidP="00C4658A">
            <w:pPr>
              <w:pStyle w:val="TableText"/>
              <w:keepNext/>
              <w:rPr>
                <w:b/>
                <w:bCs/>
              </w:rPr>
            </w:pPr>
            <w:r w:rsidRPr="0021265F">
              <w:rPr>
                <w:b/>
                <w:bCs/>
              </w:rPr>
              <w:t>Step 1: Trial-based costs and outcomes (48 weeks)</w:t>
            </w:r>
          </w:p>
          <w:p w14:paraId="4ED886F4" w14:textId="6B907F35" w:rsidR="0021265F" w:rsidRPr="0021265F" w:rsidRDefault="0021265F" w:rsidP="00C4658A">
            <w:pPr>
              <w:pStyle w:val="TableText"/>
              <w:keepNext/>
            </w:pPr>
            <w:r w:rsidRPr="4904BCD2">
              <w:t>Trial-based analysis at 48 weeks. Cost of testing to identify one patient with detectable HDV RNA included (assuming 54.4% positivity rate). Compliance with bulevirtide treatment was 99.55% based on MYR301 trial compliance at 48 weeks (equivalent to 5.57 scripts per patient per 48 weeks).</w:t>
            </w:r>
          </w:p>
        </w:tc>
      </w:tr>
      <w:tr w:rsidR="0021265F" w:rsidRPr="0021265F" w14:paraId="01A7729B" w14:textId="77777777" w:rsidTr="4904BCD2">
        <w:tc>
          <w:tcPr>
            <w:tcW w:w="1520" w:type="pct"/>
            <w:vAlign w:val="center"/>
          </w:tcPr>
          <w:p w14:paraId="1039674A" w14:textId="77777777" w:rsidR="0021265F" w:rsidRPr="0021265F" w:rsidRDefault="0021265F" w:rsidP="00C4658A">
            <w:pPr>
              <w:pStyle w:val="TableText"/>
              <w:keepNext/>
              <w:rPr>
                <w:rFonts w:ascii="Times" w:hAnsi="Times"/>
              </w:rPr>
            </w:pPr>
            <w:r w:rsidRPr="0021265F">
              <w:t>Costs</w:t>
            </w:r>
          </w:p>
        </w:tc>
        <w:tc>
          <w:tcPr>
            <w:tcW w:w="1350" w:type="pct"/>
          </w:tcPr>
          <w:p w14:paraId="053C2E05" w14:textId="0AAD306B" w:rsidR="0021265F" w:rsidRPr="00295483" w:rsidRDefault="0021265F" w:rsidP="00C4658A">
            <w:pPr>
              <w:pStyle w:val="TableText"/>
              <w:keepNext/>
              <w:jc w:val="center"/>
              <w:rPr>
                <w:szCs w:val="20"/>
              </w:rPr>
            </w:pPr>
            <w:r w:rsidRPr="00295483">
              <w:rPr>
                <w:szCs w:val="20"/>
              </w:rPr>
              <w:t>$</w:t>
            </w:r>
            <w:r w:rsidR="00D71262" w:rsidRPr="00295483">
              <w:rPr>
                <w:b/>
                <w:bCs/>
                <w:szCs w:val="20"/>
              </w:rPr>
              <w:t xml:space="preserve"> redacted</w:t>
            </w:r>
          </w:p>
        </w:tc>
        <w:tc>
          <w:tcPr>
            <w:tcW w:w="1265" w:type="pct"/>
          </w:tcPr>
          <w:p w14:paraId="70BE28C4" w14:textId="77777777" w:rsidR="0021265F" w:rsidRPr="0021265F" w:rsidRDefault="0021265F" w:rsidP="00C4658A">
            <w:pPr>
              <w:pStyle w:val="TableText"/>
              <w:keepNext/>
              <w:jc w:val="center"/>
              <w:rPr>
                <w:rFonts w:ascii="Times" w:hAnsi="Times"/>
              </w:rPr>
            </w:pPr>
            <w:r w:rsidRPr="0021265F">
              <w:t>$0</w:t>
            </w:r>
          </w:p>
        </w:tc>
        <w:tc>
          <w:tcPr>
            <w:tcW w:w="866" w:type="pct"/>
          </w:tcPr>
          <w:p w14:paraId="4A2ED4D3" w14:textId="31272FCB" w:rsidR="0021265F" w:rsidRPr="00295483" w:rsidRDefault="0021265F" w:rsidP="00C4658A">
            <w:pPr>
              <w:pStyle w:val="TableText"/>
              <w:keepNext/>
              <w:jc w:val="center"/>
              <w:rPr>
                <w:szCs w:val="20"/>
              </w:rPr>
            </w:pPr>
            <w:r w:rsidRPr="00295483">
              <w:rPr>
                <w:szCs w:val="20"/>
              </w:rPr>
              <w:t>$</w:t>
            </w:r>
            <w:r w:rsidR="00CC2A89" w:rsidRPr="00295483">
              <w:rPr>
                <w:b/>
                <w:bCs/>
                <w:szCs w:val="20"/>
              </w:rPr>
              <w:t xml:space="preserve"> redacted</w:t>
            </w:r>
          </w:p>
        </w:tc>
      </w:tr>
      <w:tr w:rsidR="0021265F" w:rsidRPr="0021265F" w14:paraId="4AF74C49" w14:textId="77777777" w:rsidTr="4904BCD2">
        <w:tc>
          <w:tcPr>
            <w:tcW w:w="1520" w:type="pct"/>
            <w:vAlign w:val="center"/>
          </w:tcPr>
          <w:p w14:paraId="0FE45085" w14:textId="77777777" w:rsidR="0021265F" w:rsidRPr="0021265F" w:rsidRDefault="0021265F" w:rsidP="00C4658A">
            <w:pPr>
              <w:pStyle w:val="TableText"/>
              <w:keepNext/>
              <w:rPr>
                <w:rFonts w:ascii="Times" w:hAnsi="Times"/>
              </w:rPr>
            </w:pPr>
            <w:r w:rsidRPr="0021265F">
              <w:t>Virological response </w:t>
            </w:r>
            <w:r w:rsidRPr="0021265F">
              <w:rPr>
                <w:vertAlign w:val="superscript"/>
              </w:rPr>
              <w:t>a</w:t>
            </w:r>
            <w:r w:rsidRPr="0021265F">
              <w:t xml:space="preserve"> at 48 weeks</w:t>
            </w:r>
          </w:p>
        </w:tc>
        <w:tc>
          <w:tcPr>
            <w:tcW w:w="1350" w:type="pct"/>
          </w:tcPr>
          <w:p w14:paraId="44F1B83D" w14:textId="77777777" w:rsidR="0021265F" w:rsidRPr="0021265F" w:rsidRDefault="0021265F" w:rsidP="00C4658A">
            <w:pPr>
              <w:pStyle w:val="TableText"/>
              <w:keepNext/>
              <w:jc w:val="center"/>
              <w:rPr>
                <w:rFonts w:ascii="Times" w:hAnsi="Times"/>
              </w:rPr>
            </w:pPr>
            <w:r w:rsidRPr="0021265F">
              <w:t>73.5%</w:t>
            </w:r>
          </w:p>
        </w:tc>
        <w:tc>
          <w:tcPr>
            <w:tcW w:w="1265" w:type="pct"/>
          </w:tcPr>
          <w:p w14:paraId="0835CACD" w14:textId="77777777" w:rsidR="0021265F" w:rsidRPr="0021265F" w:rsidRDefault="0021265F" w:rsidP="00C4658A">
            <w:pPr>
              <w:pStyle w:val="TableText"/>
              <w:keepNext/>
              <w:jc w:val="center"/>
              <w:rPr>
                <w:rFonts w:ascii="Times" w:hAnsi="Times"/>
              </w:rPr>
            </w:pPr>
            <w:r w:rsidRPr="0021265F">
              <w:t>3.9%</w:t>
            </w:r>
          </w:p>
        </w:tc>
        <w:tc>
          <w:tcPr>
            <w:tcW w:w="866" w:type="pct"/>
          </w:tcPr>
          <w:p w14:paraId="12B1D2F9" w14:textId="77777777" w:rsidR="0021265F" w:rsidRPr="0021265F" w:rsidRDefault="0021265F" w:rsidP="00C4658A">
            <w:pPr>
              <w:pStyle w:val="TableText"/>
              <w:keepNext/>
              <w:jc w:val="center"/>
            </w:pPr>
            <w:r w:rsidRPr="0021265F">
              <w:t>69.5%</w:t>
            </w:r>
          </w:p>
        </w:tc>
      </w:tr>
      <w:tr w:rsidR="0021265F" w:rsidRPr="0021265F" w14:paraId="295294CF" w14:textId="77777777" w:rsidTr="4904BCD2">
        <w:tc>
          <w:tcPr>
            <w:tcW w:w="4134" w:type="pct"/>
            <w:gridSpan w:val="3"/>
            <w:vAlign w:val="center"/>
          </w:tcPr>
          <w:p w14:paraId="0C365E58" w14:textId="77777777" w:rsidR="0021265F" w:rsidRPr="0021265F" w:rsidRDefault="0021265F" w:rsidP="00C4658A">
            <w:pPr>
              <w:pStyle w:val="TableText"/>
              <w:keepNext/>
              <w:rPr>
                <w:rFonts w:ascii="Times" w:hAnsi="Times"/>
              </w:rPr>
            </w:pPr>
            <w:r w:rsidRPr="0021265F">
              <w:t>Incremental cost/additional responder</w:t>
            </w:r>
          </w:p>
        </w:tc>
        <w:tc>
          <w:tcPr>
            <w:tcW w:w="866" w:type="pct"/>
            <w:vAlign w:val="center"/>
          </w:tcPr>
          <w:p w14:paraId="1CCE16EF" w14:textId="47615E0E" w:rsidR="0021265F" w:rsidRPr="00295483" w:rsidRDefault="0021265F" w:rsidP="00C4658A">
            <w:pPr>
              <w:pStyle w:val="TableText"/>
              <w:keepNext/>
              <w:jc w:val="center"/>
              <w:rPr>
                <w:szCs w:val="20"/>
              </w:rPr>
            </w:pPr>
            <w:r w:rsidRPr="00295483">
              <w:rPr>
                <w:szCs w:val="20"/>
              </w:rPr>
              <w:t>$</w:t>
            </w:r>
            <w:r w:rsidR="00CC2A89" w:rsidRPr="00295483">
              <w:rPr>
                <w:b/>
                <w:bCs/>
                <w:szCs w:val="20"/>
              </w:rPr>
              <w:t xml:space="preserve"> redacted</w:t>
            </w:r>
          </w:p>
        </w:tc>
      </w:tr>
      <w:tr w:rsidR="0021265F" w:rsidRPr="0021265F" w14:paraId="4AAE5130" w14:textId="77777777" w:rsidTr="4904BCD2">
        <w:tc>
          <w:tcPr>
            <w:tcW w:w="5000" w:type="pct"/>
            <w:gridSpan w:val="4"/>
            <w:vAlign w:val="center"/>
          </w:tcPr>
          <w:p w14:paraId="602395B3" w14:textId="77777777" w:rsidR="0021265F" w:rsidRPr="0021265F" w:rsidRDefault="0021265F" w:rsidP="00C4658A">
            <w:pPr>
              <w:pStyle w:val="TableText"/>
              <w:keepNext/>
              <w:rPr>
                <w:b/>
                <w:bCs/>
              </w:rPr>
            </w:pPr>
            <w:r w:rsidRPr="0021265F">
              <w:rPr>
                <w:b/>
                <w:bCs/>
              </w:rPr>
              <w:t>Step 2: Trial-based costs and outcomes to 144 weeks, with extrapolation of comparator outcomes</w:t>
            </w:r>
          </w:p>
          <w:p w14:paraId="5032DF53" w14:textId="77777777" w:rsidR="0021265F" w:rsidRPr="0021265F" w:rsidRDefault="0021265F" w:rsidP="00C4658A">
            <w:pPr>
              <w:pStyle w:val="In-tableHeading"/>
              <w:rPr>
                <w:b w:val="0"/>
                <w:bCs/>
                <w:lang w:val="en-AU"/>
              </w:rPr>
            </w:pPr>
            <w:r w:rsidRPr="0021265F">
              <w:rPr>
                <w:b w:val="0"/>
                <w:bCs/>
                <w:lang w:val="en-AU"/>
              </w:rPr>
              <w:t>Trial-based analysis at 144 weeks, assuming extrapolation of virological response in the comparator arm. Compliance with bulevirtide treatment was 96.75% based on MYR301 trial compliance at 144 weeks (equivalent to 16.25 scripts</w:t>
            </w:r>
            <w:r w:rsidRPr="0021265F">
              <w:rPr>
                <w:lang w:val="en-AU"/>
              </w:rPr>
              <w:t xml:space="preserve"> </w:t>
            </w:r>
            <w:r w:rsidRPr="0021265F">
              <w:rPr>
                <w:b w:val="0"/>
                <w:bCs/>
                <w:lang w:val="en-AU"/>
              </w:rPr>
              <w:t>per patient per 144 weeks).</w:t>
            </w:r>
          </w:p>
        </w:tc>
      </w:tr>
      <w:tr w:rsidR="0021265F" w:rsidRPr="0021265F" w14:paraId="2A4666EA" w14:textId="77777777" w:rsidTr="4904BCD2">
        <w:tc>
          <w:tcPr>
            <w:tcW w:w="1520" w:type="pct"/>
            <w:vAlign w:val="center"/>
          </w:tcPr>
          <w:p w14:paraId="1C6D76B5" w14:textId="77777777" w:rsidR="0021265F" w:rsidRPr="0021265F" w:rsidRDefault="0021265F" w:rsidP="00C4658A">
            <w:pPr>
              <w:pStyle w:val="TableText"/>
              <w:keepNext/>
              <w:rPr>
                <w:rFonts w:ascii="Times" w:hAnsi="Times"/>
              </w:rPr>
            </w:pPr>
            <w:r w:rsidRPr="0021265F">
              <w:t>Costs</w:t>
            </w:r>
          </w:p>
        </w:tc>
        <w:tc>
          <w:tcPr>
            <w:tcW w:w="1350" w:type="pct"/>
          </w:tcPr>
          <w:p w14:paraId="2E6FB02F" w14:textId="41949211" w:rsidR="0021265F" w:rsidRPr="0021265F" w:rsidRDefault="00295483" w:rsidP="00C4658A">
            <w:pPr>
              <w:pStyle w:val="TableText"/>
              <w:keepNext/>
              <w:jc w:val="center"/>
              <w:rPr>
                <w:rFonts w:ascii="Times" w:hAnsi="Times"/>
              </w:rPr>
            </w:pPr>
            <w:r>
              <w:rPr>
                <w:b/>
                <w:bCs/>
                <w:szCs w:val="20"/>
              </w:rPr>
              <w:t>$</w:t>
            </w:r>
            <w:r w:rsidRPr="00295483">
              <w:rPr>
                <w:b/>
                <w:bCs/>
                <w:szCs w:val="20"/>
              </w:rPr>
              <w:t>redacted</w:t>
            </w:r>
          </w:p>
        </w:tc>
        <w:tc>
          <w:tcPr>
            <w:tcW w:w="1265" w:type="pct"/>
          </w:tcPr>
          <w:p w14:paraId="0DC6B7EB" w14:textId="77777777" w:rsidR="0021265F" w:rsidRPr="0021265F" w:rsidRDefault="0021265F" w:rsidP="00C4658A">
            <w:pPr>
              <w:pStyle w:val="TableText"/>
              <w:keepNext/>
              <w:jc w:val="center"/>
              <w:rPr>
                <w:rFonts w:ascii="Times" w:hAnsi="Times"/>
              </w:rPr>
            </w:pPr>
            <w:r w:rsidRPr="0021265F">
              <w:t>$0</w:t>
            </w:r>
          </w:p>
        </w:tc>
        <w:tc>
          <w:tcPr>
            <w:tcW w:w="866" w:type="pct"/>
          </w:tcPr>
          <w:p w14:paraId="1B8A78BB" w14:textId="54E9733C" w:rsidR="0021265F" w:rsidRPr="0021265F" w:rsidRDefault="00295483" w:rsidP="00C4658A">
            <w:pPr>
              <w:pStyle w:val="TableText"/>
              <w:keepNext/>
              <w:jc w:val="center"/>
              <w:rPr>
                <w:rFonts w:ascii="Times" w:hAnsi="Times"/>
              </w:rPr>
            </w:pPr>
            <w:r>
              <w:rPr>
                <w:b/>
                <w:bCs/>
                <w:szCs w:val="20"/>
              </w:rPr>
              <w:t>$</w:t>
            </w:r>
            <w:r w:rsidRPr="00295483">
              <w:rPr>
                <w:b/>
                <w:bCs/>
                <w:szCs w:val="20"/>
              </w:rPr>
              <w:t>redacted</w:t>
            </w:r>
          </w:p>
        </w:tc>
      </w:tr>
      <w:tr w:rsidR="0021265F" w:rsidRPr="0021265F" w14:paraId="4D41715C" w14:textId="77777777" w:rsidTr="4904BCD2">
        <w:tc>
          <w:tcPr>
            <w:tcW w:w="1520" w:type="pct"/>
            <w:vAlign w:val="center"/>
          </w:tcPr>
          <w:p w14:paraId="69E6F5B3" w14:textId="77777777" w:rsidR="0021265F" w:rsidRPr="0021265F" w:rsidRDefault="0021265F" w:rsidP="00C4658A">
            <w:pPr>
              <w:pStyle w:val="TableText"/>
              <w:keepNext/>
              <w:rPr>
                <w:rFonts w:ascii="Times" w:hAnsi="Times"/>
              </w:rPr>
            </w:pPr>
            <w:r w:rsidRPr="0021265F">
              <w:t>Virological response </w:t>
            </w:r>
            <w:r w:rsidRPr="0021265F">
              <w:rPr>
                <w:vertAlign w:val="superscript"/>
              </w:rPr>
              <w:t>a</w:t>
            </w:r>
            <w:r w:rsidRPr="0021265F">
              <w:t xml:space="preserve"> at 144 weeks</w:t>
            </w:r>
          </w:p>
        </w:tc>
        <w:tc>
          <w:tcPr>
            <w:tcW w:w="1350" w:type="pct"/>
          </w:tcPr>
          <w:p w14:paraId="5C6CB3EF" w14:textId="77777777" w:rsidR="0021265F" w:rsidRPr="0021265F" w:rsidRDefault="0021265F" w:rsidP="00C4658A">
            <w:pPr>
              <w:pStyle w:val="TableText"/>
              <w:keepNext/>
              <w:jc w:val="center"/>
              <w:rPr>
                <w:rFonts w:ascii="Times" w:hAnsi="Times"/>
              </w:rPr>
            </w:pPr>
            <w:r w:rsidRPr="0021265F">
              <w:t>73.5%</w:t>
            </w:r>
          </w:p>
        </w:tc>
        <w:tc>
          <w:tcPr>
            <w:tcW w:w="1265" w:type="pct"/>
          </w:tcPr>
          <w:p w14:paraId="513FC4D8" w14:textId="77777777" w:rsidR="0021265F" w:rsidRPr="0021265F" w:rsidRDefault="0021265F" w:rsidP="00C4658A">
            <w:pPr>
              <w:pStyle w:val="TableText"/>
              <w:keepNext/>
              <w:jc w:val="center"/>
              <w:rPr>
                <w:rFonts w:ascii="Times" w:hAnsi="Times"/>
              </w:rPr>
            </w:pPr>
            <w:r w:rsidRPr="0021265F">
              <w:t>4.4%</w:t>
            </w:r>
          </w:p>
        </w:tc>
        <w:tc>
          <w:tcPr>
            <w:tcW w:w="866" w:type="pct"/>
          </w:tcPr>
          <w:p w14:paraId="166F7753" w14:textId="77777777" w:rsidR="0021265F" w:rsidRPr="0021265F" w:rsidRDefault="0021265F" w:rsidP="00C4658A">
            <w:pPr>
              <w:pStyle w:val="TableText"/>
              <w:keepNext/>
              <w:jc w:val="center"/>
            </w:pPr>
            <w:r w:rsidRPr="0021265F">
              <w:t>69.1%</w:t>
            </w:r>
          </w:p>
        </w:tc>
      </w:tr>
      <w:tr w:rsidR="0021265F" w:rsidRPr="0021265F" w14:paraId="2D9B2F70" w14:textId="77777777" w:rsidTr="4904BCD2">
        <w:tc>
          <w:tcPr>
            <w:tcW w:w="4134" w:type="pct"/>
            <w:gridSpan w:val="3"/>
            <w:vAlign w:val="center"/>
          </w:tcPr>
          <w:p w14:paraId="62A6B7D4" w14:textId="77777777" w:rsidR="0021265F" w:rsidRPr="0021265F" w:rsidRDefault="0021265F" w:rsidP="00C4658A">
            <w:pPr>
              <w:pStyle w:val="TableText"/>
              <w:keepNext/>
              <w:rPr>
                <w:rFonts w:ascii="Times" w:hAnsi="Times"/>
              </w:rPr>
            </w:pPr>
            <w:r w:rsidRPr="0021265F">
              <w:t>Incremental cost/additional responder</w:t>
            </w:r>
          </w:p>
        </w:tc>
        <w:tc>
          <w:tcPr>
            <w:tcW w:w="866" w:type="pct"/>
            <w:vAlign w:val="center"/>
          </w:tcPr>
          <w:p w14:paraId="30E71EF3" w14:textId="04B487EC" w:rsidR="0021265F" w:rsidRPr="0021265F" w:rsidRDefault="00295483" w:rsidP="00C4658A">
            <w:pPr>
              <w:pStyle w:val="TableText"/>
              <w:keepNext/>
              <w:jc w:val="center"/>
              <w:rPr>
                <w:rFonts w:ascii="Times" w:hAnsi="Times"/>
              </w:rPr>
            </w:pPr>
            <w:r>
              <w:rPr>
                <w:b/>
                <w:bCs/>
                <w:szCs w:val="20"/>
              </w:rPr>
              <w:t>$</w:t>
            </w:r>
            <w:r w:rsidRPr="00295483">
              <w:rPr>
                <w:b/>
                <w:bCs/>
                <w:szCs w:val="20"/>
              </w:rPr>
              <w:t>redacted</w:t>
            </w:r>
          </w:p>
        </w:tc>
      </w:tr>
      <w:tr w:rsidR="0021265F" w:rsidRPr="0021265F" w14:paraId="7C00BC94" w14:textId="77777777" w:rsidTr="4904BCD2">
        <w:tc>
          <w:tcPr>
            <w:tcW w:w="5000" w:type="pct"/>
            <w:gridSpan w:val="4"/>
            <w:vAlign w:val="center"/>
          </w:tcPr>
          <w:p w14:paraId="3577A964" w14:textId="77777777" w:rsidR="0021265F" w:rsidRPr="0021265F" w:rsidRDefault="0021265F" w:rsidP="00C4658A">
            <w:pPr>
              <w:pStyle w:val="In-tableHeading"/>
              <w:rPr>
                <w:lang w:val="en-AU"/>
              </w:rPr>
            </w:pPr>
            <w:r w:rsidRPr="0021265F">
              <w:rPr>
                <w:lang w:val="en-AU"/>
              </w:rPr>
              <w:t>Step 3: Transformation of virological response into QALYs</w:t>
            </w:r>
          </w:p>
          <w:p w14:paraId="4AAA22AA" w14:textId="77777777" w:rsidR="0021265F" w:rsidRPr="0021265F" w:rsidRDefault="0021265F" w:rsidP="00C4658A">
            <w:pPr>
              <w:pStyle w:val="In-tableHeading"/>
              <w:rPr>
                <w:b w:val="0"/>
                <w:bCs/>
                <w:lang w:val="en-AU"/>
              </w:rPr>
            </w:pPr>
            <w:r w:rsidRPr="0021265F">
              <w:rPr>
                <w:b w:val="0"/>
                <w:bCs/>
                <w:lang w:val="en-AU"/>
              </w:rPr>
              <w:t>A utility increment of 0.033 × 2.00 years (i.e. 144 weeks) was applied per patient with virological response at 144 weeks.</w:t>
            </w:r>
          </w:p>
        </w:tc>
      </w:tr>
      <w:tr w:rsidR="0021265F" w:rsidRPr="0021265F" w14:paraId="16F3ED58" w14:textId="77777777" w:rsidTr="4904BCD2">
        <w:tc>
          <w:tcPr>
            <w:tcW w:w="1520" w:type="pct"/>
            <w:vAlign w:val="center"/>
          </w:tcPr>
          <w:p w14:paraId="434F7E64" w14:textId="77777777" w:rsidR="0021265F" w:rsidRPr="0021265F" w:rsidRDefault="0021265F" w:rsidP="00C4658A">
            <w:pPr>
              <w:pStyle w:val="TableText"/>
              <w:keepNext/>
              <w:rPr>
                <w:rFonts w:ascii="Times" w:hAnsi="Times"/>
              </w:rPr>
            </w:pPr>
            <w:r w:rsidRPr="0021265F">
              <w:t>Costs</w:t>
            </w:r>
          </w:p>
        </w:tc>
        <w:tc>
          <w:tcPr>
            <w:tcW w:w="1350" w:type="pct"/>
          </w:tcPr>
          <w:p w14:paraId="5BB08949" w14:textId="181BD96E" w:rsidR="0021265F" w:rsidRPr="0021265F" w:rsidRDefault="00295483" w:rsidP="00C4658A">
            <w:pPr>
              <w:pStyle w:val="TableText"/>
              <w:keepNext/>
              <w:jc w:val="center"/>
              <w:rPr>
                <w:rFonts w:ascii="Times" w:hAnsi="Times"/>
              </w:rPr>
            </w:pPr>
            <w:r>
              <w:rPr>
                <w:b/>
                <w:bCs/>
                <w:szCs w:val="20"/>
              </w:rPr>
              <w:t>$</w:t>
            </w:r>
            <w:r w:rsidRPr="00295483">
              <w:rPr>
                <w:b/>
                <w:bCs/>
                <w:szCs w:val="20"/>
              </w:rPr>
              <w:t>redacted</w:t>
            </w:r>
          </w:p>
        </w:tc>
        <w:tc>
          <w:tcPr>
            <w:tcW w:w="1265" w:type="pct"/>
          </w:tcPr>
          <w:p w14:paraId="1E8F8FE3" w14:textId="77777777" w:rsidR="0021265F" w:rsidRPr="0021265F" w:rsidRDefault="0021265F" w:rsidP="00C4658A">
            <w:pPr>
              <w:pStyle w:val="TableText"/>
              <w:keepNext/>
              <w:jc w:val="center"/>
              <w:rPr>
                <w:rFonts w:ascii="Times" w:hAnsi="Times"/>
              </w:rPr>
            </w:pPr>
            <w:r w:rsidRPr="0021265F">
              <w:t>$0</w:t>
            </w:r>
          </w:p>
        </w:tc>
        <w:tc>
          <w:tcPr>
            <w:tcW w:w="866" w:type="pct"/>
          </w:tcPr>
          <w:p w14:paraId="048FAD31" w14:textId="2FA418C3" w:rsidR="0021265F" w:rsidRPr="0021265F" w:rsidRDefault="00295483" w:rsidP="00C4658A">
            <w:pPr>
              <w:pStyle w:val="TableText"/>
              <w:keepNext/>
              <w:jc w:val="center"/>
              <w:rPr>
                <w:rFonts w:ascii="Times" w:hAnsi="Times"/>
              </w:rPr>
            </w:pPr>
            <w:r>
              <w:rPr>
                <w:b/>
                <w:bCs/>
                <w:szCs w:val="20"/>
              </w:rPr>
              <w:t>$</w:t>
            </w:r>
            <w:r w:rsidRPr="00295483">
              <w:rPr>
                <w:b/>
                <w:bCs/>
                <w:szCs w:val="20"/>
              </w:rPr>
              <w:t>redacted</w:t>
            </w:r>
          </w:p>
        </w:tc>
      </w:tr>
      <w:tr w:rsidR="0021265F" w:rsidRPr="0021265F" w14:paraId="20620E6B" w14:textId="77777777" w:rsidTr="4904BCD2">
        <w:tc>
          <w:tcPr>
            <w:tcW w:w="1520" w:type="pct"/>
            <w:vAlign w:val="center"/>
          </w:tcPr>
          <w:p w14:paraId="26E519D1" w14:textId="77777777" w:rsidR="0021265F" w:rsidRPr="0021265F" w:rsidRDefault="0021265F" w:rsidP="00C4658A">
            <w:pPr>
              <w:pStyle w:val="TableText"/>
              <w:keepNext/>
              <w:rPr>
                <w:rFonts w:ascii="Times" w:hAnsi="Times"/>
              </w:rPr>
            </w:pPr>
            <w:r w:rsidRPr="0021265F">
              <w:t>QALY gained</w:t>
            </w:r>
          </w:p>
        </w:tc>
        <w:tc>
          <w:tcPr>
            <w:tcW w:w="1350" w:type="pct"/>
          </w:tcPr>
          <w:p w14:paraId="3E1C4064" w14:textId="77777777" w:rsidR="0021265F" w:rsidRPr="0021265F" w:rsidRDefault="0021265F" w:rsidP="00C4658A">
            <w:pPr>
              <w:pStyle w:val="TableText"/>
              <w:keepNext/>
              <w:jc w:val="center"/>
              <w:rPr>
                <w:rFonts w:ascii="Times" w:hAnsi="Times"/>
              </w:rPr>
            </w:pPr>
            <w:r w:rsidRPr="0021265F">
              <w:t>0.067</w:t>
            </w:r>
          </w:p>
        </w:tc>
        <w:tc>
          <w:tcPr>
            <w:tcW w:w="1265" w:type="pct"/>
          </w:tcPr>
          <w:p w14:paraId="5CDF1185" w14:textId="77777777" w:rsidR="0021265F" w:rsidRPr="0021265F" w:rsidRDefault="0021265F" w:rsidP="00C4658A">
            <w:pPr>
              <w:pStyle w:val="TableText"/>
              <w:keepNext/>
              <w:jc w:val="center"/>
            </w:pPr>
            <w:r w:rsidRPr="0021265F">
              <w:t>0.004</w:t>
            </w:r>
          </w:p>
        </w:tc>
        <w:tc>
          <w:tcPr>
            <w:tcW w:w="866" w:type="pct"/>
          </w:tcPr>
          <w:p w14:paraId="74B0094F" w14:textId="77777777" w:rsidR="0021265F" w:rsidRPr="0021265F" w:rsidRDefault="0021265F" w:rsidP="00C4658A">
            <w:pPr>
              <w:pStyle w:val="TableText"/>
              <w:keepNext/>
              <w:jc w:val="center"/>
            </w:pPr>
            <w:r w:rsidRPr="0021265F">
              <w:t>0.063</w:t>
            </w:r>
          </w:p>
        </w:tc>
      </w:tr>
      <w:tr w:rsidR="0021265F" w:rsidRPr="0021265F" w14:paraId="0DE744A8" w14:textId="77777777" w:rsidTr="4904BCD2">
        <w:tc>
          <w:tcPr>
            <w:tcW w:w="4134" w:type="pct"/>
            <w:gridSpan w:val="3"/>
            <w:vAlign w:val="center"/>
          </w:tcPr>
          <w:p w14:paraId="6CCFD5F1" w14:textId="77777777" w:rsidR="0021265F" w:rsidRPr="0021265F" w:rsidRDefault="0021265F" w:rsidP="00C4658A">
            <w:pPr>
              <w:pStyle w:val="TableText"/>
              <w:keepNext/>
              <w:rPr>
                <w:rFonts w:ascii="Times" w:hAnsi="Times"/>
              </w:rPr>
            </w:pPr>
            <w:r w:rsidRPr="0021265F">
              <w:t>Incremental cost/extra QALY gained</w:t>
            </w:r>
          </w:p>
        </w:tc>
        <w:tc>
          <w:tcPr>
            <w:tcW w:w="866" w:type="pct"/>
            <w:vAlign w:val="center"/>
          </w:tcPr>
          <w:p w14:paraId="7C4F6BCB" w14:textId="4556CCA1" w:rsidR="0021265F" w:rsidRPr="0021265F" w:rsidRDefault="00295483" w:rsidP="00C4658A">
            <w:pPr>
              <w:pStyle w:val="TableText"/>
              <w:keepNext/>
              <w:jc w:val="center"/>
              <w:rPr>
                <w:rFonts w:ascii="Times" w:hAnsi="Times"/>
              </w:rPr>
            </w:pPr>
            <w:r>
              <w:rPr>
                <w:b/>
                <w:bCs/>
                <w:i/>
                <w:iCs/>
              </w:rPr>
              <w:t>r</w:t>
            </w:r>
            <w:r w:rsidR="008B45A1" w:rsidRPr="00AF1811">
              <w:rPr>
                <w:b/>
                <w:bCs/>
                <w:i/>
                <w:iCs/>
              </w:rPr>
              <w:t>edacted</w:t>
            </w:r>
            <w:r w:rsidR="005F4C19" w:rsidRPr="005F4C19">
              <w:rPr>
                <w:b/>
                <w:bCs/>
                <w:i/>
                <w:iCs/>
                <w:vertAlign w:val="superscript"/>
              </w:rPr>
              <w:t>1</w:t>
            </w:r>
            <w:r w:rsidR="008B45A1" w:rsidRPr="0021265F" w:rsidDel="00AF1811">
              <w:t xml:space="preserve"> </w:t>
            </w:r>
          </w:p>
        </w:tc>
      </w:tr>
      <w:tr w:rsidR="0021265F" w:rsidRPr="0021265F" w14:paraId="51C4A35B" w14:textId="77777777" w:rsidTr="4904BCD2">
        <w:tc>
          <w:tcPr>
            <w:tcW w:w="5000" w:type="pct"/>
            <w:gridSpan w:val="4"/>
            <w:vAlign w:val="center"/>
          </w:tcPr>
          <w:p w14:paraId="7C41A8E2" w14:textId="77777777" w:rsidR="0021265F" w:rsidRPr="0021265F" w:rsidRDefault="0021265F" w:rsidP="00C4658A">
            <w:pPr>
              <w:pStyle w:val="In-tableHeading"/>
              <w:rPr>
                <w:i/>
                <w:iCs/>
                <w:lang w:val="en-AU"/>
              </w:rPr>
            </w:pPr>
            <w:r w:rsidRPr="0021265F">
              <w:rPr>
                <w:i/>
                <w:iCs/>
                <w:lang w:val="en-AU"/>
              </w:rPr>
              <w:t>Step 3a: Transformation of the surrogate outcome of virological response into effect on disease progression</w:t>
            </w:r>
          </w:p>
          <w:p w14:paraId="7DF8EDB8" w14:textId="77777777" w:rsidR="0021265F" w:rsidRPr="0021265F" w:rsidRDefault="0021265F" w:rsidP="00C4658A">
            <w:pPr>
              <w:pStyle w:val="In-tableHeading"/>
              <w:rPr>
                <w:b w:val="0"/>
                <w:bCs/>
                <w:i/>
                <w:iCs/>
                <w:lang w:val="en-AU"/>
              </w:rPr>
            </w:pPr>
            <w:r w:rsidRPr="0021265F">
              <w:rPr>
                <w:b w:val="0"/>
                <w:bCs/>
                <w:i/>
                <w:iCs/>
                <w:lang w:val="en-AU"/>
              </w:rPr>
              <w:t xml:space="preserve">Differences in disease progression were modelled across responders and non-responders based on the estimated relationship between virological response and liver-related outcomes. While the cost of testing was unchanged from the steps prior, the cost of bulevirtide treatment was reduced due to disease progression or HBsAg </w:t>
            </w:r>
            <w:proofErr w:type="spellStart"/>
            <w:r w:rsidRPr="0021265F">
              <w:rPr>
                <w:b w:val="0"/>
                <w:bCs/>
                <w:i/>
                <w:iCs/>
                <w:lang w:val="en-AU"/>
              </w:rPr>
              <w:t>seroclearance</w:t>
            </w:r>
            <w:proofErr w:type="spellEnd"/>
            <w:r w:rsidRPr="0021265F">
              <w:rPr>
                <w:b w:val="0"/>
                <w:bCs/>
                <w:i/>
                <w:iCs/>
                <w:lang w:val="en-AU"/>
              </w:rPr>
              <w:t>. Costs of managing AEs, monitoring costs and other health state costs (disease management, liver transplantation and liver-related death) were included. Utility weights were applied according to the time spent in each health state and disutility due to AEs was included.</w:t>
            </w:r>
          </w:p>
        </w:tc>
      </w:tr>
      <w:tr w:rsidR="0021265F" w:rsidRPr="0021265F" w14:paraId="0FC7661F" w14:textId="77777777" w:rsidTr="4904BCD2">
        <w:tc>
          <w:tcPr>
            <w:tcW w:w="1520" w:type="pct"/>
            <w:vAlign w:val="center"/>
          </w:tcPr>
          <w:p w14:paraId="7FBBA91B" w14:textId="77777777" w:rsidR="0021265F" w:rsidRPr="0021265F" w:rsidRDefault="0021265F" w:rsidP="00C4658A">
            <w:pPr>
              <w:pStyle w:val="TableText"/>
              <w:keepNext/>
              <w:rPr>
                <w:rFonts w:ascii="Times" w:hAnsi="Times"/>
                <w:i/>
                <w:iCs/>
              </w:rPr>
            </w:pPr>
            <w:r w:rsidRPr="0021265F">
              <w:rPr>
                <w:i/>
                <w:iCs/>
              </w:rPr>
              <w:t>Costs</w:t>
            </w:r>
          </w:p>
        </w:tc>
        <w:tc>
          <w:tcPr>
            <w:tcW w:w="1350" w:type="pct"/>
          </w:tcPr>
          <w:p w14:paraId="5D5362D9" w14:textId="3255E5F7" w:rsidR="0021265F" w:rsidRPr="0021265F" w:rsidRDefault="0021265F" w:rsidP="00C4658A">
            <w:pPr>
              <w:pStyle w:val="TableText"/>
              <w:keepNext/>
              <w:jc w:val="center"/>
              <w:rPr>
                <w:i/>
                <w:iCs/>
              </w:rPr>
            </w:pPr>
            <w:r w:rsidRPr="0021265F">
              <w:rPr>
                <w:i/>
                <w:iCs/>
              </w:rPr>
              <w:t>$</w:t>
            </w:r>
            <w:r w:rsidR="00AF1811" w:rsidRPr="00AF1811">
              <w:rPr>
                <w:b/>
                <w:bCs/>
                <w:i/>
                <w:iCs/>
              </w:rPr>
              <w:t>redacted</w:t>
            </w:r>
          </w:p>
        </w:tc>
        <w:tc>
          <w:tcPr>
            <w:tcW w:w="1265" w:type="pct"/>
          </w:tcPr>
          <w:p w14:paraId="63040A5A" w14:textId="77777777" w:rsidR="0021265F" w:rsidRPr="0021265F" w:rsidRDefault="0021265F" w:rsidP="00C4658A">
            <w:pPr>
              <w:pStyle w:val="TableText"/>
              <w:keepNext/>
              <w:jc w:val="center"/>
              <w:rPr>
                <w:i/>
                <w:iCs/>
              </w:rPr>
            </w:pPr>
            <w:r w:rsidRPr="0021265F">
              <w:rPr>
                <w:i/>
                <w:iCs/>
              </w:rPr>
              <w:t>$15,160</w:t>
            </w:r>
          </w:p>
        </w:tc>
        <w:tc>
          <w:tcPr>
            <w:tcW w:w="866" w:type="pct"/>
          </w:tcPr>
          <w:p w14:paraId="2D0E11A3" w14:textId="246400EF" w:rsidR="0021265F" w:rsidRPr="0021265F" w:rsidRDefault="0021265F" w:rsidP="00C4658A">
            <w:pPr>
              <w:pStyle w:val="TableText"/>
              <w:keepNext/>
              <w:jc w:val="center"/>
              <w:rPr>
                <w:i/>
                <w:iCs/>
              </w:rPr>
            </w:pPr>
            <w:r w:rsidRPr="0021265F">
              <w:rPr>
                <w:i/>
                <w:iCs/>
              </w:rPr>
              <w:t>$</w:t>
            </w:r>
            <w:r w:rsidR="00AF1811" w:rsidRPr="00AF1811">
              <w:rPr>
                <w:b/>
                <w:bCs/>
                <w:i/>
                <w:iCs/>
              </w:rPr>
              <w:t xml:space="preserve"> redacted</w:t>
            </w:r>
          </w:p>
        </w:tc>
      </w:tr>
      <w:tr w:rsidR="0021265F" w:rsidRPr="0021265F" w14:paraId="35BA7B42" w14:textId="77777777" w:rsidTr="4904BCD2">
        <w:tc>
          <w:tcPr>
            <w:tcW w:w="1520" w:type="pct"/>
            <w:vAlign w:val="center"/>
          </w:tcPr>
          <w:p w14:paraId="6FA566CF" w14:textId="77777777" w:rsidR="0021265F" w:rsidRPr="0021265F" w:rsidRDefault="0021265F" w:rsidP="00C4658A">
            <w:pPr>
              <w:pStyle w:val="TableText"/>
              <w:keepNext/>
              <w:rPr>
                <w:i/>
                <w:iCs/>
              </w:rPr>
            </w:pPr>
            <w:r w:rsidRPr="0021265F">
              <w:rPr>
                <w:i/>
                <w:iCs/>
              </w:rPr>
              <w:t>LY gained</w:t>
            </w:r>
          </w:p>
        </w:tc>
        <w:tc>
          <w:tcPr>
            <w:tcW w:w="1350" w:type="pct"/>
          </w:tcPr>
          <w:p w14:paraId="37661234" w14:textId="77777777" w:rsidR="0021265F" w:rsidRPr="0021265F" w:rsidRDefault="0021265F" w:rsidP="00C4658A">
            <w:pPr>
              <w:pStyle w:val="TableText"/>
              <w:keepNext/>
              <w:jc w:val="center"/>
              <w:rPr>
                <w:i/>
                <w:iCs/>
              </w:rPr>
            </w:pPr>
            <w:r w:rsidRPr="0021265F">
              <w:rPr>
                <w:i/>
                <w:iCs/>
              </w:rPr>
              <w:t>2.43</w:t>
            </w:r>
          </w:p>
        </w:tc>
        <w:tc>
          <w:tcPr>
            <w:tcW w:w="1265" w:type="pct"/>
          </w:tcPr>
          <w:p w14:paraId="61D52A3B" w14:textId="77777777" w:rsidR="0021265F" w:rsidRPr="0021265F" w:rsidRDefault="0021265F" w:rsidP="00C4658A">
            <w:pPr>
              <w:pStyle w:val="TableText"/>
              <w:keepNext/>
              <w:jc w:val="center"/>
              <w:rPr>
                <w:i/>
                <w:iCs/>
              </w:rPr>
            </w:pPr>
            <w:r w:rsidRPr="0021265F">
              <w:rPr>
                <w:i/>
                <w:iCs/>
              </w:rPr>
              <w:t>2.39</w:t>
            </w:r>
          </w:p>
        </w:tc>
        <w:tc>
          <w:tcPr>
            <w:tcW w:w="866" w:type="pct"/>
          </w:tcPr>
          <w:p w14:paraId="49C2155D" w14:textId="77777777" w:rsidR="0021265F" w:rsidRPr="0021265F" w:rsidRDefault="0021265F" w:rsidP="00C4658A">
            <w:pPr>
              <w:pStyle w:val="TableText"/>
              <w:keepNext/>
              <w:jc w:val="center"/>
              <w:rPr>
                <w:i/>
                <w:iCs/>
              </w:rPr>
            </w:pPr>
            <w:r w:rsidRPr="0021265F">
              <w:rPr>
                <w:i/>
                <w:iCs/>
              </w:rPr>
              <w:t>0.04</w:t>
            </w:r>
          </w:p>
        </w:tc>
      </w:tr>
      <w:tr w:rsidR="0021265F" w:rsidRPr="0021265F" w14:paraId="62B1F019" w14:textId="77777777" w:rsidTr="4904BCD2">
        <w:tc>
          <w:tcPr>
            <w:tcW w:w="1520" w:type="pct"/>
            <w:vAlign w:val="center"/>
          </w:tcPr>
          <w:p w14:paraId="4E177116" w14:textId="77777777" w:rsidR="0021265F" w:rsidRPr="0021265F" w:rsidRDefault="0021265F" w:rsidP="00C4658A">
            <w:pPr>
              <w:pStyle w:val="TableText"/>
              <w:keepNext/>
              <w:rPr>
                <w:rFonts w:ascii="Times" w:hAnsi="Times"/>
                <w:i/>
                <w:iCs/>
              </w:rPr>
            </w:pPr>
            <w:r w:rsidRPr="0021265F">
              <w:rPr>
                <w:i/>
                <w:iCs/>
              </w:rPr>
              <w:t>QALY gained</w:t>
            </w:r>
          </w:p>
        </w:tc>
        <w:tc>
          <w:tcPr>
            <w:tcW w:w="1350" w:type="pct"/>
          </w:tcPr>
          <w:p w14:paraId="745A3839" w14:textId="77777777" w:rsidR="0021265F" w:rsidRPr="0021265F" w:rsidRDefault="0021265F" w:rsidP="00C4658A">
            <w:pPr>
              <w:pStyle w:val="TableText"/>
              <w:keepNext/>
              <w:jc w:val="center"/>
              <w:rPr>
                <w:rFonts w:ascii="Times" w:hAnsi="Times"/>
                <w:i/>
                <w:iCs/>
              </w:rPr>
            </w:pPr>
            <w:r w:rsidRPr="0021265F">
              <w:rPr>
                <w:i/>
                <w:iCs/>
              </w:rPr>
              <w:t>2.24</w:t>
            </w:r>
          </w:p>
        </w:tc>
        <w:tc>
          <w:tcPr>
            <w:tcW w:w="1265" w:type="pct"/>
          </w:tcPr>
          <w:p w14:paraId="442BDDBD" w14:textId="77777777" w:rsidR="0021265F" w:rsidRPr="0021265F" w:rsidRDefault="0021265F" w:rsidP="00C4658A">
            <w:pPr>
              <w:pStyle w:val="TableText"/>
              <w:keepNext/>
              <w:jc w:val="center"/>
              <w:rPr>
                <w:rFonts w:ascii="Times" w:hAnsi="Times"/>
                <w:i/>
                <w:iCs/>
              </w:rPr>
            </w:pPr>
            <w:r w:rsidRPr="0021265F">
              <w:rPr>
                <w:i/>
                <w:iCs/>
              </w:rPr>
              <w:t>2.12</w:t>
            </w:r>
          </w:p>
        </w:tc>
        <w:tc>
          <w:tcPr>
            <w:tcW w:w="866" w:type="pct"/>
          </w:tcPr>
          <w:p w14:paraId="61E67F63" w14:textId="77777777" w:rsidR="0021265F" w:rsidRPr="0021265F" w:rsidRDefault="0021265F" w:rsidP="00C4658A">
            <w:pPr>
              <w:pStyle w:val="TableText"/>
              <w:keepNext/>
              <w:jc w:val="center"/>
              <w:rPr>
                <w:i/>
                <w:iCs/>
              </w:rPr>
            </w:pPr>
            <w:r w:rsidRPr="0021265F">
              <w:rPr>
                <w:i/>
                <w:iCs/>
              </w:rPr>
              <w:t>0.12</w:t>
            </w:r>
          </w:p>
        </w:tc>
      </w:tr>
      <w:tr w:rsidR="0021265F" w:rsidRPr="0021265F" w14:paraId="21AFC8E8" w14:textId="77777777" w:rsidTr="4904BCD2">
        <w:tc>
          <w:tcPr>
            <w:tcW w:w="4134" w:type="pct"/>
            <w:gridSpan w:val="3"/>
            <w:vAlign w:val="center"/>
          </w:tcPr>
          <w:p w14:paraId="5F54E7F1" w14:textId="77777777" w:rsidR="0021265F" w:rsidRPr="0021265F" w:rsidRDefault="0021265F" w:rsidP="00C4658A">
            <w:pPr>
              <w:pStyle w:val="TableText"/>
              <w:keepNext/>
              <w:rPr>
                <w:rFonts w:ascii="Times" w:hAnsi="Times"/>
                <w:i/>
                <w:iCs/>
              </w:rPr>
            </w:pPr>
            <w:r w:rsidRPr="0021265F">
              <w:rPr>
                <w:i/>
                <w:iCs/>
              </w:rPr>
              <w:t>Incremental cost/extra QALY gained</w:t>
            </w:r>
          </w:p>
        </w:tc>
        <w:tc>
          <w:tcPr>
            <w:tcW w:w="866" w:type="pct"/>
            <w:vAlign w:val="center"/>
          </w:tcPr>
          <w:p w14:paraId="5752E1DD" w14:textId="1A047F69" w:rsidR="0021265F" w:rsidRPr="0021265F" w:rsidRDefault="008B45A1" w:rsidP="00C4658A">
            <w:pPr>
              <w:pStyle w:val="TableText"/>
              <w:keepNext/>
              <w:jc w:val="center"/>
              <w:rPr>
                <w:i/>
                <w:iCs/>
              </w:rPr>
            </w:pPr>
            <w:r w:rsidRPr="00AF1811">
              <w:rPr>
                <w:b/>
                <w:bCs/>
                <w:i/>
                <w:iCs/>
              </w:rPr>
              <w:t xml:space="preserve"> redacted</w:t>
            </w:r>
            <w:r w:rsidR="00B434D4" w:rsidRPr="00B434D4">
              <w:rPr>
                <w:b/>
                <w:bCs/>
                <w:i/>
                <w:iCs/>
                <w:vertAlign w:val="superscript"/>
              </w:rPr>
              <w:t>2</w:t>
            </w:r>
          </w:p>
        </w:tc>
      </w:tr>
      <w:tr w:rsidR="0021265F" w:rsidRPr="0021265F" w14:paraId="742F7AD4" w14:textId="77777777" w:rsidTr="4904BCD2">
        <w:tc>
          <w:tcPr>
            <w:tcW w:w="5000" w:type="pct"/>
            <w:gridSpan w:val="4"/>
            <w:vAlign w:val="center"/>
          </w:tcPr>
          <w:p w14:paraId="6FBB3C27" w14:textId="77777777" w:rsidR="0021265F" w:rsidRPr="0021265F" w:rsidRDefault="0021265F" w:rsidP="00C4658A">
            <w:pPr>
              <w:pStyle w:val="In-tableHeading"/>
              <w:rPr>
                <w:i/>
                <w:iCs/>
                <w:lang w:val="en-AU"/>
              </w:rPr>
            </w:pPr>
            <w:r w:rsidRPr="0021265F">
              <w:rPr>
                <w:i/>
                <w:iCs/>
                <w:lang w:val="en-AU"/>
              </w:rPr>
              <w:t>Step 3b: Adjustment of compliance to bulevirtide treatment</w:t>
            </w:r>
          </w:p>
          <w:p w14:paraId="7CFF9621" w14:textId="77777777" w:rsidR="0021265F" w:rsidRPr="0021265F" w:rsidRDefault="0021265F" w:rsidP="00C4658A">
            <w:pPr>
              <w:pStyle w:val="In-tableHeading"/>
              <w:rPr>
                <w:b w:val="0"/>
                <w:bCs/>
                <w:i/>
                <w:iCs/>
                <w:lang w:val="en-AU"/>
              </w:rPr>
            </w:pPr>
            <w:r w:rsidRPr="0021265F">
              <w:rPr>
                <w:b w:val="0"/>
                <w:bCs/>
                <w:i/>
                <w:iCs/>
                <w:lang w:val="en-AU"/>
              </w:rPr>
              <w:t>Costs and outcomes as per Step 3a, except bulevirtide costs were adjusted for reduced compliance (90%)</w:t>
            </w:r>
          </w:p>
        </w:tc>
      </w:tr>
      <w:tr w:rsidR="0021265F" w:rsidRPr="0021265F" w14:paraId="289F12A8" w14:textId="77777777" w:rsidTr="4904BCD2">
        <w:tc>
          <w:tcPr>
            <w:tcW w:w="1520" w:type="pct"/>
            <w:vAlign w:val="center"/>
          </w:tcPr>
          <w:p w14:paraId="5C88072F" w14:textId="77777777" w:rsidR="0021265F" w:rsidRPr="0021265F" w:rsidRDefault="0021265F" w:rsidP="00C4658A">
            <w:pPr>
              <w:pStyle w:val="TableText"/>
              <w:keepNext/>
              <w:rPr>
                <w:rFonts w:ascii="Times" w:hAnsi="Times"/>
                <w:i/>
                <w:iCs/>
              </w:rPr>
            </w:pPr>
            <w:r w:rsidRPr="0021265F">
              <w:rPr>
                <w:i/>
                <w:iCs/>
              </w:rPr>
              <w:t>Costs</w:t>
            </w:r>
          </w:p>
        </w:tc>
        <w:tc>
          <w:tcPr>
            <w:tcW w:w="1350" w:type="pct"/>
          </w:tcPr>
          <w:p w14:paraId="69886CC4" w14:textId="39988F8D" w:rsidR="0021265F" w:rsidRPr="0021265F" w:rsidRDefault="0021265F" w:rsidP="00C4658A">
            <w:pPr>
              <w:pStyle w:val="TableText"/>
              <w:keepNext/>
              <w:jc w:val="center"/>
              <w:rPr>
                <w:i/>
                <w:iCs/>
              </w:rPr>
            </w:pPr>
            <w:r w:rsidRPr="0021265F">
              <w:rPr>
                <w:i/>
                <w:iCs/>
              </w:rPr>
              <w:t>$</w:t>
            </w:r>
            <w:r w:rsidR="008B45A1" w:rsidRPr="00AF1811">
              <w:rPr>
                <w:b/>
                <w:bCs/>
                <w:i/>
                <w:iCs/>
              </w:rPr>
              <w:t xml:space="preserve"> redacted</w:t>
            </w:r>
          </w:p>
        </w:tc>
        <w:tc>
          <w:tcPr>
            <w:tcW w:w="1265" w:type="pct"/>
          </w:tcPr>
          <w:p w14:paraId="31C17B1D" w14:textId="77777777" w:rsidR="0021265F" w:rsidRPr="0021265F" w:rsidRDefault="0021265F" w:rsidP="00C4658A">
            <w:pPr>
              <w:pStyle w:val="TableText"/>
              <w:keepNext/>
              <w:jc w:val="center"/>
              <w:rPr>
                <w:i/>
                <w:iCs/>
              </w:rPr>
            </w:pPr>
            <w:r w:rsidRPr="0021265F">
              <w:rPr>
                <w:i/>
                <w:iCs/>
              </w:rPr>
              <w:t>$15,160</w:t>
            </w:r>
          </w:p>
        </w:tc>
        <w:tc>
          <w:tcPr>
            <w:tcW w:w="866" w:type="pct"/>
          </w:tcPr>
          <w:p w14:paraId="669CCE31" w14:textId="2CC7D4BD" w:rsidR="0021265F" w:rsidRPr="0021265F" w:rsidRDefault="0021265F" w:rsidP="00C4658A">
            <w:pPr>
              <w:pStyle w:val="TableText"/>
              <w:keepNext/>
              <w:jc w:val="center"/>
              <w:rPr>
                <w:i/>
                <w:iCs/>
              </w:rPr>
            </w:pPr>
            <w:r w:rsidRPr="0021265F">
              <w:rPr>
                <w:i/>
                <w:iCs/>
              </w:rPr>
              <w:t>$</w:t>
            </w:r>
            <w:r w:rsidR="008B45A1" w:rsidRPr="00AF1811">
              <w:rPr>
                <w:b/>
                <w:bCs/>
                <w:i/>
                <w:iCs/>
              </w:rPr>
              <w:t xml:space="preserve"> redacted</w:t>
            </w:r>
          </w:p>
        </w:tc>
      </w:tr>
      <w:tr w:rsidR="0021265F" w:rsidRPr="0021265F" w14:paraId="2A62E315" w14:textId="77777777" w:rsidTr="4904BCD2">
        <w:tc>
          <w:tcPr>
            <w:tcW w:w="1520" w:type="pct"/>
            <w:vAlign w:val="center"/>
          </w:tcPr>
          <w:p w14:paraId="799B7D3C" w14:textId="77777777" w:rsidR="0021265F" w:rsidRPr="0021265F" w:rsidRDefault="0021265F" w:rsidP="00C4658A">
            <w:pPr>
              <w:pStyle w:val="TableText"/>
              <w:keepNext/>
              <w:rPr>
                <w:i/>
                <w:iCs/>
              </w:rPr>
            </w:pPr>
            <w:r w:rsidRPr="0021265F">
              <w:rPr>
                <w:i/>
                <w:iCs/>
              </w:rPr>
              <w:t>LY gained</w:t>
            </w:r>
          </w:p>
        </w:tc>
        <w:tc>
          <w:tcPr>
            <w:tcW w:w="1350" w:type="pct"/>
          </w:tcPr>
          <w:p w14:paraId="5D206E91" w14:textId="77777777" w:rsidR="0021265F" w:rsidRPr="0021265F" w:rsidRDefault="0021265F" w:rsidP="00C4658A">
            <w:pPr>
              <w:pStyle w:val="TableText"/>
              <w:keepNext/>
              <w:jc w:val="center"/>
              <w:rPr>
                <w:i/>
                <w:iCs/>
              </w:rPr>
            </w:pPr>
            <w:r w:rsidRPr="0021265F">
              <w:rPr>
                <w:i/>
                <w:iCs/>
              </w:rPr>
              <w:t>2.43</w:t>
            </w:r>
          </w:p>
        </w:tc>
        <w:tc>
          <w:tcPr>
            <w:tcW w:w="1265" w:type="pct"/>
          </w:tcPr>
          <w:p w14:paraId="403E8F9C" w14:textId="77777777" w:rsidR="0021265F" w:rsidRPr="0021265F" w:rsidRDefault="0021265F" w:rsidP="00C4658A">
            <w:pPr>
              <w:pStyle w:val="TableText"/>
              <w:keepNext/>
              <w:jc w:val="center"/>
              <w:rPr>
                <w:i/>
                <w:iCs/>
              </w:rPr>
            </w:pPr>
            <w:r w:rsidRPr="0021265F">
              <w:rPr>
                <w:i/>
                <w:iCs/>
              </w:rPr>
              <w:t>2.39</w:t>
            </w:r>
          </w:p>
        </w:tc>
        <w:tc>
          <w:tcPr>
            <w:tcW w:w="866" w:type="pct"/>
          </w:tcPr>
          <w:p w14:paraId="3B1832D5" w14:textId="77777777" w:rsidR="0021265F" w:rsidRPr="0021265F" w:rsidRDefault="0021265F" w:rsidP="00C4658A">
            <w:pPr>
              <w:pStyle w:val="TableText"/>
              <w:keepNext/>
              <w:jc w:val="center"/>
              <w:rPr>
                <w:i/>
                <w:iCs/>
              </w:rPr>
            </w:pPr>
            <w:r w:rsidRPr="0021265F">
              <w:rPr>
                <w:i/>
                <w:iCs/>
              </w:rPr>
              <w:t>0.04</w:t>
            </w:r>
          </w:p>
        </w:tc>
      </w:tr>
      <w:tr w:rsidR="0021265F" w:rsidRPr="0021265F" w14:paraId="41FFF4BF" w14:textId="77777777" w:rsidTr="4904BCD2">
        <w:tc>
          <w:tcPr>
            <w:tcW w:w="1520" w:type="pct"/>
            <w:vAlign w:val="center"/>
          </w:tcPr>
          <w:p w14:paraId="2EAE5DF8" w14:textId="77777777" w:rsidR="0021265F" w:rsidRPr="0021265F" w:rsidRDefault="0021265F" w:rsidP="00C4658A">
            <w:pPr>
              <w:pStyle w:val="TableText"/>
              <w:keepNext/>
              <w:rPr>
                <w:rFonts w:ascii="Times" w:hAnsi="Times"/>
                <w:i/>
                <w:iCs/>
              </w:rPr>
            </w:pPr>
            <w:r w:rsidRPr="0021265F">
              <w:rPr>
                <w:i/>
                <w:iCs/>
              </w:rPr>
              <w:t>QALY gained</w:t>
            </w:r>
          </w:p>
        </w:tc>
        <w:tc>
          <w:tcPr>
            <w:tcW w:w="1350" w:type="pct"/>
          </w:tcPr>
          <w:p w14:paraId="7257B58D" w14:textId="77777777" w:rsidR="0021265F" w:rsidRPr="0021265F" w:rsidRDefault="0021265F" w:rsidP="00C4658A">
            <w:pPr>
              <w:pStyle w:val="TableText"/>
              <w:keepNext/>
              <w:jc w:val="center"/>
              <w:rPr>
                <w:i/>
                <w:iCs/>
              </w:rPr>
            </w:pPr>
            <w:r w:rsidRPr="0021265F">
              <w:rPr>
                <w:i/>
                <w:iCs/>
              </w:rPr>
              <w:t>2.24</w:t>
            </w:r>
          </w:p>
        </w:tc>
        <w:tc>
          <w:tcPr>
            <w:tcW w:w="1265" w:type="pct"/>
          </w:tcPr>
          <w:p w14:paraId="29DCE6D9" w14:textId="77777777" w:rsidR="0021265F" w:rsidRPr="0021265F" w:rsidRDefault="0021265F" w:rsidP="00C4658A">
            <w:pPr>
              <w:pStyle w:val="TableText"/>
              <w:keepNext/>
              <w:jc w:val="center"/>
              <w:rPr>
                <w:i/>
                <w:iCs/>
              </w:rPr>
            </w:pPr>
            <w:r w:rsidRPr="0021265F">
              <w:rPr>
                <w:i/>
                <w:iCs/>
              </w:rPr>
              <w:t>2.12</w:t>
            </w:r>
          </w:p>
        </w:tc>
        <w:tc>
          <w:tcPr>
            <w:tcW w:w="866" w:type="pct"/>
          </w:tcPr>
          <w:p w14:paraId="1A90D9CB" w14:textId="77777777" w:rsidR="0021265F" w:rsidRPr="0021265F" w:rsidRDefault="0021265F" w:rsidP="00C4658A">
            <w:pPr>
              <w:pStyle w:val="TableText"/>
              <w:keepNext/>
              <w:jc w:val="center"/>
              <w:rPr>
                <w:i/>
                <w:iCs/>
              </w:rPr>
            </w:pPr>
            <w:r w:rsidRPr="0021265F">
              <w:rPr>
                <w:i/>
                <w:iCs/>
              </w:rPr>
              <w:t>0.12</w:t>
            </w:r>
          </w:p>
        </w:tc>
      </w:tr>
      <w:tr w:rsidR="0021265F" w:rsidRPr="0021265F" w14:paraId="250ABA22" w14:textId="77777777" w:rsidTr="4904BCD2">
        <w:tc>
          <w:tcPr>
            <w:tcW w:w="4134" w:type="pct"/>
            <w:gridSpan w:val="3"/>
            <w:vAlign w:val="center"/>
          </w:tcPr>
          <w:p w14:paraId="135D1F7A" w14:textId="77777777" w:rsidR="0021265F" w:rsidRPr="0021265F" w:rsidRDefault="0021265F" w:rsidP="00C4658A">
            <w:pPr>
              <w:pStyle w:val="TableText"/>
              <w:keepNext/>
              <w:rPr>
                <w:rFonts w:ascii="Times" w:hAnsi="Times"/>
                <w:i/>
                <w:iCs/>
              </w:rPr>
            </w:pPr>
            <w:r w:rsidRPr="0021265F">
              <w:rPr>
                <w:i/>
                <w:iCs/>
              </w:rPr>
              <w:t>Incremental cost/extra QALY gained</w:t>
            </w:r>
          </w:p>
        </w:tc>
        <w:tc>
          <w:tcPr>
            <w:tcW w:w="866" w:type="pct"/>
            <w:vAlign w:val="center"/>
          </w:tcPr>
          <w:p w14:paraId="768D47DC" w14:textId="50D0B036" w:rsidR="0021265F" w:rsidRPr="0021265F" w:rsidRDefault="008B45A1" w:rsidP="00C4658A">
            <w:pPr>
              <w:pStyle w:val="TableText"/>
              <w:keepNext/>
              <w:jc w:val="center"/>
              <w:rPr>
                <w:rFonts w:ascii="Times" w:hAnsi="Times"/>
                <w:i/>
                <w:iCs/>
              </w:rPr>
            </w:pPr>
            <w:r w:rsidRPr="00AF1811">
              <w:rPr>
                <w:b/>
                <w:bCs/>
                <w:i/>
                <w:iCs/>
              </w:rPr>
              <w:t>redacted</w:t>
            </w:r>
            <w:r w:rsidR="00186641" w:rsidRPr="00186641">
              <w:rPr>
                <w:b/>
                <w:bCs/>
                <w:i/>
                <w:iCs/>
                <w:vertAlign w:val="superscript"/>
              </w:rPr>
              <w:t>3</w:t>
            </w:r>
            <w:r w:rsidRPr="0021265F" w:rsidDel="008B45A1">
              <w:rPr>
                <w:i/>
                <w:iCs/>
              </w:rPr>
              <w:t xml:space="preserve"> </w:t>
            </w:r>
          </w:p>
        </w:tc>
      </w:tr>
      <w:tr w:rsidR="0021265F" w:rsidRPr="0021265F" w14:paraId="2DB4DCC9" w14:textId="77777777" w:rsidTr="4904BCD2">
        <w:tc>
          <w:tcPr>
            <w:tcW w:w="5000" w:type="pct"/>
            <w:gridSpan w:val="4"/>
            <w:vAlign w:val="center"/>
          </w:tcPr>
          <w:p w14:paraId="279383E5" w14:textId="77777777" w:rsidR="0021265F" w:rsidRPr="0021265F" w:rsidRDefault="0021265F" w:rsidP="00C4658A">
            <w:pPr>
              <w:pStyle w:val="In-tableHeading"/>
              <w:rPr>
                <w:lang w:val="en-AU"/>
              </w:rPr>
            </w:pPr>
            <w:r w:rsidRPr="0021265F">
              <w:rPr>
                <w:lang w:val="en-AU"/>
              </w:rPr>
              <w:t>Step 4: Extrapolation over 58 years</w:t>
            </w:r>
          </w:p>
          <w:p w14:paraId="61379DFD" w14:textId="77777777" w:rsidR="0021265F" w:rsidRPr="0021265F" w:rsidRDefault="0021265F" w:rsidP="00C4658A">
            <w:pPr>
              <w:pStyle w:val="In-tableHeading"/>
              <w:rPr>
                <w:b w:val="0"/>
                <w:bCs/>
                <w:lang w:val="en-AU"/>
              </w:rPr>
            </w:pPr>
            <w:r w:rsidRPr="0021265F">
              <w:rPr>
                <w:b w:val="0"/>
                <w:bCs/>
                <w:lang w:val="en-AU"/>
              </w:rPr>
              <w:t xml:space="preserve">Cost of testing and costs and outcomes due to AEs were unchanged from previous steps. All other costs and outcomes were extrapolated over 58-year time horizon. </w:t>
            </w:r>
          </w:p>
        </w:tc>
      </w:tr>
      <w:tr w:rsidR="0021265F" w:rsidRPr="0021265F" w14:paraId="641670CE" w14:textId="77777777" w:rsidTr="4904BCD2">
        <w:tc>
          <w:tcPr>
            <w:tcW w:w="1520" w:type="pct"/>
            <w:vAlign w:val="center"/>
          </w:tcPr>
          <w:p w14:paraId="0E86D7C0" w14:textId="77777777" w:rsidR="0021265F" w:rsidRPr="0021265F" w:rsidRDefault="0021265F" w:rsidP="00C4658A">
            <w:pPr>
              <w:pStyle w:val="TableText"/>
              <w:keepNext/>
              <w:rPr>
                <w:rFonts w:ascii="Times" w:hAnsi="Times"/>
              </w:rPr>
            </w:pPr>
            <w:r w:rsidRPr="0021265F">
              <w:t>Costs</w:t>
            </w:r>
          </w:p>
        </w:tc>
        <w:tc>
          <w:tcPr>
            <w:tcW w:w="1350" w:type="pct"/>
          </w:tcPr>
          <w:p w14:paraId="660F9439" w14:textId="047F7D62" w:rsidR="0021265F" w:rsidRPr="0021265F" w:rsidRDefault="0021265F" w:rsidP="00C4658A">
            <w:pPr>
              <w:pStyle w:val="TableText"/>
              <w:keepNext/>
              <w:jc w:val="center"/>
              <w:rPr>
                <w:szCs w:val="20"/>
              </w:rPr>
            </w:pPr>
            <w:r w:rsidRPr="0021265F">
              <w:rPr>
                <w:szCs w:val="20"/>
              </w:rPr>
              <w:t>$</w:t>
            </w:r>
            <w:r w:rsidR="008B45A1" w:rsidRPr="00AF1811">
              <w:rPr>
                <w:b/>
                <w:bCs/>
                <w:i/>
                <w:iCs/>
              </w:rPr>
              <w:t xml:space="preserve"> redacted</w:t>
            </w:r>
          </w:p>
        </w:tc>
        <w:tc>
          <w:tcPr>
            <w:tcW w:w="1265" w:type="pct"/>
          </w:tcPr>
          <w:p w14:paraId="7EB646BD" w14:textId="77777777" w:rsidR="0021265F" w:rsidRPr="0021265F" w:rsidRDefault="0021265F" w:rsidP="00C4658A">
            <w:pPr>
              <w:pStyle w:val="TableText"/>
              <w:keepNext/>
              <w:jc w:val="center"/>
              <w:rPr>
                <w:szCs w:val="20"/>
              </w:rPr>
            </w:pPr>
            <w:r w:rsidRPr="0021265F">
              <w:rPr>
                <w:szCs w:val="20"/>
              </w:rPr>
              <w:t>$71,803</w:t>
            </w:r>
          </w:p>
        </w:tc>
        <w:tc>
          <w:tcPr>
            <w:tcW w:w="866" w:type="pct"/>
          </w:tcPr>
          <w:p w14:paraId="31C4C06A" w14:textId="29F9BF31" w:rsidR="0021265F" w:rsidRPr="0021265F" w:rsidRDefault="0021265F" w:rsidP="00C4658A">
            <w:pPr>
              <w:pStyle w:val="TableText"/>
              <w:keepNext/>
              <w:jc w:val="center"/>
              <w:rPr>
                <w:szCs w:val="20"/>
              </w:rPr>
            </w:pPr>
            <w:r w:rsidRPr="0021265F">
              <w:rPr>
                <w:rFonts w:eastAsia="Calibri" w:cs="Calibri"/>
                <w:szCs w:val="20"/>
              </w:rPr>
              <w:t>$</w:t>
            </w:r>
            <w:r w:rsidR="008B45A1" w:rsidRPr="00AF1811">
              <w:rPr>
                <w:b/>
                <w:bCs/>
                <w:i/>
                <w:iCs/>
              </w:rPr>
              <w:t xml:space="preserve"> redacted</w:t>
            </w:r>
          </w:p>
        </w:tc>
      </w:tr>
      <w:tr w:rsidR="0021265F" w:rsidRPr="0021265F" w14:paraId="19782FCF" w14:textId="77777777" w:rsidTr="4904BCD2">
        <w:tc>
          <w:tcPr>
            <w:tcW w:w="1520" w:type="pct"/>
            <w:vAlign w:val="center"/>
          </w:tcPr>
          <w:p w14:paraId="4BF287EB" w14:textId="77777777" w:rsidR="0021265F" w:rsidRPr="0021265F" w:rsidRDefault="0021265F" w:rsidP="00C4658A">
            <w:pPr>
              <w:pStyle w:val="TableText"/>
              <w:keepNext/>
            </w:pPr>
            <w:r w:rsidRPr="0021265F">
              <w:t>LY gained</w:t>
            </w:r>
          </w:p>
        </w:tc>
        <w:tc>
          <w:tcPr>
            <w:tcW w:w="1350" w:type="pct"/>
          </w:tcPr>
          <w:p w14:paraId="32553097" w14:textId="77777777" w:rsidR="0021265F" w:rsidRPr="0021265F" w:rsidRDefault="0021265F" w:rsidP="00C4658A">
            <w:pPr>
              <w:pStyle w:val="TableText"/>
              <w:keepNext/>
              <w:jc w:val="center"/>
              <w:rPr>
                <w:szCs w:val="20"/>
              </w:rPr>
            </w:pPr>
            <w:r w:rsidRPr="0021265F">
              <w:rPr>
                <w:szCs w:val="20"/>
              </w:rPr>
              <w:t>11.38</w:t>
            </w:r>
          </w:p>
        </w:tc>
        <w:tc>
          <w:tcPr>
            <w:tcW w:w="1265" w:type="pct"/>
          </w:tcPr>
          <w:p w14:paraId="0935F21E" w14:textId="77777777" w:rsidR="0021265F" w:rsidRPr="0021265F" w:rsidRDefault="0021265F" w:rsidP="00C4658A">
            <w:pPr>
              <w:pStyle w:val="TableText"/>
              <w:keepNext/>
              <w:jc w:val="center"/>
              <w:rPr>
                <w:szCs w:val="20"/>
              </w:rPr>
            </w:pPr>
            <w:r w:rsidRPr="0021265F">
              <w:rPr>
                <w:szCs w:val="20"/>
              </w:rPr>
              <w:t>8.47</w:t>
            </w:r>
          </w:p>
        </w:tc>
        <w:tc>
          <w:tcPr>
            <w:tcW w:w="866" w:type="pct"/>
          </w:tcPr>
          <w:p w14:paraId="75961388" w14:textId="77777777" w:rsidR="0021265F" w:rsidRPr="0021265F" w:rsidRDefault="0021265F" w:rsidP="00C4658A">
            <w:pPr>
              <w:pStyle w:val="TableText"/>
              <w:keepNext/>
              <w:jc w:val="center"/>
              <w:rPr>
                <w:szCs w:val="20"/>
              </w:rPr>
            </w:pPr>
            <w:r w:rsidRPr="0021265F">
              <w:rPr>
                <w:szCs w:val="20"/>
              </w:rPr>
              <w:t>2.91</w:t>
            </w:r>
          </w:p>
        </w:tc>
      </w:tr>
      <w:tr w:rsidR="0021265F" w:rsidRPr="0021265F" w14:paraId="20D93B66" w14:textId="77777777" w:rsidTr="4904BCD2">
        <w:tc>
          <w:tcPr>
            <w:tcW w:w="1520" w:type="pct"/>
            <w:vAlign w:val="center"/>
          </w:tcPr>
          <w:p w14:paraId="32CEE527" w14:textId="77777777" w:rsidR="0021265F" w:rsidRPr="0021265F" w:rsidRDefault="0021265F" w:rsidP="00C4658A">
            <w:pPr>
              <w:pStyle w:val="TableText"/>
              <w:keepNext/>
              <w:rPr>
                <w:rFonts w:ascii="Times" w:hAnsi="Times"/>
              </w:rPr>
            </w:pPr>
            <w:r w:rsidRPr="0021265F">
              <w:t>QALY gained</w:t>
            </w:r>
          </w:p>
        </w:tc>
        <w:tc>
          <w:tcPr>
            <w:tcW w:w="1350" w:type="pct"/>
          </w:tcPr>
          <w:p w14:paraId="4639D18C" w14:textId="77777777" w:rsidR="0021265F" w:rsidRPr="0021265F" w:rsidRDefault="0021265F" w:rsidP="00C4658A">
            <w:pPr>
              <w:pStyle w:val="TableText"/>
              <w:keepNext/>
              <w:jc w:val="center"/>
              <w:rPr>
                <w:szCs w:val="20"/>
              </w:rPr>
            </w:pPr>
            <w:r w:rsidRPr="0021265F">
              <w:rPr>
                <w:rFonts w:cstheme="minorHAnsi"/>
                <w:szCs w:val="20"/>
              </w:rPr>
              <w:t>10.06</w:t>
            </w:r>
          </w:p>
        </w:tc>
        <w:tc>
          <w:tcPr>
            <w:tcW w:w="1265" w:type="pct"/>
          </w:tcPr>
          <w:p w14:paraId="3328D388" w14:textId="77777777" w:rsidR="0021265F" w:rsidRPr="0021265F" w:rsidRDefault="0021265F" w:rsidP="00C4658A">
            <w:pPr>
              <w:pStyle w:val="TableText"/>
              <w:keepNext/>
              <w:jc w:val="center"/>
              <w:rPr>
                <w:szCs w:val="20"/>
              </w:rPr>
            </w:pPr>
            <w:r w:rsidRPr="0021265F">
              <w:rPr>
                <w:rFonts w:cstheme="minorHAnsi"/>
                <w:szCs w:val="20"/>
              </w:rPr>
              <w:t>7.11</w:t>
            </w:r>
          </w:p>
        </w:tc>
        <w:tc>
          <w:tcPr>
            <w:tcW w:w="866" w:type="pct"/>
          </w:tcPr>
          <w:p w14:paraId="4047E2EC" w14:textId="77777777" w:rsidR="0021265F" w:rsidRPr="0021265F" w:rsidRDefault="0021265F" w:rsidP="00C4658A">
            <w:pPr>
              <w:pStyle w:val="TableText"/>
              <w:keepNext/>
              <w:jc w:val="center"/>
              <w:rPr>
                <w:szCs w:val="20"/>
              </w:rPr>
            </w:pPr>
            <w:r w:rsidRPr="0021265F">
              <w:rPr>
                <w:rFonts w:cstheme="minorHAnsi"/>
                <w:szCs w:val="20"/>
              </w:rPr>
              <w:t>2.95</w:t>
            </w:r>
          </w:p>
        </w:tc>
      </w:tr>
      <w:tr w:rsidR="0021265F" w:rsidRPr="0021265F" w14:paraId="1212EF75" w14:textId="77777777" w:rsidTr="4904BCD2">
        <w:tc>
          <w:tcPr>
            <w:tcW w:w="4134" w:type="pct"/>
            <w:gridSpan w:val="3"/>
            <w:vAlign w:val="center"/>
          </w:tcPr>
          <w:p w14:paraId="48C86C5B" w14:textId="77777777" w:rsidR="0021265F" w:rsidRPr="0021265F" w:rsidRDefault="0021265F" w:rsidP="00C4658A">
            <w:pPr>
              <w:pStyle w:val="TableText"/>
              <w:keepNext/>
              <w:rPr>
                <w:rFonts w:ascii="Times" w:hAnsi="Times"/>
                <w:b/>
              </w:rPr>
            </w:pPr>
            <w:r w:rsidRPr="0021265F">
              <w:rPr>
                <w:b/>
              </w:rPr>
              <w:t>Incremental cost/extra QALY gained (base case)</w:t>
            </w:r>
          </w:p>
        </w:tc>
        <w:tc>
          <w:tcPr>
            <w:tcW w:w="866" w:type="pct"/>
            <w:vAlign w:val="center"/>
          </w:tcPr>
          <w:p w14:paraId="4BF1B0A8" w14:textId="463D6762" w:rsidR="0021265F" w:rsidRPr="0021265F" w:rsidRDefault="00186641" w:rsidP="00C4658A">
            <w:pPr>
              <w:pStyle w:val="TableText"/>
              <w:keepNext/>
              <w:jc w:val="center"/>
              <w:rPr>
                <w:rFonts w:ascii="Times" w:hAnsi="Times"/>
                <w:b/>
              </w:rPr>
            </w:pPr>
            <w:r>
              <w:rPr>
                <w:b/>
              </w:rPr>
              <w:t>r</w:t>
            </w:r>
            <w:r w:rsidR="009A5903">
              <w:rPr>
                <w:b/>
              </w:rPr>
              <w:t>edacted</w:t>
            </w:r>
            <w:r>
              <w:rPr>
                <w:b/>
                <w:vertAlign w:val="superscript"/>
              </w:rPr>
              <w:t>4</w:t>
            </w:r>
          </w:p>
        </w:tc>
      </w:tr>
    </w:tbl>
    <w:p w14:paraId="7B79077C" w14:textId="77777777" w:rsidR="0021265F" w:rsidRPr="0021265F" w:rsidRDefault="0021265F" w:rsidP="0021265F">
      <w:pPr>
        <w:pStyle w:val="TableFooter"/>
      </w:pPr>
      <w:r w:rsidRPr="0021265F">
        <w:t>Source: Table 3.8-1, p142 of the of the resubmission.</w:t>
      </w:r>
    </w:p>
    <w:p w14:paraId="4F947981" w14:textId="77777777" w:rsidR="009A5903" w:rsidRDefault="009A5903" w:rsidP="009A5903">
      <w:pPr>
        <w:pStyle w:val="TableFooter"/>
        <w:rPr>
          <w:i/>
        </w:rPr>
      </w:pPr>
      <w:r w:rsidRPr="00862E3E">
        <w:rPr>
          <w:i/>
        </w:rPr>
        <w:t>The redacted value correspond</w:t>
      </w:r>
      <w:r>
        <w:rPr>
          <w:i/>
        </w:rPr>
        <w:t>s</w:t>
      </w:r>
      <w:r w:rsidRPr="00862E3E">
        <w:rPr>
          <w:i/>
        </w:rPr>
        <w:t xml:space="preserve"> to the following range</w:t>
      </w:r>
    </w:p>
    <w:p w14:paraId="728F93EA" w14:textId="14E48BED" w:rsidR="005F4C19" w:rsidRDefault="005F4C19" w:rsidP="009A5903">
      <w:pPr>
        <w:pStyle w:val="TableFooter"/>
        <w:numPr>
          <w:ilvl w:val="0"/>
          <w:numId w:val="39"/>
        </w:numPr>
        <w:rPr>
          <w:i/>
        </w:rPr>
      </w:pPr>
      <w:r w:rsidRPr="005F4C19">
        <w:rPr>
          <w:i/>
        </w:rPr>
        <w:t>&gt; $1,055,000</w:t>
      </w:r>
    </w:p>
    <w:p w14:paraId="64E2A7B4" w14:textId="422B0237" w:rsidR="005F4C19" w:rsidRDefault="0024113A" w:rsidP="009A5903">
      <w:pPr>
        <w:pStyle w:val="TableFooter"/>
        <w:numPr>
          <w:ilvl w:val="0"/>
          <w:numId w:val="39"/>
        </w:numPr>
        <w:rPr>
          <w:i/>
        </w:rPr>
      </w:pPr>
      <w:r>
        <w:rPr>
          <w:i/>
        </w:rPr>
        <w:t>$</w:t>
      </w:r>
      <w:r w:rsidR="00B1134A">
        <w:rPr>
          <w:i/>
        </w:rPr>
        <w:t>7</w:t>
      </w:r>
      <w:r>
        <w:rPr>
          <w:i/>
        </w:rPr>
        <w:t>55,000 to &lt;$</w:t>
      </w:r>
      <w:r w:rsidR="00B1134A">
        <w:rPr>
          <w:i/>
        </w:rPr>
        <w:t>8</w:t>
      </w:r>
      <w:r>
        <w:rPr>
          <w:i/>
        </w:rPr>
        <w:t>55,000</w:t>
      </w:r>
    </w:p>
    <w:p w14:paraId="0BC3BD21" w14:textId="7A48B1D4" w:rsidR="00186641" w:rsidRDefault="00186641" w:rsidP="009A5903">
      <w:pPr>
        <w:pStyle w:val="TableFooter"/>
        <w:numPr>
          <w:ilvl w:val="0"/>
          <w:numId w:val="39"/>
        </w:numPr>
        <w:rPr>
          <w:i/>
        </w:rPr>
      </w:pPr>
      <w:r>
        <w:rPr>
          <w:i/>
        </w:rPr>
        <w:t>$655,000 to &lt;$755,000</w:t>
      </w:r>
    </w:p>
    <w:p w14:paraId="5465E1E3" w14:textId="0A110B2E" w:rsidR="00186641" w:rsidRDefault="00186641" w:rsidP="009A5903">
      <w:pPr>
        <w:pStyle w:val="TableFooter"/>
        <w:numPr>
          <w:ilvl w:val="0"/>
          <w:numId w:val="39"/>
        </w:numPr>
        <w:rPr>
          <w:i/>
        </w:rPr>
      </w:pPr>
      <w:r>
        <w:rPr>
          <w:i/>
        </w:rPr>
        <w:t>$</w:t>
      </w:r>
      <w:r w:rsidR="005F1907">
        <w:rPr>
          <w:i/>
        </w:rPr>
        <w:t>95,000 to &lt;$115,000</w:t>
      </w:r>
    </w:p>
    <w:p w14:paraId="4666ECC3" w14:textId="1F87AB03" w:rsidR="008035A9" w:rsidRDefault="0021265F" w:rsidP="008035A9">
      <w:pPr>
        <w:pStyle w:val="TableFooter"/>
      </w:pPr>
      <w:r w:rsidRPr="0021265F">
        <w:t>AE = adverse event; BSC = best supportive care; HBsAg = hepatitis B surface antigen; HDV = hepatitis D virus; LYs = life years; QALYs = quality adjusted life years; RNA = ribonucleic acid.</w:t>
      </w:r>
    </w:p>
    <w:p w14:paraId="28B44209" w14:textId="477DF683" w:rsidR="0021265F" w:rsidRPr="0021265F" w:rsidRDefault="0021265F" w:rsidP="008035A9">
      <w:pPr>
        <w:pStyle w:val="TableFooter"/>
      </w:pPr>
      <w:r w:rsidRPr="0021265F">
        <w:t xml:space="preserve">Note: Analyses in </w:t>
      </w:r>
      <w:r w:rsidRPr="0021265F">
        <w:rPr>
          <w:i/>
          <w:iCs/>
        </w:rPr>
        <w:t xml:space="preserve">italics </w:t>
      </w:r>
      <w:r w:rsidRPr="0021265F">
        <w:t>were conducted during the evaluation.</w:t>
      </w:r>
    </w:p>
    <w:p w14:paraId="4DCC195E" w14:textId="3763F1B0" w:rsidR="0021265F" w:rsidRPr="0021265F" w:rsidRDefault="0021265F" w:rsidP="0021265F">
      <w:pPr>
        <w:pStyle w:val="TableFooter"/>
        <w:rPr>
          <w:sz w:val="20"/>
        </w:rPr>
      </w:pPr>
      <w:r w:rsidRPr="0021265F">
        <w:rPr>
          <w:sz w:val="20"/>
          <w:vertAlign w:val="superscript"/>
        </w:rPr>
        <w:t>a</w:t>
      </w:r>
      <w:r w:rsidRPr="0021265F">
        <w:rPr>
          <w:sz w:val="20"/>
        </w:rPr>
        <w:t xml:space="preserve"> </w:t>
      </w:r>
      <w:r w:rsidRPr="0021265F">
        <w:t>Defined as undetectable HDV RNA or decrease in HDV RNA by ≥2 log</w:t>
      </w:r>
      <w:r w:rsidRPr="0021265F">
        <w:rPr>
          <w:vertAlign w:val="subscript"/>
        </w:rPr>
        <w:t>10</w:t>
      </w:r>
      <w:r w:rsidRPr="0021265F">
        <w:t> IU/mL from baseline.</w:t>
      </w:r>
    </w:p>
    <w:p w14:paraId="29F60F08" w14:textId="456D3E09" w:rsidR="0021265F" w:rsidRPr="002807EC" w:rsidRDefault="0021265F" w:rsidP="004506DC">
      <w:pPr>
        <w:pStyle w:val="MSACESParagraph"/>
        <w:rPr>
          <w:rFonts w:ascii="Franklin Gothic Book" w:hAnsi="Franklin Gothic Book"/>
          <w:sz w:val="22"/>
        </w:rPr>
      </w:pPr>
      <w:r w:rsidRPr="002807EC">
        <w:rPr>
          <w:rFonts w:ascii="Franklin Gothic Book" w:hAnsi="Franklin Gothic Book"/>
          <w:sz w:val="22"/>
        </w:rPr>
        <w:t xml:space="preserve">Sensitivity analyses were conducted during the evaluation to explore the sensitivity of the model to inputs related to testing. In general, the incremental cost-effectiveness ratio (ICER) is not sensitive to changes related to testing able to be explored with the provided model structure. The </w:t>
      </w:r>
      <w:r w:rsidRPr="002807EC">
        <w:rPr>
          <w:rFonts w:ascii="Franklin Gothic Book" w:hAnsi="Franklin Gothic Book"/>
          <w:sz w:val="22"/>
        </w:rPr>
        <w:lastRenderedPageBreak/>
        <w:t>results of the univariate sensitivity analyses show that the ICER is sensitive to the definition of virological response, the source used to model CHD disease progression, and the time horizon. The results are also sensitive to changes in health state utilities for NC and CC, utility increment in responders, treatment compliance, and HRs for disease progression in responders.</w:t>
      </w:r>
      <w:r w:rsidR="1656F434" w:rsidRPr="002807EC">
        <w:rPr>
          <w:rFonts w:ascii="Franklin Gothic Book" w:hAnsi="Franklin Gothic Book"/>
          <w:sz w:val="22"/>
        </w:rPr>
        <w:t xml:space="preserve"> </w:t>
      </w:r>
      <w:proofErr w:type="gramStart"/>
      <w:r w:rsidR="1656F434" w:rsidRPr="002807EC">
        <w:rPr>
          <w:rFonts w:ascii="Franklin Gothic Book" w:hAnsi="Franklin Gothic Book"/>
          <w:sz w:val="22"/>
        </w:rPr>
        <w:t>However</w:t>
      </w:r>
      <w:proofErr w:type="gramEnd"/>
      <w:r w:rsidR="1656F434" w:rsidRPr="002807EC">
        <w:rPr>
          <w:rFonts w:ascii="Franklin Gothic Book" w:hAnsi="Franklin Gothic Book"/>
          <w:sz w:val="22"/>
        </w:rPr>
        <w:t xml:space="preserve"> the ESCs noted </w:t>
      </w:r>
      <w:r w:rsidR="00DF1E6B" w:rsidRPr="002807EC">
        <w:rPr>
          <w:rFonts w:ascii="Franklin Gothic Book" w:hAnsi="Franklin Gothic Book"/>
          <w:sz w:val="22"/>
        </w:rPr>
        <w:t>that the</w:t>
      </w:r>
      <w:r w:rsidR="2CC70BA1" w:rsidRPr="002807EC">
        <w:rPr>
          <w:rFonts w:ascii="Franklin Gothic Book" w:hAnsi="Franklin Gothic Book"/>
          <w:sz w:val="22"/>
        </w:rPr>
        <w:t xml:space="preserve"> ICER per </w:t>
      </w:r>
      <w:r w:rsidR="000F6A9C" w:rsidRPr="002807EC">
        <w:rPr>
          <w:rFonts w:ascii="Franklin Gothic Book" w:hAnsi="Franklin Gothic Book"/>
          <w:sz w:val="22"/>
        </w:rPr>
        <w:t>QALY increased</w:t>
      </w:r>
      <w:r w:rsidR="2CC70BA1" w:rsidRPr="002807EC">
        <w:rPr>
          <w:rFonts w:ascii="Franklin Gothic Book" w:hAnsi="Franklin Gothic Book"/>
          <w:sz w:val="22"/>
        </w:rPr>
        <w:t xml:space="preserve"> by 56% to $</w:t>
      </w:r>
      <w:r w:rsidR="00590781">
        <w:rPr>
          <w:rFonts w:ascii="Franklin Gothic Book" w:hAnsi="Franklin Gothic Book"/>
          <w:sz w:val="22"/>
        </w:rPr>
        <w:t>135,000 to &lt;$155,000</w:t>
      </w:r>
      <w:r w:rsidR="2CC70BA1" w:rsidRPr="002807EC">
        <w:rPr>
          <w:rFonts w:ascii="Franklin Gothic Book" w:hAnsi="Franklin Gothic Book"/>
          <w:sz w:val="22"/>
        </w:rPr>
        <w:t xml:space="preserve"> if the definition of a response to treatment was undetectable HDV RNA.</w:t>
      </w:r>
    </w:p>
    <w:p w14:paraId="5FAB5E40" w14:textId="77777777" w:rsidR="0021265F" w:rsidRPr="004506DC" w:rsidRDefault="0021265F" w:rsidP="0021265F">
      <w:pPr>
        <w:pStyle w:val="Heading4"/>
        <w:rPr>
          <w:rFonts w:ascii="Franklin Gothic Book" w:hAnsi="Franklin Gothic Book"/>
          <w:color w:val="auto"/>
        </w:rPr>
      </w:pPr>
      <w:r w:rsidRPr="004506DC">
        <w:rPr>
          <w:rFonts w:ascii="Franklin Gothic Book" w:hAnsi="Franklin Gothic Book"/>
          <w:color w:val="auto"/>
        </w:rPr>
        <w:t>Scenario analysis</w:t>
      </w:r>
    </w:p>
    <w:p w14:paraId="4C4BADDE" w14:textId="272D551A" w:rsidR="0021265F" w:rsidRPr="004506DC" w:rsidRDefault="0021265F" w:rsidP="004506DC">
      <w:pPr>
        <w:jc w:val="left"/>
        <w:rPr>
          <w:rFonts w:ascii="Franklin Gothic Book" w:hAnsi="Franklin Gothic Book" w:cstheme="minorHAnsi"/>
          <w:sz w:val="22"/>
        </w:rPr>
      </w:pPr>
      <w:r w:rsidRPr="004506DC">
        <w:rPr>
          <w:rFonts w:ascii="Franklin Gothic Book" w:hAnsi="Franklin Gothic Book"/>
          <w:sz w:val="22"/>
        </w:rPr>
        <w:t xml:space="preserve">The structure of the scenario analysis provided in the resubmission is </w:t>
      </w:r>
      <w:r w:rsidRPr="004506DC">
        <w:rPr>
          <w:rFonts w:ascii="Franklin Gothic Book" w:hAnsi="Franklin Gothic Book" w:cstheme="minorHAnsi"/>
          <w:sz w:val="22"/>
        </w:rPr>
        <w:t xml:space="preserve">presented in </w:t>
      </w:r>
      <w:r w:rsidR="00736883" w:rsidRPr="004506DC">
        <w:rPr>
          <w:rFonts w:ascii="Franklin Gothic Book" w:hAnsi="Franklin Gothic Book" w:cstheme="minorHAnsi"/>
          <w:sz w:val="22"/>
        </w:rPr>
        <w:fldChar w:fldCharType="begin"/>
      </w:r>
      <w:r w:rsidR="00736883" w:rsidRPr="004506DC">
        <w:rPr>
          <w:rFonts w:ascii="Franklin Gothic Book" w:hAnsi="Franklin Gothic Book" w:cstheme="minorHAnsi"/>
          <w:sz w:val="22"/>
        </w:rPr>
        <w:instrText xml:space="preserve"> REF _Ref187755300 \h </w:instrText>
      </w:r>
      <w:r w:rsidR="004506DC" w:rsidRPr="004506DC">
        <w:rPr>
          <w:rFonts w:ascii="Franklin Gothic Book" w:hAnsi="Franklin Gothic Book" w:cstheme="minorHAnsi"/>
          <w:sz w:val="22"/>
        </w:rPr>
        <w:instrText xml:space="preserve"> \* MERGEFORMAT </w:instrText>
      </w:r>
      <w:r w:rsidR="00736883" w:rsidRPr="004506DC">
        <w:rPr>
          <w:rFonts w:ascii="Franklin Gothic Book" w:hAnsi="Franklin Gothic Book" w:cstheme="minorHAnsi"/>
          <w:sz w:val="22"/>
        </w:rPr>
      </w:r>
      <w:r w:rsidR="00736883" w:rsidRPr="004506DC">
        <w:rPr>
          <w:rFonts w:ascii="Franklin Gothic Book" w:hAnsi="Franklin Gothic Book" w:cstheme="minorHAnsi"/>
          <w:sz w:val="22"/>
        </w:rPr>
        <w:fldChar w:fldCharType="separate"/>
      </w:r>
      <w:r w:rsidR="006C45A0" w:rsidRPr="004506DC">
        <w:rPr>
          <w:rFonts w:ascii="Franklin Gothic Book" w:hAnsi="Franklin Gothic Book"/>
          <w:sz w:val="22"/>
        </w:rPr>
        <w:t xml:space="preserve">Figure </w:t>
      </w:r>
      <w:r w:rsidR="006C45A0" w:rsidRPr="004506DC">
        <w:rPr>
          <w:rFonts w:ascii="Franklin Gothic Book" w:hAnsi="Franklin Gothic Book"/>
          <w:noProof/>
          <w:sz w:val="22"/>
        </w:rPr>
        <w:t>4</w:t>
      </w:r>
      <w:r w:rsidR="00736883" w:rsidRPr="004506DC">
        <w:rPr>
          <w:rFonts w:ascii="Franklin Gothic Book" w:hAnsi="Franklin Gothic Book" w:cstheme="minorHAnsi"/>
          <w:sz w:val="22"/>
        </w:rPr>
        <w:fldChar w:fldCharType="end"/>
      </w:r>
      <w:r w:rsidR="00736883" w:rsidRPr="004506DC">
        <w:rPr>
          <w:rFonts w:ascii="Franklin Gothic Book" w:hAnsi="Franklin Gothic Book" w:cstheme="minorHAnsi"/>
          <w:sz w:val="22"/>
        </w:rPr>
        <w:t xml:space="preserve"> </w:t>
      </w:r>
      <w:r w:rsidRPr="004506DC">
        <w:rPr>
          <w:rFonts w:ascii="Franklin Gothic Book" w:hAnsi="Franklin Gothic Book" w:cstheme="minorHAnsi"/>
          <w:sz w:val="22"/>
        </w:rPr>
        <w:t xml:space="preserve">below. </w:t>
      </w:r>
    </w:p>
    <w:p w14:paraId="2C80E7B2" w14:textId="77777777" w:rsidR="0021265F" w:rsidRPr="0021265F" w:rsidRDefault="0021265F" w:rsidP="0021265F">
      <w:pPr>
        <w:spacing w:after="120" w:line="276" w:lineRule="auto"/>
        <w:rPr>
          <w:rFonts w:cstheme="minorHAnsi"/>
        </w:rPr>
      </w:pPr>
      <w:r w:rsidRPr="0021265F">
        <w:rPr>
          <w:rFonts w:cstheme="minorHAnsi"/>
          <w:noProof/>
        </w:rPr>
        <w:drawing>
          <wp:inline distT="0" distB="0" distL="0" distR="0" wp14:anchorId="33DB8F44" wp14:editId="6C3D6AAD">
            <wp:extent cx="5744210" cy="2866292"/>
            <wp:effectExtent l="0" t="0" r="0" b="0"/>
            <wp:docPr id="1387752009" name="Picture 2" descr="Model schematic – resubmission’s scenario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52009" name="Picture 2" descr="Model schematic – resubmission’s scenario analys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6092" cy="2877211"/>
                    </a:xfrm>
                    <a:prstGeom prst="rect">
                      <a:avLst/>
                    </a:prstGeom>
                    <a:noFill/>
                  </pic:spPr>
                </pic:pic>
              </a:graphicData>
            </a:graphic>
          </wp:inline>
        </w:drawing>
      </w:r>
    </w:p>
    <w:p w14:paraId="3FF7814B" w14:textId="11269533" w:rsidR="00736883" w:rsidRPr="0021265F" w:rsidRDefault="00736883" w:rsidP="00BD2A33">
      <w:pPr>
        <w:pStyle w:val="Caption"/>
      </w:pPr>
      <w:bookmarkStart w:id="53" w:name="_Ref187755300"/>
      <w:r w:rsidRPr="007D77C8">
        <w:t xml:space="preserve">Figure  </w:t>
      </w:r>
      <w:r>
        <w:fldChar w:fldCharType="begin"/>
      </w:r>
      <w:r>
        <w:instrText>SEQ Figure_MSAC \* ARABIC</w:instrText>
      </w:r>
      <w:r>
        <w:fldChar w:fldCharType="separate"/>
      </w:r>
      <w:r w:rsidR="006C45A0">
        <w:rPr>
          <w:noProof/>
        </w:rPr>
        <w:t>4</w:t>
      </w:r>
      <w:r>
        <w:fldChar w:fldCharType="end"/>
      </w:r>
      <w:bookmarkEnd w:id="53"/>
      <w:r w:rsidRPr="0021265F">
        <w:tab/>
        <w:t>Model schematic – resubmission’s scenario analysis</w:t>
      </w:r>
    </w:p>
    <w:p w14:paraId="684564B0" w14:textId="77777777" w:rsidR="0021265F" w:rsidRPr="0021265F" w:rsidRDefault="0021265F" w:rsidP="0021265F">
      <w:pPr>
        <w:pStyle w:val="TableFigureFooter"/>
      </w:pPr>
      <w:r w:rsidRPr="0021265F">
        <w:t xml:space="preserve">Source: Figure 3.2-2, p109 of the resubmission. </w:t>
      </w:r>
    </w:p>
    <w:p w14:paraId="4934A9A6" w14:textId="77777777" w:rsidR="0021265F" w:rsidRPr="0021265F" w:rsidRDefault="0021265F" w:rsidP="0021265F">
      <w:pPr>
        <w:pStyle w:val="TableFigureFooter"/>
      </w:pPr>
      <w:r w:rsidRPr="0021265F">
        <w:t>BSC = best supportive care; HDV = hepatitis D virus; PCR = polymerase chain reaction; RNA = ribonucleic acid</w:t>
      </w:r>
    </w:p>
    <w:p w14:paraId="045D2CDC" w14:textId="450724E9" w:rsidR="0021265F" w:rsidRPr="002807EC" w:rsidRDefault="0021265F" w:rsidP="004506DC">
      <w:pPr>
        <w:spacing w:after="120"/>
        <w:jc w:val="left"/>
        <w:rPr>
          <w:rFonts w:ascii="Franklin Gothic Book" w:hAnsi="Franklin Gothic Book"/>
          <w:sz w:val="22"/>
        </w:rPr>
      </w:pPr>
      <w:r w:rsidRPr="002807EC">
        <w:rPr>
          <w:rFonts w:ascii="Franklin Gothic Book" w:hAnsi="Franklin Gothic Book"/>
          <w:sz w:val="22"/>
        </w:rPr>
        <w:t>The resubmission’s scenario analysis is fundamentally flawed. The scenario analysis compared use of bulevirtide in patients with CH</w:t>
      </w:r>
      <w:r w:rsidR="45268FE7" w:rsidRPr="002807EC">
        <w:rPr>
          <w:rFonts w:ascii="Franklin Gothic Book" w:hAnsi="Franklin Gothic Book"/>
          <w:sz w:val="22"/>
        </w:rPr>
        <w:t>D</w:t>
      </w:r>
      <w:r w:rsidRPr="002807EC">
        <w:rPr>
          <w:rFonts w:ascii="Franklin Gothic Book" w:hAnsi="Franklin Gothic Book"/>
          <w:sz w:val="22"/>
        </w:rPr>
        <w:t xml:space="preserve"> who tested positive, i.e. true positive (TP) (95% (=sensitivity)), plus patients without CH</w:t>
      </w:r>
      <w:r w:rsidR="40C9B645" w:rsidRPr="002807EC">
        <w:rPr>
          <w:rFonts w:ascii="Franklin Gothic Book" w:hAnsi="Franklin Gothic Book"/>
          <w:sz w:val="22"/>
        </w:rPr>
        <w:t>D</w:t>
      </w:r>
      <w:r w:rsidRPr="002807EC">
        <w:rPr>
          <w:rFonts w:ascii="Franklin Gothic Book" w:hAnsi="Franklin Gothic Book"/>
          <w:sz w:val="22"/>
        </w:rPr>
        <w:t xml:space="preserve"> who tested positive erroneously, i.e. false positive (FP) (5% (= 1-specificity)), with use of BSC in patients without CHD who tested negative, i.e. true negative (TN) (95% (= specificity)), plus patients with CHD who tested negative, i.e. false negative (FN) (5% (= 1-sensitivity)). That is, bulevirtide and BSC were not compared in the same </w:t>
      </w:r>
      <w:proofErr w:type="gramStart"/>
      <w:r w:rsidRPr="002807EC">
        <w:rPr>
          <w:rFonts w:ascii="Franklin Gothic Book" w:hAnsi="Franklin Gothic Book"/>
          <w:sz w:val="22"/>
        </w:rPr>
        <w:t>population, but</w:t>
      </w:r>
      <w:proofErr w:type="gramEnd"/>
      <w:r w:rsidRPr="002807EC">
        <w:rPr>
          <w:rFonts w:ascii="Franklin Gothic Book" w:hAnsi="Franklin Gothic Book"/>
          <w:sz w:val="22"/>
        </w:rPr>
        <w:t xml:space="preserve"> instead compared in complement subpopulations (tested positive vs. tested negative) which make up the whole tested population. In addition, the assumptions underpinning the determination of the health outcomes in patients without CHD infection (TNs and FPs) and the duration of bulevirtide treatment in patients with a FP result from HDV RNA testing are not reasonable, because the analysis assumed: 1) a shorter survival for patients without CHD than those with the disease and receiving bulevirtide treatment; and 2) patients with a FP result at diagnosis of CHD would discontinue bulevirtide therapy at Week 144.</w:t>
      </w:r>
    </w:p>
    <w:p w14:paraId="058EA873" w14:textId="77777777" w:rsidR="0021265F" w:rsidRPr="002807EC" w:rsidRDefault="0021265F" w:rsidP="004506DC">
      <w:pPr>
        <w:jc w:val="left"/>
        <w:rPr>
          <w:rFonts w:ascii="Franklin Gothic Book" w:hAnsi="Franklin Gothic Book"/>
          <w:sz w:val="22"/>
        </w:rPr>
      </w:pPr>
      <w:r w:rsidRPr="002807EC">
        <w:rPr>
          <w:rFonts w:ascii="Franklin Gothic Book" w:hAnsi="Franklin Gothic Book"/>
          <w:sz w:val="22"/>
        </w:rPr>
        <w:t>A revised analysis was performed during the evaluation which assumed all patients entering the model at the point of testing and compared two scenarios: 1) the proposed scenario where all patients undergo HDV RNA testing and are treated with bulevirtide if tested positive or with BSC if tested negative, and 2) the current scenario where the testing is not available and all patients receive BSC.</w:t>
      </w:r>
    </w:p>
    <w:p w14:paraId="6F60146D" w14:textId="77777777" w:rsidR="0021265F" w:rsidRPr="0021265F" w:rsidRDefault="0021265F" w:rsidP="0021265F">
      <w:pPr>
        <w:rPr>
          <w:i/>
        </w:rPr>
      </w:pPr>
      <w:r w:rsidRPr="0021265F">
        <w:rPr>
          <w:i/>
          <w:noProof/>
        </w:rPr>
        <w:lastRenderedPageBreak/>
        <w:drawing>
          <wp:inline distT="0" distB="0" distL="0" distR="0" wp14:anchorId="5AD0BEC2" wp14:editId="515EC42F">
            <wp:extent cx="4745990" cy="1943100"/>
            <wp:effectExtent l="0" t="0" r="0" b="0"/>
            <wp:docPr id="408757900" name="Picture 1" descr="Model schematic – Revised scenario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7900" name="Picture 1" descr="Model schematic – Revised scenario analysis"/>
                    <pic:cNvPicPr/>
                  </pic:nvPicPr>
                  <pic:blipFill>
                    <a:blip r:embed="rId17"/>
                    <a:stretch>
                      <a:fillRect/>
                    </a:stretch>
                  </pic:blipFill>
                  <pic:spPr>
                    <a:xfrm>
                      <a:off x="0" y="0"/>
                      <a:ext cx="4745990" cy="1943100"/>
                    </a:xfrm>
                    <a:prstGeom prst="rect">
                      <a:avLst/>
                    </a:prstGeom>
                  </pic:spPr>
                </pic:pic>
              </a:graphicData>
            </a:graphic>
          </wp:inline>
        </w:drawing>
      </w:r>
    </w:p>
    <w:p w14:paraId="4D15B01F" w14:textId="721FFB2A" w:rsidR="00736883" w:rsidRPr="0021265F" w:rsidRDefault="00736883" w:rsidP="00BD2A33">
      <w:pPr>
        <w:pStyle w:val="Caption"/>
      </w:pPr>
      <w:r w:rsidRPr="007D77C8">
        <w:t xml:space="preserve">Figure </w:t>
      </w:r>
      <w:r>
        <w:fldChar w:fldCharType="begin"/>
      </w:r>
      <w:r>
        <w:instrText>SEQ Figure_MSAC \* ARABIC</w:instrText>
      </w:r>
      <w:r>
        <w:fldChar w:fldCharType="separate"/>
      </w:r>
      <w:r w:rsidR="006C45A0">
        <w:rPr>
          <w:noProof/>
        </w:rPr>
        <w:t>5</w:t>
      </w:r>
      <w:r>
        <w:fldChar w:fldCharType="end"/>
      </w:r>
      <w:r w:rsidRPr="0021265F">
        <w:tab/>
        <w:t>Model schematic – Revised scenario analysis</w:t>
      </w:r>
    </w:p>
    <w:p w14:paraId="53FC936E" w14:textId="77777777" w:rsidR="0021265F" w:rsidRPr="0021265F" w:rsidRDefault="0021265F" w:rsidP="0021265F">
      <w:pPr>
        <w:pStyle w:val="TableFigureFooter"/>
        <w:jc w:val="both"/>
        <w:rPr>
          <w:i/>
        </w:rPr>
      </w:pPr>
      <w:r w:rsidRPr="0021265F">
        <w:rPr>
          <w:i/>
        </w:rPr>
        <w:t>Source: Figure constructed during the evaluation</w:t>
      </w:r>
    </w:p>
    <w:p w14:paraId="1BB0CA4A" w14:textId="77777777" w:rsidR="0021265F" w:rsidRPr="0021265F" w:rsidRDefault="0021265F" w:rsidP="0021265F">
      <w:pPr>
        <w:pStyle w:val="TableFigureFooter"/>
        <w:jc w:val="both"/>
        <w:rPr>
          <w:i/>
        </w:rPr>
      </w:pPr>
      <w:r w:rsidRPr="0021265F">
        <w:rPr>
          <w:i/>
        </w:rPr>
        <w:t>BSC = best supportive care; CHD = chronic hepatitis D; FN = false negative; FP = false positive; HDV = hepatitis D virus; TN = true negative; TP = true positive</w:t>
      </w:r>
    </w:p>
    <w:p w14:paraId="684D3EDD" w14:textId="77777777" w:rsidR="0021265F" w:rsidRPr="0021265F" w:rsidRDefault="0021265F" w:rsidP="0021265F">
      <w:pPr>
        <w:pStyle w:val="TableFigureFooter"/>
        <w:rPr>
          <w:i/>
        </w:rPr>
      </w:pPr>
      <w:r w:rsidRPr="0021265F">
        <w:rPr>
          <w:i/>
          <w:vertAlign w:val="superscript"/>
        </w:rPr>
        <w:t>a</w:t>
      </w:r>
      <w:r w:rsidRPr="0021265F">
        <w:rPr>
          <w:i/>
        </w:rPr>
        <w:t xml:space="preserve"> = sensitivity x prevalence of HDV RNA positive, where sensitivity = 95% and prevalence of HDV RNA positive = 54.4%</w:t>
      </w:r>
    </w:p>
    <w:p w14:paraId="76719726" w14:textId="77777777" w:rsidR="0021265F" w:rsidRPr="0021265F" w:rsidRDefault="0021265F" w:rsidP="0021265F">
      <w:pPr>
        <w:pStyle w:val="TableFigureFooter"/>
        <w:rPr>
          <w:i/>
        </w:rPr>
      </w:pPr>
      <w:r w:rsidRPr="0021265F">
        <w:rPr>
          <w:i/>
          <w:vertAlign w:val="superscript"/>
        </w:rPr>
        <w:t xml:space="preserve">b </w:t>
      </w:r>
      <w:r w:rsidRPr="0021265F">
        <w:rPr>
          <w:i/>
        </w:rPr>
        <w:t>= (1- specificity) x (1- prevalence of HDV RNA positive), where specificity = 95% and prevalence of HDV RNA positive = 54.4%</w:t>
      </w:r>
    </w:p>
    <w:p w14:paraId="7EC07819" w14:textId="77777777" w:rsidR="0021265F" w:rsidRPr="0021265F" w:rsidRDefault="0021265F" w:rsidP="0021265F">
      <w:pPr>
        <w:pStyle w:val="TableFigureFooter"/>
        <w:rPr>
          <w:i/>
        </w:rPr>
      </w:pPr>
      <w:r w:rsidRPr="0021265F">
        <w:rPr>
          <w:i/>
          <w:vertAlign w:val="superscript"/>
        </w:rPr>
        <w:t xml:space="preserve">c </w:t>
      </w:r>
      <w:r w:rsidRPr="0021265F">
        <w:rPr>
          <w:i/>
        </w:rPr>
        <w:t>= specificity x ((1- prevalence of HDV RNA positive), where specificity = 95% and prevalence of HDV RNA positive = 54.4%</w:t>
      </w:r>
    </w:p>
    <w:p w14:paraId="12DE5607" w14:textId="25F8B4DC" w:rsidR="0021265F" w:rsidRPr="0021265F" w:rsidRDefault="0021265F" w:rsidP="0021265F">
      <w:pPr>
        <w:pStyle w:val="TableFigureFooter"/>
        <w:rPr>
          <w:i/>
        </w:rPr>
      </w:pPr>
      <w:r w:rsidRPr="0021265F">
        <w:rPr>
          <w:i/>
          <w:vertAlign w:val="superscript"/>
        </w:rPr>
        <w:t xml:space="preserve">d </w:t>
      </w:r>
      <w:r w:rsidRPr="0021265F">
        <w:rPr>
          <w:i/>
        </w:rPr>
        <w:t>= (1 – sensitivity) x prevalence of HDV RNA positive, where sensitivity = 95% and prevalence of HDV RNA positive = 54.4%</w:t>
      </w:r>
    </w:p>
    <w:p w14:paraId="769703EF" w14:textId="4FF37FC8" w:rsidR="0021265F" w:rsidRPr="002807EC" w:rsidRDefault="006C45A0" w:rsidP="004506DC">
      <w:pPr>
        <w:spacing w:before="240"/>
        <w:jc w:val="left"/>
        <w:rPr>
          <w:rFonts w:ascii="Franklin Gothic Book" w:hAnsi="Franklin Gothic Book"/>
          <w:sz w:val="22"/>
        </w:rPr>
      </w:pPr>
      <w:r w:rsidRPr="002807EC">
        <w:rPr>
          <w:rFonts w:ascii="Franklin Gothic Book" w:hAnsi="Franklin Gothic Book"/>
          <w:sz w:val="22"/>
        </w:rPr>
        <w:fldChar w:fldCharType="begin"/>
      </w:r>
      <w:r w:rsidRPr="002807EC">
        <w:rPr>
          <w:rFonts w:ascii="Franklin Gothic Book" w:hAnsi="Franklin Gothic Book"/>
          <w:sz w:val="22"/>
        </w:rPr>
        <w:instrText xml:space="preserve"> REF _Ref191470468 \h  \* MERGEFORMAT </w:instrText>
      </w:r>
      <w:r w:rsidRPr="002807EC">
        <w:rPr>
          <w:rFonts w:ascii="Franklin Gothic Book" w:hAnsi="Franklin Gothic Book"/>
          <w:sz w:val="22"/>
        </w:rPr>
      </w:r>
      <w:r w:rsidRPr="002807EC">
        <w:rPr>
          <w:rFonts w:ascii="Franklin Gothic Book" w:hAnsi="Franklin Gothic Book"/>
          <w:sz w:val="22"/>
        </w:rPr>
        <w:fldChar w:fldCharType="separate"/>
      </w:r>
      <w:r w:rsidRPr="002807EC">
        <w:rPr>
          <w:rFonts w:ascii="Franklin Gothic Book" w:hAnsi="Franklin Gothic Book"/>
          <w:sz w:val="22"/>
        </w:rPr>
        <w:t xml:space="preserve">Table </w:t>
      </w:r>
      <w:r w:rsidRPr="002807EC">
        <w:rPr>
          <w:rFonts w:ascii="Franklin Gothic Book" w:hAnsi="Franklin Gothic Book"/>
          <w:noProof/>
          <w:sz w:val="22"/>
        </w:rPr>
        <w:t>10</w:t>
      </w:r>
      <w:r w:rsidRPr="002807EC">
        <w:rPr>
          <w:rFonts w:ascii="Franklin Gothic Book" w:hAnsi="Franklin Gothic Book"/>
          <w:sz w:val="22"/>
        </w:rPr>
        <w:fldChar w:fldCharType="end"/>
      </w:r>
      <w:r w:rsidRPr="002807EC">
        <w:rPr>
          <w:rFonts w:ascii="Franklin Gothic Book" w:hAnsi="Franklin Gothic Book"/>
          <w:sz w:val="22"/>
        </w:rPr>
        <w:t xml:space="preserve"> </w:t>
      </w:r>
      <w:r w:rsidR="0021265F" w:rsidRPr="002807EC">
        <w:rPr>
          <w:rFonts w:ascii="Franklin Gothic Book" w:hAnsi="Franklin Gothic Book"/>
          <w:sz w:val="22"/>
        </w:rPr>
        <w:t xml:space="preserve">summarises the assumptions used to determine the costs and outcomes in each subpopulation. </w:t>
      </w:r>
    </w:p>
    <w:p w14:paraId="1A7EED46" w14:textId="5B93E215" w:rsidR="0021265F" w:rsidRPr="0021265F" w:rsidRDefault="006C45A0" w:rsidP="00B26AF7">
      <w:pPr>
        <w:pStyle w:val="Caption"/>
        <w:spacing w:before="0"/>
      </w:pPr>
      <w:bookmarkStart w:id="54" w:name="_Ref191470468"/>
      <w:r w:rsidRPr="4904BCD2">
        <w:t xml:space="preserve">Table </w:t>
      </w:r>
      <w:r w:rsidR="002807EC">
        <w:t>10</w:t>
      </w:r>
      <w:bookmarkEnd w:id="54"/>
      <w:r w:rsidR="0021265F" w:rsidRPr="0021265F">
        <w:tab/>
        <w:t>Assumptions in the revised scenario analysis</w:t>
      </w:r>
    </w:p>
    <w:tbl>
      <w:tblPr>
        <w:tblStyle w:val="ASDTable1"/>
        <w:tblW w:w="4950" w:type="pct"/>
        <w:shd w:val="clear" w:color="auto" w:fill="FFFFFF" w:themeFill="background1"/>
        <w:tblLook w:val="04A0" w:firstRow="1" w:lastRow="0" w:firstColumn="1" w:lastColumn="0" w:noHBand="0" w:noVBand="1"/>
      </w:tblPr>
      <w:tblGrid>
        <w:gridCol w:w="919"/>
        <w:gridCol w:w="782"/>
        <w:gridCol w:w="998"/>
        <w:gridCol w:w="947"/>
        <w:gridCol w:w="5280"/>
      </w:tblGrid>
      <w:tr w:rsidR="0021265F" w:rsidRPr="0021265F" w14:paraId="65970A4E" w14:textId="77777777" w:rsidTr="4904BCD2">
        <w:tc>
          <w:tcPr>
            <w:tcW w:w="516" w:type="pct"/>
            <w:shd w:val="clear" w:color="auto" w:fill="FFFFFF" w:themeFill="background1"/>
          </w:tcPr>
          <w:p w14:paraId="12615D3D" w14:textId="77777777" w:rsidR="0021265F" w:rsidRPr="0021265F" w:rsidRDefault="0021265F" w:rsidP="00AC3BE0">
            <w:pPr>
              <w:pStyle w:val="TableText"/>
              <w:keepNext/>
              <w:rPr>
                <w:rFonts w:eastAsiaTheme="minorHAnsi" w:cstheme="minorBidi"/>
                <w:b/>
                <w:bCs/>
                <w:i/>
                <w:szCs w:val="22"/>
                <w:lang w:eastAsia="en-US"/>
              </w:rPr>
            </w:pPr>
            <w:r w:rsidRPr="0021265F">
              <w:rPr>
                <w:rFonts w:eastAsiaTheme="minorHAnsi" w:cstheme="minorBidi"/>
                <w:b/>
                <w:bCs/>
                <w:i/>
                <w:szCs w:val="22"/>
                <w:lang w:eastAsia="en-US"/>
              </w:rPr>
              <w:t xml:space="preserve">Scenario </w:t>
            </w:r>
          </w:p>
        </w:tc>
        <w:tc>
          <w:tcPr>
            <w:tcW w:w="449" w:type="pct"/>
            <w:shd w:val="clear" w:color="auto" w:fill="FFFFFF" w:themeFill="background1"/>
          </w:tcPr>
          <w:p w14:paraId="3C42B996" w14:textId="77777777" w:rsidR="0021265F" w:rsidRPr="0021265F" w:rsidRDefault="0021265F" w:rsidP="00AC3BE0">
            <w:pPr>
              <w:pStyle w:val="TableText"/>
              <w:keepNext/>
              <w:ind w:left="-57" w:right="-57"/>
              <w:jc w:val="center"/>
              <w:rPr>
                <w:rFonts w:eastAsiaTheme="minorHAnsi" w:cstheme="minorBidi"/>
                <w:b/>
                <w:bCs/>
                <w:i/>
                <w:szCs w:val="22"/>
                <w:lang w:eastAsia="en-US"/>
              </w:rPr>
            </w:pPr>
            <w:r w:rsidRPr="0021265F">
              <w:rPr>
                <w:rFonts w:eastAsiaTheme="minorHAnsi" w:cstheme="minorBidi"/>
                <w:b/>
                <w:bCs/>
                <w:i/>
                <w:szCs w:val="22"/>
                <w:lang w:eastAsia="en-US"/>
              </w:rPr>
              <w:t xml:space="preserve">Branch </w:t>
            </w:r>
          </w:p>
        </w:tc>
        <w:tc>
          <w:tcPr>
            <w:tcW w:w="536" w:type="pct"/>
            <w:shd w:val="clear" w:color="auto" w:fill="FFFFFF" w:themeFill="background1"/>
          </w:tcPr>
          <w:p w14:paraId="66D693D2" w14:textId="77777777" w:rsidR="0021265F" w:rsidRPr="0021265F" w:rsidRDefault="0021265F" w:rsidP="00AC3BE0">
            <w:pPr>
              <w:pStyle w:val="TableText"/>
              <w:keepNext/>
              <w:ind w:left="-57" w:right="-57"/>
              <w:jc w:val="center"/>
              <w:rPr>
                <w:b/>
                <w:bCs/>
                <w:i/>
              </w:rPr>
            </w:pPr>
            <w:r w:rsidRPr="0021265F">
              <w:rPr>
                <w:b/>
                <w:bCs/>
                <w:i/>
              </w:rPr>
              <w:t>Proportion</w:t>
            </w:r>
          </w:p>
        </w:tc>
        <w:tc>
          <w:tcPr>
            <w:tcW w:w="3499" w:type="pct"/>
            <w:gridSpan w:val="2"/>
            <w:shd w:val="clear" w:color="auto" w:fill="FFFFFF" w:themeFill="background1"/>
          </w:tcPr>
          <w:p w14:paraId="50F1C172" w14:textId="77777777" w:rsidR="0021265F" w:rsidRPr="0021265F" w:rsidRDefault="0021265F" w:rsidP="00AC3BE0">
            <w:pPr>
              <w:pStyle w:val="TableText"/>
              <w:keepNext/>
              <w:ind w:left="-57" w:right="-57"/>
              <w:jc w:val="center"/>
              <w:rPr>
                <w:rFonts w:eastAsiaTheme="minorHAnsi" w:cstheme="minorBidi"/>
                <w:b/>
                <w:bCs/>
                <w:i/>
                <w:szCs w:val="22"/>
                <w:lang w:eastAsia="en-US"/>
              </w:rPr>
            </w:pPr>
            <w:r w:rsidRPr="0021265F">
              <w:rPr>
                <w:rFonts w:eastAsiaTheme="minorHAnsi" w:cstheme="minorBidi"/>
                <w:b/>
                <w:bCs/>
                <w:i/>
                <w:szCs w:val="22"/>
                <w:lang w:eastAsia="en-US"/>
              </w:rPr>
              <w:t>Assumptions</w:t>
            </w:r>
          </w:p>
        </w:tc>
      </w:tr>
      <w:tr w:rsidR="0021265F" w:rsidRPr="0021265F" w14:paraId="7E7DD6DA" w14:textId="77777777" w:rsidTr="4904BCD2">
        <w:tc>
          <w:tcPr>
            <w:tcW w:w="516" w:type="pct"/>
            <w:shd w:val="clear" w:color="auto" w:fill="FFFFFF" w:themeFill="background1"/>
            <w:vAlign w:val="center"/>
          </w:tcPr>
          <w:p w14:paraId="6E732EA5" w14:textId="77777777" w:rsidR="0021265F" w:rsidRPr="0021265F" w:rsidRDefault="0021265F" w:rsidP="00AC3BE0">
            <w:pPr>
              <w:pStyle w:val="TableText"/>
              <w:keepNext/>
              <w:rPr>
                <w:rFonts w:eastAsiaTheme="minorHAnsi" w:cstheme="minorBidi"/>
                <w:i/>
                <w:szCs w:val="22"/>
                <w:lang w:eastAsia="en-US"/>
              </w:rPr>
            </w:pPr>
            <w:r w:rsidRPr="0021265F">
              <w:rPr>
                <w:rFonts w:eastAsiaTheme="minorHAnsi" w:cstheme="minorBidi"/>
                <w:i/>
                <w:szCs w:val="22"/>
                <w:lang w:eastAsia="en-US"/>
              </w:rPr>
              <w:t xml:space="preserve">Proposed </w:t>
            </w:r>
          </w:p>
        </w:tc>
        <w:tc>
          <w:tcPr>
            <w:tcW w:w="449" w:type="pct"/>
            <w:shd w:val="clear" w:color="auto" w:fill="FFFFFF" w:themeFill="background1"/>
            <w:vAlign w:val="center"/>
          </w:tcPr>
          <w:p w14:paraId="53D167C0" w14:textId="77777777" w:rsidR="0021265F" w:rsidRPr="0021265F" w:rsidRDefault="0021265F" w:rsidP="00AC3BE0">
            <w:pPr>
              <w:pStyle w:val="TableText"/>
              <w:keepNext/>
              <w:ind w:left="-57" w:right="-57"/>
              <w:rPr>
                <w:rFonts w:eastAsiaTheme="minorHAnsi" w:cstheme="minorBidi"/>
                <w:i/>
                <w:szCs w:val="22"/>
                <w:lang w:eastAsia="en-US"/>
              </w:rPr>
            </w:pPr>
            <w:r w:rsidRPr="0021265F">
              <w:rPr>
                <w:rFonts w:eastAsiaTheme="minorHAnsi" w:cstheme="minorBidi"/>
                <w:i/>
                <w:szCs w:val="22"/>
                <w:lang w:eastAsia="en-US"/>
              </w:rPr>
              <w:t>TP</w:t>
            </w:r>
          </w:p>
        </w:tc>
        <w:tc>
          <w:tcPr>
            <w:tcW w:w="536" w:type="pct"/>
            <w:shd w:val="clear" w:color="auto" w:fill="FFFFFF" w:themeFill="background1"/>
            <w:vAlign w:val="center"/>
          </w:tcPr>
          <w:p w14:paraId="23861BAD" w14:textId="77777777" w:rsidR="0021265F" w:rsidRPr="0021265F" w:rsidRDefault="0021265F" w:rsidP="00AC3BE0">
            <w:pPr>
              <w:pStyle w:val="TableText"/>
              <w:keepNext/>
              <w:ind w:left="-57" w:right="-57"/>
              <w:rPr>
                <w:i/>
                <w:vertAlign w:val="superscript"/>
              </w:rPr>
            </w:pPr>
            <w:r w:rsidRPr="0021265F">
              <w:rPr>
                <w:i/>
              </w:rPr>
              <w:t>51.7%</w:t>
            </w:r>
          </w:p>
        </w:tc>
        <w:tc>
          <w:tcPr>
            <w:tcW w:w="3499" w:type="pct"/>
            <w:gridSpan w:val="2"/>
            <w:shd w:val="clear" w:color="auto" w:fill="FFFFFF" w:themeFill="background1"/>
            <w:vAlign w:val="center"/>
          </w:tcPr>
          <w:p w14:paraId="6AE0770A" w14:textId="77777777" w:rsidR="0021265F" w:rsidRPr="0021265F" w:rsidRDefault="0021265F" w:rsidP="00C6349A">
            <w:pPr>
              <w:pStyle w:val="TableText"/>
              <w:keepNext/>
              <w:numPr>
                <w:ilvl w:val="0"/>
                <w:numId w:val="21"/>
              </w:numPr>
              <w:ind w:left="188" w:right="-57" w:hanging="188"/>
              <w:rPr>
                <w:rFonts w:eastAsiaTheme="minorEastAsia" w:cstheme="minorBidi"/>
                <w:i/>
                <w:iCs/>
                <w:lang w:eastAsia="en-US"/>
              </w:rPr>
            </w:pPr>
            <w:r w:rsidRPr="37C20EEE">
              <w:rPr>
                <w:rFonts w:eastAsiaTheme="minorEastAsia" w:cstheme="minorBidi"/>
                <w:i/>
                <w:iCs/>
                <w:lang w:eastAsia="en-US"/>
              </w:rPr>
              <w:t>Treated with bulevirtide</w:t>
            </w:r>
          </w:p>
          <w:p w14:paraId="4043A781" w14:textId="77777777" w:rsidR="0021265F" w:rsidRPr="0021265F" w:rsidRDefault="0021265F" w:rsidP="00C6349A">
            <w:pPr>
              <w:pStyle w:val="TableText"/>
              <w:keepNext/>
              <w:numPr>
                <w:ilvl w:val="0"/>
                <w:numId w:val="21"/>
              </w:numPr>
              <w:ind w:left="188" w:right="-57" w:hanging="188"/>
              <w:rPr>
                <w:rFonts w:eastAsiaTheme="minorEastAsia" w:cstheme="minorBidi"/>
                <w:i/>
                <w:iCs/>
                <w:lang w:eastAsia="en-US"/>
              </w:rPr>
            </w:pPr>
            <w:r w:rsidRPr="4904BCD2">
              <w:rPr>
                <w:rFonts w:eastAsiaTheme="minorEastAsia" w:cstheme="minorBidi"/>
                <w:i/>
                <w:iCs/>
                <w:lang w:eastAsia="en-US"/>
              </w:rPr>
              <w:t xml:space="preserve">Costs and outcomes assumed the same as the bulevirtide arm of the base </w:t>
            </w:r>
            <w:proofErr w:type="spellStart"/>
            <w:r w:rsidRPr="4904BCD2">
              <w:rPr>
                <w:rFonts w:eastAsiaTheme="minorEastAsia" w:cstheme="minorBidi"/>
                <w:i/>
                <w:iCs/>
                <w:lang w:eastAsia="en-US"/>
              </w:rPr>
              <w:t>case</w:t>
            </w:r>
            <w:r w:rsidRPr="4904BCD2">
              <w:rPr>
                <w:rFonts w:eastAsiaTheme="minorEastAsia" w:cstheme="minorBidi"/>
                <w:i/>
                <w:iCs/>
                <w:vertAlign w:val="superscript"/>
                <w:lang w:eastAsia="en-US"/>
              </w:rPr>
              <w:t>a</w:t>
            </w:r>
            <w:proofErr w:type="spellEnd"/>
          </w:p>
        </w:tc>
      </w:tr>
      <w:tr w:rsidR="0021265F" w:rsidRPr="0021265F" w14:paraId="3561D8A3" w14:textId="77777777" w:rsidTr="4904BCD2">
        <w:tc>
          <w:tcPr>
            <w:tcW w:w="516" w:type="pct"/>
            <w:vAlign w:val="center"/>
          </w:tcPr>
          <w:p w14:paraId="3CA864FA" w14:textId="77777777" w:rsidR="0021265F" w:rsidRPr="0021265F" w:rsidRDefault="0021265F" w:rsidP="00AC3BE0">
            <w:pPr>
              <w:pStyle w:val="TableText"/>
              <w:keepNext/>
              <w:rPr>
                <w:rFonts w:eastAsiaTheme="minorHAnsi" w:cstheme="minorBidi"/>
                <w:i/>
                <w:szCs w:val="22"/>
                <w:lang w:eastAsia="en-US"/>
              </w:rPr>
            </w:pPr>
          </w:p>
        </w:tc>
        <w:tc>
          <w:tcPr>
            <w:tcW w:w="449" w:type="pct"/>
            <w:gridSpan w:val="2"/>
            <w:shd w:val="clear" w:color="auto" w:fill="FFFFFF" w:themeFill="background1"/>
            <w:vAlign w:val="center"/>
          </w:tcPr>
          <w:p w14:paraId="2336A75C" w14:textId="77777777" w:rsidR="0021265F" w:rsidRPr="0021265F" w:rsidRDefault="0021265F" w:rsidP="00AC3BE0">
            <w:pPr>
              <w:pStyle w:val="TableText"/>
              <w:keepNext/>
              <w:ind w:left="-57" w:right="-57"/>
              <w:rPr>
                <w:rFonts w:eastAsiaTheme="minorHAnsi" w:cstheme="minorBidi"/>
                <w:i/>
                <w:szCs w:val="22"/>
                <w:lang w:eastAsia="en-US"/>
              </w:rPr>
            </w:pPr>
            <w:r w:rsidRPr="0021265F">
              <w:rPr>
                <w:rFonts w:eastAsiaTheme="minorHAnsi" w:cstheme="minorBidi"/>
                <w:i/>
                <w:szCs w:val="22"/>
                <w:lang w:eastAsia="en-US"/>
              </w:rPr>
              <w:t>FP</w:t>
            </w:r>
          </w:p>
        </w:tc>
        <w:tc>
          <w:tcPr>
            <w:tcW w:w="536" w:type="pct"/>
            <w:shd w:val="clear" w:color="auto" w:fill="FFFFFF" w:themeFill="background1"/>
            <w:vAlign w:val="center"/>
          </w:tcPr>
          <w:p w14:paraId="02BF346A" w14:textId="77777777" w:rsidR="0021265F" w:rsidRPr="0021265F" w:rsidRDefault="0021265F" w:rsidP="00AC3BE0">
            <w:pPr>
              <w:pStyle w:val="TableText"/>
              <w:keepNext/>
              <w:ind w:left="-57" w:right="-57"/>
              <w:rPr>
                <w:i/>
                <w:vertAlign w:val="superscript"/>
              </w:rPr>
            </w:pPr>
            <w:r w:rsidRPr="0021265F">
              <w:rPr>
                <w:i/>
              </w:rPr>
              <w:t>2.3%</w:t>
            </w:r>
          </w:p>
        </w:tc>
        <w:tc>
          <w:tcPr>
            <w:tcW w:w="3499" w:type="pct"/>
            <w:shd w:val="clear" w:color="auto" w:fill="FFFFFF" w:themeFill="background1"/>
            <w:vAlign w:val="center"/>
          </w:tcPr>
          <w:p w14:paraId="7C4A7EA0" w14:textId="77777777" w:rsidR="0021265F" w:rsidRPr="0021265F" w:rsidRDefault="0021265F" w:rsidP="00C6349A">
            <w:pPr>
              <w:pStyle w:val="TableText"/>
              <w:keepNext/>
              <w:numPr>
                <w:ilvl w:val="0"/>
                <w:numId w:val="21"/>
              </w:numPr>
              <w:ind w:left="188" w:right="-57" w:hanging="188"/>
              <w:rPr>
                <w:rFonts w:eastAsiaTheme="minorEastAsia" w:cstheme="minorBidi"/>
                <w:i/>
                <w:iCs/>
                <w:lang w:eastAsia="en-US"/>
              </w:rPr>
            </w:pPr>
            <w:r w:rsidRPr="37C20EEE">
              <w:rPr>
                <w:rFonts w:eastAsiaTheme="minorEastAsia" w:cstheme="minorBidi"/>
                <w:i/>
                <w:iCs/>
                <w:lang w:eastAsia="en-US"/>
              </w:rPr>
              <w:t>Treated with bulevirtide</w:t>
            </w:r>
          </w:p>
          <w:p w14:paraId="50E8C234" w14:textId="77777777" w:rsidR="0021265F" w:rsidRPr="0021265F" w:rsidRDefault="0021265F" w:rsidP="00C6349A">
            <w:pPr>
              <w:pStyle w:val="TableText"/>
              <w:keepNext/>
              <w:numPr>
                <w:ilvl w:val="0"/>
                <w:numId w:val="21"/>
              </w:numPr>
              <w:ind w:left="188" w:right="-57" w:hanging="188"/>
              <w:rPr>
                <w:rFonts w:eastAsiaTheme="minorHAnsi" w:cstheme="minorBidi"/>
                <w:i/>
                <w:szCs w:val="22"/>
                <w:lang w:eastAsia="en-US"/>
              </w:rPr>
            </w:pPr>
            <w:r w:rsidRPr="0021265F">
              <w:rPr>
                <w:rFonts w:eastAsiaTheme="minorHAnsi" w:cstheme="minorBidi"/>
                <w:i/>
                <w:szCs w:val="22"/>
                <w:lang w:eastAsia="en-US"/>
              </w:rPr>
              <w:t>Natural disease progression of HBV mono-infection as reported in Bermingham et al. 2015</w:t>
            </w:r>
          </w:p>
          <w:p w14:paraId="0C6F1C09" w14:textId="77777777" w:rsidR="0021265F" w:rsidRPr="0021265F" w:rsidRDefault="0021265F" w:rsidP="00C6349A">
            <w:pPr>
              <w:pStyle w:val="TableText"/>
              <w:keepNext/>
              <w:numPr>
                <w:ilvl w:val="0"/>
                <w:numId w:val="21"/>
              </w:numPr>
              <w:ind w:left="188" w:right="-57" w:hanging="188"/>
              <w:rPr>
                <w:rFonts w:eastAsiaTheme="minorHAnsi" w:cstheme="minorBidi"/>
                <w:i/>
                <w:szCs w:val="22"/>
                <w:lang w:eastAsia="en-US"/>
              </w:rPr>
            </w:pPr>
            <w:r w:rsidRPr="0021265F">
              <w:rPr>
                <w:rFonts w:eastAsiaTheme="minorHAnsi" w:cstheme="minorBidi"/>
                <w:i/>
                <w:szCs w:val="22"/>
                <w:lang w:eastAsia="en-US"/>
              </w:rPr>
              <w:t xml:space="preserve">100% virological response </w:t>
            </w:r>
            <w:r w:rsidRPr="0021265F">
              <w:rPr>
                <w:i/>
              </w:rPr>
              <w:t>(utilities for NC and CC as in responders)</w:t>
            </w:r>
          </w:p>
          <w:p w14:paraId="1D934243" w14:textId="77777777" w:rsidR="0021265F" w:rsidRPr="0021265F" w:rsidRDefault="0021265F" w:rsidP="00C6349A">
            <w:pPr>
              <w:pStyle w:val="TableText"/>
              <w:keepNext/>
              <w:numPr>
                <w:ilvl w:val="0"/>
                <w:numId w:val="21"/>
              </w:numPr>
              <w:ind w:left="188" w:right="-57" w:hanging="188"/>
              <w:rPr>
                <w:rFonts w:eastAsiaTheme="minorHAnsi" w:cstheme="minorBidi"/>
                <w:i/>
                <w:szCs w:val="22"/>
                <w:lang w:eastAsia="en-US"/>
              </w:rPr>
            </w:pPr>
            <w:r w:rsidRPr="0021265F">
              <w:rPr>
                <w:rFonts w:eastAsiaTheme="minorHAnsi" w:cstheme="minorBidi"/>
                <w:i/>
                <w:szCs w:val="22"/>
                <w:lang w:eastAsia="en-US"/>
              </w:rPr>
              <w:t>No change in HBV disease progression in “responders”</w:t>
            </w:r>
          </w:p>
        </w:tc>
      </w:tr>
      <w:tr w:rsidR="0021265F" w:rsidRPr="0021265F" w14:paraId="5934C22F" w14:textId="77777777" w:rsidTr="4904BCD2">
        <w:tc>
          <w:tcPr>
            <w:tcW w:w="516" w:type="pct"/>
            <w:vAlign w:val="center"/>
          </w:tcPr>
          <w:p w14:paraId="05C0A5F5" w14:textId="77777777" w:rsidR="0021265F" w:rsidRPr="0021265F" w:rsidRDefault="0021265F" w:rsidP="00AC3BE0">
            <w:pPr>
              <w:pStyle w:val="TableText"/>
              <w:keepNext/>
              <w:rPr>
                <w:i/>
              </w:rPr>
            </w:pPr>
          </w:p>
        </w:tc>
        <w:tc>
          <w:tcPr>
            <w:tcW w:w="449" w:type="pct"/>
            <w:gridSpan w:val="2"/>
            <w:shd w:val="clear" w:color="auto" w:fill="FFFFFF" w:themeFill="background1"/>
            <w:vAlign w:val="center"/>
          </w:tcPr>
          <w:p w14:paraId="4AAB5915" w14:textId="77777777" w:rsidR="0021265F" w:rsidRPr="0021265F" w:rsidRDefault="0021265F" w:rsidP="00AC3BE0">
            <w:pPr>
              <w:pStyle w:val="TableText"/>
              <w:keepNext/>
              <w:ind w:left="-57" w:right="-57"/>
              <w:rPr>
                <w:i/>
              </w:rPr>
            </w:pPr>
            <w:r w:rsidRPr="0021265F">
              <w:rPr>
                <w:i/>
              </w:rPr>
              <w:t>TN</w:t>
            </w:r>
          </w:p>
        </w:tc>
        <w:tc>
          <w:tcPr>
            <w:tcW w:w="536" w:type="pct"/>
            <w:shd w:val="clear" w:color="auto" w:fill="FFFFFF" w:themeFill="background1"/>
            <w:vAlign w:val="center"/>
          </w:tcPr>
          <w:p w14:paraId="2A85537F" w14:textId="77777777" w:rsidR="0021265F" w:rsidRPr="0021265F" w:rsidRDefault="0021265F" w:rsidP="00AC3BE0">
            <w:pPr>
              <w:pStyle w:val="TableText"/>
              <w:keepNext/>
              <w:ind w:left="-57" w:right="-57"/>
              <w:rPr>
                <w:i/>
                <w:vertAlign w:val="superscript"/>
              </w:rPr>
            </w:pPr>
            <w:r w:rsidRPr="0021265F">
              <w:rPr>
                <w:i/>
              </w:rPr>
              <w:t>43.3%</w:t>
            </w:r>
          </w:p>
        </w:tc>
        <w:tc>
          <w:tcPr>
            <w:tcW w:w="3499" w:type="pct"/>
            <w:shd w:val="clear" w:color="auto" w:fill="FFFFFF" w:themeFill="background1"/>
            <w:vAlign w:val="center"/>
          </w:tcPr>
          <w:p w14:paraId="57E0F2F2" w14:textId="77777777" w:rsidR="0021265F" w:rsidRPr="0021265F" w:rsidRDefault="0021265F" w:rsidP="00C6349A">
            <w:pPr>
              <w:pStyle w:val="TableText"/>
              <w:keepNext/>
              <w:numPr>
                <w:ilvl w:val="0"/>
                <w:numId w:val="21"/>
              </w:numPr>
              <w:ind w:left="188" w:right="-57" w:hanging="188"/>
              <w:rPr>
                <w:i/>
              </w:rPr>
            </w:pPr>
            <w:r w:rsidRPr="0021265F">
              <w:rPr>
                <w:i/>
              </w:rPr>
              <w:t>Treated with BSC</w:t>
            </w:r>
          </w:p>
          <w:p w14:paraId="6BD51683" w14:textId="77777777" w:rsidR="0021265F" w:rsidRPr="0021265F" w:rsidRDefault="0021265F" w:rsidP="00C6349A">
            <w:pPr>
              <w:pStyle w:val="TableText"/>
              <w:keepNext/>
              <w:numPr>
                <w:ilvl w:val="0"/>
                <w:numId w:val="21"/>
              </w:numPr>
              <w:ind w:left="188" w:right="-57" w:hanging="188"/>
              <w:rPr>
                <w:i/>
              </w:rPr>
            </w:pPr>
            <w:r w:rsidRPr="0021265F">
              <w:rPr>
                <w:rFonts w:eastAsiaTheme="minorHAnsi" w:cstheme="minorBidi"/>
                <w:i/>
                <w:szCs w:val="22"/>
                <w:lang w:eastAsia="en-US"/>
              </w:rPr>
              <w:t>Natural disease progression of HBV mono-infection as reported in Bermingham et al. 2015</w:t>
            </w:r>
          </w:p>
          <w:p w14:paraId="68CD8F4E" w14:textId="77777777" w:rsidR="0021265F" w:rsidRPr="0021265F" w:rsidRDefault="0021265F" w:rsidP="00C6349A">
            <w:pPr>
              <w:pStyle w:val="TableText"/>
              <w:keepNext/>
              <w:numPr>
                <w:ilvl w:val="0"/>
                <w:numId w:val="21"/>
              </w:numPr>
              <w:ind w:left="188" w:right="-57" w:hanging="188"/>
              <w:rPr>
                <w:i/>
              </w:rPr>
            </w:pPr>
            <w:r w:rsidRPr="0021265F">
              <w:rPr>
                <w:i/>
              </w:rPr>
              <w:t>100% virological response (utilities for NC and CC as in responders)</w:t>
            </w:r>
          </w:p>
          <w:p w14:paraId="30FF9CF2" w14:textId="77777777" w:rsidR="0021265F" w:rsidRPr="0021265F" w:rsidRDefault="0021265F" w:rsidP="00C6349A">
            <w:pPr>
              <w:pStyle w:val="TableText"/>
              <w:keepNext/>
              <w:numPr>
                <w:ilvl w:val="0"/>
                <w:numId w:val="21"/>
              </w:numPr>
              <w:ind w:left="188" w:right="-57" w:hanging="188"/>
              <w:rPr>
                <w:i/>
              </w:rPr>
            </w:pPr>
            <w:r w:rsidRPr="0021265F">
              <w:rPr>
                <w:rFonts w:eastAsiaTheme="minorHAnsi" w:cstheme="minorBidi"/>
                <w:i/>
                <w:szCs w:val="22"/>
                <w:lang w:eastAsia="en-US"/>
              </w:rPr>
              <w:t xml:space="preserve">No change in HBV disease progression in “responders” </w:t>
            </w:r>
          </w:p>
        </w:tc>
      </w:tr>
      <w:tr w:rsidR="0021265F" w:rsidRPr="0021265F" w14:paraId="53FCBC7E" w14:textId="77777777" w:rsidTr="4904BCD2">
        <w:tc>
          <w:tcPr>
            <w:tcW w:w="516" w:type="pct"/>
            <w:vAlign w:val="center"/>
          </w:tcPr>
          <w:p w14:paraId="580A6FD9" w14:textId="77777777" w:rsidR="0021265F" w:rsidRPr="0021265F" w:rsidRDefault="0021265F" w:rsidP="00AC3BE0">
            <w:pPr>
              <w:pStyle w:val="TableText"/>
              <w:keepNext/>
              <w:rPr>
                <w:i/>
              </w:rPr>
            </w:pPr>
          </w:p>
        </w:tc>
        <w:tc>
          <w:tcPr>
            <w:tcW w:w="449" w:type="pct"/>
            <w:gridSpan w:val="2"/>
            <w:shd w:val="clear" w:color="auto" w:fill="FFFFFF" w:themeFill="background1"/>
            <w:vAlign w:val="center"/>
          </w:tcPr>
          <w:p w14:paraId="2371AB74" w14:textId="77777777" w:rsidR="0021265F" w:rsidRPr="0021265F" w:rsidRDefault="0021265F" w:rsidP="00AC3BE0">
            <w:pPr>
              <w:pStyle w:val="TableText"/>
              <w:keepNext/>
              <w:ind w:left="-57" w:right="-57"/>
              <w:rPr>
                <w:i/>
              </w:rPr>
            </w:pPr>
            <w:r w:rsidRPr="0021265F">
              <w:rPr>
                <w:i/>
              </w:rPr>
              <w:t>FN</w:t>
            </w:r>
          </w:p>
        </w:tc>
        <w:tc>
          <w:tcPr>
            <w:tcW w:w="536" w:type="pct"/>
            <w:shd w:val="clear" w:color="auto" w:fill="FFFFFF" w:themeFill="background1"/>
            <w:vAlign w:val="center"/>
          </w:tcPr>
          <w:p w14:paraId="5ACB4FE4" w14:textId="77777777" w:rsidR="0021265F" w:rsidRPr="0021265F" w:rsidRDefault="0021265F" w:rsidP="00AC3BE0">
            <w:pPr>
              <w:pStyle w:val="TableText"/>
              <w:keepNext/>
              <w:ind w:left="-57" w:right="-57"/>
              <w:rPr>
                <w:i/>
                <w:vertAlign w:val="superscript"/>
              </w:rPr>
            </w:pPr>
            <w:r w:rsidRPr="0021265F">
              <w:rPr>
                <w:i/>
              </w:rPr>
              <w:t>2.7%</w:t>
            </w:r>
          </w:p>
        </w:tc>
        <w:tc>
          <w:tcPr>
            <w:tcW w:w="3499" w:type="pct"/>
            <w:shd w:val="clear" w:color="auto" w:fill="FFFFFF" w:themeFill="background1"/>
            <w:vAlign w:val="center"/>
          </w:tcPr>
          <w:p w14:paraId="44C4B3FF" w14:textId="77777777" w:rsidR="0021265F" w:rsidRPr="0021265F" w:rsidRDefault="0021265F" w:rsidP="00C6349A">
            <w:pPr>
              <w:pStyle w:val="TableText"/>
              <w:keepNext/>
              <w:numPr>
                <w:ilvl w:val="0"/>
                <w:numId w:val="21"/>
              </w:numPr>
              <w:ind w:left="188" w:right="-57" w:hanging="188"/>
              <w:rPr>
                <w:i/>
              </w:rPr>
            </w:pPr>
            <w:r w:rsidRPr="0021265F">
              <w:rPr>
                <w:i/>
              </w:rPr>
              <w:t>Treated with BSC</w:t>
            </w:r>
          </w:p>
          <w:p w14:paraId="493A1321" w14:textId="77777777" w:rsidR="0021265F" w:rsidRPr="0021265F" w:rsidRDefault="0021265F" w:rsidP="00C6349A">
            <w:pPr>
              <w:pStyle w:val="TableText"/>
              <w:keepNext/>
              <w:numPr>
                <w:ilvl w:val="0"/>
                <w:numId w:val="21"/>
              </w:numPr>
              <w:ind w:left="188" w:right="-57" w:hanging="188"/>
              <w:rPr>
                <w:i/>
              </w:rPr>
            </w:pPr>
            <w:r w:rsidRPr="0021265F">
              <w:rPr>
                <w:i/>
              </w:rPr>
              <w:t>Costs and outcomes assumed the same as the BSC arm of the base case</w:t>
            </w:r>
          </w:p>
        </w:tc>
      </w:tr>
      <w:tr w:rsidR="0021265F" w:rsidRPr="0021265F" w14:paraId="7CABFCC3" w14:textId="77777777" w:rsidTr="4904BCD2">
        <w:tc>
          <w:tcPr>
            <w:tcW w:w="516" w:type="pct"/>
            <w:shd w:val="clear" w:color="auto" w:fill="FFFFFF" w:themeFill="background1"/>
            <w:vAlign w:val="center"/>
          </w:tcPr>
          <w:p w14:paraId="21D81002" w14:textId="77777777" w:rsidR="0021265F" w:rsidRPr="0021265F" w:rsidRDefault="0021265F" w:rsidP="00AC3BE0">
            <w:pPr>
              <w:pStyle w:val="TableText"/>
              <w:keepNext/>
              <w:rPr>
                <w:i/>
              </w:rPr>
            </w:pPr>
            <w:r w:rsidRPr="0021265F">
              <w:rPr>
                <w:i/>
              </w:rPr>
              <w:t xml:space="preserve">Current </w:t>
            </w:r>
          </w:p>
        </w:tc>
        <w:tc>
          <w:tcPr>
            <w:tcW w:w="449" w:type="pct"/>
            <w:shd w:val="clear" w:color="auto" w:fill="FFFFFF" w:themeFill="background1"/>
            <w:vAlign w:val="center"/>
          </w:tcPr>
          <w:p w14:paraId="78EAD538" w14:textId="77777777" w:rsidR="0021265F" w:rsidRPr="0021265F" w:rsidRDefault="0021265F" w:rsidP="00AC3BE0">
            <w:pPr>
              <w:pStyle w:val="TableText"/>
              <w:keepNext/>
              <w:ind w:left="-57" w:right="-57"/>
              <w:rPr>
                <w:i/>
              </w:rPr>
            </w:pPr>
            <w:r w:rsidRPr="0021265F">
              <w:rPr>
                <w:i/>
              </w:rPr>
              <w:t>With CHD</w:t>
            </w:r>
          </w:p>
        </w:tc>
        <w:tc>
          <w:tcPr>
            <w:tcW w:w="536" w:type="pct"/>
            <w:shd w:val="clear" w:color="auto" w:fill="FFFFFF" w:themeFill="background1"/>
            <w:vAlign w:val="center"/>
          </w:tcPr>
          <w:p w14:paraId="6402C3E5" w14:textId="77777777" w:rsidR="0021265F" w:rsidRPr="0021265F" w:rsidRDefault="0021265F" w:rsidP="00AC3BE0">
            <w:pPr>
              <w:pStyle w:val="TableText"/>
              <w:keepNext/>
              <w:ind w:left="-57" w:right="-57"/>
              <w:rPr>
                <w:i/>
              </w:rPr>
            </w:pPr>
            <w:r w:rsidRPr="0021265F">
              <w:rPr>
                <w:i/>
              </w:rPr>
              <w:t>54.4%</w:t>
            </w:r>
          </w:p>
        </w:tc>
        <w:tc>
          <w:tcPr>
            <w:tcW w:w="3499" w:type="pct"/>
            <w:gridSpan w:val="2"/>
            <w:shd w:val="clear" w:color="auto" w:fill="FFFFFF" w:themeFill="background1"/>
            <w:vAlign w:val="center"/>
          </w:tcPr>
          <w:p w14:paraId="59222073" w14:textId="77777777" w:rsidR="0021265F" w:rsidRPr="0021265F" w:rsidRDefault="0021265F" w:rsidP="00C6349A">
            <w:pPr>
              <w:pStyle w:val="TableText"/>
              <w:keepNext/>
              <w:numPr>
                <w:ilvl w:val="0"/>
                <w:numId w:val="21"/>
              </w:numPr>
              <w:ind w:left="188" w:right="-57" w:hanging="188"/>
              <w:rPr>
                <w:i/>
              </w:rPr>
            </w:pPr>
            <w:r w:rsidRPr="0021265F">
              <w:rPr>
                <w:i/>
              </w:rPr>
              <w:t>Treated with BSC</w:t>
            </w:r>
          </w:p>
          <w:p w14:paraId="0D43CA13" w14:textId="77777777" w:rsidR="0021265F" w:rsidRPr="0021265F" w:rsidRDefault="0021265F" w:rsidP="00C6349A">
            <w:pPr>
              <w:pStyle w:val="TableText"/>
              <w:keepNext/>
              <w:numPr>
                <w:ilvl w:val="0"/>
                <w:numId w:val="21"/>
              </w:numPr>
              <w:ind w:left="188" w:right="-57" w:hanging="188"/>
              <w:rPr>
                <w:i/>
              </w:rPr>
            </w:pPr>
            <w:r w:rsidRPr="0021265F">
              <w:rPr>
                <w:i/>
              </w:rPr>
              <w:t>Costs and outcomes assumed the same as the BSC arm of the base case</w:t>
            </w:r>
            <w:r w:rsidRPr="0021265F">
              <w:rPr>
                <w:rFonts w:eastAsiaTheme="minorHAnsi" w:cstheme="minorBidi"/>
                <w:i/>
                <w:szCs w:val="22"/>
                <w:lang w:eastAsia="en-US"/>
              </w:rPr>
              <w:t xml:space="preserve"> </w:t>
            </w:r>
          </w:p>
        </w:tc>
      </w:tr>
      <w:tr w:rsidR="0021265F" w:rsidRPr="0021265F" w14:paraId="788BED96" w14:textId="77777777" w:rsidTr="4904BCD2">
        <w:tc>
          <w:tcPr>
            <w:tcW w:w="516" w:type="pct"/>
          </w:tcPr>
          <w:p w14:paraId="6D0CB814" w14:textId="77777777" w:rsidR="0021265F" w:rsidRPr="0021265F" w:rsidRDefault="0021265F" w:rsidP="00AC3BE0">
            <w:pPr>
              <w:pStyle w:val="TableText"/>
              <w:keepNext/>
              <w:rPr>
                <w:i/>
              </w:rPr>
            </w:pPr>
          </w:p>
        </w:tc>
        <w:tc>
          <w:tcPr>
            <w:tcW w:w="449" w:type="pct"/>
            <w:gridSpan w:val="2"/>
            <w:shd w:val="clear" w:color="auto" w:fill="FFFFFF" w:themeFill="background1"/>
            <w:vAlign w:val="center"/>
          </w:tcPr>
          <w:p w14:paraId="1BFEBF32" w14:textId="77777777" w:rsidR="0021265F" w:rsidRPr="0021265F" w:rsidRDefault="0021265F" w:rsidP="00AC3BE0">
            <w:pPr>
              <w:pStyle w:val="TableText"/>
              <w:keepNext/>
              <w:ind w:left="-57" w:right="-57"/>
              <w:rPr>
                <w:i/>
              </w:rPr>
            </w:pPr>
            <w:r w:rsidRPr="0021265F">
              <w:rPr>
                <w:i/>
              </w:rPr>
              <w:t>Without CHD</w:t>
            </w:r>
          </w:p>
        </w:tc>
        <w:tc>
          <w:tcPr>
            <w:tcW w:w="536" w:type="pct"/>
            <w:shd w:val="clear" w:color="auto" w:fill="FFFFFF" w:themeFill="background1"/>
            <w:vAlign w:val="center"/>
          </w:tcPr>
          <w:p w14:paraId="16F9923F" w14:textId="77777777" w:rsidR="0021265F" w:rsidRPr="0021265F" w:rsidRDefault="0021265F" w:rsidP="00AC3BE0">
            <w:pPr>
              <w:pStyle w:val="TableText"/>
              <w:keepNext/>
              <w:ind w:left="-57" w:right="-57"/>
              <w:rPr>
                <w:i/>
              </w:rPr>
            </w:pPr>
            <w:r w:rsidRPr="0021265F">
              <w:rPr>
                <w:i/>
              </w:rPr>
              <w:t>45.6%</w:t>
            </w:r>
          </w:p>
        </w:tc>
        <w:tc>
          <w:tcPr>
            <w:tcW w:w="3499" w:type="pct"/>
            <w:shd w:val="clear" w:color="auto" w:fill="FFFFFF" w:themeFill="background1"/>
          </w:tcPr>
          <w:p w14:paraId="7F6C2D63" w14:textId="77777777" w:rsidR="0021265F" w:rsidRPr="0021265F" w:rsidRDefault="0021265F" w:rsidP="00C6349A">
            <w:pPr>
              <w:pStyle w:val="TableText"/>
              <w:keepNext/>
              <w:numPr>
                <w:ilvl w:val="0"/>
                <w:numId w:val="21"/>
              </w:numPr>
              <w:ind w:left="188" w:right="-57" w:hanging="188"/>
              <w:rPr>
                <w:rFonts w:eastAsiaTheme="minorHAnsi" w:cstheme="minorBidi"/>
                <w:i/>
                <w:szCs w:val="22"/>
                <w:lang w:eastAsia="en-US"/>
              </w:rPr>
            </w:pPr>
            <w:r w:rsidRPr="0021265F">
              <w:rPr>
                <w:rFonts w:eastAsiaTheme="minorHAnsi" w:cstheme="minorBidi"/>
                <w:i/>
                <w:szCs w:val="22"/>
                <w:lang w:eastAsia="en-US"/>
              </w:rPr>
              <w:t>Treated with BSC</w:t>
            </w:r>
          </w:p>
          <w:p w14:paraId="74161923" w14:textId="77777777" w:rsidR="0021265F" w:rsidRPr="0021265F" w:rsidRDefault="0021265F" w:rsidP="00C6349A">
            <w:pPr>
              <w:pStyle w:val="TableText"/>
              <w:keepNext/>
              <w:numPr>
                <w:ilvl w:val="0"/>
                <w:numId w:val="21"/>
              </w:numPr>
              <w:ind w:left="188" w:right="-57" w:hanging="188"/>
              <w:rPr>
                <w:rFonts w:eastAsiaTheme="minorHAnsi" w:cstheme="minorBidi"/>
                <w:i/>
                <w:szCs w:val="22"/>
                <w:lang w:eastAsia="en-US"/>
              </w:rPr>
            </w:pPr>
            <w:r w:rsidRPr="0021265F">
              <w:rPr>
                <w:rFonts w:eastAsiaTheme="minorHAnsi" w:cstheme="minorBidi"/>
                <w:i/>
                <w:szCs w:val="22"/>
                <w:lang w:eastAsia="en-US"/>
              </w:rPr>
              <w:t>Natural disease progression of HBV mono-infection as reported in Bermingham et al. 2015</w:t>
            </w:r>
          </w:p>
          <w:p w14:paraId="0ECF3C65" w14:textId="77777777" w:rsidR="0021265F" w:rsidRPr="0021265F" w:rsidRDefault="0021265F" w:rsidP="00C6349A">
            <w:pPr>
              <w:pStyle w:val="TableText"/>
              <w:keepNext/>
              <w:numPr>
                <w:ilvl w:val="0"/>
                <w:numId w:val="21"/>
              </w:numPr>
              <w:ind w:left="188" w:right="-57" w:hanging="188"/>
              <w:rPr>
                <w:i/>
              </w:rPr>
            </w:pPr>
            <w:r w:rsidRPr="0021265F">
              <w:rPr>
                <w:i/>
              </w:rPr>
              <w:t>100% virological response (utilities for NC and CC as in responders)</w:t>
            </w:r>
          </w:p>
          <w:p w14:paraId="3F4C98BA" w14:textId="77777777" w:rsidR="0021265F" w:rsidRPr="0021265F" w:rsidRDefault="0021265F" w:rsidP="00C6349A">
            <w:pPr>
              <w:pStyle w:val="TableText"/>
              <w:keepNext/>
              <w:numPr>
                <w:ilvl w:val="0"/>
                <w:numId w:val="21"/>
              </w:numPr>
              <w:ind w:left="188" w:right="-57" w:hanging="188"/>
              <w:rPr>
                <w:i/>
              </w:rPr>
            </w:pPr>
            <w:r w:rsidRPr="0021265F">
              <w:rPr>
                <w:rFonts w:eastAsiaTheme="minorHAnsi" w:cstheme="minorBidi"/>
                <w:i/>
                <w:szCs w:val="22"/>
                <w:lang w:eastAsia="en-US"/>
              </w:rPr>
              <w:t xml:space="preserve">No change in HBV disease progression in “responders” </w:t>
            </w:r>
          </w:p>
        </w:tc>
      </w:tr>
    </w:tbl>
    <w:p w14:paraId="2B26816A" w14:textId="77777777" w:rsidR="0021265F" w:rsidRPr="0021265F" w:rsidRDefault="0021265F" w:rsidP="0021265F">
      <w:pPr>
        <w:pStyle w:val="TableFigureFooter"/>
        <w:jc w:val="both"/>
        <w:rPr>
          <w:i/>
        </w:rPr>
      </w:pPr>
      <w:r w:rsidRPr="0021265F">
        <w:rPr>
          <w:i/>
        </w:rPr>
        <w:t>Source: Table compiled during the evaluation</w:t>
      </w:r>
    </w:p>
    <w:p w14:paraId="7F3F84F6" w14:textId="77777777" w:rsidR="0021265F" w:rsidRPr="0021265F" w:rsidRDefault="0021265F" w:rsidP="0021265F">
      <w:pPr>
        <w:pStyle w:val="TableFigureFooter"/>
        <w:jc w:val="both"/>
        <w:rPr>
          <w:i/>
        </w:rPr>
      </w:pPr>
      <w:r w:rsidRPr="0021265F">
        <w:rPr>
          <w:i/>
        </w:rPr>
        <w:t>BSC = best supportive care; CC = compensated cirrhosis; CHD = chronic hepatitis D; FN = false negative; FP = false positive; HBV = hepatitis B virus; NC = non-cirrhosis; TN = true negative; TP = true positive</w:t>
      </w:r>
    </w:p>
    <w:p w14:paraId="42DCE02E" w14:textId="120848B7" w:rsidR="0021265F" w:rsidRPr="0021265F" w:rsidRDefault="0021265F" w:rsidP="4904BCD2">
      <w:pPr>
        <w:pStyle w:val="TableFigureFooter"/>
        <w:rPr>
          <w:i/>
          <w:iCs/>
        </w:rPr>
      </w:pPr>
      <w:r w:rsidRPr="4904BCD2">
        <w:rPr>
          <w:i/>
          <w:iCs/>
          <w:vertAlign w:val="superscript"/>
        </w:rPr>
        <w:t xml:space="preserve"> </w:t>
      </w:r>
      <w:proofErr w:type="gramStart"/>
      <w:r w:rsidRPr="4904BCD2">
        <w:rPr>
          <w:i/>
          <w:iCs/>
          <w:vertAlign w:val="superscript"/>
        </w:rPr>
        <w:t>a</w:t>
      </w:r>
      <w:proofErr w:type="gramEnd"/>
      <w:r w:rsidRPr="4904BCD2">
        <w:rPr>
          <w:i/>
          <w:iCs/>
        </w:rPr>
        <w:t xml:space="preserve"> Excluding the testing cost to identify 1 patient eligible for bulevirtide ($279.60) in the base case. Instead, the cost per test ($152.10) would be added to 100% of patients in the proposed scenario. </w:t>
      </w:r>
    </w:p>
    <w:p w14:paraId="2E9126A5" w14:textId="1E998B97" w:rsidR="0021265F" w:rsidRPr="002807EC" w:rsidRDefault="0021265F" w:rsidP="004506DC">
      <w:pPr>
        <w:jc w:val="left"/>
        <w:rPr>
          <w:rFonts w:ascii="Franklin Gothic Book" w:hAnsi="Franklin Gothic Book"/>
          <w:sz w:val="22"/>
        </w:rPr>
      </w:pPr>
      <w:r w:rsidRPr="002807EC">
        <w:rPr>
          <w:rFonts w:ascii="Franklin Gothic Book" w:hAnsi="Franklin Gothic Book"/>
          <w:sz w:val="22"/>
        </w:rPr>
        <w:t>Results of the revised scenario analysis are presented in</w:t>
      </w:r>
      <w:r w:rsidR="006C45A0" w:rsidRPr="002807EC">
        <w:rPr>
          <w:rFonts w:ascii="Franklin Gothic Book" w:hAnsi="Franklin Gothic Book"/>
          <w:sz w:val="22"/>
        </w:rPr>
        <w:t xml:space="preserve"> </w:t>
      </w:r>
      <w:r w:rsidR="006C45A0" w:rsidRPr="002807EC">
        <w:rPr>
          <w:rFonts w:ascii="Franklin Gothic Book" w:hAnsi="Franklin Gothic Book"/>
          <w:sz w:val="22"/>
        </w:rPr>
        <w:fldChar w:fldCharType="begin"/>
      </w:r>
      <w:r w:rsidR="006C45A0" w:rsidRPr="002807EC">
        <w:rPr>
          <w:rFonts w:ascii="Franklin Gothic Book" w:hAnsi="Franklin Gothic Book"/>
          <w:sz w:val="22"/>
        </w:rPr>
        <w:instrText xml:space="preserve"> REF _Ref191470502 \h  \* MERGEFORMAT </w:instrText>
      </w:r>
      <w:r w:rsidR="006C45A0" w:rsidRPr="002807EC">
        <w:rPr>
          <w:rFonts w:ascii="Franklin Gothic Book" w:hAnsi="Franklin Gothic Book"/>
          <w:sz w:val="22"/>
        </w:rPr>
      </w:r>
      <w:r w:rsidR="006C45A0" w:rsidRPr="002807EC">
        <w:rPr>
          <w:rFonts w:ascii="Franklin Gothic Book" w:hAnsi="Franklin Gothic Book"/>
          <w:sz w:val="22"/>
        </w:rPr>
        <w:fldChar w:fldCharType="separate"/>
      </w:r>
      <w:r w:rsidR="006C45A0" w:rsidRPr="002807EC">
        <w:rPr>
          <w:rFonts w:ascii="Franklin Gothic Book" w:hAnsi="Franklin Gothic Book"/>
          <w:sz w:val="22"/>
        </w:rPr>
        <w:t xml:space="preserve">Table </w:t>
      </w:r>
      <w:r w:rsidR="006C45A0" w:rsidRPr="002807EC">
        <w:rPr>
          <w:rFonts w:ascii="Franklin Gothic Book" w:hAnsi="Franklin Gothic Book"/>
          <w:noProof/>
          <w:sz w:val="22"/>
        </w:rPr>
        <w:t>11</w:t>
      </w:r>
      <w:r w:rsidR="006C45A0" w:rsidRPr="002807EC">
        <w:rPr>
          <w:rFonts w:ascii="Franklin Gothic Book" w:hAnsi="Franklin Gothic Book"/>
          <w:sz w:val="22"/>
        </w:rPr>
        <w:fldChar w:fldCharType="end"/>
      </w:r>
      <w:r w:rsidRPr="002807EC">
        <w:rPr>
          <w:rFonts w:ascii="Franklin Gothic Book" w:hAnsi="Franklin Gothic Book"/>
          <w:sz w:val="22"/>
        </w:rPr>
        <w:t>. The ICER associated with HDV RNA testing plus bulevirtide in the tested population was estimated to be $</w:t>
      </w:r>
      <w:r w:rsidR="0005067F">
        <w:rPr>
          <w:rFonts w:ascii="Franklin Gothic Book" w:hAnsi="Franklin Gothic Book"/>
          <w:sz w:val="22"/>
        </w:rPr>
        <w:t xml:space="preserve">95,000 to </w:t>
      </w:r>
      <w:r w:rsidR="0005067F">
        <w:rPr>
          <w:rFonts w:ascii="Franklin Gothic Book" w:hAnsi="Franklin Gothic Book"/>
          <w:sz w:val="22"/>
        </w:rPr>
        <w:lastRenderedPageBreak/>
        <w:t>&lt;$115,000</w:t>
      </w:r>
      <w:r w:rsidRPr="002807EC">
        <w:rPr>
          <w:rFonts w:ascii="Franklin Gothic Book" w:hAnsi="Franklin Gothic Book"/>
          <w:sz w:val="22"/>
        </w:rPr>
        <w:t>/QALY gained using an assumed sensitivity and specificity of 95%, compared with an ICER of $</w:t>
      </w:r>
      <w:r w:rsidR="00D71262" w:rsidRPr="00D71262">
        <w:rPr>
          <w:rFonts w:ascii="Franklin Gothic Book" w:hAnsi="Franklin Gothic Book"/>
          <w:b/>
          <w:bCs/>
          <w:sz w:val="22"/>
          <w:u w:val="single"/>
        </w:rPr>
        <w:t xml:space="preserve"> </w:t>
      </w:r>
      <w:r w:rsidR="0005067F">
        <w:rPr>
          <w:rFonts w:ascii="Franklin Gothic Book" w:hAnsi="Franklin Gothic Book"/>
          <w:sz w:val="22"/>
        </w:rPr>
        <w:t>95,000 to &lt;$115,000</w:t>
      </w:r>
      <w:r w:rsidRPr="002807EC">
        <w:rPr>
          <w:rFonts w:ascii="Franklin Gothic Book" w:hAnsi="Franklin Gothic Book"/>
          <w:sz w:val="22"/>
        </w:rPr>
        <w:t>/QALY gained in the treated population assuming 100% test accuracy.</w:t>
      </w:r>
    </w:p>
    <w:p w14:paraId="11844AEE" w14:textId="58A39DC6" w:rsidR="0021265F" w:rsidRPr="0021265F" w:rsidRDefault="006C45A0" w:rsidP="00BD2A33">
      <w:pPr>
        <w:pStyle w:val="Caption"/>
      </w:pPr>
      <w:bookmarkStart w:id="55" w:name="_Ref191470502"/>
      <w:r w:rsidRPr="4904BCD2">
        <w:t xml:space="preserve">Table </w:t>
      </w:r>
      <w:r w:rsidRPr="4904BCD2">
        <w:fldChar w:fldCharType="begin"/>
      </w:r>
      <w:r>
        <w:instrText xml:space="preserve"> SEQ Table_MSAC \* ARABIC </w:instrText>
      </w:r>
      <w:r w:rsidRPr="4904BCD2">
        <w:fldChar w:fldCharType="separate"/>
      </w:r>
      <w:r>
        <w:rPr>
          <w:noProof/>
        </w:rPr>
        <w:t>11</w:t>
      </w:r>
      <w:r w:rsidRPr="4904BCD2">
        <w:rPr>
          <w:noProof/>
        </w:rPr>
        <w:fldChar w:fldCharType="end"/>
      </w:r>
      <w:bookmarkEnd w:id="55"/>
      <w:r w:rsidR="0021265F" w:rsidRPr="0021265F">
        <w:tab/>
        <w:t>Revised scenario analysis performed during the evaluation</w:t>
      </w:r>
    </w:p>
    <w:tbl>
      <w:tblPr>
        <w:tblStyle w:val="ASDTable1"/>
        <w:tblW w:w="5000" w:type="pct"/>
        <w:tblLook w:val="04A0" w:firstRow="1" w:lastRow="0" w:firstColumn="1" w:lastColumn="0" w:noHBand="0" w:noVBand="1"/>
      </w:tblPr>
      <w:tblGrid>
        <w:gridCol w:w="1709"/>
        <w:gridCol w:w="1043"/>
        <w:gridCol w:w="1054"/>
        <w:gridCol w:w="1487"/>
        <w:gridCol w:w="1383"/>
        <w:gridCol w:w="2340"/>
      </w:tblGrid>
      <w:tr w:rsidR="0021265F" w:rsidRPr="0021265F" w14:paraId="224BE545" w14:textId="77777777" w:rsidTr="00807046">
        <w:tc>
          <w:tcPr>
            <w:tcW w:w="1712" w:type="dxa"/>
            <w:tcBorders>
              <w:bottom w:val="single" w:sz="4" w:space="0" w:color="auto"/>
            </w:tcBorders>
            <w:noWrap/>
            <w:hideMark/>
          </w:tcPr>
          <w:p w14:paraId="1B3B4EC6" w14:textId="77777777" w:rsidR="0021265F" w:rsidRPr="0021265F" w:rsidRDefault="0021265F" w:rsidP="00AC3BE0">
            <w:pPr>
              <w:spacing w:before="0"/>
              <w:jc w:val="left"/>
              <w:rPr>
                <w:rFonts w:ascii="Arial Narrow" w:hAnsi="Arial Narrow" w:cs="Calibri"/>
                <w:b/>
                <w:bCs/>
                <w:i/>
                <w:sz w:val="20"/>
              </w:rPr>
            </w:pPr>
            <w:r w:rsidRPr="0021265F">
              <w:rPr>
                <w:rFonts w:ascii="Arial Narrow" w:hAnsi="Arial Narrow" w:cs="Calibri"/>
                <w:b/>
                <w:bCs/>
                <w:i/>
                <w:sz w:val="20"/>
              </w:rPr>
              <w:t>Scenario</w:t>
            </w:r>
          </w:p>
        </w:tc>
        <w:tc>
          <w:tcPr>
            <w:tcW w:w="1044" w:type="dxa"/>
            <w:tcBorders>
              <w:bottom w:val="single" w:sz="4" w:space="0" w:color="auto"/>
            </w:tcBorders>
            <w:noWrap/>
            <w:hideMark/>
          </w:tcPr>
          <w:p w14:paraId="4D49D241" w14:textId="77777777" w:rsidR="0021265F" w:rsidRPr="0021265F" w:rsidRDefault="0021265F" w:rsidP="00AC3BE0">
            <w:pPr>
              <w:spacing w:before="0"/>
              <w:rPr>
                <w:rFonts w:ascii="Arial Narrow" w:hAnsi="Arial Narrow" w:cs="Calibri"/>
                <w:b/>
                <w:bCs/>
                <w:i/>
                <w:sz w:val="20"/>
              </w:rPr>
            </w:pPr>
            <w:r w:rsidRPr="0021265F">
              <w:rPr>
                <w:rFonts w:ascii="Arial Narrow" w:hAnsi="Arial Narrow" w:cs="Calibri"/>
                <w:b/>
                <w:bCs/>
                <w:i/>
                <w:sz w:val="20"/>
              </w:rPr>
              <w:t>Branch</w:t>
            </w:r>
          </w:p>
        </w:tc>
        <w:tc>
          <w:tcPr>
            <w:tcW w:w="1043" w:type="dxa"/>
            <w:tcBorders>
              <w:bottom w:val="single" w:sz="4" w:space="0" w:color="auto"/>
            </w:tcBorders>
            <w:noWrap/>
            <w:hideMark/>
          </w:tcPr>
          <w:p w14:paraId="2413D6AA"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Proportion</w:t>
            </w:r>
          </w:p>
        </w:tc>
        <w:tc>
          <w:tcPr>
            <w:tcW w:w="1489" w:type="dxa"/>
            <w:tcBorders>
              <w:bottom w:val="single" w:sz="4" w:space="0" w:color="auto"/>
            </w:tcBorders>
            <w:noWrap/>
            <w:hideMark/>
          </w:tcPr>
          <w:p w14:paraId="281F0370"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Cost</w:t>
            </w:r>
          </w:p>
        </w:tc>
        <w:tc>
          <w:tcPr>
            <w:tcW w:w="1385" w:type="dxa"/>
            <w:tcBorders>
              <w:bottom w:val="single" w:sz="4" w:space="0" w:color="auto"/>
            </w:tcBorders>
            <w:noWrap/>
            <w:hideMark/>
          </w:tcPr>
          <w:p w14:paraId="48D3A4B2"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LYs</w:t>
            </w:r>
          </w:p>
        </w:tc>
        <w:tc>
          <w:tcPr>
            <w:tcW w:w="2343" w:type="dxa"/>
            <w:tcBorders>
              <w:bottom w:val="single" w:sz="4" w:space="0" w:color="auto"/>
            </w:tcBorders>
            <w:noWrap/>
            <w:hideMark/>
          </w:tcPr>
          <w:p w14:paraId="7A6225AA"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QALYs</w:t>
            </w:r>
          </w:p>
        </w:tc>
      </w:tr>
      <w:tr w:rsidR="0021265F" w:rsidRPr="0021265F" w14:paraId="170A8D6D" w14:textId="77777777" w:rsidTr="00807046">
        <w:tc>
          <w:tcPr>
            <w:tcW w:w="1712" w:type="dxa"/>
            <w:vMerge w:val="restart"/>
            <w:noWrap/>
            <w:vAlign w:val="center"/>
            <w:hideMark/>
          </w:tcPr>
          <w:p w14:paraId="54A73AF1"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Proposed</w:t>
            </w:r>
          </w:p>
          <w:p w14:paraId="2E8D1634" w14:textId="77777777" w:rsidR="0021265F" w:rsidRPr="0021265F" w:rsidRDefault="0021265F" w:rsidP="37C20EEE">
            <w:pPr>
              <w:spacing w:before="0"/>
              <w:jc w:val="left"/>
              <w:rPr>
                <w:rFonts w:ascii="Arial Narrow" w:hAnsi="Arial Narrow" w:cs="Calibri"/>
                <w:i/>
                <w:iCs/>
                <w:sz w:val="20"/>
              </w:rPr>
            </w:pPr>
            <w:r w:rsidRPr="37C20EEE">
              <w:rPr>
                <w:rFonts w:ascii="Arial Narrow" w:hAnsi="Arial Narrow" w:cs="Calibri"/>
                <w:i/>
                <w:iCs/>
                <w:sz w:val="20"/>
              </w:rPr>
              <w:t>(Testing + bulevirtide)</w:t>
            </w:r>
          </w:p>
        </w:tc>
        <w:tc>
          <w:tcPr>
            <w:tcW w:w="1044" w:type="dxa"/>
            <w:noWrap/>
            <w:hideMark/>
          </w:tcPr>
          <w:p w14:paraId="75999CE2"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TP</w:t>
            </w:r>
          </w:p>
        </w:tc>
        <w:tc>
          <w:tcPr>
            <w:tcW w:w="1043" w:type="dxa"/>
            <w:noWrap/>
            <w:hideMark/>
          </w:tcPr>
          <w:p w14:paraId="21247BB2"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51.7%</w:t>
            </w:r>
          </w:p>
        </w:tc>
        <w:tc>
          <w:tcPr>
            <w:tcW w:w="1489" w:type="dxa"/>
            <w:noWrap/>
            <w:hideMark/>
          </w:tcPr>
          <w:p w14:paraId="0FAA1D3B" w14:textId="63EEAE0F" w:rsidR="0021265F" w:rsidRPr="0021265F" w:rsidRDefault="0021265F" w:rsidP="00AC3BE0">
            <w:pPr>
              <w:spacing w:before="0"/>
              <w:jc w:val="right"/>
              <w:rPr>
                <w:rFonts w:ascii="Arial Narrow" w:hAnsi="Arial Narrow" w:cs="Calibri"/>
                <w:i/>
                <w:sz w:val="20"/>
                <w:vertAlign w:val="superscript"/>
              </w:rPr>
            </w:pPr>
            <w:r w:rsidRPr="0021265F">
              <w:rPr>
                <w:rFonts w:ascii="Arial Narrow" w:hAnsi="Arial Narrow" w:cs="Calibri"/>
                <w:i/>
                <w:sz w:val="20"/>
              </w:rPr>
              <w:t>$</w:t>
            </w:r>
            <w:r w:rsidR="002458B3" w:rsidRPr="002458B3">
              <w:rPr>
                <w:rFonts w:ascii="Arial Narrow" w:hAnsi="Arial Narrow" w:cs="Calibri"/>
                <w:b/>
                <w:bCs/>
                <w:i/>
                <w:sz w:val="20"/>
              </w:rPr>
              <w:t>redacted</w:t>
            </w:r>
          </w:p>
        </w:tc>
        <w:tc>
          <w:tcPr>
            <w:tcW w:w="1385" w:type="dxa"/>
            <w:noWrap/>
            <w:hideMark/>
          </w:tcPr>
          <w:p w14:paraId="0C301171"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11.379</w:t>
            </w:r>
          </w:p>
        </w:tc>
        <w:tc>
          <w:tcPr>
            <w:tcW w:w="2343" w:type="dxa"/>
            <w:noWrap/>
            <w:hideMark/>
          </w:tcPr>
          <w:p w14:paraId="2B19C796"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10.061</w:t>
            </w:r>
          </w:p>
        </w:tc>
      </w:tr>
      <w:tr w:rsidR="0021265F" w:rsidRPr="0021265F" w14:paraId="38D809C2" w14:textId="77777777" w:rsidTr="00807046">
        <w:tc>
          <w:tcPr>
            <w:tcW w:w="1712" w:type="dxa"/>
            <w:vMerge/>
            <w:noWrap/>
            <w:vAlign w:val="center"/>
            <w:hideMark/>
          </w:tcPr>
          <w:p w14:paraId="0AE05077" w14:textId="77777777" w:rsidR="0021265F" w:rsidRPr="0021265F" w:rsidRDefault="0021265F" w:rsidP="00AC3BE0">
            <w:pPr>
              <w:spacing w:before="0"/>
              <w:jc w:val="left"/>
              <w:rPr>
                <w:rFonts w:ascii="Arial Narrow" w:hAnsi="Arial Narrow" w:cs="Calibri"/>
                <w:i/>
                <w:sz w:val="20"/>
              </w:rPr>
            </w:pPr>
          </w:p>
        </w:tc>
        <w:tc>
          <w:tcPr>
            <w:tcW w:w="1044" w:type="dxa"/>
            <w:noWrap/>
            <w:hideMark/>
          </w:tcPr>
          <w:p w14:paraId="5A7B8BBE"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FP</w:t>
            </w:r>
          </w:p>
        </w:tc>
        <w:tc>
          <w:tcPr>
            <w:tcW w:w="1043" w:type="dxa"/>
            <w:noWrap/>
            <w:hideMark/>
          </w:tcPr>
          <w:p w14:paraId="50ACDFCC"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2.3%</w:t>
            </w:r>
          </w:p>
        </w:tc>
        <w:tc>
          <w:tcPr>
            <w:tcW w:w="1489" w:type="dxa"/>
            <w:noWrap/>
            <w:hideMark/>
          </w:tcPr>
          <w:p w14:paraId="131284E8" w14:textId="56986970" w:rsidR="0021265F" w:rsidRPr="0021265F" w:rsidRDefault="0021265F" w:rsidP="00AC3BE0">
            <w:pPr>
              <w:spacing w:before="0"/>
              <w:jc w:val="right"/>
              <w:rPr>
                <w:rFonts w:ascii="Arial Narrow" w:hAnsi="Arial Narrow" w:cs="Calibri"/>
                <w:i/>
                <w:sz w:val="20"/>
              </w:rPr>
            </w:pPr>
            <w:r w:rsidRPr="0021265F">
              <w:rPr>
                <w:rFonts w:ascii="Arial Narrow" w:hAnsi="Arial Narrow" w:cs="Calibri"/>
                <w:i/>
                <w:sz w:val="20"/>
              </w:rPr>
              <w:t>$</w:t>
            </w:r>
            <w:r w:rsidR="002458B3" w:rsidRPr="002458B3">
              <w:rPr>
                <w:rFonts w:ascii="Arial Narrow" w:hAnsi="Arial Narrow" w:cs="Calibri"/>
                <w:b/>
                <w:bCs/>
                <w:i/>
                <w:sz w:val="20"/>
              </w:rPr>
              <w:t>redacted</w:t>
            </w:r>
          </w:p>
        </w:tc>
        <w:tc>
          <w:tcPr>
            <w:tcW w:w="1385" w:type="dxa"/>
            <w:noWrap/>
            <w:hideMark/>
          </w:tcPr>
          <w:p w14:paraId="48816C0E"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11.565</w:t>
            </w:r>
          </w:p>
        </w:tc>
        <w:tc>
          <w:tcPr>
            <w:tcW w:w="2343" w:type="dxa"/>
            <w:noWrap/>
            <w:hideMark/>
          </w:tcPr>
          <w:p w14:paraId="281B42A2"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10.265</w:t>
            </w:r>
          </w:p>
        </w:tc>
      </w:tr>
      <w:tr w:rsidR="0021265F" w:rsidRPr="0021265F" w14:paraId="2190544E" w14:textId="77777777" w:rsidTr="00807046">
        <w:tc>
          <w:tcPr>
            <w:tcW w:w="1712" w:type="dxa"/>
            <w:vMerge/>
            <w:noWrap/>
            <w:vAlign w:val="center"/>
            <w:hideMark/>
          </w:tcPr>
          <w:p w14:paraId="52FB2733" w14:textId="77777777" w:rsidR="0021265F" w:rsidRPr="0021265F" w:rsidRDefault="0021265F" w:rsidP="00AC3BE0">
            <w:pPr>
              <w:spacing w:before="0"/>
              <w:jc w:val="left"/>
              <w:rPr>
                <w:rFonts w:ascii="Arial Narrow" w:hAnsi="Arial Narrow" w:cs="Calibri"/>
                <w:i/>
                <w:sz w:val="20"/>
              </w:rPr>
            </w:pPr>
          </w:p>
        </w:tc>
        <w:tc>
          <w:tcPr>
            <w:tcW w:w="1044" w:type="dxa"/>
            <w:noWrap/>
            <w:hideMark/>
          </w:tcPr>
          <w:p w14:paraId="081BB38F"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TN</w:t>
            </w:r>
          </w:p>
        </w:tc>
        <w:tc>
          <w:tcPr>
            <w:tcW w:w="1043" w:type="dxa"/>
            <w:noWrap/>
            <w:hideMark/>
          </w:tcPr>
          <w:p w14:paraId="29C43B3C"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43.3%</w:t>
            </w:r>
          </w:p>
        </w:tc>
        <w:tc>
          <w:tcPr>
            <w:tcW w:w="1489" w:type="dxa"/>
            <w:noWrap/>
            <w:hideMark/>
          </w:tcPr>
          <w:p w14:paraId="68212ECE" w14:textId="3011CE6C" w:rsidR="0021265F" w:rsidRPr="0021265F" w:rsidRDefault="0021265F" w:rsidP="00AC3BE0">
            <w:pPr>
              <w:spacing w:before="0"/>
              <w:jc w:val="right"/>
              <w:rPr>
                <w:rFonts w:ascii="Arial Narrow" w:hAnsi="Arial Narrow" w:cs="Calibri"/>
                <w:i/>
                <w:sz w:val="20"/>
              </w:rPr>
            </w:pPr>
            <w:r w:rsidRPr="0021265F">
              <w:rPr>
                <w:rFonts w:ascii="Arial Narrow" w:hAnsi="Arial Narrow" w:cs="Calibri"/>
                <w:i/>
                <w:sz w:val="20"/>
              </w:rPr>
              <w:t>$</w:t>
            </w:r>
            <w:r w:rsidR="002458B3" w:rsidRPr="002458B3">
              <w:rPr>
                <w:rFonts w:ascii="Arial Narrow" w:hAnsi="Arial Narrow" w:cs="Calibri"/>
                <w:b/>
                <w:bCs/>
                <w:i/>
                <w:sz w:val="20"/>
              </w:rPr>
              <w:t>redacted</w:t>
            </w:r>
          </w:p>
        </w:tc>
        <w:tc>
          <w:tcPr>
            <w:tcW w:w="1385" w:type="dxa"/>
            <w:noWrap/>
            <w:hideMark/>
          </w:tcPr>
          <w:p w14:paraId="5C0D9603"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11.565</w:t>
            </w:r>
          </w:p>
        </w:tc>
        <w:tc>
          <w:tcPr>
            <w:tcW w:w="2343" w:type="dxa"/>
            <w:noWrap/>
            <w:hideMark/>
          </w:tcPr>
          <w:p w14:paraId="1040D0A0"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10.260</w:t>
            </w:r>
          </w:p>
        </w:tc>
      </w:tr>
      <w:tr w:rsidR="0021265F" w:rsidRPr="0021265F" w14:paraId="6C556CBD" w14:textId="77777777" w:rsidTr="00807046">
        <w:tc>
          <w:tcPr>
            <w:tcW w:w="1712" w:type="dxa"/>
            <w:vMerge/>
            <w:noWrap/>
            <w:vAlign w:val="center"/>
            <w:hideMark/>
          </w:tcPr>
          <w:p w14:paraId="38FF076F" w14:textId="77777777" w:rsidR="0021265F" w:rsidRPr="0021265F" w:rsidRDefault="0021265F" w:rsidP="00AC3BE0">
            <w:pPr>
              <w:spacing w:before="0"/>
              <w:jc w:val="left"/>
              <w:rPr>
                <w:rFonts w:ascii="Arial Narrow" w:hAnsi="Arial Narrow" w:cs="Calibri"/>
                <w:i/>
                <w:sz w:val="20"/>
              </w:rPr>
            </w:pPr>
          </w:p>
        </w:tc>
        <w:tc>
          <w:tcPr>
            <w:tcW w:w="1044" w:type="dxa"/>
            <w:noWrap/>
            <w:hideMark/>
          </w:tcPr>
          <w:p w14:paraId="2ACCF1A9"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FN</w:t>
            </w:r>
          </w:p>
        </w:tc>
        <w:tc>
          <w:tcPr>
            <w:tcW w:w="1043" w:type="dxa"/>
            <w:noWrap/>
            <w:hideMark/>
          </w:tcPr>
          <w:p w14:paraId="135FAD0D"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2.7%</w:t>
            </w:r>
          </w:p>
        </w:tc>
        <w:tc>
          <w:tcPr>
            <w:tcW w:w="1489" w:type="dxa"/>
            <w:noWrap/>
            <w:hideMark/>
          </w:tcPr>
          <w:p w14:paraId="587E783B" w14:textId="3628CBD1" w:rsidR="0021265F" w:rsidRPr="0021265F" w:rsidRDefault="0021265F" w:rsidP="00AC3BE0">
            <w:pPr>
              <w:spacing w:before="0"/>
              <w:jc w:val="right"/>
              <w:rPr>
                <w:rFonts w:ascii="Arial Narrow" w:hAnsi="Arial Narrow" w:cs="Calibri"/>
                <w:i/>
                <w:sz w:val="20"/>
              </w:rPr>
            </w:pPr>
            <w:r w:rsidRPr="0021265F">
              <w:rPr>
                <w:rFonts w:ascii="Arial Narrow" w:hAnsi="Arial Narrow" w:cs="Calibri"/>
                <w:i/>
                <w:sz w:val="20"/>
              </w:rPr>
              <w:t>$</w:t>
            </w:r>
            <w:r w:rsidR="002458B3" w:rsidRPr="002458B3">
              <w:rPr>
                <w:rFonts w:ascii="Arial Narrow" w:hAnsi="Arial Narrow" w:cs="Calibri"/>
                <w:b/>
                <w:bCs/>
                <w:i/>
                <w:sz w:val="20"/>
              </w:rPr>
              <w:t>redacted</w:t>
            </w:r>
          </w:p>
        </w:tc>
        <w:tc>
          <w:tcPr>
            <w:tcW w:w="1385" w:type="dxa"/>
            <w:noWrap/>
            <w:hideMark/>
          </w:tcPr>
          <w:p w14:paraId="06D7453B"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8.466</w:t>
            </w:r>
          </w:p>
        </w:tc>
        <w:tc>
          <w:tcPr>
            <w:tcW w:w="2343" w:type="dxa"/>
            <w:noWrap/>
            <w:hideMark/>
          </w:tcPr>
          <w:p w14:paraId="0B879B17"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7.109</w:t>
            </w:r>
          </w:p>
        </w:tc>
      </w:tr>
      <w:tr w:rsidR="0021265F" w:rsidRPr="0021265F" w14:paraId="09B02701" w14:textId="77777777" w:rsidTr="00807046">
        <w:tc>
          <w:tcPr>
            <w:tcW w:w="1712" w:type="dxa"/>
            <w:vMerge/>
            <w:noWrap/>
            <w:vAlign w:val="center"/>
            <w:hideMark/>
          </w:tcPr>
          <w:p w14:paraId="24396F05" w14:textId="77777777" w:rsidR="0021265F" w:rsidRPr="0021265F" w:rsidRDefault="0021265F" w:rsidP="00AC3BE0">
            <w:pPr>
              <w:spacing w:before="0"/>
              <w:jc w:val="left"/>
              <w:rPr>
                <w:rFonts w:ascii="Arial Narrow" w:hAnsi="Arial Narrow" w:cs="Calibri"/>
                <w:i/>
                <w:sz w:val="20"/>
              </w:rPr>
            </w:pPr>
          </w:p>
        </w:tc>
        <w:tc>
          <w:tcPr>
            <w:tcW w:w="1044" w:type="dxa"/>
            <w:noWrap/>
            <w:hideMark/>
          </w:tcPr>
          <w:p w14:paraId="4A64DD12" w14:textId="77777777" w:rsidR="0021265F" w:rsidRPr="0021265F" w:rsidRDefault="0021265F" w:rsidP="00AC3BE0">
            <w:pPr>
              <w:spacing w:before="0"/>
              <w:jc w:val="left"/>
              <w:rPr>
                <w:rFonts w:ascii="Arial Narrow" w:hAnsi="Arial Narrow" w:cs="Calibri"/>
                <w:b/>
                <w:bCs/>
                <w:i/>
                <w:sz w:val="20"/>
              </w:rPr>
            </w:pPr>
            <w:r w:rsidRPr="0021265F">
              <w:rPr>
                <w:rFonts w:ascii="Arial Narrow" w:hAnsi="Arial Narrow" w:cs="Calibri"/>
                <w:b/>
                <w:bCs/>
                <w:i/>
                <w:sz w:val="20"/>
              </w:rPr>
              <w:t>Total</w:t>
            </w:r>
          </w:p>
        </w:tc>
        <w:tc>
          <w:tcPr>
            <w:tcW w:w="1043" w:type="dxa"/>
            <w:noWrap/>
            <w:hideMark/>
          </w:tcPr>
          <w:p w14:paraId="1A81D59B"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100.0%</w:t>
            </w:r>
          </w:p>
        </w:tc>
        <w:tc>
          <w:tcPr>
            <w:tcW w:w="1489" w:type="dxa"/>
            <w:noWrap/>
            <w:hideMark/>
          </w:tcPr>
          <w:p w14:paraId="01EC5B87" w14:textId="561FEECF" w:rsidR="0021265F" w:rsidRPr="0021265F" w:rsidRDefault="0021265F" w:rsidP="00AC3BE0">
            <w:pPr>
              <w:spacing w:before="0"/>
              <w:jc w:val="right"/>
              <w:rPr>
                <w:rFonts w:ascii="Arial Narrow" w:hAnsi="Arial Narrow" w:cs="Calibri"/>
                <w:b/>
                <w:bCs/>
                <w:i/>
                <w:sz w:val="20"/>
                <w:vertAlign w:val="superscript"/>
              </w:rPr>
            </w:pPr>
            <w:r w:rsidRPr="0021265F">
              <w:rPr>
                <w:rFonts w:ascii="Arial Narrow" w:hAnsi="Arial Narrow" w:cs="Calibri"/>
                <w:b/>
                <w:bCs/>
                <w:i/>
                <w:sz w:val="20"/>
              </w:rPr>
              <w:t>$</w:t>
            </w:r>
            <w:proofErr w:type="spellStart"/>
            <w:r w:rsidR="002458B3" w:rsidRPr="002458B3">
              <w:rPr>
                <w:rFonts w:ascii="Arial Narrow" w:hAnsi="Arial Narrow" w:cs="Calibri"/>
                <w:b/>
                <w:bCs/>
                <w:i/>
                <w:sz w:val="20"/>
              </w:rPr>
              <w:t>redacted</w:t>
            </w:r>
            <w:r w:rsidRPr="0021265F">
              <w:rPr>
                <w:rFonts w:ascii="Arial Narrow" w:hAnsi="Arial Narrow" w:cs="Calibri"/>
                <w:b/>
                <w:bCs/>
                <w:i/>
                <w:sz w:val="20"/>
                <w:vertAlign w:val="superscript"/>
              </w:rPr>
              <w:t>a</w:t>
            </w:r>
            <w:proofErr w:type="spellEnd"/>
          </w:p>
        </w:tc>
        <w:tc>
          <w:tcPr>
            <w:tcW w:w="1385" w:type="dxa"/>
            <w:noWrap/>
            <w:hideMark/>
          </w:tcPr>
          <w:p w14:paraId="637FF0B4"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11.385</w:t>
            </w:r>
          </w:p>
        </w:tc>
        <w:tc>
          <w:tcPr>
            <w:tcW w:w="2343" w:type="dxa"/>
            <w:noWrap/>
            <w:hideMark/>
          </w:tcPr>
          <w:p w14:paraId="3E421F1B"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10.072</w:t>
            </w:r>
          </w:p>
        </w:tc>
      </w:tr>
      <w:tr w:rsidR="0021265F" w:rsidRPr="0021265F" w14:paraId="4BDAA545" w14:textId="77777777" w:rsidTr="00807046">
        <w:tc>
          <w:tcPr>
            <w:tcW w:w="1712" w:type="dxa"/>
            <w:vMerge w:val="restart"/>
            <w:noWrap/>
            <w:vAlign w:val="center"/>
            <w:hideMark/>
          </w:tcPr>
          <w:p w14:paraId="45D4FCD2"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 xml:space="preserve">Current </w:t>
            </w:r>
          </w:p>
          <w:p w14:paraId="16F3EB9E"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(No testing + BSC)</w:t>
            </w:r>
          </w:p>
        </w:tc>
        <w:tc>
          <w:tcPr>
            <w:tcW w:w="1044" w:type="dxa"/>
            <w:noWrap/>
            <w:hideMark/>
          </w:tcPr>
          <w:p w14:paraId="26A2D262"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With CHD</w:t>
            </w:r>
          </w:p>
        </w:tc>
        <w:tc>
          <w:tcPr>
            <w:tcW w:w="1043" w:type="dxa"/>
            <w:noWrap/>
            <w:hideMark/>
          </w:tcPr>
          <w:p w14:paraId="4F6DC61A"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54.4%</w:t>
            </w:r>
          </w:p>
        </w:tc>
        <w:tc>
          <w:tcPr>
            <w:tcW w:w="1489" w:type="dxa"/>
            <w:noWrap/>
            <w:hideMark/>
          </w:tcPr>
          <w:p w14:paraId="4155BEBE" w14:textId="22196BE5" w:rsidR="0021265F" w:rsidRPr="0021265F" w:rsidRDefault="0021265F" w:rsidP="00AC3BE0">
            <w:pPr>
              <w:spacing w:before="0"/>
              <w:jc w:val="right"/>
              <w:rPr>
                <w:rFonts w:ascii="Arial Narrow" w:hAnsi="Arial Narrow" w:cs="Calibri"/>
                <w:i/>
                <w:sz w:val="20"/>
              </w:rPr>
            </w:pPr>
            <w:r w:rsidRPr="0021265F">
              <w:rPr>
                <w:rFonts w:ascii="Arial Narrow" w:hAnsi="Arial Narrow" w:cs="Calibri"/>
                <w:i/>
                <w:sz w:val="20"/>
              </w:rPr>
              <w:t>$</w:t>
            </w:r>
            <w:r w:rsidR="002458B3" w:rsidRPr="002458B3">
              <w:rPr>
                <w:rFonts w:ascii="Arial Narrow" w:hAnsi="Arial Narrow" w:cs="Calibri"/>
                <w:b/>
                <w:bCs/>
                <w:i/>
                <w:sz w:val="20"/>
              </w:rPr>
              <w:t>redacted</w:t>
            </w:r>
          </w:p>
        </w:tc>
        <w:tc>
          <w:tcPr>
            <w:tcW w:w="1385" w:type="dxa"/>
            <w:noWrap/>
            <w:hideMark/>
          </w:tcPr>
          <w:p w14:paraId="11835D10"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8.466</w:t>
            </w:r>
          </w:p>
        </w:tc>
        <w:tc>
          <w:tcPr>
            <w:tcW w:w="2343" w:type="dxa"/>
            <w:noWrap/>
            <w:hideMark/>
          </w:tcPr>
          <w:p w14:paraId="7795E0B6"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7.109</w:t>
            </w:r>
          </w:p>
        </w:tc>
      </w:tr>
      <w:tr w:rsidR="0021265F" w:rsidRPr="0021265F" w14:paraId="3AB8BB91" w14:textId="77777777" w:rsidTr="00807046">
        <w:tc>
          <w:tcPr>
            <w:tcW w:w="1712" w:type="dxa"/>
            <w:vMerge/>
            <w:noWrap/>
            <w:hideMark/>
          </w:tcPr>
          <w:p w14:paraId="1E032B59" w14:textId="77777777" w:rsidR="0021265F" w:rsidRPr="0021265F" w:rsidRDefault="0021265F" w:rsidP="00AC3BE0">
            <w:pPr>
              <w:spacing w:before="0"/>
              <w:jc w:val="right"/>
              <w:rPr>
                <w:rFonts w:ascii="Arial Narrow" w:hAnsi="Arial Narrow" w:cs="Calibri"/>
                <w:i/>
                <w:sz w:val="20"/>
              </w:rPr>
            </w:pPr>
          </w:p>
        </w:tc>
        <w:tc>
          <w:tcPr>
            <w:tcW w:w="1044" w:type="dxa"/>
            <w:noWrap/>
            <w:hideMark/>
          </w:tcPr>
          <w:p w14:paraId="7AA2C2A8" w14:textId="77777777" w:rsidR="0021265F" w:rsidRPr="0021265F" w:rsidRDefault="0021265F" w:rsidP="00AC3BE0">
            <w:pPr>
              <w:spacing w:before="0"/>
              <w:jc w:val="left"/>
              <w:rPr>
                <w:rFonts w:ascii="Arial Narrow" w:hAnsi="Arial Narrow" w:cs="Calibri"/>
                <w:i/>
                <w:sz w:val="20"/>
              </w:rPr>
            </w:pPr>
            <w:r w:rsidRPr="0021265F">
              <w:rPr>
                <w:rFonts w:ascii="Arial Narrow" w:hAnsi="Arial Narrow" w:cs="Calibri"/>
                <w:i/>
                <w:sz w:val="20"/>
              </w:rPr>
              <w:t>Without CHD</w:t>
            </w:r>
          </w:p>
        </w:tc>
        <w:tc>
          <w:tcPr>
            <w:tcW w:w="1043" w:type="dxa"/>
            <w:noWrap/>
            <w:hideMark/>
          </w:tcPr>
          <w:p w14:paraId="51129241"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45.6%</w:t>
            </w:r>
          </w:p>
        </w:tc>
        <w:tc>
          <w:tcPr>
            <w:tcW w:w="1489" w:type="dxa"/>
            <w:noWrap/>
            <w:hideMark/>
          </w:tcPr>
          <w:p w14:paraId="50819EC1" w14:textId="444CEADC" w:rsidR="0021265F" w:rsidRPr="0021265F" w:rsidRDefault="0021265F" w:rsidP="00AC3BE0">
            <w:pPr>
              <w:spacing w:before="0"/>
              <w:jc w:val="right"/>
              <w:rPr>
                <w:rFonts w:ascii="Arial Narrow" w:hAnsi="Arial Narrow" w:cs="Calibri"/>
                <w:i/>
                <w:sz w:val="20"/>
              </w:rPr>
            </w:pPr>
            <w:r w:rsidRPr="0021265F">
              <w:rPr>
                <w:rFonts w:ascii="Arial Narrow" w:hAnsi="Arial Narrow" w:cs="Calibri"/>
                <w:i/>
                <w:sz w:val="20"/>
              </w:rPr>
              <w:t>$</w:t>
            </w:r>
            <w:r w:rsidR="002458B3" w:rsidRPr="002458B3">
              <w:rPr>
                <w:rFonts w:ascii="Arial Narrow" w:hAnsi="Arial Narrow" w:cs="Calibri"/>
                <w:b/>
                <w:bCs/>
                <w:i/>
                <w:sz w:val="20"/>
              </w:rPr>
              <w:t>redacted</w:t>
            </w:r>
          </w:p>
        </w:tc>
        <w:tc>
          <w:tcPr>
            <w:tcW w:w="1385" w:type="dxa"/>
            <w:noWrap/>
            <w:hideMark/>
          </w:tcPr>
          <w:p w14:paraId="17B43579"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11.565</w:t>
            </w:r>
          </w:p>
        </w:tc>
        <w:tc>
          <w:tcPr>
            <w:tcW w:w="2343" w:type="dxa"/>
            <w:noWrap/>
            <w:hideMark/>
          </w:tcPr>
          <w:p w14:paraId="777410E3" w14:textId="77777777" w:rsidR="0021265F" w:rsidRPr="0021265F" w:rsidRDefault="0021265F" w:rsidP="00AC3BE0">
            <w:pPr>
              <w:spacing w:before="0"/>
              <w:jc w:val="center"/>
              <w:rPr>
                <w:rFonts w:ascii="Arial Narrow" w:hAnsi="Arial Narrow" w:cs="Calibri"/>
                <w:i/>
                <w:sz w:val="20"/>
              </w:rPr>
            </w:pPr>
            <w:r w:rsidRPr="0021265F">
              <w:rPr>
                <w:rFonts w:ascii="Arial Narrow" w:hAnsi="Arial Narrow" w:cs="Calibri"/>
                <w:i/>
                <w:sz w:val="20"/>
              </w:rPr>
              <w:t>10.260</w:t>
            </w:r>
          </w:p>
        </w:tc>
      </w:tr>
      <w:tr w:rsidR="0021265F" w:rsidRPr="0021265F" w14:paraId="33B71B32" w14:textId="77777777" w:rsidTr="00807046">
        <w:tc>
          <w:tcPr>
            <w:tcW w:w="1712" w:type="dxa"/>
            <w:vMerge/>
            <w:noWrap/>
            <w:hideMark/>
          </w:tcPr>
          <w:p w14:paraId="5C00811E" w14:textId="77777777" w:rsidR="0021265F" w:rsidRPr="0021265F" w:rsidRDefault="0021265F" w:rsidP="00AC3BE0">
            <w:pPr>
              <w:spacing w:before="0"/>
              <w:jc w:val="right"/>
              <w:rPr>
                <w:rFonts w:ascii="Arial Narrow" w:hAnsi="Arial Narrow" w:cs="Calibri"/>
                <w:i/>
                <w:sz w:val="20"/>
              </w:rPr>
            </w:pPr>
          </w:p>
        </w:tc>
        <w:tc>
          <w:tcPr>
            <w:tcW w:w="1044" w:type="dxa"/>
            <w:noWrap/>
            <w:hideMark/>
          </w:tcPr>
          <w:p w14:paraId="1A6634C4" w14:textId="77777777" w:rsidR="0021265F" w:rsidRPr="0021265F" w:rsidRDefault="0021265F" w:rsidP="00AC3BE0">
            <w:pPr>
              <w:spacing w:before="0"/>
              <w:jc w:val="left"/>
              <w:rPr>
                <w:rFonts w:ascii="Arial Narrow" w:hAnsi="Arial Narrow" w:cs="Calibri"/>
                <w:b/>
                <w:bCs/>
                <w:i/>
                <w:sz w:val="20"/>
              </w:rPr>
            </w:pPr>
            <w:r w:rsidRPr="0021265F">
              <w:rPr>
                <w:rFonts w:ascii="Arial Narrow" w:hAnsi="Arial Narrow" w:cs="Calibri"/>
                <w:b/>
                <w:bCs/>
                <w:i/>
                <w:sz w:val="20"/>
              </w:rPr>
              <w:t>Total</w:t>
            </w:r>
          </w:p>
        </w:tc>
        <w:tc>
          <w:tcPr>
            <w:tcW w:w="1043" w:type="dxa"/>
            <w:noWrap/>
            <w:hideMark/>
          </w:tcPr>
          <w:p w14:paraId="5E030703"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100.0%</w:t>
            </w:r>
          </w:p>
        </w:tc>
        <w:tc>
          <w:tcPr>
            <w:tcW w:w="1489" w:type="dxa"/>
            <w:noWrap/>
            <w:hideMark/>
          </w:tcPr>
          <w:p w14:paraId="3530E6B1" w14:textId="55DADC60" w:rsidR="0021265F" w:rsidRPr="0021265F" w:rsidRDefault="0021265F" w:rsidP="00AC3BE0">
            <w:pPr>
              <w:spacing w:before="0"/>
              <w:jc w:val="right"/>
              <w:rPr>
                <w:rFonts w:ascii="Arial Narrow" w:hAnsi="Arial Narrow" w:cs="Calibri"/>
                <w:b/>
                <w:bCs/>
                <w:i/>
                <w:sz w:val="20"/>
              </w:rPr>
            </w:pPr>
            <w:r w:rsidRPr="0021265F">
              <w:rPr>
                <w:rFonts w:ascii="Arial Narrow" w:hAnsi="Arial Narrow" w:cs="Calibri"/>
                <w:b/>
                <w:bCs/>
                <w:i/>
                <w:sz w:val="20"/>
              </w:rPr>
              <w:t>$</w:t>
            </w:r>
            <w:r w:rsidR="002458B3" w:rsidRPr="002458B3">
              <w:rPr>
                <w:rFonts w:ascii="Arial Narrow" w:hAnsi="Arial Narrow" w:cs="Calibri"/>
                <w:b/>
                <w:bCs/>
                <w:i/>
                <w:sz w:val="20"/>
              </w:rPr>
              <w:t>redacted</w:t>
            </w:r>
          </w:p>
        </w:tc>
        <w:tc>
          <w:tcPr>
            <w:tcW w:w="1385" w:type="dxa"/>
            <w:noWrap/>
            <w:hideMark/>
          </w:tcPr>
          <w:p w14:paraId="300EDDA8"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9.879</w:t>
            </w:r>
          </w:p>
        </w:tc>
        <w:tc>
          <w:tcPr>
            <w:tcW w:w="2343" w:type="dxa"/>
            <w:noWrap/>
            <w:hideMark/>
          </w:tcPr>
          <w:p w14:paraId="455A4934"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8.546</w:t>
            </w:r>
          </w:p>
        </w:tc>
      </w:tr>
      <w:tr w:rsidR="0021265F" w:rsidRPr="0021265F" w14:paraId="3B2E3747" w14:textId="77777777" w:rsidTr="00807046">
        <w:tc>
          <w:tcPr>
            <w:tcW w:w="3799" w:type="dxa"/>
            <w:gridSpan w:val="3"/>
            <w:noWrap/>
          </w:tcPr>
          <w:p w14:paraId="129B15B3" w14:textId="77777777" w:rsidR="0021265F" w:rsidRPr="0021265F" w:rsidRDefault="0021265F" w:rsidP="00AC3BE0">
            <w:pPr>
              <w:spacing w:before="0"/>
              <w:rPr>
                <w:rFonts w:ascii="Arial Narrow" w:hAnsi="Arial Narrow" w:cs="Calibri"/>
                <w:b/>
                <w:bCs/>
                <w:i/>
                <w:sz w:val="20"/>
              </w:rPr>
            </w:pPr>
            <w:r w:rsidRPr="0021265F">
              <w:rPr>
                <w:rFonts w:ascii="Arial Narrow" w:hAnsi="Arial Narrow" w:cs="Calibri"/>
                <w:b/>
                <w:bCs/>
                <w:i/>
                <w:sz w:val="20"/>
              </w:rPr>
              <w:t xml:space="preserve">Difference </w:t>
            </w:r>
          </w:p>
        </w:tc>
        <w:tc>
          <w:tcPr>
            <w:tcW w:w="1489" w:type="dxa"/>
            <w:noWrap/>
          </w:tcPr>
          <w:p w14:paraId="629C20E8" w14:textId="484542A4" w:rsidR="0021265F" w:rsidRPr="0021265F" w:rsidRDefault="0021265F" w:rsidP="00AC3BE0">
            <w:pPr>
              <w:spacing w:before="0"/>
              <w:jc w:val="right"/>
              <w:rPr>
                <w:rFonts w:ascii="Arial Narrow" w:hAnsi="Arial Narrow" w:cs="Calibri"/>
                <w:b/>
                <w:bCs/>
                <w:i/>
                <w:sz w:val="20"/>
              </w:rPr>
            </w:pPr>
            <w:r w:rsidRPr="0021265F">
              <w:rPr>
                <w:rFonts w:ascii="Arial Narrow" w:hAnsi="Arial Narrow" w:cs="Calibri"/>
                <w:b/>
                <w:bCs/>
                <w:i/>
                <w:sz w:val="20"/>
              </w:rPr>
              <w:t>$</w:t>
            </w:r>
            <w:r w:rsidR="002458B3" w:rsidRPr="002458B3">
              <w:rPr>
                <w:rFonts w:ascii="Arial Narrow" w:hAnsi="Arial Narrow" w:cs="Calibri"/>
                <w:b/>
                <w:bCs/>
                <w:i/>
                <w:sz w:val="20"/>
              </w:rPr>
              <w:t>redacted</w:t>
            </w:r>
          </w:p>
        </w:tc>
        <w:tc>
          <w:tcPr>
            <w:tcW w:w="1385" w:type="dxa"/>
            <w:noWrap/>
          </w:tcPr>
          <w:p w14:paraId="1AA75CEB"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1.505</w:t>
            </w:r>
          </w:p>
        </w:tc>
        <w:tc>
          <w:tcPr>
            <w:tcW w:w="2343" w:type="dxa"/>
            <w:noWrap/>
          </w:tcPr>
          <w:p w14:paraId="21A467C8" w14:textId="77777777" w:rsidR="0021265F" w:rsidRPr="0021265F" w:rsidRDefault="0021265F" w:rsidP="00AC3BE0">
            <w:pPr>
              <w:spacing w:before="0"/>
              <w:jc w:val="center"/>
              <w:rPr>
                <w:rFonts w:ascii="Arial Narrow" w:hAnsi="Arial Narrow" w:cs="Calibri"/>
                <w:b/>
                <w:bCs/>
                <w:i/>
                <w:sz w:val="20"/>
              </w:rPr>
            </w:pPr>
            <w:r w:rsidRPr="0021265F">
              <w:rPr>
                <w:rFonts w:ascii="Arial Narrow" w:hAnsi="Arial Narrow" w:cs="Calibri"/>
                <w:b/>
                <w:bCs/>
                <w:i/>
                <w:sz w:val="20"/>
              </w:rPr>
              <w:t>1.526</w:t>
            </w:r>
          </w:p>
        </w:tc>
      </w:tr>
      <w:tr w:rsidR="0021265F" w:rsidRPr="0021265F" w14:paraId="3D12887F" w14:textId="77777777" w:rsidTr="00807046">
        <w:tc>
          <w:tcPr>
            <w:tcW w:w="5288" w:type="dxa"/>
            <w:gridSpan w:val="4"/>
            <w:noWrap/>
          </w:tcPr>
          <w:p w14:paraId="770B6D8A" w14:textId="77777777" w:rsidR="0021265F" w:rsidRPr="0021265F" w:rsidRDefault="0021265F" w:rsidP="00AC3BE0">
            <w:pPr>
              <w:spacing w:before="0"/>
              <w:rPr>
                <w:rFonts w:ascii="Arial Narrow" w:hAnsi="Arial Narrow" w:cs="Calibri"/>
                <w:b/>
                <w:bCs/>
                <w:i/>
                <w:sz w:val="20"/>
              </w:rPr>
            </w:pPr>
            <w:r w:rsidRPr="0021265F">
              <w:rPr>
                <w:rFonts w:ascii="Arial Narrow" w:hAnsi="Arial Narrow" w:cs="Calibri"/>
                <w:b/>
                <w:bCs/>
                <w:i/>
                <w:sz w:val="20"/>
              </w:rPr>
              <w:t>ICER</w:t>
            </w:r>
          </w:p>
        </w:tc>
        <w:tc>
          <w:tcPr>
            <w:tcW w:w="1385" w:type="dxa"/>
            <w:noWrap/>
          </w:tcPr>
          <w:p w14:paraId="0C7643AB" w14:textId="241A5968" w:rsidR="0021265F" w:rsidRPr="0021265F" w:rsidRDefault="0005067F" w:rsidP="00AC3BE0">
            <w:pPr>
              <w:spacing w:before="0"/>
              <w:jc w:val="center"/>
              <w:rPr>
                <w:rFonts w:ascii="Arial Narrow" w:hAnsi="Arial Narrow" w:cs="Calibri"/>
                <w:b/>
                <w:bCs/>
                <w:i/>
                <w:sz w:val="20"/>
              </w:rPr>
            </w:pPr>
            <w:r>
              <w:rPr>
                <w:rFonts w:ascii="Arial Narrow" w:hAnsi="Arial Narrow" w:cs="Calibri"/>
                <w:b/>
                <w:bCs/>
                <w:i/>
                <w:sz w:val="20"/>
              </w:rPr>
              <w:t>redacted</w:t>
            </w:r>
            <w:r w:rsidR="0021265F" w:rsidRPr="0021265F">
              <w:rPr>
                <w:rFonts w:ascii="Arial Narrow" w:hAnsi="Arial Narrow" w:cs="Calibri"/>
                <w:b/>
                <w:bCs/>
                <w:i/>
                <w:sz w:val="20"/>
              </w:rPr>
              <w:t>/LY</w:t>
            </w:r>
          </w:p>
        </w:tc>
        <w:tc>
          <w:tcPr>
            <w:tcW w:w="2343" w:type="dxa"/>
            <w:noWrap/>
          </w:tcPr>
          <w:p w14:paraId="300EA667" w14:textId="1A873525" w:rsidR="0021265F" w:rsidRPr="0021265F" w:rsidRDefault="009A5903" w:rsidP="00AC3BE0">
            <w:pPr>
              <w:spacing w:before="0"/>
              <w:jc w:val="center"/>
              <w:rPr>
                <w:rFonts w:ascii="Arial Narrow" w:hAnsi="Arial Narrow" w:cs="Calibri"/>
                <w:b/>
                <w:bCs/>
                <w:i/>
                <w:sz w:val="20"/>
              </w:rPr>
            </w:pPr>
            <w:r>
              <w:rPr>
                <w:rFonts w:ascii="Arial Narrow" w:hAnsi="Arial Narrow" w:cs="Calibri"/>
                <w:b/>
                <w:bCs/>
                <w:i/>
                <w:sz w:val="20"/>
              </w:rPr>
              <w:t>r</w:t>
            </w:r>
            <w:r w:rsidR="00807046">
              <w:rPr>
                <w:rFonts w:ascii="Arial Narrow" w:hAnsi="Arial Narrow" w:cs="Calibri"/>
                <w:b/>
                <w:bCs/>
                <w:i/>
                <w:sz w:val="20"/>
              </w:rPr>
              <w:t>edacted</w:t>
            </w:r>
            <w:r w:rsidRPr="009A5903">
              <w:rPr>
                <w:rFonts w:ascii="Arial Narrow" w:hAnsi="Arial Narrow" w:cs="Calibri"/>
                <w:b/>
                <w:bCs/>
                <w:i/>
                <w:sz w:val="20"/>
                <w:vertAlign w:val="superscript"/>
              </w:rPr>
              <w:t>1</w:t>
            </w:r>
            <w:r w:rsidR="00807046" w:rsidDel="00807046">
              <w:rPr>
                <w:rFonts w:ascii="Arial Narrow" w:hAnsi="Arial Narrow" w:cs="Calibri"/>
                <w:b/>
                <w:bCs/>
                <w:i/>
                <w:sz w:val="20"/>
              </w:rPr>
              <w:t xml:space="preserve"> </w:t>
            </w:r>
            <w:r w:rsidR="0021265F" w:rsidRPr="0021265F">
              <w:rPr>
                <w:rFonts w:ascii="Arial Narrow" w:hAnsi="Arial Narrow" w:cs="Calibri"/>
                <w:b/>
                <w:bCs/>
                <w:i/>
                <w:sz w:val="20"/>
              </w:rPr>
              <w:t>/QALY</w:t>
            </w:r>
          </w:p>
        </w:tc>
      </w:tr>
    </w:tbl>
    <w:p w14:paraId="5935E081" w14:textId="7A9B54EE" w:rsidR="00807046" w:rsidRDefault="00807046" w:rsidP="00807046">
      <w:pPr>
        <w:pStyle w:val="TableFooter"/>
        <w:rPr>
          <w:i/>
        </w:rPr>
      </w:pPr>
      <w:r w:rsidRPr="00862E3E">
        <w:rPr>
          <w:i/>
        </w:rPr>
        <w:t>The redacted value correspond</w:t>
      </w:r>
      <w:r>
        <w:rPr>
          <w:i/>
        </w:rPr>
        <w:t>s</w:t>
      </w:r>
      <w:r w:rsidRPr="00862E3E">
        <w:rPr>
          <w:i/>
        </w:rPr>
        <w:t xml:space="preserve"> to the following range</w:t>
      </w:r>
    </w:p>
    <w:p w14:paraId="56B3587B" w14:textId="5850BE3C" w:rsidR="00807046" w:rsidRPr="00862E3E" w:rsidRDefault="00807046" w:rsidP="009871BC">
      <w:pPr>
        <w:pStyle w:val="TableFooter"/>
        <w:numPr>
          <w:ilvl w:val="0"/>
          <w:numId w:val="40"/>
        </w:numPr>
        <w:spacing w:after="0"/>
        <w:rPr>
          <w:i/>
        </w:rPr>
      </w:pPr>
      <w:r w:rsidRPr="00807046">
        <w:rPr>
          <w:i/>
        </w:rPr>
        <w:t>$95,000 to &lt;$115,000</w:t>
      </w:r>
    </w:p>
    <w:p w14:paraId="0B0B4A21" w14:textId="43657475" w:rsidR="0021265F" w:rsidRPr="0021265F" w:rsidRDefault="0021265F" w:rsidP="0021265F">
      <w:pPr>
        <w:pStyle w:val="TableFigureFooter"/>
        <w:jc w:val="both"/>
        <w:rPr>
          <w:i/>
        </w:rPr>
      </w:pPr>
      <w:r w:rsidRPr="0021265F">
        <w:rPr>
          <w:i/>
        </w:rPr>
        <w:t>Source: Analysis performed during the evaluation</w:t>
      </w:r>
    </w:p>
    <w:p w14:paraId="4B278D3C" w14:textId="77777777" w:rsidR="0021265F" w:rsidRPr="0021265F" w:rsidRDefault="0021265F" w:rsidP="0021265F">
      <w:pPr>
        <w:pStyle w:val="TableFigureFooter"/>
        <w:jc w:val="both"/>
        <w:rPr>
          <w:i/>
        </w:rPr>
      </w:pPr>
      <w:r w:rsidRPr="0021265F">
        <w:rPr>
          <w:i/>
        </w:rPr>
        <w:t>BSC = best supportive care; CHD = chronic hepatitis D; FN = false negative; FP = false positive; ICER = incremental cost-effectiveness analysis; LYs = life years; QALYs = quality-adjusted life years; TN = true negative; TP = true positive</w:t>
      </w:r>
    </w:p>
    <w:p w14:paraId="476207F2" w14:textId="087E08C3" w:rsidR="0021265F" w:rsidRPr="0021265F" w:rsidRDefault="0021265F" w:rsidP="4904BCD2">
      <w:pPr>
        <w:pStyle w:val="TableFigureFooter"/>
        <w:jc w:val="both"/>
        <w:rPr>
          <w:i/>
          <w:iCs/>
        </w:rPr>
      </w:pPr>
      <w:proofErr w:type="gramStart"/>
      <w:r w:rsidRPr="4904BCD2">
        <w:rPr>
          <w:i/>
          <w:iCs/>
          <w:vertAlign w:val="superscript"/>
        </w:rPr>
        <w:t>a</w:t>
      </w:r>
      <w:proofErr w:type="gramEnd"/>
      <w:r w:rsidRPr="4904BCD2">
        <w:rPr>
          <w:i/>
          <w:iCs/>
          <w:vertAlign w:val="superscript"/>
        </w:rPr>
        <w:t xml:space="preserve"> </w:t>
      </w:r>
      <w:r w:rsidRPr="4904BCD2">
        <w:rPr>
          <w:i/>
          <w:iCs/>
        </w:rPr>
        <w:t xml:space="preserve">Excluding the testing cost to identify 1 patient eligible for bulevirtide ($279.60) in the base case. Instead, the cost per test ($152.10) would be added to 100% of patients in the proposed scenario. </w:t>
      </w:r>
    </w:p>
    <w:p w14:paraId="16D79DE4" w14:textId="71E3CF32" w:rsidR="0021265F" w:rsidRPr="002807EC" w:rsidRDefault="0021265F" w:rsidP="004506DC">
      <w:pPr>
        <w:jc w:val="left"/>
        <w:rPr>
          <w:rFonts w:ascii="Franklin Gothic Book" w:hAnsi="Franklin Gothic Book"/>
          <w:sz w:val="22"/>
        </w:rPr>
      </w:pPr>
      <w:r w:rsidRPr="002807EC">
        <w:rPr>
          <w:rFonts w:ascii="Franklin Gothic Book" w:hAnsi="Franklin Gothic Book"/>
          <w:sz w:val="22"/>
        </w:rPr>
        <w:t>Based on the clinical evidence, an additional analysis was conducted by assuming 95% sensitivity and 100% specificity. The resulting ICER is identical to the base case ICER, i.e. $</w:t>
      </w:r>
      <w:r w:rsidR="004365B2" w:rsidRPr="007A70F6">
        <w:rPr>
          <w:rFonts w:ascii="Franklin Gothic Book" w:hAnsi="Franklin Gothic Book"/>
          <w:sz w:val="22"/>
        </w:rPr>
        <w:t>95,000 to &lt;$115,000</w:t>
      </w:r>
      <w:r w:rsidRPr="002807EC">
        <w:rPr>
          <w:rFonts w:ascii="Franklin Gothic Book" w:hAnsi="Franklin Gothic Book"/>
          <w:sz w:val="22"/>
        </w:rPr>
        <w:t>/QALY gained. This is because the costs and health outcomes associated with FN results (5%) have cancelled out between the two scenarios.</w:t>
      </w:r>
    </w:p>
    <w:p w14:paraId="2948932C" w14:textId="77777777" w:rsidR="00EE5014" w:rsidRPr="004506DC" w:rsidRDefault="00EE5014"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56" w:name="_Toc188360784"/>
      <w:r w:rsidRPr="004506DC">
        <w:rPr>
          <w:rFonts w:ascii="Franklin Gothic Medium" w:hAnsi="Franklin Gothic Medium"/>
          <w:b w:val="0"/>
          <w:i w:val="0"/>
          <w:snapToGrid/>
          <w:color w:val="000000" w:themeColor="text1"/>
          <w:sz w:val="32"/>
          <w:szCs w:val="26"/>
        </w:rPr>
        <w:t>Financial/budgetary impacts</w:t>
      </w:r>
      <w:bookmarkEnd w:id="56"/>
    </w:p>
    <w:p w14:paraId="709EAEF1" w14:textId="35454E8C" w:rsidR="00BE5C9A" w:rsidRPr="004506DC" w:rsidRDefault="00BE5C9A" w:rsidP="004506DC">
      <w:pPr>
        <w:jc w:val="left"/>
        <w:rPr>
          <w:rFonts w:ascii="Franklin Gothic Book" w:hAnsi="Franklin Gothic Book"/>
          <w:sz w:val="22"/>
        </w:rPr>
      </w:pPr>
      <w:r w:rsidRPr="004506DC">
        <w:rPr>
          <w:rFonts w:ascii="Franklin Gothic Book" w:hAnsi="Franklin Gothic Book"/>
          <w:sz w:val="22"/>
        </w:rPr>
        <w:t xml:space="preserve">The resubmission uses an epidemiological approach to estimate the use and cost of HDV RNA testing and bulevirtide treatment. </w:t>
      </w:r>
    </w:p>
    <w:p w14:paraId="12AA35C9" w14:textId="77777777" w:rsidR="00BE5C9A" w:rsidRPr="004506DC" w:rsidRDefault="00BE5C9A" w:rsidP="00BE5C9A">
      <w:pPr>
        <w:pStyle w:val="Heading3"/>
        <w:rPr>
          <w:rFonts w:ascii="Franklin Gothic Book" w:hAnsi="Franklin Gothic Book"/>
          <w:sz w:val="24"/>
          <w:szCs w:val="24"/>
        </w:rPr>
      </w:pPr>
      <w:r w:rsidRPr="004506DC">
        <w:rPr>
          <w:rFonts w:ascii="Franklin Gothic Book" w:hAnsi="Franklin Gothic Book"/>
          <w:sz w:val="24"/>
          <w:szCs w:val="24"/>
        </w:rPr>
        <w:t>Use and cost of HDV RNA testing</w:t>
      </w:r>
    </w:p>
    <w:p w14:paraId="26DE1898" w14:textId="0C80FE11" w:rsidR="00BE5C9A" w:rsidRPr="004506DC" w:rsidRDefault="6870F380" w:rsidP="004506DC">
      <w:pPr>
        <w:jc w:val="left"/>
        <w:rPr>
          <w:rFonts w:ascii="Franklin Gothic Book" w:hAnsi="Franklin Gothic Book"/>
          <w:i/>
          <w:iCs/>
          <w:sz w:val="22"/>
        </w:rPr>
      </w:pPr>
      <w:r w:rsidRPr="004506DC">
        <w:rPr>
          <w:rFonts w:ascii="Franklin Gothic Book" w:hAnsi="Franklin Gothic Book"/>
          <w:sz w:val="22"/>
        </w:rPr>
        <w:t xml:space="preserve">The resubmission estimated the use and cost of HDV RNA testing for determining access to bulevirtide treatment and for monitoring while on treatment. The derivation of the HDV RNA testing population was integrated into the definition of the treated patient population. </w:t>
      </w:r>
      <w:r w:rsidRPr="004506DC">
        <w:rPr>
          <w:rFonts w:ascii="Franklin Gothic Book" w:hAnsi="Franklin Gothic Book"/>
          <w:i/>
          <w:iCs/>
          <w:sz w:val="22"/>
        </w:rPr>
        <w:t>This produced a consistent approach to the derivation of both the tested and treated populations.</w:t>
      </w:r>
    </w:p>
    <w:p w14:paraId="31623804" w14:textId="38C6968F" w:rsidR="00BE5C9A" w:rsidRPr="004506DC" w:rsidRDefault="00BE5C9A" w:rsidP="004506DC">
      <w:pPr>
        <w:jc w:val="left"/>
        <w:rPr>
          <w:rFonts w:ascii="Franklin Gothic Book" w:hAnsi="Franklin Gothic Book"/>
          <w:sz w:val="22"/>
        </w:rPr>
      </w:pPr>
      <w:r w:rsidRPr="004506DC">
        <w:rPr>
          <w:rFonts w:ascii="Franklin Gothic Book" w:hAnsi="Franklin Gothic Book"/>
          <w:sz w:val="22"/>
        </w:rPr>
        <w:t>The resubmission estimated the patients eligible for HDV RNA testing and bulevirtide treatment across four population groups:</w:t>
      </w:r>
    </w:p>
    <w:p w14:paraId="200BBF28" w14:textId="77777777" w:rsidR="00BE5C9A" w:rsidRPr="004506DC" w:rsidRDefault="00BE5C9A" w:rsidP="004506DC">
      <w:pPr>
        <w:pStyle w:val="Bullet"/>
        <w:rPr>
          <w:rFonts w:ascii="Franklin Gothic Book" w:hAnsi="Franklin Gothic Book"/>
        </w:rPr>
      </w:pPr>
      <w:r w:rsidRPr="004506DC">
        <w:rPr>
          <w:rFonts w:ascii="Franklin Gothic Book" w:hAnsi="Franklin Gothic Book"/>
        </w:rPr>
        <w:t>Prevalent chronic HBV patients, who are engaged in care, with known chronic HDV (prevalent population A).</w:t>
      </w:r>
    </w:p>
    <w:p w14:paraId="7DB122DE" w14:textId="77777777" w:rsidR="00BE5C9A" w:rsidRPr="004506DC" w:rsidRDefault="00BE5C9A" w:rsidP="004506DC">
      <w:pPr>
        <w:pStyle w:val="Bullet"/>
        <w:rPr>
          <w:rFonts w:ascii="Franklin Gothic Book" w:hAnsi="Franklin Gothic Book"/>
        </w:rPr>
      </w:pPr>
      <w:r w:rsidRPr="004506DC">
        <w:rPr>
          <w:rFonts w:ascii="Franklin Gothic Book" w:hAnsi="Franklin Gothic Book"/>
        </w:rPr>
        <w:t>Prevalent chronic HBV patients, who are engaged in care, but previously untested for HDV (prevalent population B).</w:t>
      </w:r>
    </w:p>
    <w:p w14:paraId="0F93877A" w14:textId="77777777" w:rsidR="00BE5C9A" w:rsidRPr="004506DC" w:rsidRDefault="00BE5C9A" w:rsidP="004506DC">
      <w:pPr>
        <w:pStyle w:val="Bullet"/>
        <w:rPr>
          <w:rFonts w:ascii="Franklin Gothic Book" w:hAnsi="Franklin Gothic Book"/>
        </w:rPr>
      </w:pPr>
      <w:r w:rsidRPr="004506DC">
        <w:rPr>
          <w:rFonts w:ascii="Franklin Gothic Book" w:hAnsi="Franklin Gothic Book"/>
        </w:rPr>
        <w:t xml:space="preserve">Prevalent chronic HBV patients, who are not engaged in care, but previously diagnosed for HDV </w:t>
      </w:r>
      <w:r w:rsidRPr="004506DC">
        <w:rPr>
          <w:rFonts w:ascii="Franklin Gothic Book" w:hAnsi="Franklin Gothic Book"/>
          <w:i/>
          <w:iCs/>
        </w:rPr>
        <w:t>(not considered in the March 2024 submission)</w:t>
      </w:r>
      <w:r w:rsidRPr="004506DC">
        <w:rPr>
          <w:rFonts w:ascii="Franklin Gothic Book" w:hAnsi="Franklin Gothic Book"/>
        </w:rPr>
        <w:t xml:space="preserve"> (prevalent population C). </w:t>
      </w:r>
    </w:p>
    <w:p w14:paraId="29C10B4B" w14:textId="77777777" w:rsidR="00BE5C9A" w:rsidRPr="004506DC" w:rsidRDefault="00BE5C9A" w:rsidP="004506DC">
      <w:pPr>
        <w:pStyle w:val="Bullet"/>
        <w:rPr>
          <w:rFonts w:ascii="Franklin Gothic Book" w:hAnsi="Franklin Gothic Book"/>
        </w:rPr>
      </w:pPr>
      <w:r w:rsidRPr="004506DC">
        <w:rPr>
          <w:rFonts w:ascii="Franklin Gothic Book" w:hAnsi="Franklin Gothic Book"/>
        </w:rPr>
        <w:t>Incident patients.</w:t>
      </w:r>
    </w:p>
    <w:p w14:paraId="6DDB0A05" w14:textId="0AF3E3E0" w:rsidR="00BE5C9A" w:rsidRPr="002807EC" w:rsidRDefault="6870F380" w:rsidP="004506DC">
      <w:pPr>
        <w:jc w:val="left"/>
        <w:rPr>
          <w:rFonts w:ascii="Franklin Gothic Book" w:hAnsi="Franklin Gothic Book"/>
          <w:sz w:val="22"/>
        </w:rPr>
      </w:pPr>
      <w:r w:rsidRPr="002807EC">
        <w:rPr>
          <w:rFonts w:ascii="Franklin Gothic Book" w:hAnsi="Franklin Gothic Book"/>
          <w:sz w:val="22"/>
        </w:rPr>
        <w:t>The resubmission retained the structure of prevalent populations A and B from the March 2024 submission, with updated parameters.</w:t>
      </w:r>
    </w:p>
    <w:p w14:paraId="071C507D" w14:textId="42026161" w:rsidR="00BE5C9A" w:rsidRPr="002807EC" w:rsidRDefault="6870F380" w:rsidP="004506DC">
      <w:pPr>
        <w:jc w:val="left"/>
        <w:rPr>
          <w:rFonts w:ascii="Franklin Gothic Book" w:hAnsi="Franklin Gothic Book"/>
          <w:sz w:val="22"/>
        </w:rPr>
      </w:pPr>
      <w:r w:rsidRPr="004506DC">
        <w:rPr>
          <w:rFonts w:ascii="Franklin Gothic Book" w:hAnsi="Franklin Gothic Book"/>
          <w:sz w:val="22"/>
        </w:rPr>
        <w:lastRenderedPageBreak/>
        <w:t xml:space="preserve">Prevalent population C is newly included in the resubmission to address the identified shortfall in the March 2024 submission. This population accounts for prevalent, but untreated chronic HBV patients who may reengage with treatment now that another treatment is available. The resubmission expects these patients to be </w:t>
      </w:r>
      <w:r w:rsidR="28E9FC2D" w:rsidRPr="004506DC">
        <w:rPr>
          <w:rFonts w:ascii="Franklin Gothic Book" w:hAnsi="Franklin Gothic Book"/>
          <w:sz w:val="22"/>
        </w:rPr>
        <w:t xml:space="preserve">HDV RNA </w:t>
      </w:r>
      <w:r w:rsidRPr="004506DC">
        <w:rPr>
          <w:rFonts w:ascii="Franklin Gothic Book" w:hAnsi="Franklin Gothic Book"/>
          <w:sz w:val="22"/>
        </w:rPr>
        <w:t xml:space="preserve">tested and reengage with treatment over the first six years of the listing. </w:t>
      </w:r>
      <w:r w:rsidRPr="002807EC">
        <w:rPr>
          <w:rFonts w:ascii="Franklin Gothic Book" w:hAnsi="Franklin Gothic Book"/>
          <w:sz w:val="22"/>
        </w:rPr>
        <w:t>This addresses the issue of lack of comprehensive population coverage that was identified in the March 2024 submission.</w:t>
      </w:r>
    </w:p>
    <w:p w14:paraId="644889D3" w14:textId="3EE32800" w:rsidR="00BE5C9A" w:rsidRPr="002807EC" w:rsidRDefault="00BE5C9A" w:rsidP="004506DC">
      <w:pPr>
        <w:jc w:val="left"/>
        <w:rPr>
          <w:rFonts w:ascii="Franklin Gothic Book" w:hAnsi="Franklin Gothic Book"/>
          <w:sz w:val="22"/>
        </w:rPr>
      </w:pPr>
      <w:r w:rsidRPr="002807EC">
        <w:rPr>
          <w:rFonts w:ascii="Franklin Gothic Book" w:hAnsi="Franklin Gothic Book"/>
          <w:sz w:val="22"/>
        </w:rPr>
        <w:t xml:space="preserve">The details of the derivation of the three prevalent populations, applying updated parameters as </w:t>
      </w:r>
      <w:r w:rsidR="009F5534" w:rsidRPr="002807EC">
        <w:rPr>
          <w:rFonts w:ascii="Franklin Gothic Book" w:hAnsi="Franklin Gothic Book"/>
          <w:sz w:val="22"/>
        </w:rPr>
        <w:t>given in</w:t>
      </w:r>
      <w:r w:rsidR="006C45A0" w:rsidRPr="002807EC">
        <w:rPr>
          <w:rFonts w:ascii="Franklin Gothic Book" w:hAnsi="Franklin Gothic Book"/>
          <w:sz w:val="22"/>
        </w:rPr>
        <w:t xml:space="preserve"> </w:t>
      </w:r>
      <w:r w:rsidR="006C45A0" w:rsidRPr="002807EC">
        <w:rPr>
          <w:rFonts w:ascii="Franklin Gothic Book" w:hAnsi="Franklin Gothic Book"/>
          <w:sz w:val="22"/>
        </w:rPr>
        <w:fldChar w:fldCharType="begin"/>
      </w:r>
      <w:r w:rsidR="006C45A0" w:rsidRPr="002807EC">
        <w:rPr>
          <w:rFonts w:ascii="Franklin Gothic Book" w:hAnsi="Franklin Gothic Book"/>
          <w:sz w:val="22"/>
        </w:rPr>
        <w:instrText xml:space="preserve"> REF _Ref191470537 \h </w:instrText>
      </w:r>
      <w:r w:rsidR="004506DC" w:rsidRPr="002807EC">
        <w:rPr>
          <w:rFonts w:ascii="Franklin Gothic Book" w:hAnsi="Franklin Gothic Book"/>
          <w:sz w:val="22"/>
        </w:rPr>
        <w:instrText xml:space="preserve"> \* MERGEFORMAT </w:instrText>
      </w:r>
      <w:r w:rsidR="006C45A0" w:rsidRPr="002807EC">
        <w:rPr>
          <w:rFonts w:ascii="Franklin Gothic Book" w:hAnsi="Franklin Gothic Book"/>
          <w:sz w:val="22"/>
        </w:rPr>
      </w:r>
      <w:r w:rsidR="006C45A0" w:rsidRPr="002807EC">
        <w:rPr>
          <w:rFonts w:ascii="Franklin Gothic Book" w:hAnsi="Franklin Gothic Book"/>
          <w:sz w:val="22"/>
        </w:rPr>
        <w:fldChar w:fldCharType="separate"/>
      </w:r>
      <w:r w:rsidR="006C45A0" w:rsidRPr="002807EC">
        <w:rPr>
          <w:rFonts w:ascii="Franklin Gothic Book" w:hAnsi="Franklin Gothic Book"/>
          <w:sz w:val="22"/>
        </w:rPr>
        <w:t xml:space="preserve">Table </w:t>
      </w:r>
      <w:r w:rsidR="006C45A0" w:rsidRPr="002807EC">
        <w:rPr>
          <w:rFonts w:ascii="Franklin Gothic Book" w:hAnsi="Franklin Gothic Book"/>
          <w:noProof/>
          <w:sz w:val="22"/>
        </w:rPr>
        <w:t>12</w:t>
      </w:r>
      <w:r w:rsidR="006C45A0" w:rsidRPr="002807EC">
        <w:rPr>
          <w:rFonts w:ascii="Franklin Gothic Book" w:hAnsi="Franklin Gothic Book"/>
          <w:sz w:val="22"/>
        </w:rPr>
        <w:fldChar w:fldCharType="end"/>
      </w:r>
      <w:r w:rsidR="002037F9" w:rsidRPr="002807EC">
        <w:rPr>
          <w:rFonts w:ascii="Franklin Gothic Book" w:hAnsi="Franklin Gothic Book"/>
          <w:noProof/>
          <w:sz w:val="22"/>
        </w:rPr>
        <w:t>.</w:t>
      </w:r>
    </w:p>
    <w:p w14:paraId="4DDC4941" w14:textId="2B826B5B" w:rsidR="00BE5C9A" w:rsidRPr="00FD70DE" w:rsidRDefault="006C45A0" w:rsidP="00BD2A33">
      <w:pPr>
        <w:pStyle w:val="Caption"/>
      </w:pPr>
      <w:bookmarkStart w:id="57" w:name="_Ref191470537"/>
      <w:r w:rsidRPr="4904BCD2">
        <w:t xml:space="preserve">Table </w:t>
      </w:r>
      <w:r w:rsidRPr="4904BCD2">
        <w:fldChar w:fldCharType="begin"/>
      </w:r>
      <w:r>
        <w:instrText xml:space="preserve"> SEQ Table_MSAC \* ARABIC </w:instrText>
      </w:r>
      <w:r w:rsidRPr="4904BCD2">
        <w:fldChar w:fldCharType="separate"/>
      </w:r>
      <w:r>
        <w:rPr>
          <w:noProof/>
        </w:rPr>
        <w:t>12</w:t>
      </w:r>
      <w:r w:rsidRPr="4904BCD2">
        <w:rPr>
          <w:noProof/>
        </w:rPr>
        <w:fldChar w:fldCharType="end"/>
      </w:r>
      <w:bookmarkEnd w:id="57"/>
      <w:r w:rsidR="002037F9">
        <w:tab/>
      </w:r>
      <w:r w:rsidR="6870F380" w:rsidRPr="4904BCD2">
        <w:t>Cost of HDV RNA testing of incident and prevalent patient to determine eligibility for bulevirtide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1183"/>
        <w:gridCol w:w="1404"/>
        <w:gridCol w:w="1405"/>
        <w:gridCol w:w="1405"/>
        <w:gridCol w:w="1082"/>
        <w:gridCol w:w="1082"/>
        <w:gridCol w:w="1084"/>
      </w:tblGrid>
      <w:tr w:rsidR="00FB05A4" w:rsidRPr="00FD70DE" w14:paraId="6FC4C68F" w14:textId="77777777" w:rsidTr="00165A07">
        <w:trPr>
          <w:cantSplit/>
          <w:trHeight w:val="270"/>
          <w:tblHeader/>
        </w:trPr>
        <w:tc>
          <w:tcPr>
            <w:tcW w:w="195" w:type="pct"/>
            <w:shd w:val="clear" w:color="auto" w:fill="auto"/>
            <w:hideMark/>
          </w:tcPr>
          <w:p w14:paraId="16F32825" w14:textId="77777777" w:rsidR="00BE5C9A" w:rsidRPr="00FD70DE" w:rsidRDefault="00BE5C9A" w:rsidP="00AC3BE0">
            <w:pPr>
              <w:pStyle w:val="In-tableHeading"/>
              <w:jc w:val="center"/>
              <w:rPr>
                <w:rFonts w:cstheme="minorHAnsi"/>
                <w:sz w:val="18"/>
                <w:szCs w:val="18"/>
                <w:lang w:val="en-AU"/>
              </w:rPr>
            </w:pPr>
          </w:p>
        </w:tc>
        <w:tc>
          <w:tcPr>
            <w:tcW w:w="589" w:type="pct"/>
            <w:shd w:val="clear" w:color="auto" w:fill="auto"/>
            <w:hideMark/>
          </w:tcPr>
          <w:p w14:paraId="0957CBA4" w14:textId="77777777" w:rsidR="00BE5C9A" w:rsidRPr="00FD70DE" w:rsidRDefault="00BE5C9A" w:rsidP="00AC3BE0">
            <w:pPr>
              <w:pStyle w:val="In-tableHeading"/>
              <w:jc w:val="center"/>
              <w:rPr>
                <w:rFonts w:cstheme="minorHAnsi"/>
                <w:sz w:val="18"/>
                <w:szCs w:val="18"/>
                <w:lang w:val="en-AU"/>
              </w:rPr>
            </w:pPr>
            <w:r w:rsidRPr="00FD70DE">
              <w:rPr>
                <w:lang w:val="en-AU"/>
              </w:rPr>
              <w:t>Parameters</w:t>
            </w:r>
          </w:p>
        </w:tc>
        <w:tc>
          <w:tcPr>
            <w:tcW w:w="792" w:type="pct"/>
            <w:shd w:val="clear" w:color="auto" w:fill="auto"/>
            <w:vAlign w:val="center"/>
            <w:hideMark/>
          </w:tcPr>
          <w:p w14:paraId="082C0EE6" w14:textId="77777777" w:rsidR="00BE5C9A" w:rsidRPr="00FD70DE" w:rsidRDefault="00BE5C9A" w:rsidP="00AC3BE0">
            <w:pPr>
              <w:pStyle w:val="In-tableHeading"/>
              <w:jc w:val="center"/>
              <w:rPr>
                <w:lang w:val="en-AU"/>
              </w:rPr>
            </w:pPr>
            <w:r w:rsidRPr="00FD70DE">
              <w:rPr>
                <w:lang w:val="en-AU"/>
              </w:rPr>
              <w:t>Year 1</w:t>
            </w:r>
          </w:p>
          <w:p w14:paraId="1D444980" w14:textId="77777777" w:rsidR="00BE5C9A" w:rsidRPr="00FD70DE" w:rsidRDefault="00BE5C9A" w:rsidP="00AC3BE0">
            <w:pPr>
              <w:pStyle w:val="In-tableHeading"/>
              <w:jc w:val="center"/>
              <w:rPr>
                <w:rFonts w:cstheme="minorHAnsi"/>
                <w:sz w:val="18"/>
                <w:szCs w:val="18"/>
                <w:lang w:val="en-AU"/>
              </w:rPr>
            </w:pPr>
            <w:r w:rsidRPr="00FD70DE">
              <w:rPr>
                <w:lang w:val="en-AU"/>
              </w:rPr>
              <w:t>2025</w:t>
            </w:r>
          </w:p>
        </w:tc>
        <w:tc>
          <w:tcPr>
            <w:tcW w:w="792" w:type="pct"/>
            <w:shd w:val="clear" w:color="auto" w:fill="auto"/>
            <w:vAlign w:val="center"/>
            <w:hideMark/>
          </w:tcPr>
          <w:p w14:paraId="5FC472F6" w14:textId="77777777" w:rsidR="00BE5C9A" w:rsidRPr="00FD70DE" w:rsidRDefault="00BE5C9A" w:rsidP="00AC3BE0">
            <w:pPr>
              <w:pStyle w:val="In-tableHeading"/>
              <w:jc w:val="center"/>
              <w:rPr>
                <w:lang w:val="en-AU"/>
              </w:rPr>
            </w:pPr>
            <w:r w:rsidRPr="00FD70DE">
              <w:rPr>
                <w:lang w:val="en-AU"/>
              </w:rPr>
              <w:t>Year 2</w:t>
            </w:r>
          </w:p>
          <w:p w14:paraId="0E7B41CE" w14:textId="77777777" w:rsidR="00BE5C9A" w:rsidRPr="00FD70DE" w:rsidRDefault="00BE5C9A" w:rsidP="00AC3BE0">
            <w:pPr>
              <w:pStyle w:val="In-tableHeading"/>
              <w:jc w:val="center"/>
              <w:rPr>
                <w:rFonts w:cstheme="minorHAnsi"/>
                <w:sz w:val="18"/>
                <w:szCs w:val="18"/>
                <w:lang w:val="en-AU"/>
              </w:rPr>
            </w:pPr>
            <w:r w:rsidRPr="00FD70DE">
              <w:rPr>
                <w:lang w:val="en-AU"/>
              </w:rPr>
              <w:t>2026</w:t>
            </w:r>
          </w:p>
        </w:tc>
        <w:tc>
          <w:tcPr>
            <w:tcW w:w="792" w:type="pct"/>
            <w:shd w:val="clear" w:color="auto" w:fill="auto"/>
            <w:vAlign w:val="center"/>
            <w:hideMark/>
          </w:tcPr>
          <w:p w14:paraId="299827AC" w14:textId="77777777" w:rsidR="00BE5C9A" w:rsidRPr="00FD70DE" w:rsidRDefault="00BE5C9A" w:rsidP="00AC3BE0">
            <w:pPr>
              <w:pStyle w:val="In-tableHeading"/>
              <w:jc w:val="center"/>
              <w:rPr>
                <w:lang w:val="en-AU"/>
              </w:rPr>
            </w:pPr>
            <w:r w:rsidRPr="00FD70DE">
              <w:rPr>
                <w:lang w:val="en-AU"/>
              </w:rPr>
              <w:t>Year 3</w:t>
            </w:r>
          </w:p>
          <w:p w14:paraId="4D36AEED" w14:textId="77777777" w:rsidR="00BE5C9A" w:rsidRPr="00FD70DE" w:rsidRDefault="00BE5C9A" w:rsidP="00AC3BE0">
            <w:pPr>
              <w:pStyle w:val="In-tableHeading"/>
              <w:jc w:val="center"/>
              <w:rPr>
                <w:rFonts w:cstheme="minorHAnsi"/>
                <w:sz w:val="18"/>
                <w:szCs w:val="18"/>
                <w:lang w:val="en-AU"/>
              </w:rPr>
            </w:pPr>
            <w:r w:rsidRPr="00FD70DE">
              <w:rPr>
                <w:lang w:val="en-AU"/>
              </w:rPr>
              <w:t>2027</w:t>
            </w:r>
          </w:p>
        </w:tc>
        <w:tc>
          <w:tcPr>
            <w:tcW w:w="613" w:type="pct"/>
            <w:shd w:val="clear" w:color="auto" w:fill="auto"/>
            <w:hideMark/>
          </w:tcPr>
          <w:p w14:paraId="45E191D7" w14:textId="77777777" w:rsidR="00BE5C9A" w:rsidRPr="00FD70DE" w:rsidRDefault="00BE5C9A" w:rsidP="00AC3BE0">
            <w:pPr>
              <w:pStyle w:val="In-tableHeading"/>
              <w:jc w:val="center"/>
              <w:rPr>
                <w:lang w:val="en-AU"/>
              </w:rPr>
            </w:pPr>
            <w:r w:rsidRPr="00FD70DE">
              <w:rPr>
                <w:lang w:val="en-AU"/>
              </w:rPr>
              <w:t>Year 4</w:t>
            </w:r>
          </w:p>
          <w:p w14:paraId="79A4B37A" w14:textId="77777777" w:rsidR="00BE5C9A" w:rsidRPr="00FD70DE" w:rsidRDefault="00BE5C9A" w:rsidP="00AC3BE0">
            <w:pPr>
              <w:pStyle w:val="In-tableHeading"/>
              <w:jc w:val="center"/>
              <w:rPr>
                <w:rFonts w:cstheme="minorHAnsi"/>
                <w:sz w:val="18"/>
                <w:szCs w:val="18"/>
                <w:lang w:val="en-AU"/>
              </w:rPr>
            </w:pPr>
            <w:r w:rsidRPr="00FD70DE">
              <w:rPr>
                <w:lang w:val="en-AU"/>
              </w:rPr>
              <w:t>2028</w:t>
            </w:r>
          </w:p>
        </w:tc>
        <w:tc>
          <w:tcPr>
            <w:tcW w:w="613" w:type="pct"/>
            <w:shd w:val="clear" w:color="auto" w:fill="auto"/>
            <w:hideMark/>
          </w:tcPr>
          <w:p w14:paraId="3E864F60" w14:textId="77777777" w:rsidR="00BE5C9A" w:rsidRPr="00FD70DE" w:rsidRDefault="00BE5C9A" w:rsidP="00AC3BE0">
            <w:pPr>
              <w:pStyle w:val="In-tableHeading"/>
              <w:jc w:val="center"/>
              <w:rPr>
                <w:lang w:val="en-AU"/>
              </w:rPr>
            </w:pPr>
            <w:r w:rsidRPr="00FD70DE">
              <w:rPr>
                <w:lang w:val="en-AU"/>
              </w:rPr>
              <w:t>Year 5</w:t>
            </w:r>
          </w:p>
          <w:p w14:paraId="419FD9AF" w14:textId="77777777" w:rsidR="00BE5C9A" w:rsidRPr="00FD70DE" w:rsidRDefault="00BE5C9A" w:rsidP="00AC3BE0">
            <w:pPr>
              <w:pStyle w:val="In-tableHeading"/>
              <w:jc w:val="center"/>
              <w:rPr>
                <w:rFonts w:cstheme="minorHAnsi"/>
                <w:sz w:val="18"/>
                <w:szCs w:val="18"/>
                <w:lang w:val="en-AU"/>
              </w:rPr>
            </w:pPr>
            <w:r w:rsidRPr="00FD70DE">
              <w:rPr>
                <w:lang w:val="en-AU"/>
              </w:rPr>
              <w:t>2029</w:t>
            </w:r>
          </w:p>
        </w:tc>
        <w:tc>
          <w:tcPr>
            <w:tcW w:w="613" w:type="pct"/>
            <w:shd w:val="clear" w:color="auto" w:fill="auto"/>
            <w:hideMark/>
          </w:tcPr>
          <w:p w14:paraId="2C6EF72D" w14:textId="77777777" w:rsidR="00BE5C9A" w:rsidRPr="00FD70DE" w:rsidRDefault="00BE5C9A" w:rsidP="00AC3BE0">
            <w:pPr>
              <w:pStyle w:val="In-tableHeading"/>
              <w:jc w:val="center"/>
              <w:rPr>
                <w:lang w:val="en-AU"/>
              </w:rPr>
            </w:pPr>
            <w:r w:rsidRPr="00FD70DE">
              <w:rPr>
                <w:lang w:val="en-AU"/>
              </w:rPr>
              <w:t>Year 6</w:t>
            </w:r>
          </w:p>
          <w:p w14:paraId="380D42B4" w14:textId="77777777" w:rsidR="00BE5C9A" w:rsidRPr="00FD70DE" w:rsidRDefault="00BE5C9A" w:rsidP="00AC3BE0">
            <w:pPr>
              <w:pStyle w:val="In-tableHeading"/>
              <w:jc w:val="center"/>
              <w:rPr>
                <w:rFonts w:cstheme="minorHAnsi"/>
                <w:sz w:val="18"/>
                <w:szCs w:val="18"/>
                <w:lang w:val="en-AU"/>
              </w:rPr>
            </w:pPr>
            <w:r w:rsidRPr="00FD70DE">
              <w:rPr>
                <w:lang w:val="en-AU"/>
              </w:rPr>
              <w:t>2030</w:t>
            </w:r>
          </w:p>
        </w:tc>
      </w:tr>
      <w:tr w:rsidR="00071E21" w:rsidRPr="00FD70DE" w14:paraId="52686F01" w14:textId="77777777" w:rsidTr="37C20EEE">
        <w:trPr>
          <w:cantSplit/>
          <w:trHeight w:val="270"/>
        </w:trPr>
        <w:tc>
          <w:tcPr>
            <w:tcW w:w="5000" w:type="pct"/>
            <w:gridSpan w:val="8"/>
            <w:shd w:val="clear" w:color="auto" w:fill="auto"/>
            <w:vAlign w:val="center"/>
          </w:tcPr>
          <w:p w14:paraId="6B024D9D" w14:textId="77777777" w:rsidR="00BE5C9A" w:rsidRPr="00FD70DE" w:rsidRDefault="00BE5C9A" w:rsidP="00AC3BE0">
            <w:pPr>
              <w:pStyle w:val="In-tableHeading"/>
              <w:rPr>
                <w:rFonts w:cstheme="minorHAnsi"/>
                <w:lang w:val="en-AU"/>
              </w:rPr>
            </w:pPr>
            <w:r w:rsidRPr="00FD70DE">
              <w:rPr>
                <w:lang w:val="en-AU"/>
              </w:rPr>
              <w:t>Current CHB prevalent patients that have not yet been tested (Prevalent Population B) that will be tested over 3 years, 2025-2027 (Years 1-3)</w:t>
            </w:r>
          </w:p>
        </w:tc>
      </w:tr>
      <w:tr w:rsidR="00FB05A4" w:rsidRPr="00FD70DE" w14:paraId="65F19DD2" w14:textId="77777777" w:rsidTr="00165A07">
        <w:trPr>
          <w:cantSplit/>
          <w:trHeight w:val="270"/>
        </w:trPr>
        <w:tc>
          <w:tcPr>
            <w:tcW w:w="195" w:type="pct"/>
            <w:shd w:val="clear" w:color="auto" w:fill="auto"/>
          </w:tcPr>
          <w:p w14:paraId="0B7753A8" w14:textId="77777777" w:rsidR="00BE5C9A" w:rsidRPr="00FD70DE" w:rsidRDefault="00BE5C9A" w:rsidP="00AC3BE0">
            <w:pPr>
              <w:pStyle w:val="TableText"/>
              <w:rPr>
                <w:rFonts w:cstheme="minorHAnsi"/>
              </w:rPr>
            </w:pPr>
            <w:r w:rsidRPr="00FD70DE">
              <w:rPr>
                <w:rFonts w:cstheme="minorHAnsi"/>
              </w:rPr>
              <w:t>A</w:t>
            </w:r>
          </w:p>
        </w:tc>
        <w:tc>
          <w:tcPr>
            <w:tcW w:w="589" w:type="pct"/>
            <w:shd w:val="clear" w:color="auto" w:fill="auto"/>
          </w:tcPr>
          <w:p w14:paraId="7BD102C8" w14:textId="4F9CEBD0" w:rsidR="00BE5C9A" w:rsidRPr="00FD70DE" w:rsidRDefault="00BE5C9A" w:rsidP="00AC3BE0">
            <w:pPr>
              <w:pStyle w:val="TableText"/>
            </w:pPr>
            <w:r w:rsidRPr="00FD70DE">
              <w:t>No. prevalent chronic HBV patients who are engaged in care prior to listing</w:t>
            </w:r>
          </w:p>
        </w:tc>
        <w:tc>
          <w:tcPr>
            <w:tcW w:w="792" w:type="pct"/>
            <w:shd w:val="clear" w:color="auto" w:fill="auto"/>
          </w:tcPr>
          <w:p w14:paraId="2AB29907" w14:textId="7E379F93" w:rsidR="00BE5C9A" w:rsidRDefault="00160920" w:rsidP="00AC3BE0">
            <w:pPr>
              <w:pStyle w:val="TableText"/>
              <w:jc w:val="center"/>
            </w:pPr>
            <w:r w:rsidRPr="00160920">
              <w:rPr>
                <w:b/>
                <w:bCs/>
              </w:rPr>
              <w:t>r</w:t>
            </w:r>
            <w:r w:rsidR="00E35D06" w:rsidRPr="00160920">
              <w:rPr>
                <w:b/>
                <w:bCs/>
              </w:rPr>
              <w:t>edacted</w:t>
            </w:r>
            <w:r w:rsidRPr="00160920">
              <w:rPr>
                <w:b/>
                <w:bCs/>
                <w:vertAlign w:val="superscript"/>
              </w:rPr>
              <w:t>1</w:t>
            </w:r>
          </w:p>
          <w:p w14:paraId="1C64C00C" w14:textId="00ED7D9D" w:rsidR="00FE3226" w:rsidRPr="00FD70DE" w:rsidRDefault="00FE3226" w:rsidP="00AC3BE0">
            <w:pPr>
              <w:pStyle w:val="TableText"/>
              <w:jc w:val="center"/>
            </w:pPr>
          </w:p>
        </w:tc>
        <w:tc>
          <w:tcPr>
            <w:tcW w:w="792" w:type="pct"/>
            <w:shd w:val="clear" w:color="auto" w:fill="auto"/>
          </w:tcPr>
          <w:p w14:paraId="60285CE8" w14:textId="77777777" w:rsidR="00BE5C9A" w:rsidRPr="00FD70DE" w:rsidRDefault="00BE5C9A" w:rsidP="00AC3BE0">
            <w:pPr>
              <w:pStyle w:val="TableText"/>
              <w:jc w:val="center"/>
            </w:pPr>
          </w:p>
        </w:tc>
        <w:tc>
          <w:tcPr>
            <w:tcW w:w="792" w:type="pct"/>
            <w:shd w:val="clear" w:color="auto" w:fill="auto"/>
          </w:tcPr>
          <w:p w14:paraId="0781143D" w14:textId="77777777" w:rsidR="00BE5C9A" w:rsidRPr="00FD70DE" w:rsidRDefault="00BE5C9A" w:rsidP="00AC3BE0">
            <w:pPr>
              <w:pStyle w:val="TableText"/>
              <w:jc w:val="center"/>
            </w:pPr>
          </w:p>
        </w:tc>
        <w:tc>
          <w:tcPr>
            <w:tcW w:w="613" w:type="pct"/>
            <w:shd w:val="clear" w:color="auto" w:fill="auto"/>
          </w:tcPr>
          <w:p w14:paraId="7DF22779" w14:textId="77777777" w:rsidR="00BE5C9A" w:rsidRPr="00FD70DE" w:rsidRDefault="00BE5C9A" w:rsidP="00AC3BE0">
            <w:pPr>
              <w:pStyle w:val="TableText"/>
              <w:jc w:val="center"/>
              <w:rPr>
                <w:rFonts w:cstheme="minorHAnsi"/>
              </w:rPr>
            </w:pPr>
          </w:p>
        </w:tc>
        <w:tc>
          <w:tcPr>
            <w:tcW w:w="613" w:type="pct"/>
            <w:shd w:val="clear" w:color="auto" w:fill="auto"/>
          </w:tcPr>
          <w:p w14:paraId="4DE13974" w14:textId="77777777" w:rsidR="00BE5C9A" w:rsidRPr="00FD70DE" w:rsidRDefault="00BE5C9A" w:rsidP="00AC3BE0">
            <w:pPr>
              <w:pStyle w:val="TableText"/>
              <w:jc w:val="center"/>
              <w:rPr>
                <w:rFonts w:cstheme="minorHAnsi"/>
              </w:rPr>
            </w:pPr>
          </w:p>
        </w:tc>
        <w:tc>
          <w:tcPr>
            <w:tcW w:w="613" w:type="pct"/>
            <w:shd w:val="clear" w:color="auto" w:fill="auto"/>
          </w:tcPr>
          <w:p w14:paraId="5465F194" w14:textId="77777777" w:rsidR="00BE5C9A" w:rsidRPr="00FD70DE" w:rsidRDefault="00BE5C9A" w:rsidP="00AC3BE0">
            <w:pPr>
              <w:pStyle w:val="TableText"/>
              <w:jc w:val="center"/>
              <w:rPr>
                <w:rFonts w:cstheme="minorHAnsi"/>
              </w:rPr>
            </w:pPr>
          </w:p>
        </w:tc>
      </w:tr>
      <w:tr w:rsidR="00FB05A4" w:rsidRPr="00FD70DE" w14:paraId="5FD4DD5D" w14:textId="77777777" w:rsidTr="00165A07">
        <w:trPr>
          <w:cantSplit/>
          <w:trHeight w:val="270"/>
        </w:trPr>
        <w:tc>
          <w:tcPr>
            <w:tcW w:w="195" w:type="pct"/>
            <w:shd w:val="clear" w:color="auto" w:fill="auto"/>
          </w:tcPr>
          <w:p w14:paraId="01406014" w14:textId="77777777" w:rsidR="00BE5C9A" w:rsidRPr="00FD70DE" w:rsidRDefault="00BE5C9A" w:rsidP="00AC3BE0">
            <w:pPr>
              <w:pStyle w:val="TableText"/>
              <w:rPr>
                <w:rFonts w:cstheme="minorHAnsi"/>
              </w:rPr>
            </w:pPr>
            <w:r w:rsidRPr="00FD70DE">
              <w:rPr>
                <w:rFonts w:cstheme="minorHAnsi"/>
              </w:rPr>
              <w:t>B</w:t>
            </w:r>
          </w:p>
        </w:tc>
        <w:tc>
          <w:tcPr>
            <w:tcW w:w="589" w:type="pct"/>
            <w:shd w:val="clear" w:color="auto" w:fill="auto"/>
          </w:tcPr>
          <w:p w14:paraId="1DB28A21" w14:textId="77777777" w:rsidR="00BE5C9A" w:rsidRPr="00FD70DE" w:rsidRDefault="00BE5C9A" w:rsidP="00AC3BE0">
            <w:pPr>
              <w:pStyle w:val="TableText"/>
            </w:pPr>
            <w:r w:rsidRPr="00FD70DE">
              <w:t>Proportion of prevalent chronic HBV patients tested for anti-HDV following listing</w:t>
            </w:r>
          </w:p>
        </w:tc>
        <w:tc>
          <w:tcPr>
            <w:tcW w:w="792" w:type="pct"/>
            <w:shd w:val="clear" w:color="auto" w:fill="auto"/>
          </w:tcPr>
          <w:p w14:paraId="6569C391" w14:textId="36F1D8B1" w:rsidR="00BE5C9A" w:rsidRPr="00FD70DE" w:rsidRDefault="00160920" w:rsidP="00AC3BE0">
            <w:pPr>
              <w:pStyle w:val="TableText"/>
              <w:jc w:val="center"/>
            </w:pPr>
            <w:r w:rsidRPr="00160920">
              <w:rPr>
                <w:b/>
                <w:bCs/>
              </w:rPr>
              <w:t>redacted</w:t>
            </w:r>
            <w:r w:rsidRPr="00FD70DE" w:rsidDel="00160920">
              <w:t xml:space="preserve"> </w:t>
            </w:r>
            <w:r w:rsidR="00BE5C9A" w:rsidRPr="00FD70DE">
              <w:t>%</w:t>
            </w:r>
          </w:p>
        </w:tc>
        <w:tc>
          <w:tcPr>
            <w:tcW w:w="792" w:type="pct"/>
            <w:shd w:val="clear" w:color="auto" w:fill="auto"/>
          </w:tcPr>
          <w:p w14:paraId="25808421" w14:textId="7712D5BD" w:rsidR="00BE5C9A" w:rsidRPr="00FD70DE" w:rsidRDefault="00160920" w:rsidP="00AC3BE0">
            <w:pPr>
              <w:pStyle w:val="TableText"/>
              <w:jc w:val="center"/>
            </w:pPr>
            <w:r w:rsidRPr="00160920">
              <w:rPr>
                <w:b/>
                <w:bCs/>
              </w:rPr>
              <w:t>redacted</w:t>
            </w:r>
            <w:r w:rsidRPr="00FD70DE" w:rsidDel="00160920">
              <w:t xml:space="preserve"> </w:t>
            </w:r>
            <w:r w:rsidR="00BE5C9A" w:rsidRPr="00FD70DE">
              <w:t>%</w:t>
            </w:r>
          </w:p>
        </w:tc>
        <w:tc>
          <w:tcPr>
            <w:tcW w:w="792" w:type="pct"/>
            <w:shd w:val="clear" w:color="auto" w:fill="auto"/>
          </w:tcPr>
          <w:p w14:paraId="4E59BE1A" w14:textId="289EB2E4" w:rsidR="00BE5C9A" w:rsidRPr="00FD70DE" w:rsidRDefault="00160920" w:rsidP="00AC3BE0">
            <w:pPr>
              <w:pStyle w:val="TableText"/>
              <w:jc w:val="center"/>
            </w:pPr>
            <w:r w:rsidRPr="00160920">
              <w:rPr>
                <w:b/>
                <w:bCs/>
              </w:rPr>
              <w:t>redacted</w:t>
            </w:r>
            <w:r w:rsidRPr="00FD70DE" w:rsidDel="00160920">
              <w:t xml:space="preserve"> </w:t>
            </w:r>
            <w:r w:rsidR="00BE5C9A" w:rsidRPr="00FD70DE">
              <w:t>%</w:t>
            </w:r>
          </w:p>
        </w:tc>
        <w:tc>
          <w:tcPr>
            <w:tcW w:w="613" w:type="pct"/>
            <w:shd w:val="clear" w:color="auto" w:fill="auto"/>
          </w:tcPr>
          <w:p w14:paraId="63DEDCA9" w14:textId="77777777" w:rsidR="00BE5C9A" w:rsidRPr="00FD70DE" w:rsidRDefault="00BE5C9A" w:rsidP="00AC3BE0">
            <w:pPr>
              <w:pStyle w:val="TableText"/>
              <w:jc w:val="center"/>
              <w:rPr>
                <w:rFonts w:cstheme="minorHAnsi"/>
              </w:rPr>
            </w:pPr>
          </w:p>
        </w:tc>
        <w:tc>
          <w:tcPr>
            <w:tcW w:w="613" w:type="pct"/>
            <w:shd w:val="clear" w:color="auto" w:fill="auto"/>
          </w:tcPr>
          <w:p w14:paraId="77C42AD7" w14:textId="77777777" w:rsidR="00BE5C9A" w:rsidRPr="00FD70DE" w:rsidRDefault="00BE5C9A" w:rsidP="00AC3BE0">
            <w:pPr>
              <w:pStyle w:val="TableText"/>
              <w:jc w:val="center"/>
              <w:rPr>
                <w:rFonts w:cstheme="minorHAnsi"/>
              </w:rPr>
            </w:pPr>
          </w:p>
        </w:tc>
        <w:tc>
          <w:tcPr>
            <w:tcW w:w="613" w:type="pct"/>
            <w:shd w:val="clear" w:color="auto" w:fill="auto"/>
          </w:tcPr>
          <w:p w14:paraId="3BAC6614" w14:textId="77777777" w:rsidR="00BE5C9A" w:rsidRPr="00FD70DE" w:rsidRDefault="00BE5C9A" w:rsidP="00AC3BE0">
            <w:pPr>
              <w:pStyle w:val="TableText"/>
              <w:jc w:val="center"/>
              <w:rPr>
                <w:rFonts w:cstheme="minorHAnsi"/>
              </w:rPr>
            </w:pPr>
          </w:p>
        </w:tc>
      </w:tr>
      <w:tr w:rsidR="00FB05A4" w:rsidRPr="00FD70DE" w14:paraId="72165F0E" w14:textId="77777777" w:rsidTr="00165A07">
        <w:trPr>
          <w:cantSplit/>
          <w:trHeight w:val="270"/>
        </w:trPr>
        <w:tc>
          <w:tcPr>
            <w:tcW w:w="195" w:type="pct"/>
            <w:shd w:val="clear" w:color="auto" w:fill="auto"/>
          </w:tcPr>
          <w:p w14:paraId="043D194C" w14:textId="77777777" w:rsidR="00BE5C9A" w:rsidRPr="00FD70DE" w:rsidRDefault="00BE5C9A" w:rsidP="00AC3BE0">
            <w:pPr>
              <w:pStyle w:val="TableText"/>
              <w:rPr>
                <w:rFonts w:cstheme="minorHAnsi"/>
              </w:rPr>
            </w:pPr>
            <w:r w:rsidRPr="00FD70DE">
              <w:rPr>
                <w:rFonts w:cstheme="minorHAnsi"/>
              </w:rPr>
              <w:t>C</w:t>
            </w:r>
          </w:p>
        </w:tc>
        <w:tc>
          <w:tcPr>
            <w:tcW w:w="589" w:type="pct"/>
            <w:shd w:val="clear" w:color="auto" w:fill="auto"/>
          </w:tcPr>
          <w:p w14:paraId="37002A4A" w14:textId="77777777" w:rsidR="00BE5C9A" w:rsidRPr="00FD70DE" w:rsidRDefault="00BE5C9A" w:rsidP="00AC3BE0">
            <w:pPr>
              <w:pStyle w:val="TableText"/>
              <w:rPr>
                <w:rFonts w:cstheme="minorHAnsi"/>
              </w:rPr>
            </w:pPr>
            <w:r w:rsidRPr="00FD70DE">
              <w:t>CHB patients tested for HDV antibodies population</w:t>
            </w:r>
          </w:p>
        </w:tc>
        <w:tc>
          <w:tcPr>
            <w:tcW w:w="792" w:type="pct"/>
            <w:shd w:val="clear" w:color="auto" w:fill="auto"/>
          </w:tcPr>
          <w:p w14:paraId="1C631CC5" w14:textId="6B4198C9" w:rsidR="00BE5C9A" w:rsidRPr="00FD70DE" w:rsidRDefault="00375F2C" w:rsidP="00AC3BE0">
            <w:pPr>
              <w:pStyle w:val="TableText"/>
              <w:jc w:val="center"/>
              <w:rPr>
                <w:rFonts w:cstheme="minorHAnsi"/>
              </w:rPr>
            </w:pPr>
            <w:r>
              <w:rPr>
                <w:b/>
                <w:bCs/>
              </w:rPr>
              <w:t>r</w:t>
            </w:r>
            <w:r w:rsidRPr="00160920">
              <w:rPr>
                <w:b/>
                <w:bCs/>
              </w:rPr>
              <w:t>edacted</w:t>
            </w:r>
            <w:r w:rsidRPr="00375F2C">
              <w:rPr>
                <w:b/>
                <w:bCs/>
                <w:vertAlign w:val="superscript"/>
              </w:rPr>
              <w:t>2</w:t>
            </w:r>
          </w:p>
        </w:tc>
        <w:tc>
          <w:tcPr>
            <w:tcW w:w="792" w:type="pct"/>
            <w:shd w:val="clear" w:color="auto" w:fill="auto"/>
          </w:tcPr>
          <w:p w14:paraId="69796D94" w14:textId="4E8F4D8E" w:rsidR="009753A7" w:rsidRDefault="005737C9" w:rsidP="00AC3BE0">
            <w:pPr>
              <w:pStyle w:val="TableText"/>
              <w:jc w:val="center"/>
            </w:pPr>
            <w:r>
              <w:rPr>
                <w:b/>
                <w:bCs/>
              </w:rPr>
              <w:t>r</w:t>
            </w:r>
            <w:r w:rsidRPr="00160920">
              <w:rPr>
                <w:b/>
                <w:bCs/>
              </w:rPr>
              <w:t>edacted</w:t>
            </w:r>
            <w:r w:rsidRPr="005737C9">
              <w:rPr>
                <w:b/>
                <w:bCs/>
                <w:vertAlign w:val="superscript"/>
              </w:rPr>
              <w:t>3</w:t>
            </w:r>
          </w:p>
          <w:p w14:paraId="21537AC6" w14:textId="6A9F2836" w:rsidR="00BE5C9A" w:rsidRPr="00FD70DE" w:rsidRDefault="00BE5C9A" w:rsidP="00AC3BE0">
            <w:pPr>
              <w:pStyle w:val="TableText"/>
              <w:jc w:val="center"/>
              <w:rPr>
                <w:rFonts w:cstheme="minorHAnsi"/>
              </w:rPr>
            </w:pPr>
          </w:p>
        </w:tc>
        <w:tc>
          <w:tcPr>
            <w:tcW w:w="792" w:type="pct"/>
            <w:shd w:val="clear" w:color="auto" w:fill="auto"/>
          </w:tcPr>
          <w:p w14:paraId="3D85A17F" w14:textId="76D68178" w:rsidR="00BE5C9A" w:rsidRDefault="00082BF0" w:rsidP="00AC3BE0">
            <w:pPr>
              <w:pStyle w:val="TableText"/>
              <w:jc w:val="center"/>
            </w:pPr>
            <w:r>
              <w:rPr>
                <w:b/>
                <w:bCs/>
              </w:rPr>
              <w:t>r</w:t>
            </w:r>
            <w:r w:rsidR="005737C9" w:rsidRPr="00160920">
              <w:rPr>
                <w:b/>
                <w:bCs/>
              </w:rPr>
              <w:t>edacted</w:t>
            </w:r>
            <w:r w:rsidRPr="00082BF0">
              <w:rPr>
                <w:b/>
                <w:bCs/>
                <w:vertAlign w:val="superscript"/>
              </w:rPr>
              <w:t>4</w:t>
            </w:r>
          </w:p>
          <w:p w14:paraId="1A99C32B" w14:textId="165A7878" w:rsidR="009753A7" w:rsidRPr="00FD70DE" w:rsidRDefault="009753A7" w:rsidP="00AC3BE0">
            <w:pPr>
              <w:pStyle w:val="TableText"/>
              <w:jc w:val="center"/>
              <w:rPr>
                <w:rFonts w:cstheme="minorHAnsi"/>
              </w:rPr>
            </w:pPr>
          </w:p>
        </w:tc>
        <w:tc>
          <w:tcPr>
            <w:tcW w:w="613" w:type="pct"/>
            <w:shd w:val="clear" w:color="auto" w:fill="auto"/>
          </w:tcPr>
          <w:p w14:paraId="17E0F5CE" w14:textId="77777777" w:rsidR="00BE5C9A" w:rsidRPr="00FD70DE" w:rsidRDefault="00BE5C9A" w:rsidP="00AC3BE0">
            <w:pPr>
              <w:pStyle w:val="TableText"/>
              <w:jc w:val="center"/>
              <w:rPr>
                <w:rFonts w:cstheme="minorHAnsi"/>
              </w:rPr>
            </w:pPr>
          </w:p>
        </w:tc>
        <w:tc>
          <w:tcPr>
            <w:tcW w:w="613" w:type="pct"/>
            <w:shd w:val="clear" w:color="auto" w:fill="auto"/>
          </w:tcPr>
          <w:p w14:paraId="2C42A79E" w14:textId="77777777" w:rsidR="00BE5C9A" w:rsidRPr="00FD70DE" w:rsidRDefault="00BE5C9A" w:rsidP="00AC3BE0">
            <w:pPr>
              <w:pStyle w:val="TableText"/>
              <w:jc w:val="center"/>
              <w:rPr>
                <w:rFonts w:cstheme="minorHAnsi"/>
              </w:rPr>
            </w:pPr>
          </w:p>
        </w:tc>
        <w:tc>
          <w:tcPr>
            <w:tcW w:w="613" w:type="pct"/>
            <w:shd w:val="clear" w:color="auto" w:fill="auto"/>
          </w:tcPr>
          <w:p w14:paraId="142532B1" w14:textId="77777777" w:rsidR="00BE5C9A" w:rsidRPr="00FD70DE" w:rsidRDefault="00BE5C9A" w:rsidP="00AC3BE0">
            <w:pPr>
              <w:pStyle w:val="TableText"/>
              <w:jc w:val="center"/>
              <w:rPr>
                <w:rFonts w:cstheme="minorHAnsi"/>
              </w:rPr>
            </w:pPr>
          </w:p>
        </w:tc>
      </w:tr>
      <w:tr w:rsidR="00FB05A4" w:rsidRPr="00FD70DE" w14:paraId="0256F9B6" w14:textId="77777777" w:rsidTr="00165A07">
        <w:trPr>
          <w:cantSplit/>
          <w:trHeight w:val="270"/>
        </w:trPr>
        <w:tc>
          <w:tcPr>
            <w:tcW w:w="195" w:type="pct"/>
            <w:shd w:val="clear" w:color="auto" w:fill="auto"/>
          </w:tcPr>
          <w:p w14:paraId="5F49831C" w14:textId="77777777" w:rsidR="00BE5C9A" w:rsidRPr="00FD70DE" w:rsidRDefault="00BE5C9A" w:rsidP="00AC3BE0">
            <w:pPr>
              <w:pStyle w:val="TableText"/>
              <w:rPr>
                <w:rFonts w:cstheme="minorHAnsi"/>
              </w:rPr>
            </w:pPr>
            <w:r w:rsidRPr="00FD70DE">
              <w:rPr>
                <w:rFonts w:cstheme="minorHAnsi"/>
              </w:rPr>
              <w:t>D</w:t>
            </w:r>
          </w:p>
        </w:tc>
        <w:tc>
          <w:tcPr>
            <w:tcW w:w="589" w:type="pct"/>
            <w:shd w:val="clear" w:color="auto" w:fill="auto"/>
          </w:tcPr>
          <w:p w14:paraId="2237C016" w14:textId="77777777" w:rsidR="00BE5C9A" w:rsidRPr="00FD70DE" w:rsidRDefault="00BE5C9A" w:rsidP="00AC3BE0">
            <w:pPr>
              <w:pStyle w:val="TableText"/>
            </w:pPr>
            <w:r w:rsidRPr="00FD70DE">
              <w:t>No. eligible for HDV RNA testing (anti-HDV+) (C × 4.06%)</w:t>
            </w:r>
          </w:p>
        </w:tc>
        <w:tc>
          <w:tcPr>
            <w:tcW w:w="792" w:type="pct"/>
            <w:shd w:val="clear" w:color="auto" w:fill="auto"/>
          </w:tcPr>
          <w:p w14:paraId="4FD0C995" w14:textId="03BA2229" w:rsidR="00BE5C9A" w:rsidRPr="00FD70DE" w:rsidRDefault="009753A7" w:rsidP="00AC3BE0">
            <w:pPr>
              <w:pStyle w:val="TableText"/>
              <w:jc w:val="center"/>
            </w:pPr>
            <w:r>
              <w:rPr>
                <w:b/>
                <w:bCs/>
              </w:rPr>
              <w:t>r</w:t>
            </w:r>
            <w:r w:rsidR="005737C9" w:rsidRPr="00160920">
              <w:rPr>
                <w:b/>
                <w:bCs/>
              </w:rPr>
              <w:t>edacted</w:t>
            </w:r>
            <w:r w:rsidRPr="009753A7">
              <w:rPr>
                <w:b/>
                <w:bCs/>
                <w:vertAlign w:val="superscript"/>
              </w:rPr>
              <w:t>4</w:t>
            </w:r>
            <w:r>
              <w:t xml:space="preserve"> </w:t>
            </w:r>
          </w:p>
        </w:tc>
        <w:tc>
          <w:tcPr>
            <w:tcW w:w="792" w:type="pct"/>
            <w:shd w:val="clear" w:color="auto" w:fill="auto"/>
          </w:tcPr>
          <w:p w14:paraId="17D23ECF" w14:textId="16BD2E07" w:rsidR="00BE5C9A" w:rsidRPr="00FD70DE" w:rsidRDefault="00E46F24" w:rsidP="00AC3BE0">
            <w:pPr>
              <w:pStyle w:val="TableText"/>
              <w:jc w:val="center"/>
            </w:pPr>
            <w:r>
              <w:rPr>
                <w:b/>
                <w:bCs/>
              </w:rPr>
              <w:t>r</w:t>
            </w:r>
            <w:r w:rsidR="005737C9" w:rsidRPr="00160920">
              <w:rPr>
                <w:b/>
                <w:bCs/>
              </w:rPr>
              <w:t>edacted</w:t>
            </w:r>
            <w:r w:rsidRPr="00E46F24">
              <w:rPr>
                <w:b/>
                <w:bCs/>
                <w:vertAlign w:val="superscript"/>
              </w:rPr>
              <w:t>5</w:t>
            </w:r>
            <w:r>
              <w:t xml:space="preserve"> </w:t>
            </w:r>
          </w:p>
        </w:tc>
        <w:tc>
          <w:tcPr>
            <w:tcW w:w="792" w:type="pct"/>
            <w:shd w:val="clear" w:color="auto" w:fill="auto"/>
          </w:tcPr>
          <w:p w14:paraId="77C05154" w14:textId="5BAD3677" w:rsidR="00BE5C9A" w:rsidRPr="00FD70DE" w:rsidRDefault="00E46F24" w:rsidP="00AC3BE0">
            <w:pPr>
              <w:pStyle w:val="TableText"/>
              <w:jc w:val="cente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27FD0452" w14:textId="77777777" w:rsidR="00BE5C9A" w:rsidRPr="00FD70DE" w:rsidRDefault="00BE5C9A" w:rsidP="00AC3BE0">
            <w:pPr>
              <w:pStyle w:val="TableText"/>
              <w:jc w:val="center"/>
              <w:rPr>
                <w:rFonts w:cstheme="minorHAnsi"/>
              </w:rPr>
            </w:pPr>
          </w:p>
        </w:tc>
        <w:tc>
          <w:tcPr>
            <w:tcW w:w="613" w:type="pct"/>
            <w:shd w:val="clear" w:color="auto" w:fill="auto"/>
          </w:tcPr>
          <w:p w14:paraId="309B7A8F" w14:textId="77777777" w:rsidR="00BE5C9A" w:rsidRPr="00FD70DE" w:rsidRDefault="00BE5C9A" w:rsidP="00AC3BE0">
            <w:pPr>
              <w:pStyle w:val="TableText"/>
              <w:jc w:val="center"/>
              <w:rPr>
                <w:rFonts w:cstheme="minorHAnsi"/>
              </w:rPr>
            </w:pPr>
          </w:p>
        </w:tc>
        <w:tc>
          <w:tcPr>
            <w:tcW w:w="613" w:type="pct"/>
            <w:shd w:val="clear" w:color="auto" w:fill="auto"/>
          </w:tcPr>
          <w:p w14:paraId="57B97F56" w14:textId="77777777" w:rsidR="00BE5C9A" w:rsidRPr="00FD70DE" w:rsidRDefault="00BE5C9A" w:rsidP="00AC3BE0">
            <w:pPr>
              <w:pStyle w:val="TableText"/>
              <w:jc w:val="center"/>
              <w:rPr>
                <w:rFonts w:cstheme="minorHAnsi"/>
              </w:rPr>
            </w:pPr>
          </w:p>
        </w:tc>
      </w:tr>
      <w:tr w:rsidR="00FB05A4" w:rsidRPr="00FD70DE" w14:paraId="234FA4DF" w14:textId="77777777" w:rsidTr="00165A07">
        <w:trPr>
          <w:cantSplit/>
          <w:trHeight w:val="270"/>
        </w:trPr>
        <w:tc>
          <w:tcPr>
            <w:tcW w:w="195" w:type="pct"/>
            <w:shd w:val="clear" w:color="auto" w:fill="auto"/>
          </w:tcPr>
          <w:p w14:paraId="5DB66B12" w14:textId="77777777" w:rsidR="00BE5C9A" w:rsidRPr="00FD70DE" w:rsidRDefault="00BE5C9A" w:rsidP="00AC3BE0">
            <w:pPr>
              <w:pStyle w:val="TableText"/>
              <w:rPr>
                <w:rFonts w:cstheme="minorHAnsi"/>
              </w:rPr>
            </w:pPr>
            <w:r w:rsidRPr="00FD70DE">
              <w:rPr>
                <w:rFonts w:cstheme="minorHAnsi"/>
              </w:rPr>
              <w:t>E</w:t>
            </w:r>
          </w:p>
        </w:tc>
        <w:tc>
          <w:tcPr>
            <w:tcW w:w="589" w:type="pct"/>
            <w:shd w:val="clear" w:color="auto" w:fill="auto"/>
          </w:tcPr>
          <w:p w14:paraId="3A3674F9" w14:textId="77777777" w:rsidR="00BE5C9A" w:rsidRPr="00FD70DE" w:rsidRDefault="00BE5C9A" w:rsidP="00AC3BE0">
            <w:pPr>
              <w:pStyle w:val="TableText"/>
            </w:pPr>
            <w:r w:rsidRPr="00FD70DE">
              <w:t>Uptake of HDV RNA testing following listing</w:t>
            </w:r>
          </w:p>
        </w:tc>
        <w:tc>
          <w:tcPr>
            <w:tcW w:w="792" w:type="pct"/>
            <w:shd w:val="clear" w:color="auto" w:fill="auto"/>
          </w:tcPr>
          <w:p w14:paraId="5632405C" w14:textId="04EBF898" w:rsidR="00BE5C9A" w:rsidRPr="00FD70DE" w:rsidRDefault="00BD5821" w:rsidP="00AC3BE0">
            <w:pPr>
              <w:pStyle w:val="TableText"/>
              <w:jc w:val="center"/>
            </w:pPr>
            <w:r>
              <w:rPr>
                <w:b/>
                <w:bCs/>
              </w:rPr>
              <w:t>r</w:t>
            </w:r>
            <w:r w:rsidRPr="00160920">
              <w:rPr>
                <w:b/>
                <w:bCs/>
              </w:rPr>
              <w:t>edacted</w:t>
            </w:r>
            <w:r>
              <w:rPr>
                <w:b/>
                <w:bCs/>
              </w:rPr>
              <w:t>%</w:t>
            </w:r>
          </w:p>
        </w:tc>
        <w:tc>
          <w:tcPr>
            <w:tcW w:w="792" w:type="pct"/>
            <w:shd w:val="clear" w:color="auto" w:fill="auto"/>
          </w:tcPr>
          <w:p w14:paraId="60DBE356" w14:textId="6BAC9983" w:rsidR="00BE5C9A" w:rsidRPr="00FD70DE" w:rsidRDefault="00BD5821" w:rsidP="00AC3BE0">
            <w:pPr>
              <w:pStyle w:val="TableText"/>
              <w:jc w:val="center"/>
            </w:pPr>
            <w:r>
              <w:rPr>
                <w:b/>
                <w:bCs/>
              </w:rPr>
              <w:t>r</w:t>
            </w:r>
            <w:r w:rsidRPr="00160920">
              <w:rPr>
                <w:b/>
                <w:bCs/>
              </w:rPr>
              <w:t>edacted</w:t>
            </w:r>
            <w:r>
              <w:rPr>
                <w:b/>
                <w:bCs/>
              </w:rPr>
              <w:t>%</w:t>
            </w:r>
          </w:p>
        </w:tc>
        <w:tc>
          <w:tcPr>
            <w:tcW w:w="792" w:type="pct"/>
            <w:shd w:val="clear" w:color="auto" w:fill="auto"/>
          </w:tcPr>
          <w:p w14:paraId="6EAD32E1" w14:textId="578A1C91" w:rsidR="00BE5C9A" w:rsidRPr="00FD70DE" w:rsidRDefault="00BD5821" w:rsidP="00AC3BE0">
            <w:pPr>
              <w:pStyle w:val="TableText"/>
              <w:jc w:val="center"/>
            </w:pPr>
            <w:r>
              <w:rPr>
                <w:b/>
                <w:bCs/>
              </w:rPr>
              <w:t>r</w:t>
            </w:r>
            <w:r w:rsidRPr="00160920">
              <w:rPr>
                <w:b/>
                <w:bCs/>
              </w:rPr>
              <w:t>edacted</w:t>
            </w:r>
            <w:r>
              <w:rPr>
                <w:b/>
                <w:bCs/>
              </w:rPr>
              <w:t>%</w:t>
            </w:r>
          </w:p>
        </w:tc>
        <w:tc>
          <w:tcPr>
            <w:tcW w:w="613" w:type="pct"/>
            <w:shd w:val="clear" w:color="auto" w:fill="auto"/>
          </w:tcPr>
          <w:p w14:paraId="0585DD60" w14:textId="77777777" w:rsidR="00BE5C9A" w:rsidRPr="00FD70DE" w:rsidRDefault="00BE5C9A" w:rsidP="00AC3BE0">
            <w:pPr>
              <w:pStyle w:val="TableText"/>
              <w:jc w:val="center"/>
              <w:rPr>
                <w:rFonts w:cstheme="minorHAnsi"/>
              </w:rPr>
            </w:pPr>
          </w:p>
        </w:tc>
        <w:tc>
          <w:tcPr>
            <w:tcW w:w="613" w:type="pct"/>
            <w:shd w:val="clear" w:color="auto" w:fill="auto"/>
          </w:tcPr>
          <w:p w14:paraId="7B8A5442" w14:textId="77777777" w:rsidR="00BE5C9A" w:rsidRPr="00FD70DE" w:rsidRDefault="00BE5C9A" w:rsidP="00AC3BE0">
            <w:pPr>
              <w:pStyle w:val="TableText"/>
              <w:jc w:val="center"/>
              <w:rPr>
                <w:rFonts w:cstheme="minorHAnsi"/>
              </w:rPr>
            </w:pPr>
          </w:p>
        </w:tc>
        <w:tc>
          <w:tcPr>
            <w:tcW w:w="613" w:type="pct"/>
            <w:shd w:val="clear" w:color="auto" w:fill="auto"/>
          </w:tcPr>
          <w:p w14:paraId="04CF6483" w14:textId="77777777" w:rsidR="00BE5C9A" w:rsidRPr="00FD70DE" w:rsidRDefault="00BE5C9A" w:rsidP="00AC3BE0">
            <w:pPr>
              <w:pStyle w:val="TableText"/>
              <w:jc w:val="center"/>
              <w:rPr>
                <w:rFonts w:cstheme="minorHAnsi"/>
              </w:rPr>
            </w:pPr>
          </w:p>
        </w:tc>
      </w:tr>
      <w:tr w:rsidR="00FB05A4" w:rsidRPr="00FD70DE" w14:paraId="2812A93F" w14:textId="77777777" w:rsidTr="00165A07">
        <w:trPr>
          <w:cantSplit/>
          <w:trHeight w:val="270"/>
        </w:trPr>
        <w:tc>
          <w:tcPr>
            <w:tcW w:w="195" w:type="pct"/>
            <w:shd w:val="clear" w:color="auto" w:fill="auto"/>
          </w:tcPr>
          <w:p w14:paraId="4174CA17" w14:textId="77777777" w:rsidR="00BE5C9A" w:rsidRPr="00FD70DE" w:rsidRDefault="00BE5C9A" w:rsidP="00AC3BE0">
            <w:pPr>
              <w:pStyle w:val="TableText"/>
              <w:rPr>
                <w:rFonts w:cstheme="minorHAnsi"/>
              </w:rPr>
            </w:pPr>
            <w:r w:rsidRPr="00FD70DE">
              <w:rPr>
                <w:rFonts w:cstheme="minorHAnsi"/>
              </w:rPr>
              <w:t>F</w:t>
            </w:r>
          </w:p>
        </w:tc>
        <w:tc>
          <w:tcPr>
            <w:tcW w:w="589" w:type="pct"/>
            <w:shd w:val="clear" w:color="auto" w:fill="auto"/>
          </w:tcPr>
          <w:p w14:paraId="3879AE58" w14:textId="520F61B4" w:rsidR="00BE5C9A" w:rsidRPr="00FD70DE" w:rsidRDefault="00BE5C9A" w:rsidP="00AC3BE0">
            <w:pPr>
              <w:pStyle w:val="TableText"/>
            </w:pPr>
            <w:r w:rsidRPr="00FD70DE">
              <w:t xml:space="preserve">Patients tested </w:t>
            </w:r>
            <w:r w:rsidR="00A13E5F" w:rsidRPr="00FD70DE">
              <w:t xml:space="preserve">for </w:t>
            </w:r>
            <w:r w:rsidRPr="00FD70DE">
              <w:t>HDV RNA following listing (D × E)</w:t>
            </w:r>
          </w:p>
        </w:tc>
        <w:tc>
          <w:tcPr>
            <w:tcW w:w="792" w:type="pct"/>
            <w:shd w:val="clear" w:color="auto" w:fill="auto"/>
          </w:tcPr>
          <w:p w14:paraId="2F224594" w14:textId="527E3ECE" w:rsidR="00BE5C9A" w:rsidRPr="00FD70DE" w:rsidRDefault="00E46F24"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50D40FEA" w14:textId="503C43C5" w:rsidR="00BE5C9A" w:rsidRPr="00FD70DE" w:rsidRDefault="00E46F24"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727352FB" w14:textId="3300BBBA" w:rsidR="00BE5C9A" w:rsidRPr="00FD70DE" w:rsidRDefault="00E46F24"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4D435241" w14:textId="77777777" w:rsidR="00BE5C9A" w:rsidRPr="00FD70DE" w:rsidRDefault="00BE5C9A" w:rsidP="00AC3BE0">
            <w:pPr>
              <w:pStyle w:val="TableText"/>
              <w:jc w:val="center"/>
              <w:rPr>
                <w:rFonts w:cstheme="minorHAnsi"/>
              </w:rPr>
            </w:pPr>
          </w:p>
        </w:tc>
        <w:tc>
          <w:tcPr>
            <w:tcW w:w="613" w:type="pct"/>
            <w:shd w:val="clear" w:color="auto" w:fill="auto"/>
          </w:tcPr>
          <w:p w14:paraId="2AB7772F" w14:textId="77777777" w:rsidR="00BE5C9A" w:rsidRPr="00FD70DE" w:rsidRDefault="00BE5C9A" w:rsidP="00AC3BE0">
            <w:pPr>
              <w:pStyle w:val="TableText"/>
              <w:jc w:val="center"/>
              <w:rPr>
                <w:rFonts w:cstheme="minorHAnsi"/>
              </w:rPr>
            </w:pPr>
          </w:p>
        </w:tc>
        <w:tc>
          <w:tcPr>
            <w:tcW w:w="613" w:type="pct"/>
            <w:shd w:val="clear" w:color="auto" w:fill="auto"/>
          </w:tcPr>
          <w:p w14:paraId="5B640B4E" w14:textId="77777777" w:rsidR="00BE5C9A" w:rsidRPr="00FD70DE" w:rsidRDefault="00BE5C9A" w:rsidP="00AC3BE0">
            <w:pPr>
              <w:pStyle w:val="TableText"/>
              <w:jc w:val="center"/>
              <w:rPr>
                <w:rFonts w:cstheme="minorHAnsi"/>
              </w:rPr>
            </w:pPr>
          </w:p>
        </w:tc>
      </w:tr>
      <w:tr w:rsidR="00071E21" w:rsidRPr="00FD70DE" w14:paraId="12F4836A" w14:textId="77777777" w:rsidTr="37C20EEE">
        <w:trPr>
          <w:cantSplit/>
          <w:trHeight w:val="270"/>
        </w:trPr>
        <w:tc>
          <w:tcPr>
            <w:tcW w:w="5000" w:type="pct"/>
            <w:gridSpan w:val="8"/>
            <w:shd w:val="clear" w:color="auto" w:fill="auto"/>
          </w:tcPr>
          <w:p w14:paraId="6EF39DAA" w14:textId="77777777" w:rsidR="00BE5C9A" w:rsidRPr="00FD70DE" w:rsidRDefault="00BE5C9A" w:rsidP="00AC3BE0">
            <w:pPr>
              <w:pStyle w:val="In-tableHeading"/>
              <w:rPr>
                <w:rFonts w:cstheme="minorHAnsi"/>
                <w:lang w:val="en-AU"/>
              </w:rPr>
            </w:pPr>
            <w:r w:rsidRPr="00FD70DE">
              <w:rPr>
                <w:lang w:val="en-AU"/>
              </w:rPr>
              <w:lastRenderedPageBreak/>
              <w:t>Current CHB diagnosed prevalent patients not engaged in care who subsequently engage in care over the period of the model (Prevalent Population C)</w:t>
            </w:r>
          </w:p>
        </w:tc>
      </w:tr>
      <w:tr w:rsidR="00FB05A4" w:rsidRPr="00FD70DE" w14:paraId="2BDCE764" w14:textId="77777777" w:rsidTr="00165A07">
        <w:trPr>
          <w:cantSplit/>
          <w:trHeight w:val="270"/>
        </w:trPr>
        <w:tc>
          <w:tcPr>
            <w:tcW w:w="195" w:type="pct"/>
            <w:shd w:val="clear" w:color="auto" w:fill="auto"/>
          </w:tcPr>
          <w:p w14:paraId="49622856" w14:textId="77777777" w:rsidR="00BE5C9A" w:rsidRPr="00FD70DE" w:rsidRDefault="00BE5C9A" w:rsidP="00AC3BE0">
            <w:pPr>
              <w:pStyle w:val="TableText"/>
            </w:pPr>
            <w:r w:rsidRPr="00FD70DE">
              <w:t>G</w:t>
            </w:r>
          </w:p>
        </w:tc>
        <w:tc>
          <w:tcPr>
            <w:tcW w:w="589" w:type="pct"/>
            <w:shd w:val="clear" w:color="auto" w:fill="auto"/>
          </w:tcPr>
          <w:p w14:paraId="55B2593C" w14:textId="2C800ABC" w:rsidR="00BE5C9A" w:rsidRPr="00FD70DE" w:rsidRDefault="00BE5C9A" w:rsidP="37C20EEE">
            <w:pPr>
              <w:pStyle w:val="TableText"/>
            </w:pPr>
            <w:r w:rsidRPr="37C20EEE">
              <w:t xml:space="preserve">Patients who are diagnosed and initially not engaged in care who subsequently engage in care (row </w:t>
            </w:r>
            <w:r w:rsidR="00722B3C" w:rsidRPr="37C20EEE">
              <w:t>P</w:t>
            </w:r>
            <w:r w:rsidRPr="37C20EEE">
              <w:t>)</w:t>
            </w:r>
          </w:p>
        </w:tc>
        <w:tc>
          <w:tcPr>
            <w:tcW w:w="792" w:type="pct"/>
            <w:shd w:val="clear" w:color="auto" w:fill="auto"/>
          </w:tcPr>
          <w:p w14:paraId="36164583" w14:textId="77777777" w:rsidR="00BE5C9A" w:rsidRPr="00FD70DE" w:rsidRDefault="00BE5C9A" w:rsidP="00AC3BE0">
            <w:pPr>
              <w:pStyle w:val="TableText"/>
              <w:jc w:val="center"/>
            </w:pPr>
          </w:p>
        </w:tc>
        <w:tc>
          <w:tcPr>
            <w:tcW w:w="792" w:type="pct"/>
            <w:shd w:val="clear" w:color="auto" w:fill="auto"/>
          </w:tcPr>
          <w:p w14:paraId="0F758FF4" w14:textId="2773A66F" w:rsidR="00BE5C9A" w:rsidRPr="00FD70DE" w:rsidRDefault="009D0CBF" w:rsidP="00AC3BE0">
            <w:pPr>
              <w:pStyle w:val="TableText"/>
              <w:jc w:val="center"/>
            </w:pPr>
            <w:r>
              <w:rPr>
                <w:b/>
                <w:bCs/>
              </w:rPr>
              <w:t>r</w:t>
            </w:r>
            <w:r w:rsidR="00CE59DF" w:rsidRPr="00160920">
              <w:rPr>
                <w:b/>
                <w:bCs/>
              </w:rPr>
              <w:t>edacted</w:t>
            </w:r>
            <w:r>
              <w:rPr>
                <w:b/>
                <w:bCs/>
                <w:vertAlign w:val="superscript"/>
              </w:rPr>
              <w:t>4</w:t>
            </w:r>
          </w:p>
        </w:tc>
        <w:tc>
          <w:tcPr>
            <w:tcW w:w="792" w:type="pct"/>
            <w:shd w:val="clear" w:color="auto" w:fill="auto"/>
          </w:tcPr>
          <w:p w14:paraId="2C20438E" w14:textId="088CD5F4" w:rsidR="00BE5C9A" w:rsidRPr="00FD70DE" w:rsidRDefault="009D0CBF" w:rsidP="00AC3BE0">
            <w:pPr>
              <w:pStyle w:val="TableText"/>
              <w:jc w:val="center"/>
            </w:pPr>
            <w:r>
              <w:rPr>
                <w:b/>
                <w:bCs/>
              </w:rPr>
              <w:t>r</w:t>
            </w:r>
            <w:r w:rsidR="00CE59DF" w:rsidRPr="00160920">
              <w:rPr>
                <w:b/>
                <w:bCs/>
              </w:rPr>
              <w:t>edacted</w:t>
            </w:r>
            <w:r>
              <w:rPr>
                <w:b/>
                <w:bCs/>
                <w:vertAlign w:val="superscript"/>
              </w:rPr>
              <w:t>4</w:t>
            </w:r>
          </w:p>
        </w:tc>
        <w:tc>
          <w:tcPr>
            <w:tcW w:w="613" w:type="pct"/>
            <w:shd w:val="clear" w:color="auto" w:fill="auto"/>
          </w:tcPr>
          <w:p w14:paraId="6CCC761A" w14:textId="67843A53" w:rsidR="00BE5C9A" w:rsidRPr="00FD70DE" w:rsidRDefault="009D0CBF" w:rsidP="00AC3BE0">
            <w:pPr>
              <w:pStyle w:val="TableText"/>
              <w:jc w:val="center"/>
              <w:rPr>
                <w:rFonts w:cstheme="minorHAnsi"/>
              </w:rPr>
            </w:pPr>
            <w:r>
              <w:rPr>
                <w:b/>
                <w:bCs/>
              </w:rPr>
              <w:t>r</w:t>
            </w:r>
            <w:r w:rsidR="00CE59DF" w:rsidRPr="00160920">
              <w:rPr>
                <w:b/>
                <w:bCs/>
              </w:rPr>
              <w:t>edacted</w:t>
            </w:r>
            <w:r>
              <w:rPr>
                <w:b/>
                <w:bCs/>
                <w:vertAlign w:val="superscript"/>
              </w:rPr>
              <w:t>4</w:t>
            </w:r>
          </w:p>
        </w:tc>
        <w:tc>
          <w:tcPr>
            <w:tcW w:w="613" w:type="pct"/>
            <w:shd w:val="clear" w:color="auto" w:fill="auto"/>
          </w:tcPr>
          <w:p w14:paraId="7ADBA346" w14:textId="6573708A" w:rsidR="00BE5C9A" w:rsidRPr="00FD70DE" w:rsidRDefault="009D0CBF" w:rsidP="00AC3BE0">
            <w:pPr>
              <w:pStyle w:val="TableText"/>
              <w:jc w:val="center"/>
              <w:rPr>
                <w:rFonts w:cstheme="minorHAnsi"/>
              </w:rPr>
            </w:pPr>
            <w:r>
              <w:rPr>
                <w:b/>
                <w:bCs/>
              </w:rPr>
              <w:t>r</w:t>
            </w:r>
            <w:r w:rsidR="00CE59DF" w:rsidRPr="00160920">
              <w:rPr>
                <w:b/>
                <w:bCs/>
              </w:rPr>
              <w:t>edacted</w:t>
            </w:r>
            <w:r>
              <w:rPr>
                <w:b/>
                <w:bCs/>
              </w:rPr>
              <w:t>4</w:t>
            </w:r>
          </w:p>
        </w:tc>
        <w:tc>
          <w:tcPr>
            <w:tcW w:w="613" w:type="pct"/>
            <w:shd w:val="clear" w:color="auto" w:fill="auto"/>
          </w:tcPr>
          <w:p w14:paraId="5713C0EB" w14:textId="64917C89" w:rsidR="00BE5C9A" w:rsidRPr="00FD70DE" w:rsidRDefault="009D0CBF" w:rsidP="00AC3BE0">
            <w:pPr>
              <w:pStyle w:val="TableText"/>
              <w:jc w:val="center"/>
              <w:rPr>
                <w:rFonts w:cstheme="minorHAnsi"/>
              </w:rPr>
            </w:pPr>
            <w:r>
              <w:rPr>
                <w:b/>
                <w:bCs/>
              </w:rPr>
              <w:t>r</w:t>
            </w:r>
            <w:r w:rsidR="00CE59DF" w:rsidRPr="00160920">
              <w:rPr>
                <w:b/>
                <w:bCs/>
              </w:rPr>
              <w:t>edacted</w:t>
            </w:r>
            <w:r>
              <w:rPr>
                <w:b/>
                <w:bCs/>
                <w:vertAlign w:val="superscript"/>
              </w:rPr>
              <w:t>4</w:t>
            </w:r>
          </w:p>
        </w:tc>
      </w:tr>
      <w:tr w:rsidR="00FB05A4" w:rsidRPr="00FD70DE" w14:paraId="1DBFD023" w14:textId="77777777" w:rsidTr="00165A07">
        <w:trPr>
          <w:cantSplit/>
          <w:trHeight w:val="270"/>
        </w:trPr>
        <w:tc>
          <w:tcPr>
            <w:tcW w:w="195" w:type="pct"/>
            <w:shd w:val="clear" w:color="auto" w:fill="auto"/>
          </w:tcPr>
          <w:p w14:paraId="54A5B002" w14:textId="77777777" w:rsidR="00BE5C9A" w:rsidRPr="00FD70DE" w:rsidRDefault="00BE5C9A" w:rsidP="00AC3BE0">
            <w:pPr>
              <w:pStyle w:val="TableText"/>
            </w:pPr>
            <w:r w:rsidRPr="00FD70DE">
              <w:t>H</w:t>
            </w:r>
          </w:p>
        </w:tc>
        <w:tc>
          <w:tcPr>
            <w:tcW w:w="589" w:type="pct"/>
            <w:shd w:val="clear" w:color="auto" w:fill="auto"/>
          </w:tcPr>
          <w:p w14:paraId="735E1DE8" w14:textId="77777777" w:rsidR="00BE5C9A" w:rsidRPr="00FD70DE" w:rsidRDefault="00BE5C9A" w:rsidP="00AC3BE0">
            <w:pPr>
              <w:pStyle w:val="TableText"/>
            </w:pPr>
            <w:r w:rsidRPr="00FD70DE">
              <w:t>CHB patients tested for HDV antibodies</w:t>
            </w:r>
          </w:p>
        </w:tc>
        <w:tc>
          <w:tcPr>
            <w:tcW w:w="792" w:type="pct"/>
            <w:shd w:val="clear" w:color="auto" w:fill="auto"/>
          </w:tcPr>
          <w:p w14:paraId="7CAE3DAC" w14:textId="77777777" w:rsidR="00BE5C9A" w:rsidRPr="00FD70DE" w:rsidRDefault="00BE5C9A" w:rsidP="00AC3BE0">
            <w:pPr>
              <w:pStyle w:val="TableText"/>
              <w:jc w:val="center"/>
            </w:pPr>
          </w:p>
        </w:tc>
        <w:tc>
          <w:tcPr>
            <w:tcW w:w="792" w:type="pct"/>
            <w:shd w:val="clear" w:color="auto" w:fill="auto"/>
          </w:tcPr>
          <w:p w14:paraId="4380DB02" w14:textId="3844457B" w:rsidR="00BE5C9A" w:rsidRPr="00FD70DE" w:rsidRDefault="007A70F6" w:rsidP="00AC3BE0">
            <w:pPr>
              <w:pStyle w:val="TableText"/>
              <w:jc w:val="center"/>
            </w:pPr>
            <w:r>
              <w:rPr>
                <w:b/>
                <w:bCs/>
              </w:rPr>
              <w:t>r</w:t>
            </w:r>
            <w:r w:rsidRPr="00160920">
              <w:rPr>
                <w:b/>
                <w:bCs/>
              </w:rPr>
              <w:t>edacted</w:t>
            </w:r>
            <w:r w:rsidRPr="00FD70DE" w:rsidDel="007A70F6">
              <w:t xml:space="preserve"> </w:t>
            </w:r>
            <w:r w:rsidR="00BE5C9A" w:rsidRPr="00FD70DE">
              <w:t>%</w:t>
            </w:r>
          </w:p>
        </w:tc>
        <w:tc>
          <w:tcPr>
            <w:tcW w:w="792" w:type="pct"/>
            <w:shd w:val="clear" w:color="auto" w:fill="auto"/>
          </w:tcPr>
          <w:p w14:paraId="415EA861" w14:textId="2E2A48AA" w:rsidR="00BE5C9A" w:rsidRPr="00FD70DE" w:rsidRDefault="007A70F6" w:rsidP="00AC3BE0">
            <w:pPr>
              <w:pStyle w:val="TableText"/>
              <w:jc w:val="center"/>
            </w:pPr>
            <w:r>
              <w:rPr>
                <w:b/>
                <w:bCs/>
              </w:rPr>
              <w:t>r</w:t>
            </w:r>
            <w:r w:rsidRPr="00160920">
              <w:rPr>
                <w:b/>
                <w:bCs/>
              </w:rPr>
              <w:t>edacted</w:t>
            </w:r>
            <w:r w:rsidRPr="00FD70DE" w:rsidDel="007A70F6">
              <w:t xml:space="preserve"> </w:t>
            </w:r>
            <w:r w:rsidR="00BE5C9A" w:rsidRPr="00FD70DE">
              <w:t>%</w:t>
            </w:r>
          </w:p>
        </w:tc>
        <w:tc>
          <w:tcPr>
            <w:tcW w:w="613" w:type="pct"/>
            <w:shd w:val="clear" w:color="auto" w:fill="auto"/>
          </w:tcPr>
          <w:p w14:paraId="676E641B" w14:textId="27327874" w:rsidR="00BE5C9A" w:rsidRPr="00FD70DE" w:rsidRDefault="007A70F6" w:rsidP="00AC3BE0">
            <w:pPr>
              <w:pStyle w:val="TableText"/>
              <w:jc w:val="center"/>
            </w:pPr>
            <w:r>
              <w:rPr>
                <w:b/>
                <w:bCs/>
              </w:rPr>
              <w:t>r</w:t>
            </w:r>
            <w:r w:rsidRPr="00160920">
              <w:rPr>
                <w:b/>
                <w:bCs/>
              </w:rPr>
              <w:t>edacted</w:t>
            </w:r>
            <w:r w:rsidRPr="00FD70DE" w:rsidDel="007A70F6">
              <w:t xml:space="preserve"> </w:t>
            </w:r>
            <w:r w:rsidR="00BE5C9A" w:rsidRPr="00FD70DE">
              <w:t>%</w:t>
            </w:r>
          </w:p>
        </w:tc>
        <w:tc>
          <w:tcPr>
            <w:tcW w:w="613" w:type="pct"/>
            <w:shd w:val="clear" w:color="auto" w:fill="auto"/>
          </w:tcPr>
          <w:p w14:paraId="11035BF8" w14:textId="5643B3AF" w:rsidR="00BE5C9A" w:rsidRPr="00FD70DE" w:rsidRDefault="007A70F6" w:rsidP="00AC3BE0">
            <w:pPr>
              <w:pStyle w:val="TableText"/>
              <w:jc w:val="center"/>
            </w:pPr>
            <w:r>
              <w:rPr>
                <w:b/>
                <w:bCs/>
              </w:rPr>
              <w:t>r</w:t>
            </w:r>
            <w:r w:rsidRPr="00160920">
              <w:rPr>
                <w:b/>
                <w:bCs/>
              </w:rPr>
              <w:t>edacted</w:t>
            </w:r>
            <w:r w:rsidRPr="00FD70DE" w:rsidDel="007A70F6">
              <w:t xml:space="preserve"> </w:t>
            </w:r>
            <w:r w:rsidR="00BE5C9A" w:rsidRPr="00FD70DE">
              <w:t>%</w:t>
            </w:r>
          </w:p>
        </w:tc>
        <w:tc>
          <w:tcPr>
            <w:tcW w:w="613" w:type="pct"/>
            <w:shd w:val="clear" w:color="auto" w:fill="auto"/>
          </w:tcPr>
          <w:p w14:paraId="48EBEBBF" w14:textId="7E512D97" w:rsidR="00BE5C9A" w:rsidRPr="00FD70DE" w:rsidRDefault="007A70F6" w:rsidP="00AC3BE0">
            <w:pPr>
              <w:pStyle w:val="TableText"/>
              <w:jc w:val="center"/>
            </w:pPr>
            <w:r>
              <w:rPr>
                <w:b/>
                <w:bCs/>
              </w:rPr>
              <w:t>r</w:t>
            </w:r>
            <w:r w:rsidRPr="00160920">
              <w:rPr>
                <w:b/>
                <w:bCs/>
              </w:rPr>
              <w:t>edacted</w:t>
            </w:r>
            <w:r w:rsidRPr="00FD70DE" w:rsidDel="007A70F6">
              <w:t xml:space="preserve"> </w:t>
            </w:r>
            <w:r w:rsidR="00BE5C9A" w:rsidRPr="00FD70DE">
              <w:t>%</w:t>
            </w:r>
          </w:p>
        </w:tc>
      </w:tr>
      <w:tr w:rsidR="00FB05A4" w:rsidRPr="00FD70DE" w14:paraId="4AB77F8B" w14:textId="77777777" w:rsidTr="00165A07">
        <w:trPr>
          <w:cantSplit/>
          <w:trHeight w:val="270"/>
        </w:trPr>
        <w:tc>
          <w:tcPr>
            <w:tcW w:w="195" w:type="pct"/>
            <w:shd w:val="clear" w:color="auto" w:fill="auto"/>
          </w:tcPr>
          <w:p w14:paraId="62A088B5" w14:textId="77777777" w:rsidR="00BE5C9A" w:rsidRPr="00FD70DE" w:rsidRDefault="00BE5C9A" w:rsidP="00AC3BE0">
            <w:pPr>
              <w:pStyle w:val="TableText"/>
            </w:pPr>
            <w:r w:rsidRPr="00FD70DE">
              <w:t>I</w:t>
            </w:r>
          </w:p>
        </w:tc>
        <w:tc>
          <w:tcPr>
            <w:tcW w:w="589" w:type="pct"/>
            <w:shd w:val="clear" w:color="auto" w:fill="auto"/>
          </w:tcPr>
          <w:p w14:paraId="43A97839" w14:textId="77777777" w:rsidR="00BE5C9A" w:rsidRPr="00FD70DE" w:rsidRDefault="00BE5C9A" w:rsidP="00AC3BE0">
            <w:pPr>
              <w:pStyle w:val="TableText"/>
            </w:pPr>
            <w:r w:rsidRPr="00FD70DE">
              <w:t>No. patients tested for anti-HDV antibodies</w:t>
            </w:r>
          </w:p>
        </w:tc>
        <w:tc>
          <w:tcPr>
            <w:tcW w:w="792" w:type="pct"/>
            <w:shd w:val="clear" w:color="auto" w:fill="auto"/>
          </w:tcPr>
          <w:p w14:paraId="5775EED5" w14:textId="77777777" w:rsidR="00BE5C9A" w:rsidRPr="00FD70DE" w:rsidRDefault="00BE5C9A" w:rsidP="00AC3BE0">
            <w:pPr>
              <w:pStyle w:val="TableText"/>
              <w:jc w:val="center"/>
            </w:pPr>
          </w:p>
        </w:tc>
        <w:tc>
          <w:tcPr>
            <w:tcW w:w="792" w:type="pct"/>
            <w:shd w:val="clear" w:color="auto" w:fill="auto"/>
          </w:tcPr>
          <w:p w14:paraId="62585032" w14:textId="52B7CE8F" w:rsidR="00BE5C9A" w:rsidRPr="00FD70DE" w:rsidRDefault="007F7D1C" w:rsidP="00AC3BE0">
            <w:pPr>
              <w:pStyle w:val="TableText"/>
              <w:jc w:val="center"/>
            </w:pPr>
            <w:r>
              <w:rPr>
                <w:b/>
                <w:bCs/>
              </w:rPr>
              <w:t>r</w:t>
            </w:r>
            <w:r w:rsidR="00CE59DF" w:rsidRPr="00160920">
              <w:rPr>
                <w:b/>
                <w:bCs/>
              </w:rPr>
              <w:t>edacted</w:t>
            </w:r>
            <w:r>
              <w:rPr>
                <w:b/>
                <w:bCs/>
                <w:vertAlign w:val="superscript"/>
              </w:rPr>
              <w:t>4</w:t>
            </w:r>
          </w:p>
        </w:tc>
        <w:tc>
          <w:tcPr>
            <w:tcW w:w="792" w:type="pct"/>
            <w:shd w:val="clear" w:color="auto" w:fill="auto"/>
          </w:tcPr>
          <w:p w14:paraId="710980CD" w14:textId="676F7EF2" w:rsidR="00BE5C9A" w:rsidRPr="00FD70DE" w:rsidRDefault="007F7D1C" w:rsidP="00AC3BE0">
            <w:pPr>
              <w:pStyle w:val="TableText"/>
              <w:jc w:val="center"/>
            </w:pPr>
            <w:r>
              <w:rPr>
                <w:b/>
                <w:bCs/>
              </w:rPr>
              <w:t>r</w:t>
            </w:r>
            <w:r w:rsidR="00CE59DF" w:rsidRPr="00160920">
              <w:rPr>
                <w:b/>
                <w:bCs/>
              </w:rPr>
              <w:t>edacted</w:t>
            </w:r>
            <w:r>
              <w:rPr>
                <w:b/>
                <w:bCs/>
                <w:vertAlign w:val="superscript"/>
              </w:rPr>
              <w:t>4</w:t>
            </w:r>
          </w:p>
        </w:tc>
        <w:tc>
          <w:tcPr>
            <w:tcW w:w="613" w:type="pct"/>
            <w:shd w:val="clear" w:color="auto" w:fill="auto"/>
          </w:tcPr>
          <w:p w14:paraId="149F353B" w14:textId="51B39432" w:rsidR="00BE5C9A" w:rsidRPr="00FD70DE" w:rsidRDefault="007F7D1C" w:rsidP="00AC3BE0">
            <w:pPr>
              <w:pStyle w:val="TableText"/>
              <w:jc w:val="center"/>
            </w:pPr>
            <w:r>
              <w:rPr>
                <w:b/>
                <w:bCs/>
              </w:rPr>
              <w:t>r</w:t>
            </w:r>
            <w:r w:rsidR="00EC442D" w:rsidRPr="00160920">
              <w:rPr>
                <w:b/>
                <w:bCs/>
              </w:rPr>
              <w:t>edacted</w:t>
            </w:r>
            <w:r>
              <w:rPr>
                <w:b/>
                <w:bCs/>
                <w:vertAlign w:val="superscript"/>
              </w:rPr>
              <w:t>4</w:t>
            </w:r>
          </w:p>
        </w:tc>
        <w:tc>
          <w:tcPr>
            <w:tcW w:w="613" w:type="pct"/>
            <w:shd w:val="clear" w:color="auto" w:fill="auto"/>
          </w:tcPr>
          <w:p w14:paraId="3AC9DC8B" w14:textId="1C4B6978" w:rsidR="00BE5C9A" w:rsidRPr="00FD70DE" w:rsidRDefault="007F7D1C" w:rsidP="00AC3BE0">
            <w:pPr>
              <w:pStyle w:val="TableText"/>
              <w:jc w:val="center"/>
            </w:pPr>
            <w:r>
              <w:rPr>
                <w:b/>
                <w:bCs/>
              </w:rPr>
              <w:t>r</w:t>
            </w:r>
            <w:r w:rsidR="00EC442D" w:rsidRPr="00160920">
              <w:rPr>
                <w:b/>
                <w:bCs/>
              </w:rPr>
              <w:t>edacted</w:t>
            </w:r>
            <w:r>
              <w:rPr>
                <w:b/>
                <w:bCs/>
                <w:vertAlign w:val="superscript"/>
              </w:rPr>
              <w:t>4</w:t>
            </w:r>
          </w:p>
        </w:tc>
        <w:tc>
          <w:tcPr>
            <w:tcW w:w="613" w:type="pct"/>
            <w:shd w:val="clear" w:color="auto" w:fill="auto"/>
          </w:tcPr>
          <w:p w14:paraId="6D1E9E9B" w14:textId="40C9671B" w:rsidR="00BE5C9A" w:rsidRPr="00FD70DE" w:rsidRDefault="007F7D1C" w:rsidP="00AC3BE0">
            <w:pPr>
              <w:pStyle w:val="TableText"/>
              <w:jc w:val="center"/>
            </w:pPr>
            <w:r>
              <w:rPr>
                <w:b/>
                <w:bCs/>
              </w:rPr>
              <w:t>r</w:t>
            </w:r>
            <w:r w:rsidR="00EC442D" w:rsidRPr="00160920">
              <w:rPr>
                <w:b/>
                <w:bCs/>
              </w:rPr>
              <w:t>edacted</w:t>
            </w:r>
            <w:r>
              <w:rPr>
                <w:b/>
                <w:bCs/>
                <w:vertAlign w:val="superscript"/>
              </w:rPr>
              <w:t>4</w:t>
            </w:r>
          </w:p>
        </w:tc>
      </w:tr>
      <w:tr w:rsidR="00FB05A4" w:rsidRPr="00FD70DE" w14:paraId="1DF7204F" w14:textId="77777777" w:rsidTr="00165A07">
        <w:trPr>
          <w:cantSplit/>
          <w:trHeight w:val="270"/>
        </w:trPr>
        <w:tc>
          <w:tcPr>
            <w:tcW w:w="195" w:type="pct"/>
            <w:shd w:val="clear" w:color="auto" w:fill="auto"/>
          </w:tcPr>
          <w:p w14:paraId="7CA4CC3D" w14:textId="77777777" w:rsidR="00BE5C9A" w:rsidRPr="00FD70DE" w:rsidRDefault="00BE5C9A" w:rsidP="00AC3BE0">
            <w:pPr>
              <w:pStyle w:val="TableText"/>
            </w:pPr>
            <w:r w:rsidRPr="00FD70DE">
              <w:t>J</w:t>
            </w:r>
          </w:p>
        </w:tc>
        <w:tc>
          <w:tcPr>
            <w:tcW w:w="589" w:type="pct"/>
            <w:shd w:val="clear" w:color="auto" w:fill="auto"/>
          </w:tcPr>
          <w:p w14:paraId="593C2AB5" w14:textId="77777777" w:rsidR="00BE5C9A" w:rsidRPr="00FD70DE" w:rsidRDefault="00BE5C9A" w:rsidP="00AC3BE0">
            <w:pPr>
              <w:pStyle w:val="TableText"/>
            </w:pPr>
            <w:r w:rsidRPr="00FD70DE">
              <w:t>No. eligible for HDV RNA testing (anti-HDV+) (I × 4.21%)</w:t>
            </w:r>
          </w:p>
        </w:tc>
        <w:tc>
          <w:tcPr>
            <w:tcW w:w="792" w:type="pct"/>
            <w:shd w:val="clear" w:color="auto" w:fill="auto"/>
          </w:tcPr>
          <w:p w14:paraId="743F46FB" w14:textId="77777777" w:rsidR="00BE5C9A" w:rsidRPr="00FD70DE" w:rsidRDefault="00BE5C9A" w:rsidP="00AC3BE0">
            <w:pPr>
              <w:pStyle w:val="TableText"/>
              <w:jc w:val="center"/>
            </w:pPr>
          </w:p>
        </w:tc>
        <w:tc>
          <w:tcPr>
            <w:tcW w:w="792" w:type="pct"/>
            <w:shd w:val="clear" w:color="auto" w:fill="auto"/>
          </w:tcPr>
          <w:p w14:paraId="3A92F43C" w14:textId="49D50DDB" w:rsidR="00BE5C9A" w:rsidRPr="00FD70DE" w:rsidRDefault="00FB05A4" w:rsidP="00AC3BE0">
            <w:pPr>
              <w:pStyle w:val="TableText"/>
              <w:jc w:val="center"/>
              <w:rPr>
                <w:b/>
                <w:bCs/>
              </w:rPr>
            </w:pPr>
            <w:r>
              <w:rPr>
                <w:b/>
                <w:bCs/>
              </w:rPr>
              <w:t>r</w:t>
            </w:r>
            <w:r w:rsidRPr="00160920">
              <w:rPr>
                <w:b/>
                <w:bCs/>
              </w:rPr>
              <w:t>edacted</w:t>
            </w:r>
            <w:r>
              <w:rPr>
                <w:b/>
                <w:bCs/>
                <w:vertAlign w:val="superscript"/>
              </w:rPr>
              <w:t>5</w:t>
            </w:r>
          </w:p>
        </w:tc>
        <w:tc>
          <w:tcPr>
            <w:tcW w:w="792" w:type="pct"/>
            <w:shd w:val="clear" w:color="auto" w:fill="auto"/>
          </w:tcPr>
          <w:p w14:paraId="32B06EC0" w14:textId="732D0D32" w:rsidR="00BE5C9A" w:rsidRPr="00FD70DE" w:rsidRDefault="00FB05A4" w:rsidP="00AC3BE0">
            <w:pPr>
              <w:pStyle w:val="TableText"/>
              <w:jc w:val="center"/>
              <w:rPr>
                <w:b/>
                <w:bCs/>
              </w:rPr>
            </w:pPr>
            <w:r>
              <w:rPr>
                <w:b/>
                <w:bCs/>
              </w:rPr>
              <w:t>r</w:t>
            </w:r>
            <w:r w:rsidRPr="00160920">
              <w:rPr>
                <w:b/>
                <w:bCs/>
              </w:rPr>
              <w:t>edacted</w:t>
            </w:r>
            <w:r>
              <w:rPr>
                <w:b/>
                <w:bCs/>
                <w:vertAlign w:val="superscript"/>
              </w:rPr>
              <w:t>5</w:t>
            </w:r>
          </w:p>
        </w:tc>
        <w:tc>
          <w:tcPr>
            <w:tcW w:w="613" w:type="pct"/>
            <w:shd w:val="clear" w:color="auto" w:fill="auto"/>
          </w:tcPr>
          <w:p w14:paraId="35958422" w14:textId="1B943DAA" w:rsidR="00BE5C9A" w:rsidRPr="00FD70DE" w:rsidRDefault="00FB05A4" w:rsidP="00AC3BE0">
            <w:pPr>
              <w:pStyle w:val="TableText"/>
              <w:jc w:val="center"/>
              <w:rPr>
                <w:b/>
                <w:bCs/>
              </w:rPr>
            </w:pPr>
            <w:r>
              <w:rPr>
                <w:b/>
                <w:bCs/>
              </w:rPr>
              <w:t>r</w:t>
            </w:r>
            <w:r w:rsidRPr="00160920">
              <w:rPr>
                <w:b/>
                <w:bCs/>
              </w:rPr>
              <w:t>edacted</w:t>
            </w:r>
            <w:r>
              <w:rPr>
                <w:b/>
                <w:bCs/>
                <w:vertAlign w:val="superscript"/>
              </w:rPr>
              <w:t>5</w:t>
            </w:r>
          </w:p>
        </w:tc>
        <w:tc>
          <w:tcPr>
            <w:tcW w:w="613" w:type="pct"/>
            <w:shd w:val="clear" w:color="auto" w:fill="auto"/>
          </w:tcPr>
          <w:p w14:paraId="43FAD1A9" w14:textId="22FB8B97" w:rsidR="00BE5C9A" w:rsidRPr="00FD70DE" w:rsidRDefault="00FB05A4" w:rsidP="00AC3BE0">
            <w:pPr>
              <w:pStyle w:val="TableText"/>
              <w:jc w:val="center"/>
              <w:rPr>
                <w:b/>
                <w:bCs/>
              </w:rPr>
            </w:pPr>
            <w:r>
              <w:rPr>
                <w:b/>
                <w:bCs/>
              </w:rPr>
              <w:t>r</w:t>
            </w:r>
            <w:r w:rsidRPr="00160920">
              <w:rPr>
                <w:b/>
                <w:bCs/>
              </w:rPr>
              <w:t>edacted</w:t>
            </w:r>
            <w:r>
              <w:rPr>
                <w:b/>
                <w:bCs/>
                <w:vertAlign w:val="superscript"/>
              </w:rPr>
              <w:t>5</w:t>
            </w:r>
          </w:p>
        </w:tc>
        <w:tc>
          <w:tcPr>
            <w:tcW w:w="613" w:type="pct"/>
            <w:shd w:val="clear" w:color="auto" w:fill="auto"/>
          </w:tcPr>
          <w:p w14:paraId="084A1AE9" w14:textId="76CA828A" w:rsidR="00BE5C9A" w:rsidRPr="00FD70DE" w:rsidRDefault="00FB05A4" w:rsidP="00AC3BE0">
            <w:pPr>
              <w:pStyle w:val="TableText"/>
              <w:jc w:val="center"/>
              <w:rPr>
                <w:b/>
                <w:bCs/>
              </w:rPr>
            </w:pPr>
            <w:r>
              <w:rPr>
                <w:b/>
                <w:bCs/>
              </w:rPr>
              <w:t>r</w:t>
            </w:r>
            <w:r w:rsidRPr="00160920">
              <w:rPr>
                <w:b/>
                <w:bCs/>
              </w:rPr>
              <w:t>edacted</w:t>
            </w:r>
            <w:r>
              <w:rPr>
                <w:b/>
                <w:bCs/>
                <w:vertAlign w:val="superscript"/>
              </w:rPr>
              <w:t>5</w:t>
            </w:r>
          </w:p>
        </w:tc>
      </w:tr>
      <w:tr w:rsidR="00FB05A4" w:rsidRPr="00FD70DE" w14:paraId="558ACDA7" w14:textId="77777777" w:rsidTr="00165A07">
        <w:trPr>
          <w:cantSplit/>
          <w:trHeight w:val="270"/>
        </w:trPr>
        <w:tc>
          <w:tcPr>
            <w:tcW w:w="195" w:type="pct"/>
            <w:shd w:val="clear" w:color="auto" w:fill="auto"/>
          </w:tcPr>
          <w:p w14:paraId="2C9F2B00" w14:textId="77777777" w:rsidR="00BE5C9A" w:rsidRPr="00FD70DE" w:rsidRDefault="00BE5C9A" w:rsidP="00AC3BE0">
            <w:pPr>
              <w:pStyle w:val="TableText"/>
            </w:pPr>
            <w:r w:rsidRPr="00FD70DE">
              <w:t>K</w:t>
            </w:r>
          </w:p>
        </w:tc>
        <w:tc>
          <w:tcPr>
            <w:tcW w:w="589" w:type="pct"/>
            <w:shd w:val="clear" w:color="auto" w:fill="auto"/>
          </w:tcPr>
          <w:p w14:paraId="71417098" w14:textId="77777777" w:rsidR="00BE5C9A" w:rsidRPr="00FD70DE" w:rsidRDefault="00BE5C9A" w:rsidP="00AC3BE0">
            <w:pPr>
              <w:pStyle w:val="TableText"/>
            </w:pPr>
            <w:r w:rsidRPr="00FD70DE">
              <w:t>Uptake of HDV RNA testing following listing</w:t>
            </w:r>
          </w:p>
        </w:tc>
        <w:tc>
          <w:tcPr>
            <w:tcW w:w="792" w:type="pct"/>
            <w:shd w:val="clear" w:color="auto" w:fill="auto"/>
          </w:tcPr>
          <w:p w14:paraId="76897000" w14:textId="77777777" w:rsidR="00BE5C9A" w:rsidRPr="00FD70DE" w:rsidRDefault="00BE5C9A" w:rsidP="00AC3BE0">
            <w:pPr>
              <w:pStyle w:val="TableText"/>
              <w:jc w:val="center"/>
            </w:pPr>
          </w:p>
        </w:tc>
        <w:tc>
          <w:tcPr>
            <w:tcW w:w="792" w:type="pct"/>
            <w:shd w:val="clear" w:color="auto" w:fill="auto"/>
          </w:tcPr>
          <w:p w14:paraId="119AA8B6" w14:textId="099F26B1" w:rsidR="00BE5C9A" w:rsidRPr="00FD70DE" w:rsidRDefault="00D65BFB" w:rsidP="00AC3BE0">
            <w:pPr>
              <w:pStyle w:val="TableText"/>
              <w:jc w:val="center"/>
              <w:rPr>
                <w:b/>
                <w:bCs/>
              </w:rPr>
            </w:pPr>
            <w:r>
              <w:rPr>
                <w:b/>
                <w:bCs/>
              </w:rPr>
              <w:t>r</w:t>
            </w:r>
            <w:r w:rsidRPr="00160920">
              <w:rPr>
                <w:b/>
                <w:bCs/>
              </w:rPr>
              <w:t>edacted</w:t>
            </w:r>
            <w:r w:rsidRPr="00FD70DE" w:rsidDel="00D65BFB">
              <w:t xml:space="preserve"> </w:t>
            </w:r>
            <w:r w:rsidR="00BE5C9A" w:rsidRPr="00FD70DE">
              <w:t>%</w:t>
            </w:r>
          </w:p>
        </w:tc>
        <w:tc>
          <w:tcPr>
            <w:tcW w:w="792" w:type="pct"/>
            <w:shd w:val="clear" w:color="auto" w:fill="auto"/>
          </w:tcPr>
          <w:p w14:paraId="75471991" w14:textId="399C13C4" w:rsidR="00BE5C9A" w:rsidRPr="00FD70DE" w:rsidRDefault="00D65BFB" w:rsidP="00AC3BE0">
            <w:pPr>
              <w:pStyle w:val="TableText"/>
              <w:jc w:val="center"/>
              <w:rPr>
                <w:b/>
                <w:bCs/>
              </w:rPr>
            </w:pPr>
            <w:r>
              <w:rPr>
                <w:b/>
                <w:bCs/>
              </w:rPr>
              <w:t>r</w:t>
            </w:r>
            <w:r w:rsidRPr="00160920">
              <w:rPr>
                <w:b/>
                <w:bCs/>
              </w:rPr>
              <w:t>edacted</w:t>
            </w:r>
            <w:r w:rsidRPr="00FD70DE" w:rsidDel="00D65BFB">
              <w:t xml:space="preserve"> </w:t>
            </w:r>
            <w:r w:rsidR="00BE5C9A" w:rsidRPr="00FD70DE">
              <w:t>%</w:t>
            </w:r>
          </w:p>
        </w:tc>
        <w:tc>
          <w:tcPr>
            <w:tcW w:w="613" w:type="pct"/>
            <w:shd w:val="clear" w:color="auto" w:fill="auto"/>
          </w:tcPr>
          <w:p w14:paraId="43ACCC82" w14:textId="33AF1A46" w:rsidR="00BE5C9A" w:rsidRPr="00FD70DE" w:rsidRDefault="00D65BFB" w:rsidP="00AC3BE0">
            <w:pPr>
              <w:pStyle w:val="TableText"/>
              <w:jc w:val="center"/>
              <w:rPr>
                <w:b/>
                <w:bCs/>
              </w:rPr>
            </w:pPr>
            <w:r>
              <w:rPr>
                <w:b/>
                <w:bCs/>
              </w:rPr>
              <w:t>r</w:t>
            </w:r>
            <w:r w:rsidRPr="00160920">
              <w:rPr>
                <w:b/>
                <w:bCs/>
              </w:rPr>
              <w:t>edacted</w:t>
            </w:r>
            <w:r w:rsidRPr="00FD70DE" w:rsidDel="00D65BFB">
              <w:t xml:space="preserve"> </w:t>
            </w:r>
            <w:r w:rsidR="00BE5C9A" w:rsidRPr="00FD70DE">
              <w:t>%</w:t>
            </w:r>
          </w:p>
        </w:tc>
        <w:tc>
          <w:tcPr>
            <w:tcW w:w="613" w:type="pct"/>
            <w:shd w:val="clear" w:color="auto" w:fill="auto"/>
          </w:tcPr>
          <w:p w14:paraId="572E6261" w14:textId="5F8FC1A0" w:rsidR="00BE5C9A" w:rsidRPr="00FD70DE" w:rsidRDefault="00D65BFB" w:rsidP="00AC3BE0">
            <w:pPr>
              <w:pStyle w:val="TableText"/>
              <w:jc w:val="center"/>
              <w:rPr>
                <w:b/>
                <w:bCs/>
              </w:rPr>
            </w:pPr>
            <w:r>
              <w:rPr>
                <w:b/>
                <w:bCs/>
              </w:rPr>
              <w:t>r</w:t>
            </w:r>
            <w:r w:rsidRPr="00160920">
              <w:rPr>
                <w:b/>
                <w:bCs/>
              </w:rPr>
              <w:t>edacted</w:t>
            </w:r>
            <w:r w:rsidRPr="00FD70DE" w:rsidDel="00D65BFB">
              <w:t xml:space="preserve"> </w:t>
            </w:r>
            <w:r w:rsidR="00BE5C9A" w:rsidRPr="00FD70DE">
              <w:t>%</w:t>
            </w:r>
          </w:p>
        </w:tc>
        <w:tc>
          <w:tcPr>
            <w:tcW w:w="613" w:type="pct"/>
            <w:shd w:val="clear" w:color="auto" w:fill="auto"/>
          </w:tcPr>
          <w:p w14:paraId="29810432" w14:textId="2903FAEE" w:rsidR="00BE5C9A" w:rsidRPr="00FD70DE" w:rsidRDefault="00D65BFB" w:rsidP="00AC3BE0">
            <w:pPr>
              <w:pStyle w:val="TableText"/>
              <w:jc w:val="center"/>
              <w:rPr>
                <w:b/>
                <w:bCs/>
              </w:rPr>
            </w:pPr>
            <w:r>
              <w:rPr>
                <w:b/>
                <w:bCs/>
              </w:rPr>
              <w:t>r</w:t>
            </w:r>
            <w:r w:rsidRPr="00160920">
              <w:rPr>
                <w:b/>
                <w:bCs/>
              </w:rPr>
              <w:t>edacted</w:t>
            </w:r>
            <w:r w:rsidRPr="00FD70DE" w:rsidDel="00D65BFB">
              <w:t xml:space="preserve"> </w:t>
            </w:r>
            <w:r w:rsidR="00BE5C9A" w:rsidRPr="00FD70DE">
              <w:t>%</w:t>
            </w:r>
          </w:p>
        </w:tc>
      </w:tr>
      <w:tr w:rsidR="00FB05A4" w:rsidRPr="00FD70DE" w14:paraId="6EB31B9F" w14:textId="77777777" w:rsidTr="00165A07">
        <w:trPr>
          <w:cantSplit/>
          <w:trHeight w:val="270"/>
        </w:trPr>
        <w:tc>
          <w:tcPr>
            <w:tcW w:w="195" w:type="pct"/>
            <w:shd w:val="clear" w:color="auto" w:fill="auto"/>
          </w:tcPr>
          <w:p w14:paraId="49005131" w14:textId="77777777" w:rsidR="00BE5C9A" w:rsidRPr="00FD70DE" w:rsidRDefault="00BE5C9A" w:rsidP="00AC3BE0">
            <w:pPr>
              <w:pStyle w:val="TableText"/>
            </w:pPr>
            <w:r w:rsidRPr="00FD70DE">
              <w:t>L</w:t>
            </w:r>
          </w:p>
        </w:tc>
        <w:tc>
          <w:tcPr>
            <w:tcW w:w="589" w:type="pct"/>
            <w:shd w:val="clear" w:color="auto" w:fill="auto"/>
          </w:tcPr>
          <w:p w14:paraId="2C379041" w14:textId="332419BF" w:rsidR="00BE5C9A" w:rsidRPr="00FD70DE" w:rsidRDefault="00BE5C9A" w:rsidP="00AC3BE0">
            <w:pPr>
              <w:pStyle w:val="TableText"/>
            </w:pPr>
            <w:r w:rsidRPr="00FD70DE">
              <w:t xml:space="preserve">Patients tested </w:t>
            </w:r>
            <w:r w:rsidR="00A13E5F" w:rsidRPr="00FD70DE">
              <w:t xml:space="preserve">for </w:t>
            </w:r>
            <w:r w:rsidRPr="00FD70DE">
              <w:t>HDV RNA following listing (J × K)</w:t>
            </w:r>
          </w:p>
        </w:tc>
        <w:tc>
          <w:tcPr>
            <w:tcW w:w="792" w:type="pct"/>
            <w:shd w:val="clear" w:color="auto" w:fill="auto"/>
          </w:tcPr>
          <w:p w14:paraId="6AA5E414" w14:textId="77777777" w:rsidR="00BE5C9A" w:rsidRPr="00FD70DE" w:rsidRDefault="00BE5C9A" w:rsidP="00AC3BE0">
            <w:pPr>
              <w:pStyle w:val="TableText"/>
              <w:jc w:val="center"/>
            </w:pPr>
          </w:p>
        </w:tc>
        <w:tc>
          <w:tcPr>
            <w:tcW w:w="792" w:type="pct"/>
            <w:shd w:val="clear" w:color="auto" w:fill="auto"/>
          </w:tcPr>
          <w:p w14:paraId="792BC4A1" w14:textId="04920BD4" w:rsidR="00BE5C9A" w:rsidRPr="00FD70DE" w:rsidRDefault="005C5E86" w:rsidP="00AC3BE0">
            <w:pPr>
              <w:pStyle w:val="TableText"/>
              <w:jc w:val="center"/>
              <w:rPr>
                <w:b/>
                <w:bCs/>
              </w:rPr>
            </w:pPr>
            <w:r>
              <w:rPr>
                <w:b/>
                <w:bCs/>
              </w:rPr>
              <w:t>r</w:t>
            </w:r>
            <w:r w:rsidRPr="00160920">
              <w:rPr>
                <w:b/>
                <w:bCs/>
              </w:rPr>
              <w:t>edacted</w:t>
            </w:r>
            <w:r>
              <w:rPr>
                <w:b/>
                <w:bCs/>
                <w:vertAlign w:val="superscript"/>
              </w:rPr>
              <w:t>5</w:t>
            </w:r>
          </w:p>
        </w:tc>
        <w:tc>
          <w:tcPr>
            <w:tcW w:w="792" w:type="pct"/>
            <w:shd w:val="clear" w:color="auto" w:fill="auto"/>
          </w:tcPr>
          <w:p w14:paraId="1F234DE0" w14:textId="2E84A398" w:rsidR="00BE5C9A" w:rsidRPr="00FD70DE" w:rsidRDefault="005C5E86" w:rsidP="00AC3BE0">
            <w:pPr>
              <w:pStyle w:val="TableText"/>
              <w:jc w:val="center"/>
              <w:rPr>
                <w:b/>
                <w:bCs/>
              </w:rPr>
            </w:pPr>
            <w:r>
              <w:rPr>
                <w:b/>
                <w:bCs/>
              </w:rPr>
              <w:t>r</w:t>
            </w:r>
            <w:r w:rsidRPr="00160920">
              <w:rPr>
                <w:b/>
                <w:bCs/>
              </w:rPr>
              <w:t>edacted</w:t>
            </w:r>
            <w:r>
              <w:rPr>
                <w:b/>
                <w:bCs/>
                <w:vertAlign w:val="superscript"/>
              </w:rPr>
              <w:t>5</w:t>
            </w:r>
          </w:p>
        </w:tc>
        <w:tc>
          <w:tcPr>
            <w:tcW w:w="613" w:type="pct"/>
            <w:shd w:val="clear" w:color="auto" w:fill="auto"/>
          </w:tcPr>
          <w:p w14:paraId="286F47BE" w14:textId="4159D081" w:rsidR="00BE5C9A" w:rsidRPr="00FD70DE" w:rsidRDefault="005C5E86" w:rsidP="00AC3BE0">
            <w:pPr>
              <w:pStyle w:val="TableText"/>
              <w:jc w:val="center"/>
              <w:rPr>
                <w:b/>
                <w:bCs/>
              </w:rPr>
            </w:pPr>
            <w:r>
              <w:rPr>
                <w:b/>
                <w:bCs/>
              </w:rPr>
              <w:t>r</w:t>
            </w:r>
            <w:r w:rsidRPr="00160920">
              <w:rPr>
                <w:b/>
                <w:bCs/>
              </w:rPr>
              <w:t>edacted</w:t>
            </w:r>
            <w:r>
              <w:rPr>
                <w:b/>
                <w:bCs/>
                <w:vertAlign w:val="superscript"/>
              </w:rPr>
              <w:t>5</w:t>
            </w:r>
          </w:p>
        </w:tc>
        <w:tc>
          <w:tcPr>
            <w:tcW w:w="613" w:type="pct"/>
            <w:shd w:val="clear" w:color="auto" w:fill="auto"/>
          </w:tcPr>
          <w:p w14:paraId="502014CC" w14:textId="51B85F72" w:rsidR="00BE5C9A" w:rsidRPr="00FD70DE" w:rsidRDefault="005C5E86" w:rsidP="00AC3BE0">
            <w:pPr>
              <w:pStyle w:val="TableText"/>
              <w:jc w:val="center"/>
              <w:rPr>
                <w:b/>
                <w:bCs/>
              </w:rPr>
            </w:pPr>
            <w:r>
              <w:rPr>
                <w:b/>
                <w:bCs/>
              </w:rPr>
              <w:t>r</w:t>
            </w:r>
            <w:r w:rsidRPr="00160920">
              <w:rPr>
                <w:b/>
                <w:bCs/>
              </w:rPr>
              <w:t>edacted</w:t>
            </w:r>
            <w:r>
              <w:rPr>
                <w:b/>
                <w:bCs/>
                <w:vertAlign w:val="superscript"/>
              </w:rPr>
              <w:t>5</w:t>
            </w:r>
          </w:p>
        </w:tc>
        <w:tc>
          <w:tcPr>
            <w:tcW w:w="613" w:type="pct"/>
            <w:shd w:val="clear" w:color="auto" w:fill="auto"/>
          </w:tcPr>
          <w:p w14:paraId="79CAA89A" w14:textId="3342B21D" w:rsidR="00BE5C9A" w:rsidRPr="00FD70DE" w:rsidRDefault="005C5E86" w:rsidP="00AC3BE0">
            <w:pPr>
              <w:pStyle w:val="TableText"/>
              <w:jc w:val="center"/>
              <w:rPr>
                <w:b/>
                <w:bCs/>
              </w:rPr>
            </w:pPr>
            <w:r>
              <w:rPr>
                <w:b/>
                <w:bCs/>
              </w:rPr>
              <w:t>r</w:t>
            </w:r>
            <w:r w:rsidRPr="00160920">
              <w:rPr>
                <w:b/>
                <w:bCs/>
              </w:rPr>
              <w:t>edacted</w:t>
            </w:r>
            <w:r>
              <w:rPr>
                <w:b/>
                <w:bCs/>
                <w:vertAlign w:val="superscript"/>
              </w:rPr>
              <w:t>5</w:t>
            </w:r>
          </w:p>
        </w:tc>
      </w:tr>
      <w:tr w:rsidR="00071E21" w:rsidRPr="00FD70DE" w14:paraId="36AACF8D" w14:textId="77777777" w:rsidTr="37C20EEE">
        <w:trPr>
          <w:cantSplit/>
          <w:trHeight w:val="270"/>
        </w:trPr>
        <w:tc>
          <w:tcPr>
            <w:tcW w:w="5000" w:type="pct"/>
            <w:gridSpan w:val="8"/>
            <w:shd w:val="clear" w:color="auto" w:fill="auto"/>
          </w:tcPr>
          <w:p w14:paraId="68379061" w14:textId="77777777" w:rsidR="00BE5C9A" w:rsidRPr="00FD70DE" w:rsidRDefault="00BE5C9A" w:rsidP="00AC3BE0">
            <w:pPr>
              <w:pStyle w:val="In-tableHeading"/>
              <w:rPr>
                <w:lang w:val="en-AU"/>
              </w:rPr>
            </w:pPr>
            <w:r w:rsidRPr="00FD70DE">
              <w:rPr>
                <w:lang w:val="en-AU"/>
              </w:rPr>
              <w:t>Incident patients</w:t>
            </w:r>
          </w:p>
        </w:tc>
      </w:tr>
      <w:tr w:rsidR="00FB05A4" w:rsidRPr="00FD70DE" w14:paraId="68EB2A18" w14:textId="77777777" w:rsidTr="00165A07">
        <w:trPr>
          <w:cantSplit/>
          <w:trHeight w:val="270"/>
        </w:trPr>
        <w:tc>
          <w:tcPr>
            <w:tcW w:w="195" w:type="pct"/>
            <w:shd w:val="clear" w:color="auto" w:fill="auto"/>
          </w:tcPr>
          <w:p w14:paraId="51E926CB" w14:textId="77777777" w:rsidR="00BE5C9A" w:rsidRPr="00FD70DE" w:rsidRDefault="00BE5C9A" w:rsidP="00AC3BE0">
            <w:pPr>
              <w:pStyle w:val="TableText"/>
            </w:pPr>
            <w:r w:rsidRPr="00FD70DE">
              <w:t>M</w:t>
            </w:r>
          </w:p>
        </w:tc>
        <w:tc>
          <w:tcPr>
            <w:tcW w:w="589" w:type="pct"/>
            <w:shd w:val="clear" w:color="auto" w:fill="auto"/>
          </w:tcPr>
          <w:p w14:paraId="78821A07" w14:textId="6225BC52" w:rsidR="00BE5C9A" w:rsidRPr="00FD70DE" w:rsidRDefault="00BE5C9A" w:rsidP="00AC3BE0">
            <w:pPr>
              <w:pStyle w:val="TableText"/>
            </w:pPr>
            <w:r w:rsidRPr="00FD70DE">
              <w:rPr>
                <w:rFonts w:cstheme="minorHAnsi"/>
              </w:rPr>
              <w:t xml:space="preserve">CHB patients diagnosed population (row </w:t>
            </w:r>
            <w:r w:rsidR="00722B3C" w:rsidRPr="00FD70DE">
              <w:rPr>
                <w:rFonts w:cstheme="minorHAnsi"/>
              </w:rPr>
              <w:t>X</w:t>
            </w:r>
            <w:r w:rsidRPr="00FD70DE">
              <w:rPr>
                <w:rFonts w:cstheme="minorHAnsi"/>
              </w:rPr>
              <w:t>)</w:t>
            </w:r>
          </w:p>
        </w:tc>
        <w:tc>
          <w:tcPr>
            <w:tcW w:w="792" w:type="pct"/>
            <w:shd w:val="clear" w:color="auto" w:fill="auto"/>
          </w:tcPr>
          <w:p w14:paraId="710F1957" w14:textId="77777777" w:rsidR="00265850" w:rsidRDefault="00265850" w:rsidP="00265850">
            <w:pPr>
              <w:pStyle w:val="TableText"/>
              <w:jc w:val="center"/>
            </w:pPr>
            <w:r>
              <w:rPr>
                <w:b/>
                <w:bCs/>
              </w:rPr>
              <w:t>r</w:t>
            </w:r>
            <w:r w:rsidRPr="00160920">
              <w:rPr>
                <w:b/>
                <w:bCs/>
              </w:rPr>
              <w:t>edacted</w:t>
            </w:r>
            <w:r w:rsidRPr="005737C9">
              <w:rPr>
                <w:b/>
                <w:bCs/>
                <w:vertAlign w:val="superscript"/>
              </w:rPr>
              <w:t>3</w:t>
            </w:r>
          </w:p>
          <w:p w14:paraId="322D680B" w14:textId="571914E9" w:rsidR="00BE5C9A" w:rsidRPr="00FD70DE" w:rsidRDefault="00BE5C9A" w:rsidP="00265850">
            <w:pPr>
              <w:pStyle w:val="TableText"/>
              <w:jc w:val="center"/>
            </w:pPr>
          </w:p>
        </w:tc>
        <w:tc>
          <w:tcPr>
            <w:tcW w:w="792" w:type="pct"/>
            <w:shd w:val="clear" w:color="auto" w:fill="auto"/>
          </w:tcPr>
          <w:p w14:paraId="353F5BAC" w14:textId="77777777" w:rsidR="00265850" w:rsidRDefault="00265850" w:rsidP="00265850">
            <w:pPr>
              <w:pStyle w:val="TableText"/>
              <w:jc w:val="center"/>
            </w:pPr>
            <w:r>
              <w:rPr>
                <w:b/>
                <w:bCs/>
              </w:rPr>
              <w:t>r</w:t>
            </w:r>
            <w:r w:rsidRPr="00160920">
              <w:rPr>
                <w:b/>
                <w:bCs/>
              </w:rPr>
              <w:t>edacted</w:t>
            </w:r>
            <w:r w:rsidRPr="005737C9">
              <w:rPr>
                <w:b/>
                <w:bCs/>
                <w:vertAlign w:val="superscript"/>
              </w:rPr>
              <w:t>3</w:t>
            </w:r>
          </w:p>
          <w:p w14:paraId="12FD3E3F" w14:textId="78440170" w:rsidR="00BE5C9A" w:rsidRPr="00FD70DE" w:rsidRDefault="00BE5C9A" w:rsidP="00265850">
            <w:pPr>
              <w:pStyle w:val="TableText"/>
              <w:jc w:val="center"/>
            </w:pPr>
          </w:p>
        </w:tc>
        <w:tc>
          <w:tcPr>
            <w:tcW w:w="792" w:type="pct"/>
            <w:shd w:val="clear" w:color="auto" w:fill="auto"/>
          </w:tcPr>
          <w:p w14:paraId="7BD77C1A" w14:textId="77777777" w:rsidR="00265850" w:rsidRDefault="00265850" w:rsidP="00265850">
            <w:pPr>
              <w:pStyle w:val="TableText"/>
              <w:jc w:val="center"/>
            </w:pPr>
            <w:r>
              <w:rPr>
                <w:b/>
                <w:bCs/>
              </w:rPr>
              <w:t>r</w:t>
            </w:r>
            <w:r w:rsidRPr="00160920">
              <w:rPr>
                <w:b/>
                <w:bCs/>
              </w:rPr>
              <w:t>edacted</w:t>
            </w:r>
            <w:r w:rsidRPr="005737C9">
              <w:rPr>
                <w:b/>
                <w:bCs/>
                <w:vertAlign w:val="superscript"/>
              </w:rPr>
              <w:t>3</w:t>
            </w:r>
          </w:p>
          <w:p w14:paraId="1849BEF8" w14:textId="63F81AE0" w:rsidR="00BE5C9A" w:rsidRPr="00FD70DE" w:rsidRDefault="00BE5C9A" w:rsidP="00265850">
            <w:pPr>
              <w:pStyle w:val="TableText"/>
              <w:jc w:val="center"/>
            </w:pPr>
          </w:p>
        </w:tc>
        <w:tc>
          <w:tcPr>
            <w:tcW w:w="613" w:type="pct"/>
            <w:shd w:val="clear" w:color="auto" w:fill="auto"/>
          </w:tcPr>
          <w:p w14:paraId="2F4D4BEA" w14:textId="77777777" w:rsidR="00265850" w:rsidRDefault="00265850" w:rsidP="00265850">
            <w:pPr>
              <w:pStyle w:val="TableText"/>
              <w:jc w:val="center"/>
            </w:pPr>
            <w:r>
              <w:rPr>
                <w:b/>
                <w:bCs/>
              </w:rPr>
              <w:t>r</w:t>
            </w:r>
            <w:r w:rsidRPr="00160920">
              <w:rPr>
                <w:b/>
                <w:bCs/>
              </w:rPr>
              <w:t>edacted</w:t>
            </w:r>
            <w:r w:rsidRPr="005737C9">
              <w:rPr>
                <w:b/>
                <w:bCs/>
                <w:vertAlign w:val="superscript"/>
              </w:rPr>
              <w:t>3</w:t>
            </w:r>
          </w:p>
          <w:p w14:paraId="602FFFE4" w14:textId="402BE083" w:rsidR="00BE5C9A" w:rsidRPr="00FD70DE" w:rsidRDefault="00BE5C9A" w:rsidP="00265850">
            <w:pPr>
              <w:pStyle w:val="TableText"/>
              <w:jc w:val="center"/>
            </w:pPr>
          </w:p>
        </w:tc>
        <w:tc>
          <w:tcPr>
            <w:tcW w:w="613" w:type="pct"/>
            <w:shd w:val="clear" w:color="auto" w:fill="auto"/>
          </w:tcPr>
          <w:p w14:paraId="76180045" w14:textId="77777777" w:rsidR="00265850" w:rsidRDefault="00265850" w:rsidP="00265850">
            <w:pPr>
              <w:pStyle w:val="TableText"/>
              <w:jc w:val="center"/>
            </w:pPr>
            <w:r>
              <w:rPr>
                <w:b/>
                <w:bCs/>
              </w:rPr>
              <w:t>r</w:t>
            </w:r>
            <w:r w:rsidRPr="00160920">
              <w:rPr>
                <w:b/>
                <w:bCs/>
              </w:rPr>
              <w:t>edacted</w:t>
            </w:r>
            <w:r w:rsidRPr="005737C9">
              <w:rPr>
                <w:b/>
                <w:bCs/>
                <w:vertAlign w:val="superscript"/>
              </w:rPr>
              <w:t>3</w:t>
            </w:r>
          </w:p>
          <w:p w14:paraId="2C78B8D4" w14:textId="6E50D2F6" w:rsidR="00BE5C9A" w:rsidRPr="00FD70DE" w:rsidRDefault="00BE5C9A" w:rsidP="00265850">
            <w:pPr>
              <w:pStyle w:val="TableText"/>
              <w:jc w:val="center"/>
            </w:pPr>
          </w:p>
        </w:tc>
        <w:tc>
          <w:tcPr>
            <w:tcW w:w="613" w:type="pct"/>
            <w:shd w:val="clear" w:color="auto" w:fill="auto"/>
          </w:tcPr>
          <w:p w14:paraId="15E17DB6" w14:textId="77777777" w:rsidR="00265850" w:rsidRDefault="00265850" w:rsidP="00265850">
            <w:pPr>
              <w:pStyle w:val="TableText"/>
              <w:jc w:val="center"/>
            </w:pPr>
            <w:r>
              <w:rPr>
                <w:b/>
                <w:bCs/>
              </w:rPr>
              <w:t>r</w:t>
            </w:r>
            <w:r w:rsidRPr="00160920">
              <w:rPr>
                <w:b/>
                <w:bCs/>
              </w:rPr>
              <w:t>edacted</w:t>
            </w:r>
            <w:r w:rsidRPr="005737C9">
              <w:rPr>
                <w:b/>
                <w:bCs/>
                <w:vertAlign w:val="superscript"/>
              </w:rPr>
              <w:t>3</w:t>
            </w:r>
          </w:p>
          <w:p w14:paraId="2E575F2E" w14:textId="2DBA0B40" w:rsidR="00BE5C9A" w:rsidRPr="00FD70DE" w:rsidRDefault="00BE5C9A" w:rsidP="00265850">
            <w:pPr>
              <w:pStyle w:val="TableText"/>
              <w:jc w:val="center"/>
            </w:pPr>
          </w:p>
        </w:tc>
      </w:tr>
      <w:tr w:rsidR="00071E21" w:rsidRPr="00FD70DE" w14:paraId="3B0BA5CE" w14:textId="77777777" w:rsidTr="37C20EEE">
        <w:trPr>
          <w:cantSplit/>
          <w:trHeight w:val="270"/>
        </w:trPr>
        <w:tc>
          <w:tcPr>
            <w:tcW w:w="5000" w:type="pct"/>
            <w:gridSpan w:val="8"/>
            <w:shd w:val="clear" w:color="auto" w:fill="auto"/>
          </w:tcPr>
          <w:p w14:paraId="20BAD860" w14:textId="77777777" w:rsidR="00BE5C9A" w:rsidRPr="00FD70DE" w:rsidRDefault="00BE5C9A" w:rsidP="00AC3BE0">
            <w:pPr>
              <w:pStyle w:val="TableText"/>
            </w:pPr>
            <w:r w:rsidRPr="00FD70DE">
              <w:t>Prior to listing</w:t>
            </w:r>
          </w:p>
        </w:tc>
      </w:tr>
      <w:tr w:rsidR="00FB05A4" w:rsidRPr="00FD70DE" w14:paraId="25B5575F" w14:textId="77777777" w:rsidTr="00165A07">
        <w:trPr>
          <w:cantSplit/>
          <w:trHeight w:val="270"/>
        </w:trPr>
        <w:tc>
          <w:tcPr>
            <w:tcW w:w="195" w:type="pct"/>
            <w:shd w:val="clear" w:color="auto" w:fill="auto"/>
          </w:tcPr>
          <w:p w14:paraId="48E49BE3" w14:textId="77777777" w:rsidR="00BE5C9A" w:rsidRPr="00FD70DE" w:rsidRDefault="00BE5C9A" w:rsidP="00AC3BE0">
            <w:pPr>
              <w:pStyle w:val="TableText"/>
            </w:pPr>
            <w:r w:rsidRPr="00FD70DE">
              <w:t>N</w:t>
            </w:r>
          </w:p>
        </w:tc>
        <w:tc>
          <w:tcPr>
            <w:tcW w:w="589" w:type="pct"/>
            <w:shd w:val="clear" w:color="auto" w:fill="auto"/>
          </w:tcPr>
          <w:p w14:paraId="053D3B52" w14:textId="77777777" w:rsidR="00BE5C9A" w:rsidRPr="00FD70DE" w:rsidRDefault="00BE5C9A" w:rsidP="00AC3BE0">
            <w:pPr>
              <w:pStyle w:val="TableText"/>
              <w:rPr>
                <w:rFonts w:cstheme="minorHAnsi"/>
              </w:rPr>
            </w:pPr>
            <w:r w:rsidRPr="00FD70DE">
              <w:t>No. chronic HBV patients tested for anti-HDV (M × 35.0%)</w:t>
            </w:r>
          </w:p>
        </w:tc>
        <w:tc>
          <w:tcPr>
            <w:tcW w:w="792" w:type="pct"/>
            <w:shd w:val="clear" w:color="auto" w:fill="auto"/>
          </w:tcPr>
          <w:p w14:paraId="191962D4" w14:textId="554E4EAC" w:rsidR="00BE5C9A" w:rsidRPr="00FD70DE" w:rsidRDefault="00136208" w:rsidP="00AC3BE0">
            <w:pPr>
              <w:pStyle w:val="TableText"/>
              <w:jc w:val="center"/>
              <w:rPr>
                <w:rFonts w:cstheme="minorHAnsi"/>
              </w:rPr>
            </w:pPr>
            <w:r>
              <w:rPr>
                <w:b/>
                <w:bCs/>
              </w:rPr>
              <w:t>r</w:t>
            </w:r>
            <w:r w:rsidRPr="00160920">
              <w:rPr>
                <w:b/>
                <w:bCs/>
              </w:rPr>
              <w:t>edacted</w:t>
            </w:r>
            <w:r w:rsidRPr="009753A7">
              <w:rPr>
                <w:b/>
                <w:bCs/>
                <w:vertAlign w:val="superscript"/>
              </w:rPr>
              <w:t>4</w:t>
            </w:r>
            <w:r>
              <w:t xml:space="preserve"> </w:t>
            </w:r>
          </w:p>
        </w:tc>
        <w:tc>
          <w:tcPr>
            <w:tcW w:w="792" w:type="pct"/>
            <w:shd w:val="clear" w:color="auto" w:fill="auto"/>
          </w:tcPr>
          <w:p w14:paraId="7DF10EAB" w14:textId="382CEDB5" w:rsidR="00BE5C9A" w:rsidRPr="00FD70DE" w:rsidRDefault="00136208" w:rsidP="00AC3BE0">
            <w:pPr>
              <w:pStyle w:val="TableText"/>
              <w:jc w:val="center"/>
              <w:rPr>
                <w:rFonts w:cstheme="minorHAnsi"/>
              </w:rPr>
            </w:pPr>
            <w:r>
              <w:rPr>
                <w:b/>
                <w:bCs/>
              </w:rPr>
              <w:t>r</w:t>
            </w:r>
            <w:r w:rsidRPr="00160920">
              <w:rPr>
                <w:b/>
                <w:bCs/>
              </w:rPr>
              <w:t>edacted</w:t>
            </w:r>
            <w:r w:rsidRPr="009753A7">
              <w:rPr>
                <w:b/>
                <w:bCs/>
                <w:vertAlign w:val="superscript"/>
              </w:rPr>
              <w:t>4</w:t>
            </w:r>
            <w:r>
              <w:t xml:space="preserve"> </w:t>
            </w:r>
          </w:p>
        </w:tc>
        <w:tc>
          <w:tcPr>
            <w:tcW w:w="792" w:type="pct"/>
            <w:shd w:val="clear" w:color="auto" w:fill="auto"/>
          </w:tcPr>
          <w:p w14:paraId="23CCA40B" w14:textId="2EA80EB3" w:rsidR="00BE5C9A" w:rsidRPr="00FD70DE" w:rsidRDefault="00136208" w:rsidP="00AC3BE0">
            <w:pPr>
              <w:pStyle w:val="TableText"/>
              <w:jc w:val="center"/>
              <w:rPr>
                <w:rFonts w:cstheme="minorHAnsi"/>
              </w:rPr>
            </w:pPr>
            <w:r>
              <w:rPr>
                <w:b/>
                <w:bCs/>
              </w:rPr>
              <w:t>r</w:t>
            </w:r>
            <w:r w:rsidRPr="00160920">
              <w:rPr>
                <w:b/>
                <w:bCs/>
              </w:rPr>
              <w:t>edacted</w:t>
            </w:r>
            <w:r w:rsidRPr="009753A7">
              <w:rPr>
                <w:b/>
                <w:bCs/>
                <w:vertAlign w:val="superscript"/>
              </w:rPr>
              <w:t>4</w:t>
            </w:r>
            <w:r>
              <w:t xml:space="preserve"> </w:t>
            </w:r>
          </w:p>
        </w:tc>
        <w:tc>
          <w:tcPr>
            <w:tcW w:w="613" w:type="pct"/>
            <w:shd w:val="clear" w:color="auto" w:fill="auto"/>
          </w:tcPr>
          <w:p w14:paraId="7CBDFF74" w14:textId="0048A99F" w:rsidR="00BE5C9A" w:rsidRPr="00FD70DE" w:rsidRDefault="00136208" w:rsidP="00AC3BE0">
            <w:pPr>
              <w:pStyle w:val="TableText"/>
              <w:jc w:val="center"/>
              <w:rPr>
                <w:rFonts w:cstheme="minorHAnsi"/>
              </w:rPr>
            </w:pPr>
            <w:r>
              <w:rPr>
                <w:b/>
                <w:bCs/>
              </w:rPr>
              <w:t>r</w:t>
            </w:r>
            <w:r w:rsidRPr="00160920">
              <w:rPr>
                <w:b/>
                <w:bCs/>
              </w:rPr>
              <w:t>edacted</w:t>
            </w:r>
            <w:r w:rsidRPr="009753A7">
              <w:rPr>
                <w:b/>
                <w:bCs/>
                <w:vertAlign w:val="superscript"/>
              </w:rPr>
              <w:t>4</w:t>
            </w:r>
            <w:r>
              <w:t xml:space="preserve"> </w:t>
            </w:r>
          </w:p>
        </w:tc>
        <w:tc>
          <w:tcPr>
            <w:tcW w:w="613" w:type="pct"/>
            <w:shd w:val="clear" w:color="auto" w:fill="auto"/>
          </w:tcPr>
          <w:p w14:paraId="1FFDED98" w14:textId="7E9FDBE6" w:rsidR="00BE5C9A" w:rsidRPr="00FD70DE" w:rsidRDefault="00136208" w:rsidP="00AC3BE0">
            <w:pPr>
              <w:pStyle w:val="TableText"/>
              <w:jc w:val="center"/>
              <w:rPr>
                <w:rFonts w:cstheme="minorHAnsi"/>
              </w:rPr>
            </w:pPr>
            <w:r>
              <w:rPr>
                <w:b/>
                <w:bCs/>
              </w:rPr>
              <w:t>r</w:t>
            </w:r>
            <w:r w:rsidRPr="00160920">
              <w:rPr>
                <w:b/>
                <w:bCs/>
              </w:rPr>
              <w:t>edacted</w:t>
            </w:r>
            <w:r w:rsidRPr="009753A7">
              <w:rPr>
                <w:b/>
                <w:bCs/>
                <w:vertAlign w:val="superscript"/>
              </w:rPr>
              <w:t>4</w:t>
            </w:r>
            <w:r>
              <w:t xml:space="preserve"> </w:t>
            </w:r>
          </w:p>
        </w:tc>
        <w:tc>
          <w:tcPr>
            <w:tcW w:w="613" w:type="pct"/>
            <w:shd w:val="clear" w:color="auto" w:fill="auto"/>
          </w:tcPr>
          <w:p w14:paraId="6B909BC9" w14:textId="55C40E07" w:rsidR="00BE5C9A" w:rsidRPr="00FD70DE" w:rsidRDefault="00136208" w:rsidP="00AC3BE0">
            <w:pPr>
              <w:pStyle w:val="TableText"/>
              <w:jc w:val="center"/>
              <w:rPr>
                <w:rFonts w:cstheme="minorHAnsi"/>
              </w:rPr>
            </w:pPr>
            <w:r>
              <w:rPr>
                <w:b/>
                <w:bCs/>
              </w:rPr>
              <w:t>r</w:t>
            </w:r>
            <w:r w:rsidRPr="00160920">
              <w:rPr>
                <w:b/>
                <w:bCs/>
              </w:rPr>
              <w:t>edacted</w:t>
            </w:r>
            <w:r w:rsidRPr="009753A7">
              <w:rPr>
                <w:b/>
                <w:bCs/>
                <w:vertAlign w:val="superscript"/>
              </w:rPr>
              <w:t>4</w:t>
            </w:r>
            <w:r>
              <w:t xml:space="preserve"> </w:t>
            </w:r>
          </w:p>
        </w:tc>
      </w:tr>
      <w:tr w:rsidR="00FB05A4" w:rsidRPr="00FD70DE" w14:paraId="61352D1A" w14:textId="77777777" w:rsidTr="00165A07">
        <w:trPr>
          <w:cantSplit/>
          <w:trHeight w:val="270"/>
        </w:trPr>
        <w:tc>
          <w:tcPr>
            <w:tcW w:w="195" w:type="pct"/>
            <w:shd w:val="clear" w:color="auto" w:fill="auto"/>
          </w:tcPr>
          <w:p w14:paraId="38E599F9" w14:textId="77777777" w:rsidR="00BE5C9A" w:rsidRPr="00FD70DE" w:rsidRDefault="00BE5C9A" w:rsidP="00AC3BE0">
            <w:pPr>
              <w:pStyle w:val="TableText"/>
            </w:pPr>
            <w:r w:rsidRPr="00FD70DE">
              <w:t>O</w:t>
            </w:r>
          </w:p>
        </w:tc>
        <w:tc>
          <w:tcPr>
            <w:tcW w:w="589" w:type="pct"/>
            <w:shd w:val="clear" w:color="auto" w:fill="auto"/>
          </w:tcPr>
          <w:p w14:paraId="5B50C3B7" w14:textId="77777777" w:rsidR="00BE5C9A" w:rsidRPr="00FD70DE" w:rsidRDefault="00BE5C9A" w:rsidP="00AC3BE0">
            <w:pPr>
              <w:pStyle w:val="TableText"/>
            </w:pPr>
            <w:r w:rsidRPr="00FD70DE">
              <w:t>No. chronic HBV patients found with anti-HDV+ (N × 4.06%)</w:t>
            </w:r>
          </w:p>
        </w:tc>
        <w:tc>
          <w:tcPr>
            <w:tcW w:w="792" w:type="pct"/>
            <w:shd w:val="clear" w:color="auto" w:fill="auto"/>
          </w:tcPr>
          <w:p w14:paraId="447130A7" w14:textId="3E2E9C45"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45644318" w14:textId="1D2DEAC5"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326ED40D" w14:textId="05944A08"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60C9B284" w14:textId="24E8CCCE"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34D249D8" w14:textId="1205C1A5"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0267BFC9" w14:textId="01E2A35F"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r>
      <w:tr w:rsidR="00FB05A4" w:rsidRPr="00FD70DE" w14:paraId="50795471" w14:textId="77777777" w:rsidTr="00165A07">
        <w:trPr>
          <w:cantSplit/>
          <w:trHeight w:val="270"/>
        </w:trPr>
        <w:tc>
          <w:tcPr>
            <w:tcW w:w="195" w:type="pct"/>
            <w:shd w:val="clear" w:color="auto" w:fill="auto"/>
          </w:tcPr>
          <w:p w14:paraId="5010294B" w14:textId="77777777" w:rsidR="00BE5C9A" w:rsidRPr="00FD70DE" w:rsidRDefault="00BE5C9A" w:rsidP="00AC3BE0">
            <w:pPr>
              <w:pStyle w:val="TableText"/>
            </w:pPr>
            <w:r w:rsidRPr="00FD70DE">
              <w:t>P</w:t>
            </w:r>
          </w:p>
        </w:tc>
        <w:tc>
          <w:tcPr>
            <w:tcW w:w="589" w:type="pct"/>
            <w:shd w:val="clear" w:color="auto" w:fill="auto"/>
          </w:tcPr>
          <w:p w14:paraId="170D13D7" w14:textId="77777777" w:rsidR="00BE5C9A" w:rsidRPr="00FD70DE" w:rsidRDefault="00BE5C9A" w:rsidP="00AC3BE0">
            <w:pPr>
              <w:pStyle w:val="TableText"/>
            </w:pPr>
            <w:r w:rsidRPr="00FD70DE">
              <w:t>No. patients with anti-HDV+ who received HDV RNA testing (O × 44.4%)</w:t>
            </w:r>
          </w:p>
        </w:tc>
        <w:tc>
          <w:tcPr>
            <w:tcW w:w="792" w:type="pct"/>
            <w:shd w:val="clear" w:color="auto" w:fill="auto"/>
          </w:tcPr>
          <w:p w14:paraId="6BBEE0AA" w14:textId="6EA2317A"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14BDD77E" w14:textId="5F50F77A"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5200A875" w14:textId="4032F24A"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7E4B665E" w14:textId="7D85DB18"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2DA32A7F" w14:textId="13331C3C"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67A217D6" w14:textId="2ACEEEA8" w:rsidR="00BE5C9A" w:rsidRPr="00FD70DE" w:rsidRDefault="002D6C09" w:rsidP="00AC3BE0">
            <w:pPr>
              <w:pStyle w:val="TableText"/>
              <w:jc w:val="center"/>
            </w:pPr>
            <w:r>
              <w:rPr>
                <w:b/>
                <w:bCs/>
              </w:rPr>
              <w:t>r</w:t>
            </w:r>
            <w:r w:rsidRPr="00160920">
              <w:rPr>
                <w:b/>
                <w:bCs/>
              </w:rPr>
              <w:t>edacted</w:t>
            </w:r>
            <w:r w:rsidRPr="00E46F24">
              <w:rPr>
                <w:b/>
                <w:bCs/>
                <w:vertAlign w:val="superscript"/>
              </w:rPr>
              <w:t>5</w:t>
            </w:r>
            <w:r>
              <w:t xml:space="preserve"> </w:t>
            </w:r>
          </w:p>
        </w:tc>
      </w:tr>
      <w:tr w:rsidR="00071E21" w:rsidRPr="00FD70DE" w14:paraId="51367EA2" w14:textId="77777777" w:rsidTr="37C20EEE">
        <w:trPr>
          <w:cantSplit/>
          <w:trHeight w:val="270"/>
        </w:trPr>
        <w:tc>
          <w:tcPr>
            <w:tcW w:w="5000" w:type="pct"/>
            <w:gridSpan w:val="8"/>
            <w:shd w:val="clear" w:color="auto" w:fill="auto"/>
          </w:tcPr>
          <w:p w14:paraId="59A95BE0" w14:textId="77777777" w:rsidR="00BE5C9A" w:rsidRPr="00FD70DE" w:rsidRDefault="00BE5C9A" w:rsidP="00AC3BE0">
            <w:pPr>
              <w:pStyle w:val="TableText"/>
            </w:pPr>
            <w:r w:rsidRPr="00FD70DE">
              <w:lastRenderedPageBreak/>
              <w:t>After listing</w:t>
            </w:r>
          </w:p>
        </w:tc>
      </w:tr>
      <w:tr w:rsidR="00FB05A4" w:rsidRPr="00FD70DE" w14:paraId="62F40C7C" w14:textId="77777777" w:rsidTr="00165A07">
        <w:trPr>
          <w:cantSplit/>
          <w:trHeight w:val="270"/>
        </w:trPr>
        <w:tc>
          <w:tcPr>
            <w:tcW w:w="195" w:type="pct"/>
            <w:shd w:val="clear" w:color="auto" w:fill="auto"/>
          </w:tcPr>
          <w:p w14:paraId="32A4FA06" w14:textId="77777777" w:rsidR="00BE5C9A" w:rsidRPr="00FD70DE" w:rsidRDefault="00BE5C9A" w:rsidP="00AC3BE0">
            <w:pPr>
              <w:pStyle w:val="TableText"/>
            </w:pPr>
            <w:r w:rsidRPr="00FD70DE">
              <w:t>Q</w:t>
            </w:r>
          </w:p>
        </w:tc>
        <w:tc>
          <w:tcPr>
            <w:tcW w:w="589" w:type="pct"/>
            <w:shd w:val="clear" w:color="auto" w:fill="auto"/>
          </w:tcPr>
          <w:p w14:paraId="7E18849A" w14:textId="77777777" w:rsidR="00BE5C9A" w:rsidRPr="00FD70DE" w:rsidRDefault="00BE5C9A" w:rsidP="00AC3BE0">
            <w:pPr>
              <w:pStyle w:val="TableText"/>
            </w:pPr>
            <w:r w:rsidRPr="00FD70DE">
              <w:t>Proportion chronic HBV patients tested for anti-HD</w:t>
            </w:r>
          </w:p>
        </w:tc>
        <w:tc>
          <w:tcPr>
            <w:tcW w:w="792" w:type="pct"/>
            <w:shd w:val="clear" w:color="auto" w:fill="auto"/>
          </w:tcPr>
          <w:p w14:paraId="0DA412A4" w14:textId="7928FC6D" w:rsidR="00BE5C9A" w:rsidRPr="00FD70DE" w:rsidRDefault="002D6C09" w:rsidP="00AC3BE0">
            <w:pPr>
              <w:pStyle w:val="TableText"/>
              <w:jc w:val="center"/>
            </w:pPr>
            <w:r>
              <w:rPr>
                <w:b/>
                <w:bCs/>
              </w:rPr>
              <w:t>r</w:t>
            </w:r>
            <w:r w:rsidRPr="00160920">
              <w:rPr>
                <w:b/>
                <w:bCs/>
              </w:rPr>
              <w:t>edacted</w:t>
            </w:r>
            <w:r w:rsidRPr="00FD70DE" w:rsidDel="002D6C09">
              <w:t xml:space="preserve"> </w:t>
            </w:r>
            <w:r w:rsidR="00BE5C9A" w:rsidRPr="00FD70DE">
              <w:t>%</w:t>
            </w:r>
          </w:p>
        </w:tc>
        <w:tc>
          <w:tcPr>
            <w:tcW w:w="792" w:type="pct"/>
            <w:shd w:val="clear" w:color="auto" w:fill="auto"/>
          </w:tcPr>
          <w:p w14:paraId="6A6BD972" w14:textId="3468E014" w:rsidR="00BE5C9A" w:rsidRPr="00FD70DE" w:rsidRDefault="002D6C09" w:rsidP="00AC3BE0">
            <w:pPr>
              <w:pStyle w:val="TableText"/>
              <w:jc w:val="center"/>
            </w:pPr>
            <w:r>
              <w:rPr>
                <w:b/>
                <w:bCs/>
              </w:rPr>
              <w:t>r</w:t>
            </w:r>
            <w:r w:rsidRPr="00160920">
              <w:rPr>
                <w:b/>
                <w:bCs/>
              </w:rPr>
              <w:t>edacted</w:t>
            </w:r>
            <w:r w:rsidRPr="00FD70DE" w:rsidDel="002D6C09">
              <w:t xml:space="preserve"> </w:t>
            </w:r>
            <w:r w:rsidR="00BE5C9A" w:rsidRPr="00FD70DE">
              <w:t>%</w:t>
            </w:r>
          </w:p>
        </w:tc>
        <w:tc>
          <w:tcPr>
            <w:tcW w:w="792" w:type="pct"/>
            <w:shd w:val="clear" w:color="auto" w:fill="auto"/>
          </w:tcPr>
          <w:p w14:paraId="4681C946" w14:textId="36692A1F" w:rsidR="00BE5C9A" w:rsidRPr="00FD70DE" w:rsidRDefault="002D6C09" w:rsidP="00AC3BE0">
            <w:pPr>
              <w:pStyle w:val="TableText"/>
              <w:jc w:val="center"/>
            </w:pPr>
            <w:r>
              <w:rPr>
                <w:b/>
                <w:bCs/>
              </w:rPr>
              <w:t>r</w:t>
            </w:r>
            <w:r w:rsidRPr="00160920">
              <w:rPr>
                <w:b/>
                <w:bCs/>
              </w:rPr>
              <w:t>edacted</w:t>
            </w:r>
            <w:r w:rsidRPr="00FD70DE" w:rsidDel="002D6C09">
              <w:t xml:space="preserve"> </w:t>
            </w:r>
            <w:r w:rsidR="00BE5C9A" w:rsidRPr="00FD70DE">
              <w:t>%</w:t>
            </w:r>
          </w:p>
        </w:tc>
        <w:tc>
          <w:tcPr>
            <w:tcW w:w="613" w:type="pct"/>
            <w:shd w:val="clear" w:color="auto" w:fill="auto"/>
          </w:tcPr>
          <w:p w14:paraId="7C135A9E" w14:textId="7B81AC58" w:rsidR="00BE5C9A" w:rsidRPr="00FD70DE" w:rsidRDefault="002D6C09" w:rsidP="00AC3BE0">
            <w:pPr>
              <w:pStyle w:val="TableText"/>
              <w:jc w:val="center"/>
            </w:pPr>
            <w:r>
              <w:rPr>
                <w:b/>
                <w:bCs/>
              </w:rPr>
              <w:t>r</w:t>
            </w:r>
            <w:r w:rsidRPr="00160920">
              <w:rPr>
                <w:b/>
                <w:bCs/>
              </w:rPr>
              <w:t>edacted</w:t>
            </w:r>
            <w:r w:rsidRPr="00FD70DE" w:rsidDel="002D6C09">
              <w:t xml:space="preserve"> </w:t>
            </w:r>
            <w:r w:rsidR="00BE5C9A" w:rsidRPr="00FD70DE">
              <w:t>%</w:t>
            </w:r>
          </w:p>
        </w:tc>
        <w:tc>
          <w:tcPr>
            <w:tcW w:w="613" w:type="pct"/>
            <w:shd w:val="clear" w:color="auto" w:fill="auto"/>
          </w:tcPr>
          <w:p w14:paraId="0D885796" w14:textId="38BD97F1" w:rsidR="00BE5C9A" w:rsidRPr="00FD70DE" w:rsidRDefault="002D6C09" w:rsidP="00AC3BE0">
            <w:pPr>
              <w:pStyle w:val="TableText"/>
              <w:jc w:val="center"/>
            </w:pPr>
            <w:r>
              <w:rPr>
                <w:b/>
                <w:bCs/>
              </w:rPr>
              <w:t>r</w:t>
            </w:r>
            <w:r w:rsidRPr="00160920">
              <w:rPr>
                <w:b/>
                <w:bCs/>
              </w:rPr>
              <w:t>edacted</w:t>
            </w:r>
            <w:r w:rsidRPr="00FD70DE" w:rsidDel="002D6C09">
              <w:t xml:space="preserve"> </w:t>
            </w:r>
            <w:r w:rsidR="00BE5C9A" w:rsidRPr="00FD70DE">
              <w:t>%</w:t>
            </w:r>
          </w:p>
        </w:tc>
        <w:tc>
          <w:tcPr>
            <w:tcW w:w="613" w:type="pct"/>
            <w:shd w:val="clear" w:color="auto" w:fill="auto"/>
          </w:tcPr>
          <w:p w14:paraId="4294D675" w14:textId="5C7AC8A6" w:rsidR="00BE5C9A" w:rsidRPr="00FD70DE" w:rsidRDefault="003D243A" w:rsidP="00AC3BE0">
            <w:pPr>
              <w:pStyle w:val="TableText"/>
              <w:jc w:val="center"/>
            </w:pPr>
            <w:r>
              <w:rPr>
                <w:b/>
                <w:bCs/>
              </w:rPr>
              <w:t>r</w:t>
            </w:r>
            <w:r w:rsidRPr="00160920">
              <w:rPr>
                <w:b/>
                <w:bCs/>
              </w:rPr>
              <w:t>edacted</w:t>
            </w:r>
            <w:r w:rsidRPr="00FD70DE" w:rsidDel="003D243A">
              <w:t xml:space="preserve"> </w:t>
            </w:r>
            <w:r w:rsidR="00BE5C9A" w:rsidRPr="00FD70DE">
              <w:t>%</w:t>
            </w:r>
          </w:p>
        </w:tc>
      </w:tr>
      <w:tr w:rsidR="00FB05A4" w:rsidRPr="00FD70DE" w14:paraId="5A2DF891" w14:textId="77777777" w:rsidTr="00165A07">
        <w:trPr>
          <w:cantSplit/>
          <w:trHeight w:val="270"/>
        </w:trPr>
        <w:tc>
          <w:tcPr>
            <w:tcW w:w="195" w:type="pct"/>
            <w:shd w:val="clear" w:color="auto" w:fill="auto"/>
          </w:tcPr>
          <w:p w14:paraId="478FE3E9" w14:textId="77777777" w:rsidR="00BE5C9A" w:rsidRPr="00FD70DE" w:rsidRDefault="00BE5C9A" w:rsidP="00AC3BE0">
            <w:pPr>
              <w:pStyle w:val="TableText"/>
            </w:pPr>
            <w:r w:rsidRPr="00FD70DE">
              <w:t>R</w:t>
            </w:r>
          </w:p>
        </w:tc>
        <w:tc>
          <w:tcPr>
            <w:tcW w:w="589" w:type="pct"/>
            <w:shd w:val="clear" w:color="auto" w:fill="auto"/>
          </w:tcPr>
          <w:p w14:paraId="76274CF0" w14:textId="77777777" w:rsidR="00BE5C9A" w:rsidRPr="00FD70DE" w:rsidRDefault="00BE5C9A" w:rsidP="00AC3BE0">
            <w:pPr>
              <w:pStyle w:val="TableText"/>
            </w:pPr>
            <w:r w:rsidRPr="00FD70DE">
              <w:t>No. chronic HBV patients tested for anti-HDV (M × R)</w:t>
            </w:r>
          </w:p>
        </w:tc>
        <w:tc>
          <w:tcPr>
            <w:tcW w:w="792" w:type="pct"/>
            <w:shd w:val="clear" w:color="auto" w:fill="auto"/>
          </w:tcPr>
          <w:p w14:paraId="5CBF9796" w14:textId="5FA67A19" w:rsidR="00BE5C9A" w:rsidRPr="00FD70DE" w:rsidRDefault="00E021DE" w:rsidP="00AC3BE0">
            <w:pPr>
              <w:pStyle w:val="TableText"/>
              <w:jc w:val="center"/>
            </w:pPr>
            <w:r>
              <w:rPr>
                <w:b/>
                <w:bCs/>
              </w:rPr>
              <w:t>r</w:t>
            </w:r>
            <w:r w:rsidRPr="00160920">
              <w:rPr>
                <w:b/>
                <w:bCs/>
              </w:rPr>
              <w:t>edacted</w:t>
            </w:r>
            <w:r w:rsidRPr="009753A7">
              <w:rPr>
                <w:b/>
                <w:bCs/>
                <w:vertAlign w:val="superscript"/>
              </w:rPr>
              <w:t>4</w:t>
            </w:r>
            <w:r>
              <w:t xml:space="preserve"> </w:t>
            </w:r>
          </w:p>
        </w:tc>
        <w:tc>
          <w:tcPr>
            <w:tcW w:w="792" w:type="pct"/>
            <w:shd w:val="clear" w:color="auto" w:fill="auto"/>
          </w:tcPr>
          <w:p w14:paraId="3D272DD5" w14:textId="10A6ED79" w:rsidR="00BE5C9A" w:rsidRPr="00FD70DE" w:rsidRDefault="00E021DE" w:rsidP="00AC3BE0">
            <w:pPr>
              <w:pStyle w:val="TableText"/>
              <w:jc w:val="center"/>
            </w:pPr>
            <w:r>
              <w:rPr>
                <w:b/>
                <w:bCs/>
              </w:rPr>
              <w:t>r</w:t>
            </w:r>
            <w:r w:rsidRPr="00160920">
              <w:rPr>
                <w:b/>
                <w:bCs/>
              </w:rPr>
              <w:t>edacted</w:t>
            </w:r>
            <w:r w:rsidRPr="009753A7">
              <w:rPr>
                <w:b/>
                <w:bCs/>
                <w:vertAlign w:val="superscript"/>
              </w:rPr>
              <w:t>4</w:t>
            </w:r>
            <w:r>
              <w:t xml:space="preserve"> </w:t>
            </w:r>
          </w:p>
        </w:tc>
        <w:tc>
          <w:tcPr>
            <w:tcW w:w="792" w:type="pct"/>
            <w:shd w:val="clear" w:color="auto" w:fill="auto"/>
          </w:tcPr>
          <w:p w14:paraId="23162424" w14:textId="6EF0ED02" w:rsidR="00BE5C9A" w:rsidRPr="00FD70DE" w:rsidRDefault="00E021DE" w:rsidP="00AC3BE0">
            <w:pPr>
              <w:pStyle w:val="TableText"/>
              <w:jc w:val="center"/>
            </w:pPr>
            <w:r>
              <w:rPr>
                <w:b/>
                <w:bCs/>
              </w:rPr>
              <w:t>r</w:t>
            </w:r>
            <w:r w:rsidRPr="00160920">
              <w:rPr>
                <w:b/>
                <w:bCs/>
              </w:rPr>
              <w:t>edacted</w:t>
            </w:r>
            <w:r w:rsidRPr="009753A7">
              <w:rPr>
                <w:b/>
                <w:bCs/>
                <w:vertAlign w:val="superscript"/>
              </w:rPr>
              <w:t>4</w:t>
            </w:r>
            <w:r>
              <w:t xml:space="preserve"> </w:t>
            </w:r>
          </w:p>
        </w:tc>
        <w:tc>
          <w:tcPr>
            <w:tcW w:w="613" w:type="pct"/>
            <w:shd w:val="clear" w:color="auto" w:fill="auto"/>
          </w:tcPr>
          <w:p w14:paraId="237531CD" w14:textId="2BC14C74" w:rsidR="00BE5C9A" w:rsidRPr="00FD70DE" w:rsidRDefault="00E021DE" w:rsidP="00AC3BE0">
            <w:pPr>
              <w:pStyle w:val="TableText"/>
              <w:jc w:val="center"/>
            </w:pPr>
            <w:r>
              <w:rPr>
                <w:b/>
                <w:bCs/>
              </w:rPr>
              <w:t>r</w:t>
            </w:r>
            <w:r w:rsidRPr="00160920">
              <w:rPr>
                <w:b/>
                <w:bCs/>
              </w:rPr>
              <w:t>edacted</w:t>
            </w:r>
            <w:r w:rsidRPr="009753A7">
              <w:rPr>
                <w:b/>
                <w:bCs/>
                <w:vertAlign w:val="superscript"/>
              </w:rPr>
              <w:t>4</w:t>
            </w:r>
            <w:r>
              <w:t xml:space="preserve"> </w:t>
            </w:r>
          </w:p>
        </w:tc>
        <w:tc>
          <w:tcPr>
            <w:tcW w:w="613" w:type="pct"/>
            <w:shd w:val="clear" w:color="auto" w:fill="auto"/>
          </w:tcPr>
          <w:p w14:paraId="62044C34" w14:textId="319ED92E" w:rsidR="00BE5C9A" w:rsidRPr="00FD70DE" w:rsidRDefault="00E021DE" w:rsidP="00AC3BE0">
            <w:pPr>
              <w:pStyle w:val="TableText"/>
              <w:jc w:val="center"/>
            </w:pPr>
            <w:r>
              <w:rPr>
                <w:b/>
                <w:bCs/>
              </w:rPr>
              <w:t>r</w:t>
            </w:r>
            <w:r w:rsidRPr="00160920">
              <w:rPr>
                <w:b/>
                <w:bCs/>
              </w:rPr>
              <w:t>edacted</w:t>
            </w:r>
            <w:r w:rsidRPr="009753A7">
              <w:rPr>
                <w:b/>
                <w:bCs/>
                <w:vertAlign w:val="superscript"/>
              </w:rPr>
              <w:t>4</w:t>
            </w:r>
            <w:r>
              <w:t xml:space="preserve"> </w:t>
            </w:r>
          </w:p>
        </w:tc>
        <w:tc>
          <w:tcPr>
            <w:tcW w:w="613" w:type="pct"/>
            <w:shd w:val="clear" w:color="auto" w:fill="auto"/>
          </w:tcPr>
          <w:p w14:paraId="59EC52B6" w14:textId="35FE87CA" w:rsidR="00BE5C9A" w:rsidRPr="00FD70DE" w:rsidRDefault="00E021DE" w:rsidP="00AC3BE0">
            <w:pPr>
              <w:pStyle w:val="TableText"/>
              <w:jc w:val="center"/>
            </w:pPr>
            <w:r>
              <w:rPr>
                <w:b/>
                <w:bCs/>
              </w:rPr>
              <w:t>r</w:t>
            </w:r>
            <w:r w:rsidRPr="00160920">
              <w:rPr>
                <w:b/>
                <w:bCs/>
              </w:rPr>
              <w:t>edacted</w:t>
            </w:r>
            <w:r w:rsidRPr="009753A7">
              <w:rPr>
                <w:b/>
                <w:bCs/>
                <w:vertAlign w:val="superscript"/>
              </w:rPr>
              <w:t>4</w:t>
            </w:r>
            <w:r>
              <w:t xml:space="preserve"> </w:t>
            </w:r>
          </w:p>
        </w:tc>
      </w:tr>
      <w:tr w:rsidR="00FB05A4" w:rsidRPr="00FD70DE" w14:paraId="4DB9841A" w14:textId="77777777" w:rsidTr="00165A07">
        <w:trPr>
          <w:cantSplit/>
          <w:trHeight w:val="270"/>
        </w:trPr>
        <w:tc>
          <w:tcPr>
            <w:tcW w:w="195" w:type="pct"/>
            <w:shd w:val="clear" w:color="auto" w:fill="auto"/>
          </w:tcPr>
          <w:p w14:paraId="30A5B475" w14:textId="77777777" w:rsidR="00BE5C9A" w:rsidRPr="00FD70DE" w:rsidRDefault="00BE5C9A" w:rsidP="00AC3BE0">
            <w:pPr>
              <w:pStyle w:val="TableText"/>
            </w:pPr>
            <w:r w:rsidRPr="00FD70DE">
              <w:t>S</w:t>
            </w:r>
          </w:p>
        </w:tc>
        <w:tc>
          <w:tcPr>
            <w:tcW w:w="589" w:type="pct"/>
            <w:shd w:val="clear" w:color="auto" w:fill="auto"/>
          </w:tcPr>
          <w:p w14:paraId="6008C7EA" w14:textId="77777777" w:rsidR="00BE5C9A" w:rsidRPr="00FD70DE" w:rsidRDefault="00BE5C9A" w:rsidP="00AC3BE0">
            <w:pPr>
              <w:pStyle w:val="TableText"/>
            </w:pPr>
            <w:r w:rsidRPr="00FD70DE">
              <w:t>No. incident chronic HBV patients found with anti-HDV+ (R × 4.06%)</w:t>
            </w:r>
          </w:p>
        </w:tc>
        <w:tc>
          <w:tcPr>
            <w:tcW w:w="792" w:type="pct"/>
            <w:shd w:val="clear" w:color="auto" w:fill="auto"/>
          </w:tcPr>
          <w:p w14:paraId="4BEA4CED" w14:textId="00AC0E34" w:rsidR="00BE5C9A" w:rsidRPr="00FD70DE" w:rsidRDefault="00E021DE"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7695EFAB" w14:textId="63A98EBF" w:rsidR="00BE5C9A" w:rsidRPr="00FD70DE" w:rsidRDefault="00E021DE"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71186F93" w14:textId="7AD61585" w:rsidR="00BE5C9A" w:rsidRPr="00FD70DE" w:rsidRDefault="00E021DE"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517D4F5D" w14:textId="02047659" w:rsidR="00BE5C9A" w:rsidRPr="00FD70DE" w:rsidRDefault="00E021DE"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4F5A9174" w14:textId="003CDE85" w:rsidR="00BE5C9A" w:rsidRPr="00FD70DE" w:rsidRDefault="00E021DE"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608AF3D8" w14:textId="3A3151E9" w:rsidR="00BE5C9A" w:rsidRPr="00FD70DE" w:rsidRDefault="00E021DE" w:rsidP="00AC3BE0">
            <w:pPr>
              <w:pStyle w:val="TableText"/>
              <w:jc w:val="center"/>
              <w:rPr>
                <w:b/>
                <w:bCs/>
              </w:rPr>
            </w:pPr>
            <w:r>
              <w:rPr>
                <w:b/>
                <w:bCs/>
              </w:rPr>
              <w:t>r</w:t>
            </w:r>
            <w:r w:rsidRPr="00160920">
              <w:rPr>
                <w:b/>
                <w:bCs/>
              </w:rPr>
              <w:t>edacted</w:t>
            </w:r>
            <w:r w:rsidRPr="00E46F24">
              <w:rPr>
                <w:b/>
                <w:bCs/>
                <w:vertAlign w:val="superscript"/>
              </w:rPr>
              <w:t>5</w:t>
            </w:r>
            <w:r>
              <w:t xml:space="preserve"> </w:t>
            </w:r>
          </w:p>
        </w:tc>
      </w:tr>
      <w:tr w:rsidR="00FB05A4" w:rsidRPr="00FD70DE" w14:paraId="46E084AD" w14:textId="77777777" w:rsidTr="00165A07">
        <w:trPr>
          <w:cantSplit/>
          <w:trHeight w:val="270"/>
        </w:trPr>
        <w:tc>
          <w:tcPr>
            <w:tcW w:w="195" w:type="pct"/>
            <w:shd w:val="clear" w:color="auto" w:fill="auto"/>
          </w:tcPr>
          <w:p w14:paraId="610DC318" w14:textId="77777777" w:rsidR="00BE5C9A" w:rsidRPr="00FD70DE" w:rsidRDefault="00BE5C9A" w:rsidP="00AC3BE0">
            <w:pPr>
              <w:pStyle w:val="TableText"/>
            </w:pPr>
            <w:r w:rsidRPr="00FD70DE">
              <w:t>T</w:t>
            </w:r>
          </w:p>
        </w:tc>
        <w:tc>
          <w:tcPr>
            <w:tcW w:w="589" w:type="pct"/>
            <w:shd w:val="clear" w:color="auto" w:fill="auto"/>
          </w:tcPr>
          <w:p w14:paraId="68024DE7" w14:textId="77777777" w:rsidR="00BE5C9A" w:rsidRPr="00FD70DE" w:rsidRDefault="00BE5C9A" w:rsidP="00AC3BE0">
            <w:pPr>
              <w:pStyle w:val="TableText"/>
            </w:pPr>
            <w:r w:rsidRPr="00FD70DE">
              <w:t>Uptake of HDV RNA testing following listing</w:t>
            </w:r>
          </w:p>
        </w:tc>
        <w:tc>
          <w:tcPr>
            <w:tcW w:w="792" w:type="pct"/>
            <w:shd w:val="clear" w:color="auto" w:fill="auto"/>
          </w:tcPr>
          <w:p w14:paraId="3B737D1F" w14:textId="3E688BE8" w:rsidR="00BE5C9A" w:rsidRPr="00FD70DE" w:rsidRDefault="00E021DE" w:rsidP="00AC3BE0">
            <w:pPr>
              <w:pStyle w:val="TableText"/>
              <w:jc w:val="center"/>
              <w:rPr>
                <w:b/>
                <w:bCs/>
              </w:rPr>
            </w:pPr>
            <w:r>
              <w:rPr>
                <w:b/>
                <w:bCs/>
              </w:rPr>
              <w:t>r</w:t>
            </w:r>
            <w:r w:rsidRPr="00160920">
              <w:rPr>
                <w:b/>
                <w:bCs/>
              </w:rPr>
              <w:t>edacted</w:t>
            </w:r>
            <w:r w:rsidRPr="00FD70DE" w:rsidDel="00E021DE">
              <w:t xml:space="preserve"> </w:t>
            </w:r>
            <w:r w:rsidR="00BE5C9A" w:rsidRPr="00FD70DE">
              <w:t>%</w:t>
            </w:r>
          </w:p>
        </w:tc>
        <w:tc>
          <w:tcPr>
            <w:tcW w:w="792" w:type="pct"/>
            <w:shd w:val="clear" w:color="auto" w:fill="auto"/>
          </w:tcPr>
          <w:p w14:paraId="5893DECF" w14:textId="4BCC0C43" w:rsidR="00BE5C9A" w:rsidRPr="00FD70DE" w:rsidRDefault="00E021DE" w:rsidP="00AC3BE0">
            <w:pPr>
              <w:pStyle w:val="TableText"/>
              <w:jc w:val="center"/>
              <w:rPr>
                <w:b/>
                <w:bCs/>
              </w:rPr>
            </w:pPr>
            <w:r>
              <w:rPr>
                <w:b/>
                <w:bCs/>
              </w:rPr>
              <w:t>r</w:t>
            </w:r>
            <w:r w:rsidRPr="00160920">
              <w:rPr>
                <w:b/>
                <w:bCs/>
              </w:rPr>
              <w:t>edacted</w:t>
            </w:r>
            <w:r w:rsidRPr="00FD70DE" w:rsidDel="00E021DE">
              <w:t xml:space="preserve"> </w:t>
            </w:r>
            <w:r w:rsidR="00BE5C9A" w:rsidRPr="00FD70DE">
              <w:t>%</w:t>
            </w:r>
          </w:p>
        </w:tc>
        <w:tc>
          <w:tcPr>
            <w:tcW w:w="792" w:type="pct"/>
            <w:shd w:val="clear" w:color="auto" w:fill="auto"/>
          </w:tcPr>
          <w:p w14:paraId="3BD78F27" w14:textId="6DFF3D08" w:rsidR="00BE5C9A" w:rsidRPr="00FD70DE" w:rsidRDefault="00E021DE" w:rsidP="00AC3BE0">
            <w:pPr>
              <w:pStyle w:val="TableText"/>
              <w:jc w:val="center"/>
              <w:rPr>
                <w:b/>
                <w:bCs/>
              </w:rPr>
            </w:pPr>
            <w:r>
              <w:rPr>
                <w:b/>
                <w:bCs/>
              </w:rPr>
              <w:t>r</w:t>
            </w:r>
            <w:r w:rsidRPr="00160920">
              <w:rPr>
                <w:b/>
                <w:bCs/>
              </w:rPr>
              <w:t>edacted</w:t>
            </w:r>
            <w:r w:rsidRPr="00FD70DE" w:rsidDel="00E021DE">
              <w:t xml:space="preserve"> </w:t>
            </w:r>
            <w:r w:rsidR="00BE5C9A" w:rsidRPr="00FD70DE">
              <w:t>%</w:t>
            </w:r>
          </w:p>
        </w:tc>
        <w:tc>
          <w:tcPr>
            <w:tcW w:w="613" w:type="pct"/>
            <w:shd w:val="clear" w:color="auto" w:fill="auto"/>
          </w:tcPr>
          <w:p w14:paraId="579BB0D8" w14:textId="73D53BD0" w:rsidR="00BE5C9A" w:rsidRPr="00FD70DE" w:rsidRDefault="00E021DE" w:rsidP="00AC3BE0">
            <w:pPr>
              <w:pStyle w:val="TableText"/>
              <w:jc w:val="center"/>
              <w:rPr>
                <w:b/>
                <w:bCs/>
              </w:rPr>
            </w:pPr>
            <w:r>
              <w:rPr>
                <w:b/>
                <w:bCs/>
              </w:rPr>
              <w:t>r</w:t>
            </w:r>
            <w:r w:rsidRPr="00160920">
              <w:rPr>
                <w:b/>
                <w:bCs/>
              </w:rPr>
              <w:t>edacted</w:t>
            </w:r>
            <w:r w:rsidRPr="00FD70DE" w:rsidDel="00E021DE">
              <w:t xml:space="preserve"> </w:t>
            </w:r>
            <w:r w:rsidR="00BE5C9A" w:rsidRPr="00FD70DE">
              <w:t>%</w:t>
            </w:r>
          </w:p>
        </w:tc>
        <w:tc>
          <w:tcPr>
            <w:tcW w:w="613" w:type="pct"/>
            <w:shd w:val="clear" w:color="auto" w:fill="auto"/>
          </w:tcPr>
          <w:p w14:paraId="0ADC3AF8" w14:textId="56648795" w:rsidR="00BE5C9A" w:rsidRPr="00FD70DE" w:rsidRDefault="00E021DE" w:rsidP="00AC3BE0">
            <w:pPr>
              <w:pStyle w:val="TableText"/>
              <w:jc w:val="center"/>
              <w:rPr>
                <w:b/>
                <w:bCs/>
              </w:rPr>
            </w:pPr>
            <w:r>
              <w:rPr>
                <w:b/>
                <w:bCs/>
              </w:rPr>
              <w:t>r</w:t>
            </w:r>
            <w:r w:rsidRPr="00160920">
              <w:rPr>
                <w:b/>
                <w:bCs/>
              </w:rPr>
              <w:t>edacted</w:t>
            </w:r>
            <w:r w:rsidRPr="00FD70DE" w:rsidDel="00E021DE">
              <w:t xml:space="preserve"> </w:t>
            </w:r>
            <w:r w:rsidR="00BE5C9A" w:rsidRPr="00FD70DE">
              <w:t>%</w:t>
            </w:r>
          </w:p>
        </w:tc>
        <w:tc>
          <w:tcPr>
            <w:tcW w:w="613" w:type="pct"/>
            <w:shd w:val="clear" w:color="auto" w:fill="auto"/>
          </w:tcPr>
          <w:p w14:paraId="3DCEF02B" w14:textId="69B2440E" w:rsidR="00BE5C9A" w:rsidRPr="00FD70DE" w:rsidRDefault="00E021DE" w:rsidP="00AC3BE0">
            <w:pPr>
              <w:pStyle w:val="TableText"/>
              <w:jc w:val="center"/>
              <w:rPr>
                <w:b/>
                <w:bCs/>
              </w:rPr>
            </w:pPr>
            <w:r>
              <w:rPr>
                <w:b/>
                <w:bCs/>
              </w:rPr>
              <w:t>r</w:t>
            </w:r>
            <w:r w:rsidRPr="00160920">
              <w:rPr>
                <w:b/>
                <w:bCs/>
              </w:rPr>
              <w:t>edacted</w:t>
            </w:r>
            <w:r w:rsidRPr="00FD70DE" w:rsidDel="00E021DE">
              <w:t xml:space="preserve"> </w:t>
            </w:r>
            <w:r w:rsidR="00BE5C9A" w:rsidRPr="00FD70DE">
              <w:t>%</w:t>
            </w:r>
          </w:p>
        </w:tc>
      </w:tr>
      <w:tr w:rsidR="00FB05A4" w:rsidRPr="00FD70DE" w14:paraId="64046E70" w14:textId="77777777" w:rsidTr="00165A07">
        <w:trPr>
          <w:cantSplit/>
          <w:trHeight w:val="270"/>
        </w:trPr>
        <w:tc>
          <w:tcPr>
            <w:tcW w:w="195" w:type="pct"/>
            <w:shd w:val="clear" w:color="auto" w:fill="auto"/>
          </w:tcPr>
          <w:p w14:paraId="2E4EBFA2" w14:textId="77777777" w:rsidR="00BE5C9A" w:rsidRPr="00FD70DE" w:rsidRDefault="00BE5C9A" w:rsidP="00AC3BE0">
            <w:pPr>
              <w:pStyle w:val="TableText"/>
            </w:pPr>
            <w:r w:rsidRPr="00FD70DE">
              <w:t>U</w:t>
            </w:r>
          </w:p>
        </w:tc>
        <w:tc>
          <w:tcPr>
            <w:tcW w:w="589" w:type="pct"/>
            <w:shd w:val="clear" w:color="auto" w:fill="auto"/>
          </w:tcPr>
          <w:p w14:paraId="1E1A7B14" w14:textId="77777777" w:rsidR="00BE5C9A" w:rsidRPr="00FD70DE" w:rsidRDefault="00BE5C9A" w:rsidP="00AC3BE0">
            <w:pPr>
              <w:pStyle w:val="TableText"/>
            </w:pPr>
            <w:r w:rsidRPr="00FD70DE">
              <w:t>No. incident chronic HBV patients with anti-HDV+ who received HDV RNA testing (S × T)</w:t>
            </w:r>
          </w:p>
        </w:tc>
        <w:tc>
          <w:tcPr>
            <w:tcW w:w="792" w:type="pct"/>
            <w:shd w:val="clear" w:color="auto" w:fill="auto"/>
          </w:tcPr>
          <w:p w14:paraId="78F05DD8" w14:textId="11202DF6"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384D0E6C" w14:textId="1A8FE32D"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7F2F0EE3" w14:textId="1D0B00A7"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4B5B0982" w14:textId="4A24CF33"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7E88A18E" w14:textId="012DAAC7"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5AAAC2EA" w14:textId="4FFD4033"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r>
      <w:tr w:rsidR="00FB05A4" w:rsidRPr="00FD70DE" w14:paraId="571DA77C" w14:textId="77777777" w:rsidTr="00165A07">
        <w:trPr>
          <w:cantSplit/>
          <w:trHeight w:val="270"/>
        </w:trPr>
        <w:tc>
          <w:tcPr>
            <w:tcW w:w="195" w:type="pct"/>
            <w:shd w:val="clear" w:color="auto" w:fill="auto"/>
          </w:tcPr>
          <w:p w14:paraId="190D99F4" w14:textId="77777777" w:rsidR="00BE5C9A" w:rsidRPr="00FD70DE" w:rsidRDefault="00BE5C9A" w:rsidP="00AC3BE0">
            <w:pPr>
              <w:pStyle w:val="TableText"/>
            </w:pPr>
            <w:r w:rsidRPr="00FD70DE">
              <w:t>V</w:t>
            </w:r>
          </w:p>
        </w:tc>
        <w:tc>
          <w:tcPr>
            <w:tcW w:w="589" w:type="pct"/>
            <w:shd w:val="clear" w:color="auto" w:fill="auto"/>
          </w:tcPr>
          <w:p w14:paraId="39D7E242" w14:textId="77777777" w:rsidR="00BE5C9A" w:rsidRPr="00FD70DE" w:rsidRDefault="00BE5C9A" w:rsidP="00AC3BE0">
            <w:pPr>
              <w:pStyle w:val="TableText"/>
            </w:pPr>
            <w:r w:rsidRPr="00FD70DE">
              <w:t>Increase in incident patients tested with HDV RNA (U– P)</w:t>
            </w:r>
          </w:p>
        </w:tc>
        <w:tc>
          <w:tcPr>
            <w:tcW w:w="792" w:type="pct"/>
            <w:shd w:val="clear" w:color="auto" w:fill="auto"/>
          </w:tcPr>
          <w:p w14:paraId="2A0FD5CB" w14:textId="440E1FE4"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3C89A217" w14:textId="6CEA4172"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071C21ED" w14:textId="71DDA786"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5D4E4535" w14:textId="5F70BC49"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1EC1E05E" w14:textId="02F4190F"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0EC92F06" w14:textId="69721470"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r>
      <w:tr w:rsidR="00FB05A4" w:rsidRPr="00FD70DE" w14:paraId="7D1945E6" w14:textId="77777777" w:rsidTr="00165A07">
        <w:trPr>
          <w:cantSplit/>
          <w:trHeight w:val="270"/>
        </w:trPr>
        <w:tc>
          <w:tcPr>
            <w:tcW w:w="195" w:type="pct"/>
            <w:shd w:val="clear" w:color="auto" w:fill="auto"/>
          </w:tcPr>
          <w:p w14:paraId="27AF23A1" w14:textId="77777777" w:rsidR="00BE5C9A" w:rsidRPr="00FD70DE" w:rsidRDefault="00BE5C9A" w:rsidP="00AC3BE0">
            <w:pPr>
              <w:pStyle w:val="TableText"/>
            </w:pPr>
            <w:r w:rsidRPr="00FD70DE">
              <w:t>W</w:t>
            </w:r>
          </w:p>
        </w:tc>
        <w:tc>
          <w:tcPr>
            <w:tcW w:w="589" w:type="pct"/>
            <w:shd w:val="clear" w:color="auto" w:fill="auto"/>
          </w:tcPr>
          <w:p w14:paraId="04F69A54" w14:textId="0AFC88AF" w:rsidR="00BE5C9A" w:rsidRPr="00FD70DE" w:rsidRDefault="00BE5C9A" w:rsidP="00AC3BE0">
            <w:pPr>
              <w:pStyle w:val="TableText"/>
            </w:pPr>
            <w:r w:rsidRPr="00FD70DE">
              <w:t xml:space="preserve">Total increase in patients tested </w:t>
            </w:r>
            <w:r w:rsidR="00A13E5F" w:rsidRPr="00FD70DE">
              <w:t xml:space="preserve">for </w:t>
            </w:r>
            <w:r w:rsidRPr="00FD70DE">
              <w:t>HDV RNA (F + L + V)</w:t>
            </w:r>
          </w:p>
        </w:tc>
        <w:tc>
          <w:tcPr>
            <w:tcW w:w="792" w:type="pct"/>
            <w:shd w:val="clear" w:color="auto" w:fill="auto"/>
          </w:tcPr>
          <w:p w14:paraId="038B3CE5" w14:textId="5886EB2C" w:rsidR="00BE5C9A" w:rsidRPr="00FD70DE" w:rsidRDefault="003C17AD" w:rsidP="00AC3BE0">
            <w:pPr>
              <w:pStyle w:val="TableText"/>
              <w:jc w:val="center"/>
              <w:rPr>
                <w:b/>
                <w:bCs/>
              </w:rPr>
            </w:pPr>
            <w:r>
              <w:rPr>
                <w:b/>
                <w:bCs/>
              </w:rPr>
              <w:t>r</w:t>
            </w:r>
            <w:r w:rsidRPr="00160920">
              <w:rPr>
                <w:b/>
                <w:bCs/>
              </w:rPr>
              <w:t>edacted</w:t>
            </w:r>
            <w:r w:rsidRPr="009753A7">
              <w:rPr>
                <w:b/>
                <w:bCs/>
                <w:vertAlign w:val="superscript"/>
              </w:rPr>
              <w:t>4</w:t>
            </w:r>
            <w:r>
              <w:t xml:space="preserve"> </w:t>
            </w:r>
          </w:p>
        </w:tc>
        <w:tc>
          <w:tcPr>
            <w:tcW w:w="792" w:type="pct"/>
            <w:shd w:val="clear" w:color="auto" w:fill="auto"/>
          </w:tcPr>
          <w:p w14:paraId="0FABCF66" w14:textId="4AF8E9B3"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792" w:type="pct"/>
            <w:shd w:val="clear" w:color="auto" w:fill="auto"/>
          </w:tcPr>
          <w:p w14:paraId="4D4023FE" w14:textId="4A2A5563"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30B199FF" w14:textId="551A9D3E"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286D937F" w14:textId="790F2B09"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c>
          <w:tcPr>
            <w:tcW w:w="613" w:type="pct"/>
            <w:shd w:val="clear" w:color="auto" w:fill="auto"/>
          </w:tcPr>
          <w:p w14:paraId="0EC02A09" w14:textId="55F2FE77" w:rsidR="00BE5C9A" w:rsidRPr="00FD70DE" w:rsidRDefault="003C17AD" w:rsidP="00AC3BE0">
            <w:pPr>
              <w:pStyle w:val="TableText"/>
              <w:jc w:val="center"/>
              <w:rPr>
                <w:b/>
                <w:bCs/>
              </w:rPr>
            </w:pPr>
            <w:r>
              <w:rPr>
                <w:b/>
                <w:bCs/>
              </w:rPr>
              <w:t>r</w:t>
            </w:r>
            <w:r w:rsidRPr="00160920">
              <w:rPr>
                <w:b/>
                <w:bCs/>
              </w:rPr>
              <w:t>edacted</w:t>
            </w:r>
            <w:r w:rsidRPr="00E46F24">
              <w:rPr>
                <w:b/>
                <w:bCs/>
                <w:vertAlign w:val="superscript"/>
              </w:rPr>
              <w:t>5</w:t>
            </w:r>
            <w:r>
              <w:t xml:space="preserve"> </w:t>
            </w:r>
          </w:p>
        </w:tc>
      </w:tr>
      <w:tr w:rsidR="00FB05A4" w:rsidRPr="00FD70DE" w14:paraId="79D0EC45" w14:textId="77777777" w:rsidTr="00165A07">
        <w:trPr>
          <w:cantSplit/>
          <w:trHeight w:val="270"/>
        </w:trPr>
        <w:tc>
          <w:tcPr>
            <w:tcW w:w="195" w:type="pct"/>
            <w:shd w:val="clear" w:color="auto" w:fill="auto"/>
          </w:tcPr>
          <w:p w14:paraId="4D9B9652" w14:textId="77777777" w:rsidR="00BE5C9A" w:rsidRPr="00FD70DE" w:rsidRDefault="00BE5C9A" w:rsidP="00AC3BE0">
            <w:pPr>
              <w:pStyle w:val="TableText"/>
            </w:pPr>
            <w:r w:rsidRPr="00FD70DE">
              <w:t>X</w:t>
            </w:r>
          </w:p>
        </w:tc>
        <w:tc>
          <w:tcPr>
            <w:tcW w:w="589" w:type="pct"/>
            <w:shd w:val="clear" w:color="auto" w:fill="auto"/>
          </w:tcPr>
          <w:p w14:paraId="64E294BD" w14:textId="77777777" w:rsidR="00BE5C9A" w:rsidRPr="00FD70DE" w:rsidRDefault="00BE5C9A" w:rsidP="00AC3BE0">
            <w:pPr>
              <w:pStyle w:val="TableText"/>
            </w:pPr>
            <w:r w:rsidRPr="00FD70DE">
              <w:t>Cost to the MBS ($129.30 per test)</w:t>
            </w:r>
          </w:p>
        </w:tc>
        <w:tc>
          <w:tcPr>
            <w:tcW w:w="792" w:type="pct"/>
            <w:shd w:val="clear" w:color="auto" w:fill="auto"/>
          </w:tcPr>
          <w:p w14:paraId="63710567" w14:textId="6619015B" w:rsidR="00BE5C9A" w:rsidRPr="00FD70DE" w:rsidRDefault="001F75DF" w:rsidP="001F75DF">
            <w:pPr>
              <w:pStyle w:val="TableText"/>
              <w:rPr>
                <w:b/>
                <w:bCs/>
              </w:rPr>
            </w:pPr>
            <w:r>
              <w:rPr>
                <w:b/>
                <w:bCs/>
              </w:rPr>
              <w:t xml:space="preserve">redacted </w:t>
            </w:r>
            <w:r w:rsidRPr="001F75DF">
              <w:rPr>
                <w:b/>
                <w:bCs/>
                <w:vertAlign w:val="superscript"/>
              </w:rPr>
              <w:t>6</w:t>
            </w:r>
            <w:r w:rsidR="00333A19" w:rsidRPr="00FD70DE" w:rsidDel="001111D8">
              <w:rPr>
                <w:b/>
                <w:bCs/>
              </w:rPr>
              <w:t xml:space="preserve"> </w:t>
            </w:r>
          </w:p>
        </w:tc>
        <w:tc>
          <w:tcPr>
            <w:tcW w:w="792" w:type="pct"/>
            <w:shd w:val="clear" w:color="auto" w:fill="auto"/>
          </w:tcPr>
          <w:p w14:paraId="01E92C18" w14:textId="6855F000" w:rsidR="00BE5C9A" w:rsidRPr="00FD70DE" w:rsidRDefault="00BE5C9A" w:rsidP="00AC3BE0">
            <w:pPr>
              <w:pStyle w:val="TableText"/>
              <w:jc w:val="center"/>
              <w:rPr>
                <w:b/>
                <w:bCs/>
              </w:rPr>
            </w:pPr>
            <w:r w:rsidRPr="00FD70DE">
              <w:rPr>
                <w:b/>
                <w:bCs/>
              </w:rPr>
              <w:t>$</w:t>
            </w:r>
            <w:r w:rsidR="001F75DF">
              <w:rPr>
                <w:b/>
                <w:bCs/>
              </w:rPr>
              <w:t xml:space="preserve"> redacted </w:t>
            </w:r>
            <w:r w:rsidR="001F75DF" w:rsidRPr="001F75DF">
              <w:rPr>
                <w:b/>
                <w:bCs/>
                <w:vertAlign w:val="superscript"/>
              </w:rPr>
              <w:t>6</w:t>
            </w:r>
            <w:r w:rsidR="00333A19" w:rsidRPr="00FD70DE" w:rsidDel="001F75DF">
              <w:rPr>
                <w:b/>
                <w:bCs/>
              </w:rPr>
              <w:t xml:space="preserve"> </w:t>
            </w:r>
          </w:p>
        </w:tc>
        <w:tc>
          <w:tcPr>
            <w:tcW w:w="792" w:type="pct"/>
            <w:shd w:val="clear" w:color="auto" w:fill="auto"/>
          </w:tcPr>
          <w:p w14:paraId="694D48DE" w14:textId="43E51813" w:rsidR="00BE5C9A" w:rsidRPr="00FD70DE" w:rsidRDefault="00BE5C9A" w:rsidP="00AC3BE0">
            <w:pPr>
              <w:pStyle w:val="TableText"/>
              <w:jc w:val="center"/>
              <w:rPr>
                <w:b/>
                <w:bCs/>
              </w:rPr>
            </w:pPr>
            <w:r w:rsidRPr="00FD70DE">
              <w:rPr>
                <w:b/>
                <w:bCs/>
              </w:rPr>
              <w:t>$</w:t>
            </w:r>
            <w:r w:rsidR="001F75DF">
              <w:rPr>
                <w:b/>
                <w:bCs/>
              </w:rPr>
              <w:t xml:space="preserve"> redacted </w:t>
            </w:r>
            <w:r w:rsidR="001F75DF" w:rsidRPr="001F75DF">
              <w:rPr>
                <w:b/>
                <w:bCs/>
                <w:vertAlign w:val="superscript"/>
              </w:rPr>
              <w:t>6</w:t>
            </w:r>
            <w:r w:rsidR="00333A19" w:rsidRPr="00FD70DE" w:rsidDel="001F75DF">
              <w:rPr>
                <w:b/>
                <w:bCs/>
              </w:rPr>
              <w:t xml:space="preserve"> </w:t>
            </w:r>
          </w:p>
        </w:tc>
        <w:tc>
          <w:tcPr>
            <w:tcW w:w="613" w:type="pct"/>
            <w:shd w:val="clear" w:color="auto" w:fill="auto"/>
          </w:tcPr>
          <w:p w14:paraId="54F156AC" w14:textId="46D97635" w:rsidR="00BE5C9A" w:rsidRPr="00FD70DE" w:rsidRDefault="00BE5C9A" w:rsidP="00AC3BE0">
            <w:pPr>
              <w:pStyle w:val="TableText"/>
              <w:jc w:val="center"/>
              <w:rPr>
                <w:b/>
                <w:bCs/>
              </w:rPr>
            </w:pPr>
            <w:r w:rsidRPr="00FD70DE">
              <w:rPr>
                <w:b/>
                <w:bCs/>
              </w:rPr>
              <w:t>$</w:t>
            </w:r>
            <w:r w:rsidR="001F75DF">
              <w:rPr>
                <w:b/>
                <w:bCs/>
              </w:rPr>
              <w:t xml:space="preserve"> redacted </w:t>
            </w:r>
            <w:r w:rsidR="001F75DF" w:rsidRPr="001F75DF">
              <w:rPr>
                <w:b/>
                <w:bCs/>
                <w:vertAlign w:val="superscript"/>
              </w:rPr>
              <w:t>6</w:t>
            </w:r>
            <w:r w:rsidR="00333A19" w:rsidRPr="00FD70DE" w:rsidDel="001F75DF">
              <w:rPr>
                <w:b/>
                <w:bCs/>
              </w:rPr>
              <w:t xml:space="preserve"> </w:t>
            </w:r>
          </w:p>
        </w:tc>
        <w:tc>
          <w:tcPr>
            <w:tcW w:w="613" w:type="pct"/>
            <w:shd w:val="clear" w:color="auto" w:fill="auto"/>
          </w:tcPr>
          <w:p w14:paraId="4996F626" w14:textId="1F9898E9" w:rsidR="00BE5C9A" w:rsidRPr="00FD70DE" w:rsidRDefault="00BE5C9A" w:rsidP="00AC3BE0">
            <w:pPr>
              <w:pStyle w:val="TableText"/>
              <w:jc w:val="center"/>
              <w:rPr>
                <w:b/>
                <w:bCs/>
              </w:rPr>
            </w:pPr>
            <w:r w:rsidRPr="00FD70DE">
              <w:rPr>
                <w:b/>
                <w:bCs/>
              </w:rPr>
              <w:t>$</w:t>
            </w:r>
            <w:r w:rsidR="001F75DF">
              <w:rPr>
                <w:b/>
                <w:bCs/>
              </w:rPr>
              <w:t xml:space="preserve"> redacted </w:t>
            </w:r>
            <w:r w:rsidR="001F75DF" w:rsidRPr="001F75DF">
              <w:rPr>
                <w:b/>
                <w:bCs/>
                <w:vertAlign w:val="superscript"/>
              </w:rPr>
              <w:t>6</w:t>
            </w:r>
            <w:r w:rsidR="00333A19" w:rsidRPr="00FD70DE" w:rsidDel="001F75DF">
              <w:rPr>
                <w:b/>
                <w:bCs/>
              </w:rPr>
              <w:t xml:space="preserve"> </w:t>
            </w:r>
          </w:p>
        </w:tc>
        <w:tc>
          <w:tcPr>
            <w:tcW w:w="613" w:type="pct"/>
            <w:shd w:val="clear" w:color="auto" w:fill="auto"/>
          </w:tcPr>
          <w:p w14:paraId="3F6DFEB3" w14:textId="6B17CA18" w:rsidR="00BE5C9A" w:rsidRPr="00FD70DE" w:rsidRDefault="00BE5C9A" w:rsidP="00AC3BE0">
            <w:pPr>
              <w:pStyle w:val="TableText"/>
              <w:jc w:val="center"/>
              <w:rPr>
                <w:b/>
                <w:bCs/>
              </w:rPr>
            </w:pPr>
            <w:r w:rsidRPr="00FD70DE">
              <w:rPr>
                <w:b/>
                <w:bCs/>
              </w:rPr>
              <w:t>$</w:t>
            </w:r>
            <w:r w:rsidR="001F75DF">
              <w:rPr>
                <w:b/>
                <w:bCs/>
              </w:rPr>
              <w:t xml:space="preserve"> redacted </w:t>
            </w:r>
            <w:r w:rsidR="001F75DF" w:rsidRPr="001F75DF">
              <w:rPr>
                <w:b/>
                <w:bCs/>
                <w:vertAlign w:val="superscript"/>
              </w:rPr>
              <w:t>6</w:t>
            </w:r>
            <w:r w:rsidR="00333A19" w:rsidRPr="00FD70DE" w:rsidDel="001F75DF">
              <w:rPr>
                <w:b/>
                <w:bCs/>
              </w:rPr>
              <w:t xml:space="preserve"> </w:t>
            </w:r>
          </w:p>
        </w:tc>
      </w:tr>
    </w:tbl>
    <w:p w14:paraId="5F050BB3" w14:textId="77777777" w:rsidR="00BE5C9A" w:rsidRPr="00FD70DE" w:rsidRDefault="00BE5C9A" w:rsidP="00B178E4">
      <w:pPr>
        <w:pStyle w:val="TableFooter"/>
      </w:pPr>
      <w:r w:rsidRPr="00FD70DE">
        <w:t>Source: Table 4.6-4, pp176-177 of the resubmission</w:t>
      </w:r>
    </w:p>
    <w:p w14:paraId="5F9EBCF3" w14:textId="77777777" w:rsidR="00BE5C9A" w:rsidRDefault="00BE5C9A" w:rsidP="00B178E4">
      <w:pPr>
        <w:pStyle w:val="TableFooter"/>
      </w:pPr>
      <w:r w:rsidRPr="00FD70DE">
        <w:t>CHB = Chronic Hepatitis B; HBV = Hepatitis B Virus; HDV = Hepatitis D Virus; MBS = Medicare Benefits Schedule; PCR = Polymerase Chain Reaction; RNA = Ribonucleic Acid</w:t>
      </w:r>
    </w:p>
    <w:p w14:paraId="6329E23E" w14:textId="0CB81920" w:rsidR="00354A98" w:rsidRPr="00862E3E" w:rsidRDefault="00CA41A3" w:rsidP="00B178E4">
      <w:pPr>
        <w:pStyle w:val="TableFooter"/>
        <w:rPr>
          <w:i/>
        </w:rPr>
      </w:pPr>
      <w:r w:rsidRPr="00862E3E">
        <w:rPr>
          <w:i/>
        </w:rPr>
        <w:t>The redacted values correspond to the following ranges</w:t>
      </w:r>
    </w:p>
    <w:p w14:paraId="06214A35" w14:textId="53E598A0" w:rsidR="00354A98" w:rsidRPr="00862E3E" w:rsidRDefault="00354A98" w:rsidP="00B178E4">
      <w:pPr>
        <w:pStyle w:val="TableFooter"/>
        <w:rPr>
          <w:i/>
        </w:rPr>
      </w:pPr>
      <w:r w:rsidRPr="00862E3E">
        <w:rPr>
          <w:i/>
        </w:rPr>
        <w:t>1 50,000 to &lt;60,000</w:t>
      </w:r>
    </w:p>
    <w:p w14:paraId="65565769" w14:textId="6438BAE8" w:rsidR="00354A98" w:rsidRPr="00862E3E" w:rsidRDefault="00354A98" w:rsidP="00B178E4">
      <w:pPr>
        <w:pStyle w:val="TableFooter"/>
        <w:rPr>
          <w:i/>
        </w:rPr>
      </w:pPr>
      <w:r w:rsidRPr="00862E3E">
        <w:rPr>
          <w:i/>
        </w:rPr>
        <w:t xml:space="preserve">2 </w:t>
      </w:r>
      <w:r w:rsidR="003B3BBA" w:rsidRPr="00862E3E">
        <w:rPr>
          <w:i/>
        </w:rPr>
        <w:t>10,000 to &lt;20,000</w:t>
      </w:r>
    </w:p>
    <w:p w14:paraId="1B6A3214" w14:textId="18CAE9F2" w:rsidR="003B3BBA" w:rsidRPr="00862E3E" w:rsidRDefault="003B3BBA" w:rsidP="00B178E4">
      <w:pPr>
        <w:pStyle w:val="TableFooter"/>
        <w:rPr>
          <w:i/>
        </w:rPr>
      </w:pPr>
      <w:r w:rsidRPr="00862E3E">
        <w:rPr>
          <w:i/>
        </w:rPr>
        <w:t xml:space="preserve">3 </w:t>
      </w:r>
      <w:r w:rsidR="00E7395B" w:rsidRPr="00862E3E">
        <w:rPr>
          <w:i/>
        </w:rPr>
        <w:t>5,000 to &lt;10,000</w:t>
      </w:r>
    </w:p>
    <w:p w14:paraId="442A22C3" w14:textId="569554CA" w:rsidR="00E7395B" w:rsidRPr="00862E3E" w:rsidRDefault="00E7395B" w:rsidP="00B178E4">
      <w:pPr>
        <w:pStyle w:val="TableFooter"/>
        <w:rPr>
          <w:i/>
        </w:rPr>
      </w:pPr>
      <w:r w:rsidRPr="00862E3E">
        <w:rPr>
          <w:i/>
        </w:rPr>
        <w:t>4 500 to &lt;5,000</w:t>
      </w:r>
    </w:p>
    <w:p w14:paraId="72879190" w14:textId="38578364" w:rsidR="00333A19" w:rsidRPr="00862E3E" w:rsidRDefault="00E7395B" w:rsidP="00B178E4">
      <w:pPr>
        <w:pStyle w:val="TableFooter"/>
        <w:rPr>
          <w:i/>
        </w:rPr>
      </w:pPr>
      <w:r w:rsidRPr="00862E3E">
        <w:rPr>
          <w:i/>
        </w:rPr>
        <w:t>5 &lt;500</w:t>
      </w:r>
    </w:p>
    <w:p w14:paraId="4C7B644C" w14:textId="34E956CA" w:rsidR="00354A98" w:rsidRPr="000255A3" w:rsidRDefault="008D3527" w:rsidP="00B178E4">
      <w:pPr>
        <w:pStyle w:val="TableFooter"/>
        <w:rPr>
          <w:i/>
        </w:rPr>
      </w:pPr>
      <w:r w:rsidRPr="00862E3E">
        <w:rPr>
          <w:i/>
        </w:rPr>
        <w:t xml:space="preserve">6 </w:t>
      </w:r>
      <w:r w:rsidR="00333A19" w:rsidRPr="00862E3E">
        <w:rPr>
          <w:i/>
        </w:rPr>
        <w:t>$0 to &lt; $10 million</w:t>
      </w:r>
    </w:p>
    <w:p w14:paraId="67C397D5" w14:textId="1D15C8E2" w:rsidR="00BE5C9A" w:rsidRPr="004506DC" w:rsidRDefault="00BE5C9A" w:rsidP="37C20EEE">
      <w:pPr>
        <w:pStyle w:val="Heading4"/>
        <w:rPr>
          <w:rFonts w:ascii="Franklin Gothic Book" w:hAnsi="Franklin Gothic Book"/>
          <w:color w:val="auto"/>
        </w:rPr>
      </w:pPr>
      <w:r w:rsidRPr="004506DC">
        <w:rPr>
          <w:rFonts w:ascii="Franklin Gothic Book" w:hAnsi="Franklin Gothic Book"/>
          <w:color w:val="auto"/>
        </w:rPr>
        <w:lastRenderedPageBreak/>
        <w:t>Use and cost of HDV RNA testing for monitoring during bulevirtide treatment</w:t>
      </w:r>
    </w:p>
    <w:p w14:paraId="55A4B340" w14:textId="26EC0E49" w:rsidR="00BE5C9A" w:rsidRPr="002807EC" w:rsidRDefault="6870F380" w:rsidP="004506DC">
      <w:pPr>
        <w:jc w:val="left"/>
        <w:rPr>
          <w:rFonts w:ascii="Franklin Gothic Book" w:hAnsi="Franklin Gothic Book"/>
          <w:sz w:val="22"/>
        </w:rPr>
      </w:pPr>
      <w:r w:rsidRPr="002807EC">
        <w:rPr>
          <w:rFonts w:ascii="Franklin Gothic Book" w:hAnsi="Franklin Gothic Book"/>
          <w:sz w:val="22"/>
        </w:rPr>
        <w:t>The resubmission used the treated patient population derived from the prevalent and incident patient populations to determine the number of HDV RNA test</w:t>
      </w:r>
      <w:r w:rsidR="4CB77AD9" w:rsidRPr="002807EC">
        <w:rPr>
          <w:rFonts w:ascii="Franklin Gothic Book" w:hAnsi="Franklin Gothic Book"/>
          <w:sz w:val="22"/>
        </w:rPr>
        <w:t>s</w:t>
      </w:r>
      <w:r w:rsidRPr="002807EC">
        <w:rPr>
          <w:rFonts w:ascii="Franklin Gothic Book" w:hAnsi="Franklin Gothic Book"/>
          <w:sz w:val="22"/>
        </w:rPr>
        <w:t xml:space="preserve"> required for monitoring. It was assumed that each patient would receive one test every six months to determine their viral load and hence suitability to continue treatment. This addresses the issue identified in the March 2024 submission that overstated the number of patients on treatment and hence the number of monitoring tests required.</w:t>
      </w:r>
    </w:p>
    <w:p w14:paraId="2A7D752B" w14:textId="40396D28" w:rsidR="00BE5C9A" w:rsidRPr="00FD70DE" w:rsidRDefault="002037F9" w:rsidP="00BD2A33">
      <w:pPr>
        <w:pStyle w:val="Caption"/>
      </w:pPr>
      <w:r w:rsidRPr="37C20EEE">
        <w:t xml:space="preserve">Table </w:t>
      </w:r>
      <w:r w:rsidRPr="37C20EEE">
        <w:fldChar w:fldCharType="begin"/>
      </w:r>
      <w:r>
        <w:instrText xml:space="preserve"> SEQ Table_MSAC \* ARABIC </w:instrText>
      </w:r>
      <w:r w:rsidRPr="37C20EEE">
        <w:fldChar w:fldCharType="separate"/>
      </w:r>
      <w:r w:rsidR="006C45A0">
        <w:rPr>
          <w:noProof/>
        </w:rPr>
        <w:t>13</w:t>
      </w:r>
      <w:r w:rsidRPr="37C20EEE">
        <w:rPr>
          <w:noProof/>
        </w:rPr>
        <w:fldChar w:fldCharType="end"/>
      </w:r>
      <w:r>
        <w:tab/>
      </w:r>
      <w:r w:rsidR="00BE5C9A" w:rsidRPr="37C20EEE">
        <w:t>Cost of HDV RNA testing of treated patient</w:t>
      </w:r>
      <w:r w:rsidR="00A13E5F" w:rsidRPr="37C20EEE">
        <w:t>s</w:t>
      </w:r>
      <w:r w:rsidR="00BE5C9A" w:rsidRPr="37C20EEE">
        <w:t xml:space="preserve"> for monitoring during bulevirtide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840"/>
        <w:gridCol w:w="959"/>
        <w:gridCol w:w="959"/>
        <w:gridCol w:w="959"/>
        <w:gridCol w:w="959"/>
        <w:gridCol w:w="959"/>
        <w:gridCol w:w="959"/>
      </w:tblGrid>
      <w:tr w:rsidR="00071E21" w:rsidRPr="00FD70DE" w14:paraId="30976C60" w14:textId="77777777" w:rsidTr="00AC3BE0">
        <w:trPr>
          <w:cantSplit/>
          <w:trHeight w:val="270"/>
          <w:tblHeader/>
        </w:trPr>
        <w:tc>
          <w:tcPr>
            <w:tcW w:w="307" w:type="pct"/>
            <w:shd w:val="clear" w:color="auto" w:fill="auto"/>
            <w:hideMark/>
          </w:tcPr>
          <w:p w14:paraId="2A04C113" w14:textId="77777777" w:rsidR="00BE5C9A" w:rsidRPr="00FD70DE" w:rsidRDefault="00BE5C9A" w:rsidP="00AC3BE0">
            <w:pPr>
              <w:pStyle w:val="In-tableHeading"/>
              <w:jc w:val="center"/>
              <w:rPr>
                <w:rFonts w:cstheme="minorHAnsi"/>
                <w:sz w:val="18"/>
                <w:szCs w:val="18"/>
                <w:lang w:val="en-AU"/>
              </w:rPr>
            </w:pPr>
          </w:p>
        </w:tc>
        <w:tc>
          <w:tcPr>
            <w:tcW w:w="1648" w:type="pct"/>
            <w:shd w:val="clear" w:color="auto" w:fill="auto"/>
            <w:hideMark/>
          </w:tcPr>
          <w:p w14:paraId="136FB033" w14:textId="77777777" w:rsidR="00BE5C9A" w:rsidRPr="00FD70DE" w:rsidRDefault="00BE5C9A" w:rsidP="00AC3BE0">
            <w:pPr>
              <w:pStyle w:val="In-tableHeading"/>
              <w:jc w:val="center"/>
              <w:rPr>
                <w:rFonts w:cstheme="minorHAnsi"/>
                <w:sz w:val="18"/>
                <w:szCs w:val="18"/>
                <w:lang w:val="en-AU"/>
              </w:rPr>
            </w:pPr>
            <w:r w:rsidRPr="00FD70DE">
              <w:rPr>
                <w:lang w:val="en-AU"/>
              </w:rPr>
              <w:t>Parameters</w:t>
            </w:r>
          </w:p>
        </w:tc>
        <w:tc>
          <w:tcPr>
            <w:tcW w:w="545" w:type="pct"/>
            <w:shd w:val="clear" w:color="auto" w:fill="auto"/>
            <w:vAlign w:val="center"/>
            <w:hideMark/>
          </w:tcPr>
          <w:p w14:paraId="3EC75424" w14:textId="77777777" w:rsidR="00BE5C9A" w:rsidRPr="00FD70DE" w:rsidRDefault="00BE5C9A" w:rsidP="00AC3BE0">
            <w:pPr>
              <w:pStyle w:val="In-tableHeading"/>
              <w:jc w:val="center"/>
              <w:rPr>
                <w:lang w:val="en-AU"/>
              </w:rPr>
            </w:pPr>
            <w:r w:rsidRPr="00FD70DE">
              <w:rPr>
                <w:lang w:val="en-AU"/>
              </w:rPr>
              <w:t>Year 1</w:t>
            </w:r>
          </w:p>
          <w:p w14:paraId="7FF3CB15" w14:textId="77777777" w:rsidR="00BE5C9A" w:rsidRPr="00FD70DE" w:rsidRDefault="00BE5C9A" w:rsidP="00AC3BE0">
            <w:pPr>
              <w:pStyle w:val="In-tableHeading"/>
              <w:jc w:val="center"/>
              <w:rPr>
                <w:rFonts w:cstheme="minorHAnsi"/>
                <w:sz w:val="18"/>
                <w:szCs w:val="18"/>
                <w:lang w:val="en-AU"/>
              </w:rPr>
            </w:pPr>
            <w:r w:rsidRPr="00FD70DE">
              <w:rPr>
                <w:lang w:val="en-AU"/>
              </w:rPr>
              <w:t>2025</w:t>
            </w:r>
          </w:p>
        </w:tc>
        <w:tc>
          <w:tcPr>
            <w:tcW w:w="500" w:type="pct"/>
            <w:shd w:val="clear" w:color="auto" w:fill="auto"/>
            <w:vAlign w:val="center"/>
            <w:hideMark/>
          </w:tcPr>
          <w:p w14:paraId="46C2D4F2" w14:textId="77777777" w:rsidR="00BE5C9A" w:rsidRPr="00FD70DE" w:rsidRDefault="00BE5C9A" w:rsidP="00AC3BE0">
            <w:pPr>
              <w:pStyle w:val="In-tableHeading"/>
              <w:jc w:val="center"/>
              <w:rPr>
                <w:lang w:val="en-AU"/>
              </w:rPr>
            </w:pPr>
            <w:r w:rsidRPr="00FD70DE">
              <w:rPr>
                <w:lang w:val="en-AU"/>
              </w:rPr>
              <w:t>Year 2</w:t>
            </w:r>
          </w:p>
          <w:p w14:paraId="3B702C8B" w14:textId="77777777" w:rsidR="00BE5C9A" w:rsidRPr="00FD70DE" w:rsidRDefault="00BE5C9A" w:rsidP="00AC3BE0">
            <w:pPr>
              <w:pStyle w:val="In-tableHeading"/>
              <w:jc w:val="center"/>
              <w:rPr>
                <w:rFonts w:cstheme="minorHAnsi"/>
                <w:sz w:val="18"/>
                <w:szCs w:val="18"/>
                <w:lang w:val="en-AU"/>
              </w:rPr>
            </w:pPr>
            <w:r w:rsidRPr="00FD70DE">
              <w:rPr>
                <w:lang w:val="en-AU"/>
              </w:rPr>
              <w:t>2026</w:t>
            </w:r>
          </w:p>
        </w:tc>
        <w:tc>
          <w:tcPr>
            <w:tcW w:w="500" w:type="pct"/>
            <w:shd w:val="clear" w:color="auto" w:fill="auto"/>
            <w:vAlign w:val="center"/>
            <w:hideMark/>
          </w:tcPr>
          <w:p w14:paraId="5969A829" w14:textId="77777777" w:rsidR="00BE5C9A" w:rsidRPr="00FD70DE" w:rsidRDefault="00BE5C9A" w:rsidP="00AC3BE0">
            <w:pPr>
              <w:pStyle w:val="In-tableHeading"/>
              <w:jc w:val="center"/>
              <w:rPr>
                <w:lang w:val="en-AU"/>
              </w:rPr>
            </w:pPr>
            <w:r w:rsidRPr="00FD70DE">
              <w:rPr>
                <w:lang w:val="en-AU"/>
              </w:rPr>
              <w:t>Year 3</w:t>
            </w:r>
          </w:p>
          <w:p w14:paraId="45651AAA" w14:textId="77777777" w:rsidR="00BE5C9A" w:rsidRPr="00FD70DE" w:rsidRDefault="00BE5C9A" w:rsidP="00AC3BE0">
            <w:pPr>
              <w:pStyle w:val="In-tableHeading"/>
              <w:jc w:val="center"/>
              <w:rPr>
                <w:rFonts w:cstheme="minorHAnsi"/>
                <w:sz w:val="18"/>
                <w:szCs w:val="18"/>
                <w:lang w:val="en-AU"/>
              </w:rPr>
            </w:pPr>
            <w:r w:rsidRPr="00FD70DE">
              <w:rPr>
                <w:lang w:val="en-AU"/>
              </w:rPr>
              <w:t>2027</w:t>
            </w:r>
          </w:p>
        </w:tc>
        <w:tc>
          <w:tcPr>
            <w:tcW w:w="501" w:type="pct"/>
            <w:shd w:val="clear" w:color="auto" w:fill="auto"/>
            <w:hideMark/>
          </w:tcPr>
          <w:p w14:paraId="52BCC991" w14:textId="77777777" w:rsidR="00BE5C9A" w:rsidRPr="00FD70DE" w:rsidRDefault="00BE5C9A" w:rsidP="00AC3BE0">
            <w:pPr>
              <w:pStyle w:val="In-tableHeading"/>
              <w:jc w:val="center"/>
              <w:rPr>
                <w:lang w:val="en-AU"/>
              </w:rPr>
            </w:pPr>
            <w:r w:rsidRPr="00FD70DE">
              <w:rPr>
                <w:lang w:val="en-AU"/>
              </w:rPr>
              <w:t>Year 4</w:t>
            </w:r>
          </w:p>
          <w:p w14:paraId="2F8DA967" w14:textId="77777777" w:rsidR="00BE5C9A" w:rsidRPr="00FD70DE" w:rsidRDefault="00BE5C9A" w:rsidP="00AC3BE0">
            <w:pPr>
              <w:pStyle w:val="In-tableHeading"/>
              <w:jc w:val="center"/>
              <w:rPr>
                <w:rFonts w:cstheme="minorHAnsi"/>
                <w:sz w:val="18"/>
                <w:szCs w:val="18"/>
                <w:lang w:val="en-AU"/>
              </w:rPr>
            </w:pPr>
            <w:r w:rsidRPr="00FD70DE">
              <w:rPr>
                <w:lang w:val="en-AU"/>
              </w:rPr>
              <w:t>2028</w:t>
            </w:r>
          </w:p>
        </w:tc>
        <w:tc>
          <w:tcPr>
            <w:tcW w:w="501" w:type="pct"/>
            <w:shd w:val="clear" w:color="auto" w:fill="auto"/>
            <w:hideMark/>
          </w:tcPr>
          <w:p w14:paraId="68A89335" w14:textId="77777777" w:rsidR="00BE5C9A" w:rsidRPr="00FD70DE" w:rsidRDefault="00BE5C9A" w:rsidP="00AC3BE0">
            <w:pPr>
              <w:pStyle w:val="In-tableHeading"/>
              <w:jc w:val="center"/>
              <w:rPr>
                <w:lang w:val="en-AU"/>
              </w:rPr>
            </w:pPr>
            <w:r w:rsidRPr="00FD70DE">
              <w:rPr>
                <w:lang w:val="en-AU"/>
              </w:rPr>
              <w:t>Year 5</w:t>
            </w:r>
          </w:p>
          <w:p w14:paraId="26243A56" w14:textId="77777777" w:rsidR="00BE5C9A" w:rsidRPr="00FD70DE" w:rsidRDefault="00BE5C9A" w:rsidP="00AC3BE0">
            <w:pPr>
              <w:pStyle w:val="In-tableHeading"/>
              <w:jc w:val="center"/>
              <w:rPr>
                <w:rFonts w:cstheme="minorHAnsi"/>
                <w:sz w:val="18"/>
                <w:szCs w:val="18"/>
                <w:lang w:val="en-AU"/>
              </w:rPr>
            </w:pPr>
            <w:r w:rsidRPr="00FD70DE">
              <w:rPr>
                <w:lang w:val="en-AU"/>
              </w:rPr>
              <w:t>2029</w:t>
            </w:r>
          </w:p>
        </w:tc>
        <w:tc>
          <w:tcPr>
            <w:tcW w:w="500" w:type="pct"/>
            <w:shd w:val="clear" w:color="auto" w:fill="auto"/>
            <w:hideMark/>
          </w:tcPr>
          <w:p w14:paraId="56DEC62A" w14:textId="77777777" w:rsidR="00BE5C9A" w:rsidRPr="00FD70DE" w:rsidRDefault="00BE5C9A" w:rsidP="00AC3BE0">
            <w:pPr>
              <w:pStyle w:val="In-tableHeading"/>
              <w:jc w:val="center"/>
              <w:rPr>
                <w:lang w:val="en-AU"/>
              </w:rPr>
            </w:pPr>
            <w:r w:rsidRPr="00FD70DE">
              <w:rPr>
                <w:lang w:val="en-AU"/>
              </w:rPr>
              <w:t>Year 6</w:t>
            </w:r>
          </w:p>
          <w:p w14:paraId="3B6519B1" w14:textId="77777777" w:rsidR="00BE5C9A" w:rsidRPr="00FD70DE" w:rsidRDefault="00BE5C9A" w:rsidP="00AC3BE0">
            <w:pPr>
              <w:pStyle w:val="In-tableHeading"/>
              <w:jc w:val="center"/>
              <w:rPr>
                <w:rFonts w:cstheme="minorHAnsi"/>
                <w:sz w:val="18"/>
                <w:szCs w:val="18"/>
                <w:lang w:val="en-AU"/>
              </w:rPr>
            </w:pPr>
            <w:r w:rsidRPr="00FD70DE">
              <w:rPr>
                <w:lang w:val="en-AU"/>
              </w:rPr>
              <w:t>2030</w:t>
            </w:r>
          </w:p>
        </w:tc>
      </w:tr>
      <w:tr w:rsidR="00071E21" w:rsidRPr="00FD70DE" w14:paraId="4C99B9EA" w14:textId="77777777" w:rsidTr="00AC3BE0">
        <w:trPr>
          <w:cantSplit/>
          <w:trHeight w:val="270"/>
        </w:trPr>
        <w:tc>
          <w:tcPr>
            <w:tcW w:w="307" w:type="pct"/>
            <w:shd w:val="clear" w:color="auto" w:fill="auto"/>
          </w:tcPr>
          <w:p w14:paraId="3C2566E2" w14:textId="77777777" w:rsidR="00BE5C9A" w:rsidRPr="00FD70DE" w:rsidRDefault="00BE5C9A" w:rsidP="00AC3BE0">
            <w:pPr>
              <w:pStyle w:val="TableText"/>
              <w:rPr>
                <w:rFonts w:cstheme="minorHAnsi"/>
              </w:rPr>
            </w:pPr>
            <w:r w:rsidRPr="00FD70DE">
              <w:t>A</w:t>
            </w:r>
          </w:p>
        </w:tc>
        <w:tc>
          <w:tcPr>
            <w:tcW w:w="1648" w:type="pct"/>
            <w:shd w:val="clear" w:color="auto" w:fill="auto"/>
          </w:tcPr>
          <w:p w14:paraId="01E8B4F0" w14:textId="7491C5C4" w:rsidR="00BE5C9A" w:rsidRPr="00FD70DE" w:rsidRDefault="00BE5C9A" w:rsidP="00AC3BE0">
            <w:pPr>
              <w:pStyle w:val="TableText"/>
              <w:rPr>
                <w:rFonts w:cstheme="minorHAnsi"/>
              </w:rPr>
            </w:pPr>
            <w:r w:rsidRPr="00FD70DE">
              <w:t xml:space="preserve">No. patient years on treatment (row </w:t>
            </w:r>
            <w:r w:rsidR="00722B3C" w:rsidRPr="00FD70DE">
              <w:t>AK</w:t>
            </w:r>
            <w:r w:rsidRPr="00FD70DE">
              <w:t>)</w:t>
            </w:r>
          </w:p>
        </w:tc>
        <w:tc>
          <w:tcPr>
            <w:tcW w:w="545" w:type="pct"/>
            <w:shd w:val="clear" w:color="auto" w:fill="auto"/>
          </w:tcPr>
          <w:p w14:paraId="5771FD94" w14:textId="71B7729C" w:rsidR="00BE5C9A" w:rsidRPr="00FD70DE" w:rsidRDefault="0092112A" w:rsidP="00AC3BE0">
            <w:pPr>
              <w:pStyle w:val="TableText"/>
              <w:jc w:val="center"/>
              <w:rPr>
                <w:rFonts w:cstheme="minorHAnsi"/>
              </w:rPr>
            </w:pPr>
            <w:r w:rsidRPr="0092112A">
              <w:rPr>
                <w:b/>
                <w:bCs/>
              </w:rPr>
              <w:t>redacted</w:t>
            </w:r>
            <w:r w:rsidRPr="0092112A">
              <w:rPr>
                <w:b/>
                <w:bCs/>
                <w:vertAlign w:val="superscript"/>
              </w:rPr>
              <w:t>1</w:t>
            </w:r>
            <w:r w:rsidRPr="0092112A">
              <w:rPr>
                <w:b/>
                <w:bCs/>
              </w:rPr>
              <w:t xml:space="preserve"> </w:t>
            </w:r>
          </w:p>
        </w:tc>
        <w:tc>
          <w:tcPr>
            <w:tcW w:w="500" w:type="pct"/>
            <w:shd w:val="clear" w:color="auto" w:fill="auto"/>
          </w:tcPr>
          <w:p w14:paraId="4B19FEEB" w14:textId="25B4C4F5" w:rsidR="00BE5C9A" w:rsidRPr="00FD70DE" w:rsidRDefault="0092112A" w:rsidP="00AC3BE0">
            <w:pPr>
              <w:pStyle w:val="TableText"/>
              <w:jc w:val="center"/>
              <w:rPr>
                <w:rFonts w:cstheme="minorHAnsi"/>
              </w:rPr>
            </w:pPr>
            <w:r w:rsidRPr="0092112A">
              <w:rPr>
                <w:b/>
                <w:bCs/>
              </w:rPr>
              <w:t>redacted</w:t>
            </w:r>
            <w:r w:rsidRPr="0092112A">
              <w:rPr>
                <w:b/>
                <w:bCs/>
                <w:vertAlign w:val="superscript"/>
              </w:rPr>
              <w:t>1</w:t>
            </w:r>
            <w:r w:rsidRPr="0092112A">
              <w:rPr>
                <w:b/>
                <w:bCs/>
              </w:rPr>
              <w:t xml:space="preserve"> </w:t>
            </w:r>
          </w:p>
        </w:tc>
        <w:tc>
          <w:tcPr>
            <w:tcW w:w="500" w:type="pct"/>
            <w:shd w:val="clear" w:color="auto" w:fill="auto"/>
          </w:tcPr>
          <w:p w14:paraId="3F555A48" w14:textId="22F4AF44" w:rsidR="00BE5C9A" w:rsidRPr="00FD70DE" w:rsidRDefault="0092112A" w:rsidP="00AC3BE0">
            <w:pPr>
              <w:pStyle w:val="TableText"/>
              <w:jc w:val="center"/>
              <w:rPr>
                <w:rFonts w:cstheme="minorHAnsi"/>
              </w:rPr>
            </w:pPr>
            <w:r w:rsidRPr="0092112A">
              <w:rPr>
                <w:b/>
                <w:bCs/>
              </w:rPr>
              <w:t>redacted</w:t>
            </w:r>
            <w:r w:rsidRPr="0092112A">
              <w:rPr>
                <w:b/>
                <w:bCs/>
                <w:vertAlign w:val="superscript"/>
              </w:rPr>
              <w:t>1</w:t>
            </w:r>
            <w:r w:rsidRPr="0092112A">
              <w:rPr>
                <w:b/>
                <w:bCs/>
              </w:rPr>
              <w:t xml:space="preserve"> </w:t>
            </w:r>
          </w:p>
        </w:tc>
        <w:tc>
          <w:tcPr>
            <w:tcW w:w="501" w:type="pct"/>
            <w:shd w:val="clear" w:color="auto" w:fill="auto"/>
          </w:tcPr>
          <w:p w14:paraId="48755EFD" w14:textId="1FF48964" w:rsidR="00BE5C9A" w:rsidRPr="00FD70DE" w:rsidRDefault="0092112A" w:rsidP="00AC3BE0">
            <w:pPr>
              <w:pStyle w:val="TableText"/>
              <w:jc w:val="center"/>
              <w:rPr>
                <w:rFonts w:cstheme="minorHAnsi"/>
              </w:rPr>
            </w:pPr>
            <w:r w:rsidRPr="0092112A">
              <w:rPr>
                <w:b/>
                <w:bCs/>
              </w:rPr>
              <w:t>redacted</w:t>
            </w:r>
            <w:r w:rsidRPr="0092112A">
              <w:rPr>
                <w:b/>
                <w:bCs/>
                <w:vertAlign w:val="superscript"/>
              </w:rPr>
              <w:t>1</w:t>
            </w:r>
            <w:r w:rsidRPr="0092112A">
              <w:rPr>
                <w:b/>
                <w:bCs/>
              </w:rPr>
              <w:t xml:space="preserve"> </w:t>
            </w:r>
          </w:p>
        </w:tc>
        <w:tc>
          <w:tcPr>
            <w:tcW w:w="501" w:type="pct"/>
            <w:shd w:val="clear" w:color="auto" w:fill="auto"/>
          </w:tcPr>
          <w:p w14:paraId="59C9D9CA" w14:textId="034771F6" w:rsidR="00BE5C9A" w:rsidRPr="00FD70DE" w:rsidRDefault="0092112A" w:rsidP="00AC3BE0">
            <w:pPr>
              <w:pStyle w:val="TableText"/>
              <w:jc w:val="center"/>
              <w:rPr>
                <w:rFonts w:cstheme="minorHAnsi"/>
              </w:rPr>
            </w:pPr>
            <w:r w:rsidRPr="0092112A">
              <w:rPr>
                <w:b/>
                <w:bCs/>
              </w:rPr>
              <w:t>redacted</w:t>
            </w:r>
            <w:r w:rsidRPr="0092112A">
              <w:rPr>
                <w:b/>
                <w:bCs/>
                <w:vertAlign w:val="superscript"/>
              </w:rPr>
              <w:t>1</w:t>
            </w:r>
            <w:r w:rsidRPr="0092112A">
              <w:rPr>
                <w:b/>
                <w:bCs/>
              </w:rPr>
              <w:t xml:space="preserve"> </w:t>
            </w:r>
          </w:p>
        </w:tc>
        <w:tc>
          <w:tcPr>
            <w:tcW w:w="500" w:type="pct"/>
            <w:shd w:val="clear" w:color="auto" w:fill="auto"/>
          </w:tcPr>
          <w:p w14:paraId="2FB4F7F8" w14:textId="66EB996C" w:rsidR="00BE5C9A" w:rsidRPr="00FD70DE" w:rsidRDefault="0092112A" w:rsidP="00AC3BE0">
            <w:pPr>
              <w:pStyle w:val="TableText"/>
              <w:jc w:val="center"/>
              <w:rPr>
                <w:rFonts w:cstheme="minorHAnsi"/>
              </w:rPr>
            </w:pPr>
            <w:r w:rsidRPr="0092112A">
              <w:rPr>
                <w:b/>
                <w:bCs/>
              </w:rPr>
              <w:t>redacted</w:t>
            </w:r>
            <w:r w:rsidRPr="0092112A">
              <w:rPr>
                <w:b/>
                <w:bCs/>
                <w:vertAlign w:val="superscript"/>
              </w:rPr>
              <w:t>2</w:t>
            </w:r>
            <w:r w:rsidRPr="0092112A">
              <w:rPr>
                <w:b/>
                <w:bCs/>
              </w:rPr>
              <w:t xml:space="preserve"> </w:t>
            </w:r>
          </w:p>
        </w:tc>
      </w:tr>
      <w:tr w:rsidR="00071E21" w:rsidRPr="00FD70DE" w14:paraId="1A8D0A87" w14:textId="77777777" w:rsidTr="00AC3BE0">
        <w:trPr>
          <w:cantSplit/>
          <w:trHeight w:val="270"/>
        </w:trPr>
        <w:tc>
          <w:tcPr>
            <w:tcW w:w="307" w:type="pct"/>
            <w:shd w:val="clear" w:color="auto" w:fill="auto"/>
          </w:tcPr>
          <w:p w14:paraId="407E1129" w14:textId="77777777" w:rsidR="00BE5C9A" w:rsidRPr="00FD70DE" w:rsidRDefault="00BE5C9A" w:rsidP="00AC3BE0">
            <w:pPr>
              <w:pStyle w:val="TableText"/>
              <w:rPr>
                <w:rFonts w:cstheme="minorHAnsi"/>
              </w:rPr>
            </w:pPr>
            <w:r w:rsidRPr="00FD70DE">
              <w:t>B</w:t>
            </w:r>
          </w:p>
        </w:tc>
        <w:tc>
          <w:tcPr>
            <w:tcW w:w="1648" w:type="pct"/>
            <w:shd w:val="clear" w:color="auto" w:fill="auto"/>
          </w:tcPr>
          <w:p w14:paraId="3F6532DA" w14:textId="77777777" w:rsidR="00BE5C9A" w:rsidRPr="00FD70DE" w:rsidRDefault="00BE5C9A" w:rsidP="00AC3BE0">
            <w:pPr>
              <w:pStyle w:val="TableText"/>
              <w:rPr>
                <w:rFonts w:cstheme="minorHAnsi"/>
              </w:rPr>
            </w:pPr>
            <w:r w:rsidRPr="00FD70DE">
              <w:t>No. HDV RNA monitoring tests (A x 2 per patient-year on treatment)</w:t>
            </w:r>
          </w:p>
        </w:tc>
        <w:tc>
          <w:tcPr>
            <w:tcW w:w="545" w:type="pct"/>
            <w:shd w:val="clear" w:color="auto" w:fill="auto"/>
          </w:tcPr>
          <w:p w14:paraId="285CB0AF" w14:textId="7769A0C5" w:rsidR="00BE5C9A" w:rsidRPr="00FD70DE" w:rsidRDefault="0092112A" w:rsidP="00AC3BE0">
            <w:pPr>
              <w:pStyle w:val="TableText"/>
              <w:jc w:val="center"/>
              <w:rPr>
                <w:rFonts w:cstheme="minorHAnsi"/>
              </w:rPr>
            </w:pPr>
            <w:r w:rsidRPr="0092112A">
              <w:rPr>
                <w:b/>
                <w:bCs/>
              </w:rPr>
              <w:t>redacted</w:t>
            </w:r>
            <w:r w:rsidRPr="0092112A">
              <w:rPr>
                <w:b/>
                <w:bCs/>
                <w:vertAlign w:val="superscript"/>
              </w:rPr>
              <w:t>1</w:t>
            </w:r>
            <w:r w:rsidRPr="0092112A">
              <w:rPr>
                <w:b/>
                <w:bCs/>
              </w:rPr>
              <w:t xml:space="preserve"> </w:t>
            </w:r>
          </w:p>
        </w:tc>
        <w:tc>
          <w:tcPr>
            <w:tcW w:w="500" w:type="pct"/>
            <w:shd w:val="clear" w:color="auto" w:fill="auto"/>
          </w:tcPr>
          <w:p w14:paraId="06F2FB1A" w14:textId="2A49A2EC" w:rsidR="00BE5C9A" w:rsidRPr="00FD70DE" w:rsidRDefault="0092112A" w:rsidP="00AC3BE0">
            <w:pPr>
              <w:pStyle w:val="TableText"/>
              <w:jc w:val="center"/>
              <w:rPr>
                <w:rFonts w:cstheme="minorHAnsi"/>
              </w:rPr>
            </w:pPr>
            <w:r w:rsidRPr="0092112A">
              <w:rPr>
                <w:b/>
                <w:bCs/>
              </w:rPr>
              <w:t>redacted</w:t>
            </w:r>
            <w:r w:rsidRPr="0092112A">
              <w:rPr>
                <w:b/>
                <w:bCs/>
                <w:vertAlign w:val="superscript"/>
              </w:rPr>
              <w:t>2</w:t>
            </w:r>
            <w:r w:rsidRPr="0092112A">
              <w:rPr>
                <w:b/>
                <w:bCs/>
              </w:rPr>
              <w:t xml:space="preserve"> </w:t>
            </w:r>
          </w:p>
        </w:tc>
        <w:tc>
          <w:tcPr>
            <w:tcW w:w="500" w:type="pct"/>
            <w:shd w:val="clear" w:color="auto" w:fill="auto"/>
          </w:tcPr>
          <w:p w14:paraId="3297B989" w14:textId="65FC0D3A" w:rsidR="00BE5C9A" w:rsidRPr="00FD70DE" w:rsidRDefault="0092112A" w:rsidP="00AC3BE0">
            <w:pPr>
              <w:pStyle w:val="TableText"/>
              <w:jc w:val="center"/>
              <w:rPr>
                <w:rFonts w:cstheme="minorHAnsi"/>
              </w:rPr>
            </w:pPr>
            <w:r w:rsidRPr="0092112A">
              <w:rPr>
                <w:b/>
                <w:bCs/>
              </w:rPr>
              <w:t>redacted</w:t>
            </w:r>
            <w:r w:rsidRPr="0092112A">
              <w:rPr>
                <w:b/>
                <w:bCs/>
                <w:vertAlign w:val="superscript"/>
              </w:rPr>
              <w:t>2</w:t>
            </w:r>
            <w:r w:rsidRPr="0092112A">
              <w:rPr>
                <w:b/>
                <w:bCs/>
              </w:rPr>
              <w:t xml:space="preserve"> </w:t>
            </w:r>
          </w:p>
        </w:tc>
        <w:tc>
          <w:tcPr>
            <w:tcW w:w="501" w:type="pct"/>
            <w:shd w:val="clear" w:color="auto" w:fill="auto"/>
          </w:tcPr>
          <w:p w14:paraId="01B5933E" w14:textId="11944D94" w:rsidR="00BE5C9A" w:rsidRPr="00FD70DE" w:rsidRDefault="0092112A" w:rsidP="00AC3BE0">
            <w:pPr>
              <w:pStyle w:val="TableText"/>
              <w:jc w:val="center"/>
              <w:rPr>
                <w:rFonts w:cstheme="minorHAnsi"/>
              </w:rPr>
            </w:pPr>
            <w:r w:rsidRPr="0092112A">
              <w:rPr>
                <w:b/>
                <w:bCs/>
              </w:rPr>
              <w:t>redacted</w:t>
            </w:r>
            <w:r w:rsidRPr="0092112A">
              <w:rPr>
                <w:b/>
                <w:bCs/>
                <w:vertAlign w:val="superscript"/>
              </w:rPr>
              <w:t>2</w:t>
            </w:r>
            <w:r w:rsidRPr="0092112A">
              <w:rPr>
                <w:b/>
                <w:bCs/>
              </w:rPr>
              <w:t xml:space="preserve"> </w:t>
            </w:r>
          </w:p>
        </w:tc>
        <w:tc>
          <w:tcPr>
            <w:tcW w:w="501" w:type="pct"/>
            <w:shd w:val="clear" w:color="auto" w:fill="auto"/>
          </w:tcPr>
          <w:p w14:paraId="2DDE562A" w14:textId="0170E2A3" w:rsidR="00BE5C9A" w:rsidRPr="00FD70DE" w:rsidRDefault="0092112A" w:rsidP="00AC3BE0">
            <w:pPr>
              <w:pStyle w:val="TableText"/>
              <w:jc w:val="center"/>
              <w:rPr>
                <w:rFonts w:cstheme="minorHAnsi"/>
              </w:rPr>
            </w:pPr>
            <w:r w:rsidRPr="0092112A">
              <w:rPr>
                <w:b/>
                <w:bCs/>
              </w:rPr>
              <w:t>redacted</w:t>
            </w:r>
            <w:r w:rsidRPr="0092112A">
              <w:rPr>
                <w:b/>
                <w:bCs/>
                <w:vertAlign w:val="superscript"/>
              </w:rPr>
              <w:t>2</w:t>
            </w:r>
            <w:r w:rsidRPr="0092112A">
              <w:rPr>
                <w:b/>
                <w:bCs/>
              </w:rPr>
              <w:t xml:space="preserve"> </w:t>
            </w:r>
          </w:p>
        </w:tc>
        <w:tc>
          <w:tcPr>
            <w:tcW w:w="500" w:type="pct"/>
            <w:shd w:val="clear" w:color="auto" w:fill="auto"/>
          </w:tcPr>
          <w:p w14:paraId="459C5C48" w14:textId="62B33FB6" w:rsidR="00BE5C9A" w:rsidRPr="00FD70DE" w:rsidRDefault="0092112A" w:rsidP="00AC3BE0">
            <w:pPr>
              <w:pStyle w:val="TableText"/>
              <w:jc w:val="center"/>
              <w:rPr>
                <w:rFonts w:cstheme="minorHAnsi"/>
              </w:rPr>
            </w:pPr>
            <w:r w:rsidRPr="0092112A">
              <w:rPr>
                <w:b/>
                <w:bCs/>
              </w:rPr>
              <w:t>redacted</w:t>
            </w:r>
            <w:r w:rsidRPr="0092112A">
              <w:rPr>
                <w:b/>
                <w:bCs/>
                <w:vertAlign w:val="superscript"/>
              </w:rPr>
              <w:t>2</w:t>
            </w:r>
            <w:r w:rsidRPr="0092112A">
              <w:rPr>
                <w:b/>
                <w:bCs/>
              </w:rPr>
              <w:t xml:space="preserve"> </w:t>
            </w:r>
          </w:p>
        </w:tc>
      </w:tr>
      <w:tr w:rsidR="00071E21" w:rsidRPr="00FD70DE" w14:paraId="2678B5DB" w14:textId="77777777" w:rsidTr="00AC3BE0">
        <w:trPr>
          <w:cantSplit/>
          <w:trHeight w:val="270"/>
        </w:trPr>
        <w:tc>
          <w:tcPr>
            <w:tcW w:w="307" w:type="pct"/>
            <w:shd w:val="clear" w:color="auto" w:fill="auto"/>
          </w:tcPr>
          <w:p w14:paraId="2FD9A4C0" w14:textId="77777777" w:rsidR="00BE5C9A" w:rsidRPr="00FD70DE" w:rsidRDefault="00BE5C9A" w:rsidP="00AC3BE0">
            <w:pPr>
              <w:pStyle w:val="TableText"/>
              <w:rPr>
                <w:rFonts w:cstheme="minorHAnsi"/>
              </w:rPr>
            </w:pPr>
            <w:r w:rsidRPr="00FD70DE">
              <w:t>C</w:t>
            </w:r>
          </w:p>
        </w:tc>
        <w:tc>
          <w:tcPr>
            <w:tcW w:w="1648" w:type="pct"/>
            <w:shd w:val="clear" w:color="auto" w:fill="auto"/>
          </w:tcPr>
          <w:p w14:paraId="4B922D12" w14:textId="77777777" w:rsidR="00BE5C9A" w:rsidRPr="00FD70DE" w:rsidRDefault="00BE5C9A" w:rsidP="00AC3BE0">
            <w:pPr>
              <w:pStyle w:val="TableText"/>
              <w:rPr>
                <w:rFonts w:cstheme="minorHAnsi"/>
              </w:rPr>
            </w:pPr>
            <w:r w:rsidRPr="00FD70DE">
              <w:t>Cost to the MBS ($129.30 per test)</w:t>
            </w:r>
          </w:p>
        </w:tc>
        <w:tc>
          <w:tcPr>
            <w:tcW w:w="545" w:type="pct"/>
            <w:shd w:val="clear" w:color="auto" w:fill="auto"/>
          </w:tcPr>
          <w:p w14:paraId="41D7E4C7" w14:textId="425F10FC" w:rsidR="00BE5C9A" w:rsidRPr="00FD70DE" w:rsidRDefault="0092112A" w:rsidP="00AC3BE0">
            <w:pPr>
              <w:pStyle w:val="TableText"/>
              <w:jc w:val="center"/>
              <w:rPr>
                <w:rFonts w:cstheme="minorHAnsi"/>
                <w:b/>
                <w:bCs/>
              </w:rPr>
            </w:pPr>
            <w:r w:rsidRPr="0092112A">
              <w:rPr>
                <w:b/>
                <w:bCs/>
              </w:rPr>
              <w:t>redacted</w:t>
            </w:r>
            <w:r w:rsidRPr="0092112A">
              <w:rPr>
                <w:b/>
                <w:bCs/>
                <w:vertAlign w:val="superscript"/>
              </w:rPr>
              <w:t>3</w:t>
            </w:r>
            <w:r w:rsidR="003B740E" w:rsidRPr="00FD70DE" w:rsidDel="0092112A">
              <w:rPr>
                <w:b/>
                <w:bCs/>
              </w:rPr>
              <w:t xml:space="preserve"> </w:t>
            </w:r>
          </w:p>
        </w:tc>
        <w:tc>
          <w:tcPr>
            <w:tcW w:w="500" w:type="pct"/>
            <w:shd w:val="clear" w:color="auto" w:fill="auto"/>
          </w:tcPr>
          <w:p w14:paraId="12708CF3" w14:textId="541B72DB" w:rsidR="00BE5C9A" w:rsidRPr="00FD70DE" w:rsidRDefault="0092112A" w:rsidP="00AC3BE0">
            <w:pPr>
              <w:pStyle w:val="TableText"/>
              <w:jc w:val="center"/>
              <w:rPr>
                <w:rFonts w:cstheme="minorHAnsi"/>
                <w:b/>
                <w:bCs/>
              </w:rPr>
            </w:pPr>
            <w:r w:rsidRPr="0092112A">
              <w:rPr>
                <w:b/>
                <w:bCs/>
              </w:rPr>
              <w:t>redacted</w:t>
            </w:r>
            <w:r w:rsidRPr="0092112A">
              <w:rPr>
                <w:b/>
                <w:bCs/>
                <w:vertAlign w:val="superscript"/>
              </w:rPr>
              <w:t>3</w:t>
            </w:r>
            <w:r w:rsidR="003B740E" w:rsidRPr="00FD70DE" w:rsidDel="0092112A">
              <w:rPr>
                <w:b/>
                <w:bCs/>
              </w:rPr>
              <w:t xml:space="preserve"> </w:t>
            </w:r>
          </w:p>
        </w:tc>
        <w:tc>
          <w:tcPr>
            <w:tcW w:w="500" w:type="pct"/>
            <w:shd w:val="clear" w:color="auto" w:fill="auto"/>
          </w:tcPr>
          <w:p w14:paraId="02DBF3EA" w14:textId="3C121732" w:rsidR="00BE5C9A" w:rsidRPr="00FD70DE" w:rsidRDefault="0092112A" w:rsidP="00AC3BE0">
            <w:pPr>
              <w:pStyle w:val="TableText"/>
              <w:jc w:val="center"/>
              <w:rPr>
                <w:rFonts w:cstheme="minorHAnsi"/>
                <w:b/>
                <w:bCs/>
              </w:rPr>
            </w:pPr>
            <w:r w:rsidRPr="0092112A">
              <w:rPr>
                <w:b/>
                <w:bCs/>
              </w:rPr>
              <w:t>redacted</w:t>
            </w:r>
            <w:r w:rsidRPr="0092112A">
              <w:rPr>
                <w:b/>
                <w:bCs/>
                <w:vertAlign w:val="superscript"/>
              </w:rPr>
              <w:t>3</w:t>
            </w:r>
            <w:r w:rsidR="003B740E" w:rsidRPr="00FD70DE" w:rsidDel="0092112A">
              <w:rPr>
                <w:b/>
                <w:bCs/>
              </w:rPr>
              <w:t xml:space="preserve"> </w:t>
            </w:r>
          </w:p>
        </w:tc>
        <w:tc>
          <w:tcPr>
            <w:tcW w:w="501" w:type="pct"/>
            <w:shd w:val="clear" w:color="auto" w:fill="auto"/>
          </w:tcPr>
          <w:p w14:paraId="4B28FCDF" w14:textId="1D10B8A0" w:rsidR="00BE5C9A" w:rsidRPr="00FD70DE" w:rsidRDefault="0092112A" w:rsidP="00AC3BE0">
            <w:pPr>
              <w:pStyle w:val="TableText"/>
              <w:jc w:val="center"/>
              <w:rPr>
                <w:rFonts w:cstheme="minorHAnsi"/>
                <w:b/>
                <w:bCs/>
              </w:rPr>
            </w:pPr>
            <w:r w:rsidRPr="0092112A">
              <w:rPr>
                <w:b/>
                <w:bCs/>
              </w:rPr>
              <w:t>redacted</w:t>
            </w:r>
            <w:r w:rsidRPr="0092112A">
              <w:rPr>
                <w:b/>
                <w:bCs/>
                <w:vertAlign w:val="superscript"/>
              </w:rPr>
              <w:t>3</w:t>
            </w:r>
            <w:r w:rsidR="003B740E" w:rsidRPr="00FD70DE" w:rsidDel="0092112A">
              <w:rPr>
                <w:b/>
                <w:bCs/>
              </w:rPr>
              <w:t xml:space="preserve"> </w:t>
            </w:r>
          </w:p>
        </w:tc>
        <w:tc>
          <w:tcPr>
            <w:tcW w:w="501" w:type="pct"/>
            <w:shd w:val="clear" w:color="auto" w:fill="auto"/>
          </w:tcPr>
          <w:p w14:paraId="7E79DEF0" w14:textId="25879556" w:rsidR="00BE5C9A" w:rsidRPr="00FD70DE" w:rsidRDefault="0092112A" w:rsidP="00AC3BE0">
            <w:pPr>
              <w:pStyle w:val="TableText"/>
              <w:jc w:val="center"/>
              <w:rPr>
                <w:rFonts w:cstheme="minorHAnsi"/>
                <w:b/>
                <w:bCs/>
              </w:rPr>
            </w:pPr>
            <w:r w:rsidRPr="0092112A">
              <w:rPr>
                <w:b/>
                <w:bCs/>
              </w:rPr>
              <w:t>redacted</w:t>
            </w:r>
            <w:r w:rsidRPr="0092112A">
              <w:rPr>
                <w:b/>
                <w:bCs/>
                <w:vertAlign w:val="superscript"/>
              </w:rPr>
              <w:t>3</w:t>
            </w:r>
            <w:r w:rsidR="003B740E" w:rsidRPr="00FD70DE" w:rsidDel="0092112A">
              <w:rPr>
                <w:b/>
                <w:bCs/>
              </w:rPr>
              <w:t xml:space="preserve"> </w:t>
            </w:r>
          </w:p>
        </w:tc>
        <w:tc>
          <w:tcPr>
            <w:tcW w:w="500" w:type="pct"/>
            <w:shd w:val="clear" w:color="auto" w:fill="auto"/>
          </w:tcPr>
          <w:p w14:paraId="246A8B8F" w14:textId="5D78DB75" w:rsidR="00BE5C9A" w:rsidRPr="00FD70DE" w:rsidRDefault="0092112A" w:rsidP="00AC3BE0">
            <w:pPr>
              <w:pStyle w:val="TableText"/>
              <w:jc w:val="center"/>
              <w:rPr>
                <w:rFonts w:cstheme="minorHAnsi"/>
                <w:b/>
                <w:bCs/>
              </w:rPr>
            </w:pPr>
            <w:r w:rsidRPr="0092112A">
              <w:rPr>
                <w:b/>
                <w:bCs/>
              </w:rPr>
              <w:t>redacted</w:t>
            </w:r>
            <w:r w:rsidRPr="0092112A">
              <w:rPr>
                <w:b/>
                <w:bCs/>
                <w:vertAlign w:val="superscript"/>
              </w:rPr>
              <w:t>3</w:t>
            </w:r>
            <w:r w:rsidR="003B740E" w:rsidRPr="00FD70DE" w:rsidDel="0092112A">
              <w:rPr>
                <w:b/>
                <w:bCs/>
              </w:rPr>
              <w:t xml:space="preserve"> </w:t>
            </w:r>
          </w:p>
        </w:tc>
      </w:tr>
    </w:tbl>
    <w:p w14:paraId="7FE56247" w14:textId="3135D10C" w:rsidR="00BE5C9A" w:rsidRPr="00FD70DE" w:rsidRDefault="00BE5C9A" w:rsidP="00B178E4">
      <w:pPr>
        <w:pStyle w:val="TableFooter"/>
      </w:pPr>
      <w:r w:rsidRPr="00FD70DE">
        <w:t>Source: Table 4.6-</w:t>
      </w:r>
      <w:r w:rsidR="00722B3C" w:rsidRPr="00FD70DE">
        <w:t>5</w:t>
      </w:r>
      <w:r w:rsidRPr="00FD70DE">
        <w:t>, p177 of the resubmission</w:t>
      </w:r>
    </w:p>
    <w:p w14:paraId="1DF84830" w14:textId="77777777" w:rsidR="00BE5C9A" w:rsidRDefault="00BE5C9A" w:rsidP="00B178E4">
      <w:pPr>
        <w:pStyle w:val="TableFooter"/>
      </w:pPr>
      <w:r w:rsidRPr="00FD70DE">
        <w:t>HDV = Hepatitis delta virus; MBS = Medicare Benefits Schedule</w:t>
      </w:r>
    </w:p>
    <w:p w14:paraId="483559F1" w14:textId="77777777" w:rsidR="0009529D" w:rsidRPr="0009529D" w:rsidRDefault="0009529D" w:rsidP="0009529D">
      <w:pPr>
        <w:pStyle w:val="TableFooter"/>
        <w:rPr>
          <w:i/>
        </w:rPr>
      </w:pPr>
      <w:r w:rsidRPr="0009529D">
        <w:rPr>
          <w:i/>
        </w:rPr>
        <w:t>The redacted values correspond to the following ranges</w:t>
      </w:r>
    </w:p>
    <w:p w14:paraId="41C849D8" w14:textId="77777777" w:rsidR="0009529D" w:rsidRPr="0009529D" w:rsidRDefault="0009529D" w:rsidP="0009529D">
      <w:pPr>
        <w:pStyle w:val="TableFooter"/>
        <w:rPr>
          <w:i/>
        </w:rPr>
      </w:pPr>
      <w:r w:rsidRPr="0009529D">
        <w:rPr>
          <w:i/>
        </w:rPr>
        <w:t>1 &lt;500</w:t>
      </w:r>
    </w:p>
    <w:p w14:paraId="3BC5B9DD" w14:textId="77777777" w:rsidR="0009529D" w:rsidRPr="0009529D" w:rsidRDefault="0009529D" w:rsidP="0009529D">
      <w:pPr>
        <w:pStyle w:val="TableFooter"/>
        <w:rPr>
          <w:i/>
        </w:rPr>
      </w:pPr>
      <w:r w:rsidRPr="0009529D">
        <w:rPr>
          <w:i/>
        </w:rPr>
        <w:t>2 500 to &lt;5,000</w:t>
      </w:r>
    </w:p>
    <w:p w14:paraId="6030FDE1" w14:textId="2B781752" w:rsidR="00F565D1" w:rsidRPr="00862E3E" w:rsidRDefault="0009529D" w:rsidP="0009529D">
      <w:pPr>
        <w:pStyle w:val="TableFooter"/>
        <w:rPr>
          <w:i/>
        </w:rPr>
      </w:pPr>
      <w:r w:rsidRPr="0009529D">
        <w:rPr>
          <w:i/>
        </w:rPr>
        <w:t>3 $0 to &lt; $10 million</w:t>
      </w:r>
    </w:p>
    <w:p w14:paraId="58F61FCB" w14:textId="761D6800" w:rsidR="00BE5C9A" w:rsidRPr="00FD70DE" w:rsidRDefault="002037F9" w:rsidP="00BD2A33">
      <w:pPr>
        <w:pStyle w:val="Caption"/>
      </w:pPr>
      <w:r w:rsidRPr="0021265F">
        <w:t xml:space="preserve">Table </w:t>
      </w:r>
      <w:r>
        <w:fldChar w:fldCharType="begin"/>
      </w:r>
      <w:r>
        <w:instrText>SEQ Table_MSAC \* ARABIC</w:instrText>
      </w:r>
      <w:r>
        <w:fldChar w:fldCharType="separate"/>
      </w:r>
      <w:r w:rsidR="006C45A0">
        <w:rPr>
          <w:noProof/>
        </w:rPr>
        <w:t>14</w:t>
      </w:r>
      <w:r>
        <w:fldChar w:fldCharType="end"/>
      </w:r>
      <w:r w:rsidR="00BE5C9A" w:rsidRPr="00FD70DE">
        <w:tab/>
        <w:t>Total cost of HDV RNA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167"/>
        <w:gridCol w:w="959"/>
        <w:gridCol w:w="959"/>
        <w:gridCol w:w="959"/>
        <w:gridCol w:w="959"/>
        <w:gridCol w:w="959"/>
        <w:gridCol w:w="1718"/>
      </w:tblGrid>
      <w:tr w:rsidR="00071E21" w:rsidRPr="00FD70DE" w14:paraId="06D1D36E" w14:textId="77777777" w:rsidTr="00862E3E">
        <w:trPr>
          <w:cantSplit/>
          <w:trHeight w:val="270"/>
          <w:tblHeader/>
        </w:trPr>
        <w:tc>
          <w:tcPr>
            <w:tcW w:w="186" w:type="pct"/>
            <w:shd w:val="clear" w:color="auto" w:fill="auto"/>
            <w:hideMark/>
          </w:tcPr>
          <w:p w14:paraId="752E9E16" w14:textId="77777777" w:rsidR="00BE5C9A" w:rsidRPr="00FD70DE" w:rsidRDefault="00BE5C9A" w:rsidP="00AC3BE0">
            <w:pPr>
              <w:pStyle w:val="In-tableHeading"/>
              <w:jc w:val="center"/>
              <w:rPr>
                <w:rFonts w:cstheme="minorHAnsi"/>
                <w:sz w:val="18"/>
                <w:szCs w:val="18"/>
                <w:lang w:val="en-AU"/>
              </w:rPr>
            </w:pPr>
          </w:p>
        </w:tc>
        <w:tc>
          <w:tcPr>
            <w:tcW w:w="1201" w:type="pct"/>
            <w:shd w:val="clear" w:color="auto" w:fill="auto"/>
            <w:hideMark/>
          </w:tcPr>
          <w:p w14:paraId="1873AF0D" w14:textId="77777777" w:rsidR="00BE5C9A" w:rsidRPr="00FD70DE" w:rsidRDefault="00BE5C9A" w:rsidP="00AC3BE0">
            <w:pPr>
              <w:pStyle w:val="In-tableHeading"/>
              <w:jc w:val="center"/>
              <w:rPr>
                <w:rFonts w:cstheme="minorHAnsi"/>
                <w:sz w:val="18"/>
                <w:szCs w:val="18"/>
                <w:lang w:val="en-AU"/>
              </w:rPr>
            </w:pPr>
            <w:r w:rsidRPr="00FD70DE">
              <w:rPr>
                <w:lang w:val="en-AU"/>
              </w:rPr>
              <w:t>Parameters</w:t>
            </w:r>
          </w:p>
        </w:tc>
        <w:tc>
          <w:tcPr>
            <w:tcW w:w="532" w:type="pct"/>
            <w:shd w:val="clear" w:color="auto" w:fill="auto"/>
            <w:vAlign w:val="center"/>
            <w:hideMark/>
          </w:tcPr>
          <w:p w14:paraId="290F3F58" w14:textId="77777777" w:rsidR="00BE5C9A" w:rsidRPr="00FD70DE" w:rsidRDefault="00BE5C9A" w:rsidP="00AC3BE0">
            <w:pPr>
              <w:pStyle w:val="In-tableHeading"/>
              <w:jc w:val="center"/>
              <w:rPr>
                <w:lang w:val="en-AU"/>
              </w:rPr>
            </w:pPr>
            <w:r w:rsidRPr="00FD70DE">
              <w:rPr>
                <w:lang w:val="en-AU"/>
              </w:rPr>
              <w:t>Year 1</w:t>
            </w:r>
          </w:p>
          <w:p w14:paraId="48FDE098" w14:textId="77777777" w:rsidR="00BE5C9A" w:rsidRPr="00FD70DE" w:rsidRDefault="00BE5C9A" w:rsidP="00AC3BE0">
            <w:pPr>
              <w:pStyle w:val="In-tableHeading"/>
              <w:jc w:val="center"/>
              <w:rPr>
                <w:rFonts w:cstheme="minorHAnsi"/>
                <w:sz w:val="18"/>
                <w:szCs w:val="18"/>
                <w:lang w:val="en-AU"/>
              </w:rPr>
            </w:pPr>
            <w:r w:rsidRPr="00FD70DE">
              <w:rPr>
                <w:lang w:val="en-AU"/>
              </w:rPr>
              <w:t>2025</w:t>
            </w:r>
          </w:p>
        </w:tc>
        <w:tc>
          <w:tcPr>
            <w:tcW w:w="532" w:type="pct"/>
            <w:shd w:val="clear" w:color="auto" w:fill="auto"/>
            <w:vAlign w:val="center"/>
            <w:hideMark/>
          </w:tcPr>
          <w:p w14:paraId="4E9E07F3" w14:textId="77777777" w:rsidR="00BE5C9A" w:rsidRPr="00FD70DE" w:rsidRDefault="00BE5C9A" w:rsidP="00AC3BE0">
            <w:pPr>
              <w:pStyle w:val="In-tableHeading"/>
              <w:jc w:val="center"/>
              <w:rPr>
                <w:lang w:val="en-AU"/>
              </w:rPr>
            </w:pPr>
            <w:r w:rsidRPr="00FD70DE">
              <w:rPr>
                <w:lang w:val="en-AU"/>
              </w:rPr>
              <w:t>Year 2</w:t>
            </w:r>
          </w:p>
          <w:p w14:paraId="1FA3E23A" w14:textId="77777777" w:rsidR="00BE5C9A" w:rsidRPr="00FD70DE" w:rsidRDefault="00BE5C9A" w:rsidP="00AC3BE0">
            <w:pPr>
              <w:pStyle w:val="In-tableHeading"/>
              <w:jc w:val="center"/>
              <w:rPr>
                <w:rFonts w:cstheme="minorHAnsi"/>
                <w:sz w:val="18"/>
                <w:szCs w:val="18"/>
                <w:lang w:val="en-AU"/>
              </w:rPr>
            </w:pPr>
            <w:r w:rsidRPr="00FD70DE">
              <w:rPr>
                <w:lang w:val="en-AU"/>
              </w:rPr>
              <w:t>2026</w:t>
            </w:r>
          </w:p>
        </w:tc>
        <w:tc>
          <w:tcPr>
            <w:tcW w:w="532" w:type="pct"/>
            <w:shd w:val="clear" w:color="auto" w:fill="auto"/>
            <w:vAlign w:val="center"/>
            <w:hideMark/>
          </w:tcPr>
          <w:p w14:paraId="6D2A8297" w14:textId="77777777" w:rsidR="00BE5C9A" w:rsidRPr="00FD70DE" w:rsidRDefault="00BE5C9A" w:rsidP="00AC3BE0">
            <w:pPr>
              <w:pStyle w:val="In-tableHeading"/>
              <w:jc w:val="center"/>
              <w:rPr>
                <w:lang w:val="en-AU"/>
              </w:rPr>
            </w:pPr>
            <w:r w:rsidRPr="00FD70DE">
              <w:rPr>
                <w:lang w:val="en-AU"/>
              </w:rPr>
              <w:t>Year 3</w:t>
            </w:r>
          </w:p>
          <w:p w14:paraId="12E0CB8D" w14:textId="77777777" w:rsidR="00BE5C9A" w:rsidRPr="00FD70DE" w:rsidRDefault="00BE5C9A" w:rsidP="00AC3BE0">
            <w:pPr>
              <w:pStyle w:val="In-tableHeading"/>
              <w:jc w:val="center"/>
              <w:rPr>
                <w:rFonts w:cstheme="minorHAnsi"/>
                <w:sz w:val="18"/>
                <w:szCs w:val="18"/>
                <w:lang w:val="en-AU"/>
              </w:rPr>
            </w:pPr>
            <w:r w:rsidRPr="00FD70DE">
              <w:rPr>
                <w:lang w:val="en-AU"/>
              </w:rPr>
              <w:t>2027</w:t>
            </w:r>
          </w:p>
        </w:tc>
        <w:tc>
          <w:tcPr>
            <w:tcW w:w="532" w:type="pct"/>
            <w:shd w:val="clear" w:color="auto" w:fill="auto"/>
            <w:hideMark/>
          </w:tcPr>
          <w:p w14:paraId="54ED9AE4" w14:textId="77777777" w:rsidR="00BE5C9A" w:rsidRPr="00FD70DE" w:rsidRDefault="00BE5C9A" w:rsidP="00AC3BE0">
            <w:pPr>
              <w:pStyle w:val="In-tableHeading"/>
              <w:jc w:val="center"/>
              <w:rPr>
                <w:lang w:val="en-AU"/>
              </w:rPr>
            </w:pPr>
            <w:r w:rsidRPr="00FD70DE">
              <w:rPr>
                <w:lang w:val="en-AU"/>
              </w:rPr>
              <w:t>Year 4</w:t>
            </w:r>
          </w:p>
          <w:p w14:paraId="3A5BFF49" w14:textId="77777777" w:rsidR="00BE5C9A" w:rsidRPr="00FD70DE" w:rsidRDefault="00BE5C9A" w:rsidP="00AC3BE0">
            <w:pPr>
              <w:pStyle w:val="In-tableHeading"/>
              <w:jc w:val="center"/>
              <w:rPr>
                <w:rFonts w:cstheme="minorHAnsi"/>
                <w:sz w:val="18"/>
                <w:szCs w:val="18"/>
                <w:lang w:val="en-AU"/>
              </w:rPr>
            </w:pPr>
            <w:r w:rsidRPr="00FD70DE">
              <w:rPr>
                <w:lang w:val="en-AU"/>
              </w:rPr>
              <w:t>2028</w:t>
            </w:r>
          </w:p>
        </w:tc>
        <w:tc>
          <w:tcPr>
            <w:tcW w:w="532" w:type="pct"/>
            <w:shd w:val="clear" w:color="auto" w:fill="auto"/>
            <w:hideMark/>
          </w:tcPr>
          <w:p w14:paraId="765D60EB" w14:textId="77777777" w:rsidR="00BE5C9A" w:rsidRPr="00FD70DE" w:rsidRDefault="00BE5C9A" w:rsidP="00AC3BE0">
            <w:pPr>
              <w:pStyle w:val="In-tableHeading"/>
              <w:jc w:val="center"/>
              <w:rPr>
                <w:lang w:val="en-AU"/>
              </w:rPr>
            </w:pPr>
            <w:r w:rsidRPr="00FD70DE">
              <w:rPr>
                <w:lang w:val="en-AU"/>
              </w:rPr>
              <w:t>Year 5</w:t>
            </w:r>
          </w:p>
          <w:p w14:paraId="775C098F" w14:textId="77777777" w:rsidR="00BE5C9A" w:rsidRPr="00FD70DE" w:rsidRDefault="00BE5C9A" w:rsidP="00AC3BE0">
            <w:pPr>
              <w:pStyle w:val="In-tableHeading"/>
              <w:jc w:val="center"/>
              <w:rPr>
                <w:rFonts w:cstheme="minorHAnsi"/>
                <w:sz w:val="18"/>
                <w:szCs w:val="18"/>
                <w:lang w:val="en-AU"/>
              </w:rPr>
            </w:pPr>
            <w:r w:rsidRPr="00FD70DE">
              <w:rPr>
                <w:lang w:val="en-AU"/>
              </w:rPr>
              <w:t>2029</w:t>
            </w:r>
          </w:p>
        </w:tc>
        <w:tc>
          <w:tcPr>
            <w:tcW w:w="954" w:type="pct"/>
            <w:shd w:val="clear" w:color="auto" w:fill="auto"/>
            <w:hideMark/>
          </w:tcPr>
          <w:p w14:paraId="20E7AC43" w14:textId="77777777" w:rsidR="00BE5C9A" w:rsidRPr="00FD70DE" w:rsidRDefault="00BE5C9A" w:rsidP="00AC3BE0">
            <w:pPr>
              <w:pStyle w:val="In-tableHeading"/>
              <w:jc w:val="center"/>
              <w:rPr>
                <w:lang w:val="en-AU"/>
              </w:rPr>
            </w:pPr>
            <w:r w:rsidRPr="00FD70DE">
              <w:rPr>
                <w:lang w:val="en-AU"/>
              </w:rPr>
              <w:t>Year 6</w:t>
            </w:r>
          </w:p>
          <w:p w14:paraId="72C83CCF" w14:textId="77777777" w:rsidR="00BE5C9A" w:rsidRPr="00FD70DE" w:rsidRDefault="00BE5C9A" w:rsidP="00AC3BE0">
            <w:pPr>
              <w:pStyle w:val="In-tableHeading"/>
              <w:jc w:val="center"/>
              <w:rPr>
                <w:rFonts w:cstheme="minorHAnsi"/>
                <w:sz w:val="18"/>
                <w:szCs w:val="18"/>
                <w:lang w:val="en-AU"/>
              </w:rPr>
            </w:pPr>
            <w:r w:rsidRPr="00FD70DE">
              <w:rPr>
                <w:lang w:val="en-AU"/>
              </w:rPr>
              <w:t>2030</w:t>
            </w:r>
          </w:p>
        </w:tc>
      </w:tr>
      <w:tr w:rsidR="00071E21" w:rsidRPr="00FD70DE" w14:paraId="4228C533" w14:textId="77777777" w:rsidTr="00862E3E">
        <w:trPr>
          <w:cantSplit/>
          <w:trHeight w:val="270"/>
        </w:trPr>
        <w:tc>
          <w:tcPr>
            <w:tcW w:w="186" w:type="pct"/>
            <w:shd w:val="clear" w:color="auto" w:fill="auto"/>
          </w:tcPr>
          <w:p w14:paraId="3AA8CAC0" w14:textId="77777777" w:rsidR="00BE5C9A" w:rsidRPr="00FD70DE" w:rsidRDefault="00BE5C9A" w:rsidP="00AC3BE0">
            <w:pPr>
              <w:pStyle w:val="TableText"/>
              <w:rPr>
                <w:rFonts w:cstheme="minorHAnsi"/>
              </w:rPr>
            </w:pPr>
            <w:r w:rsidRPr="00FD70DE">
              <w:t>A</w:t>
            </w:r>
          </w:p>
        </w:tc>
        <w:tc>
          <w:tcPr>
            <w:tcW w:w="1201" w:type="pct"/>
            <w:shd w:val="clear" w:color="auto" w:fill="auto"/>
          </w:tcPr>
          <w:p w14:paraId="7876EC88" w14:textId="7398BADB" w:rsidR="00BE5C9A" w:rsidRPr="00FD70DE" w:rsidRDefault="00BE5C9A" w:rsidP="00AC3BE0">
            <w:pPr>
              <w:pStyle w:val="TableText"/>
              <w:rPr>
                <w:rFonts w:cstheme="minorHAnsi"/>
              </w:rPr>
            </w:pPr>
            <w:r w:rsidRPr="00FD70DE">
              <w:t xml:space="preserve">Total cost HDV RNA PCR tests </w:t>
            </w:r>
            <w:r w:rsidR="00A13E5F" w:rsidRPr="00FD70DE">
              <w:t xml:space="preserve">for </w:t>
            </w:r>
            <w:r w:rsidRPr="00FD70DE">
              <w:t>diagnosis (</w:t>
            </w:r>
            <w:r w:rsidR="0034763A">
              <w:fldChar w:fldCharType="begin"/>
            </w:r>
            <w:r w:rsidR="0034763A">
              <w:instrText xml:space="preserve"> REF _Ref183513872 \h </w:instrText>
            </w:r>
            <w:r w:rsidR="0034763A">
              <w:fldChar w:fldCharType="separate"/>
            </w:r>
            <w:r w:rsidR="0034763A" w:rsidRPr="00FD70DE">
              <w:t xml:space="preserve">Table MSAC </w:t>
            </w:r>
            <w:r w:rsidR="0034763A">
              <w:rPr>
                <w:noProof/>
              </w:rPr>
              <w:t>2</w:t>
            </w:r>
            <w:r w:rsidR="0034763A">
              <w:fldChar w:fldCharType="end"/>
            </w:r>
            <w:r w:rsidR="00C81CFC" w:rsidRPr="00C81CFC">
              <w:t xml:space="preserve"> </w:t>
            </w:r>
            <w:r w:rsidRPr="00C81CFC">
              <w:t>row</w:t>
            </w:r>
            <w:r w:rsidRPr="00FD70DE">
              <w:t xml:space="preserve"> X)</w:t>
            </w:r>
          </w:p>
        </w:tc>
        <w:tc>
          <w:tcPr>
            <w:tcW w:w="532" w:type="pct"/>
            <w:shd w:val="clear" w:color="auto" w:fill="auto"/>
          </w:tcPr>
          <w:p w14:paraId="055D13DF" w14:textId="7B7B13CD"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3B740E" w:rsidRPr="00FD70DE" w:rsidDel="0092112A">
              <w:t xml:space="preserve"> </w:t>
            </w:r>
          </w:p>
        </w:tc>
        <w:tc>
          <w:tcPr>
            <w:tcW w:w="532" w:type="pct"/>
            <w:shd w:val="clear" w:color="auto" w:fill="auto"/>
          </w:tcPr>
          <w:p w14:paraId="5ED00C3B" w14:textId="3BB39C87"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F565D1" w:rsidRPr="00FD70DE" w:rsidDel="0092112A">
              <w:t xml:space="preserve"> </w:t>
            </w:r>
          </w:p>
        </w:tc>
        <w:tc>
          <w:tcPr>
            <w:tcW w:w="532" w:type="pct"/>
            <w:shd w:val="clear" w:color="auto" w:fill="auto"/>
          </w:tcPr>
          <w:p w14:paraId="6E721271" w14:textId="7488C706"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F565D1" w:rsidRPr="00FD70DE" w:rsidDel="0092112A">
              <w:t xml:space="preserve"> </w:t>
            </w:r>
          </w:p>
        </w:tc>
        <w:tc>
          <w:tcPr>
            <w:tcW w:w="532" w:type="pct"/>
            <w:shd w:val="clear" w:color="auto" w:fill="auto"/>
          </w:tcPr>
          <w:p w14:paraId="293A5F2E" w14:textId="3E48252B"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F565D1" w:rsidRPr="00FD70DE" w:rsidDel="0092112A">
              <w:t xml:space="preserve"> </w:t>
            </w:r>
          </w:p>
        </w:tc>
        <w:tc>
          <w:tcPr>
            <w:tcW w:w="532" w:type="pct"/>
            <w:shd w:val="clear" w:color="auto" w:fill="auto"/>
          </w:tcPr>
          <w:p w14:paraId="3F62315E" w14:textId="70C6C35A"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F565D1" w:rsidRPr="00FD70DE" w:rsidDel="0092112A">
              <w:t xml:space="preserve"> </w:t>
            </w:r>
          </w:p>
        </w:tc>
        <w:tc>
          <w:tcPr>
            <w:tcW w:w="954" w:type="pct"/>
            <w:shd w:val="clear" w:color="auto" w:fill="auto"/>
          </w:tcPr>
          <w:p w14:paraId="350CABD4" w14:textId="144140A5"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F565D1" w:rsidRPr="00FD70DE" w:rsidDel="0092112A">
              <w:t xml:space="preserve"> </w:t>
            </w:r>
          </w:p>
        </w:tc>
      </w:tr>
      <w:tr w:rsidR="00071E21" w:rsidRPr="00FD70DE" w14:paraId="35CCCC6B" w14:textId="77777777" w:rsidTr="00862E3E">
        <w:trPr>
          <w:cantSplit/>
          <w:trHeight w:val="270"/>
        </w:trPr>
        <w:tc>
          <w:tcPr>
            <w:tcW w:w="186" w:type="pct"/>
            <w:shd w:val="clear" w:color="auto" w:fill="auto"/>
          </w:tcPr>
          <w:p w14:paraId="3121FF8F" w14:textId="77777777" w:rsidR="00BE5C9A" w:rsidRPr="00FD70DE" w:rsidRDefault="00BE5C9A" w:rsidP="00AC3BE0">
            <w:pPr>
              <w:pStyle w:val="TableText"/>
              <w:rPr>
                <w:rFonts w:cstheme="minorHAnsi"/>
              </w:rPr>
            </w:pPr>
            <w:r w:rsidRPr="00FD70DE">
              <w:t>B</w:t>
            </w:r>
          </w:p>
        </w:tc>
        <w:tc>
          <w:tcPr>
            <w:tcW w:w="1201" w:type="pct"/>
            <w:shd w:val="clear" w:color="auto" w:fill="auto"/>
          </w:tcPr>
          <w:p w14:paraId="0055D61D" w14:textId="185CE950" w:rsidR="00BE5C9A" w:rsidRPr="00FD70DE" w:rsidRDefault="00BE5C9A" w:rsidP="00AC3BE0">
            <w:pPr>
              <w:pStyle w:val="TableText"/>
              <w:rPr>
                <w:rFonts w:cstheme="minorHAnsi"/>
              </w:rPr>
            </w:pPr>
            <w:r w:rsidRPr="00FD70DE">
              <w:t xml:space="preserve">Total cost HDV RNA PCR tests </w:t>
            </w:r>
            <w:r w:rsidR="00A13E5F" w:rsidRPr="00FD70DE">
              <w:t xml:space="preserve">for </w:t>
            </w:r>
            <w:r w:rsidRPr="00FD70DE">
              <w:t>monitoring (</w:t>
            </w:r>
            <w:r w:rsidR="00C81CFC">
              <w:fldChar w:fldCharType="begin"/>
            </w:r>
            <w:r w:rsidR="00C81CFC">
              <w:instrText xml:space="preserve"> REF _Ref183513872 \h </w:instrText>
            </w:r>
            <w:r w:rsidR="00C81CFC">
              <w:fldChar w:fldCharType="separate"/>
            </w:r>
            <w:r w:rsidR="00C81CFC" w:rsidRPr="00FD70DE">
              <w:t xml:space="preserve">Table MSAC </w:t>
            </w:r>
            <w:r w:rsidR="00C81CFC">
              <w:rPr>
                <w:noProof/>
              </w:rPr>
              <w:t>2</w:t>
            </w:r>
            <w:r w:rsidR="00C81CFC">
              <w:fldChar w:fldCharType="end"/>
            </w:r>
            <w:r w:rsidRPr="00FD70DE">
              <w:t xml:space="preserve"> row C)</w:t>
            </w:r>
          </w:p>
        </w:tc>
        <w:tc>
          <w:tcPr>
            <w:tcW w:w="532" w:type="pct"/>
            <w:shd w:val="clear" w:color="auto" w:fill="auto"/>
          </w:tcPr>
          <w:p w14:paraId="7803BCBF" w14:textId="2659B19D"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F565D1" w:rsidRPr="00FD70DE" w:rsidDel="0092112A">
              <w:t xml:space="preserve"> </w:t>
            </w:r>
          </w:p>
        </w:tc>
        <w:tc>
          <w:tcPr>
            <w:tcW w:w="532" w:type="pct"/>
            <w:shd w:val="clear" w:color="auto" w:fill="auto"/>
          </w:tcPr>
          <w:p w14:paraId="426CDDA7" w14:textId="59FFAC4D"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DE3907" w:rsidRPr="00FD70DE" w:rsidDel="0092112A">
              <w:t xml:space="preserve"> </w:t>
            </w:r>
          </w:p>
        </w:tc>
        <w:tc>
          <w:tcPr>
            <w:tcW w:w="532" w:type="pct"/>
            <w:shd w:val="clear" w:color="auto" w:fill="auto"/>
          </w:tcPr>
          <w:p w14:paraId="6580380B" w14:textId="4081DEC3"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B73675" w:rsidRPr="00FD70DE" w:rsidDel="0092112A">
              <w:t xml:space="preserve"> </w:t>
            </w:r>
          </w:p>
        </w:tc>
        <w:tc>
          <w:tcPr>
            <w:tcW w:w="532" w:type="pct"/>
            <w:shd w:val="clear" w:color="auto" w:fill="auto"/>
          </w:tcPr>
          <w:p w14:paraId="02F2D8D0" w14:textId="514BC20B"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B73675" w:rsidRPr="00FD70DE" w:rsidDel="0092112A">
              <w:t xml:space="preserve"> </w:t>
            </w:r>
          </w:p>
        </w:tc>
        <w:tc>
          <w:tcPr>
            <w:tcW w:w="532" w:type="pct"/>
            <w:shd w:val="clear" w:color="auto" w:fill="auto"/>
          </w:tcPr>
          <w:p w14:paraId="39745CBC" w14:textId="62600CB7"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B73675" w:rsidRPr="00FD70DE" w:rsidDel="0092112A">
              <w:t xml:space="preserve"> </w:t>
            </w:r>
          </w:p>
        </w:tc>
        <w:tc>
          <w:tcPr>
            <w:tcW w:w="954" w:type="pct"/>
            <w:shd w:val="clear" w:color="auto" w:fill="auto"/>
          </w:tcPr>
          <w:p w14:paraId="4016627B" w14:textId="19D4B7D4" w:rsidR="00BE5C9A" w:rsidRPr="00FD70DE" w:rsidRDefault="0092112A" w:rsidP="00AC3BE0">
            <w:pPr>
              <w:pStyle w:val="TableText"/>
              <w:jc w:val="center"/>
              <w:rPr>
                <w:rFonts w:cstheme="minorHAnsi"/>
              </w:rPr>
            </w:pPr>
            <w:r>
              <w:rPr>
                <w:b/>
                <w:bCs/>
              </w:rPr>
              <w:t>r</w:t>
            </w:r>
            <w:r w:rsidRPr="0092112A">
              <w:rPr>
                <w:b/>
                <w:bCs/>
              </w:rPr>
              <w:t>edacted</w:t>
            </w:r>
            <w:r w:rsidRPr="0092112A">
              <w:rPr>
                <w:b/>
                <w:bCs/>
                <w:vertAlign w:val="superscript"/>
              </w:rPr>
              <w:t>1</w:t>
            </w:r>
            <w:r w:rsidR="00B73675" w:rsidRPr="00FD70DE" w:rsidDel="0092112A">
              <w:t xml:space="preserve"> </w:t>
            </w:r>
          </w:p>
        </w:tc>
      </w:tr>
      <w:tr w:rsidR="00BE5C9A" w:rsidRPr="00FD70DE" w14:paraId="40EE3010" w14:textId="77777777" w:rsidTr="00862E3E">
        <w:trPr>
          <w:cantSplit/>
          <w:trHeight w:val="270"/>
        </w:trPr>
        <w:tc>
          <w:tcPr>
            <w:tcW w:w="186" w:type="pct"/>
            <w:shd w:val="clear" w:color="auto" w:fill="auto"/>
          </w:tcPr>
          <w:p w14:paraId="0CCB0682" w14:textId="77777777" w:rsidR="00BE5C9A" w:rsidRPr="00FD70DE" w:rsidRDefault="00BE5C9A" w:rsidP="00AC3BE0">
            <w:pPr>
              <w:pStyle w:val="TableText"/>
              <w:rPr>
                <w:rFonts w:cstheme="minorHAnsi"/>
              </w:rPr>
            </w:pPr>
            <w:r w:rsidRPr="00FD70DE">
              <w:t>C</w:t>
            </w:r>
          </w:p>
        </w:tc>
        <w:tc>
          <w:tcPr>
            <w:tcW w:w="1201" w:type="pct"/>
            <w:shd w:val="clear" w:color="auto" w:fill="auto"/>
          </w:tcPr>
          <w:p w14:paraId="63C55056" w14:textId="77777777" w:rsidR="00BE5C9A" w:rsidRPr="00FD70DE" w:rsidRDefault="6870F380" w:rsidP="37C20EEE">
            <w:pPr>
              <w:pStyle w:val="TableText"/>
            </w:pPr>
            <w:r w:rsidRPr="4904BCD2">
              <w:t>Total additional cost MBS (A + B)</w:t>
            </w:r>
          </w:p>
        </w:tc>
        <w:tc>
          <w:tcPr>
            <w:tcW w:w="532" w:type="pct"/>
            <w:shd w:val="clear" w:color="auto" w:fill="auto"/>
          </w:tcPr>
          <w:p w14:paraId="23A7EC67" w14:textId="109CF059" w:rsidR="00BE5C9A" w:rsidRPr="00FD70DE" w:rsidRDefault="0092112A" w:rsidP="00AC3BE0">
            <w:pPr>
              <w:pStyle w:val="TableText"/>
              <w:jc w:val="center"/>
              <w:rPr>
                <w:rFonts w:cstheme="minorHAnsi"/>
                <w:b/>
                <w:bCs/>
              </w:rPr>
            </w:pPr>
            <w:r>
              <w:rPr>
                <w:b/>
                <w:bCs/>
              </w:rPr>
              <w:t>r</w:t>
            </w:r>
            <w:r w:rsidRPr="0092112A">
              <w:rPr>
                <w:b/>
                <w:bCs/>
              </w:rPr>
              <w:t>edacted</w:t>
            </w:r>
            <w:r w:rsidRPr="0092112A">
              <w:rPr>
                <w:b/>
                <w:bCs/>
                <w:vertAlign w:val="superscript"/>
              </w:rPr>
              <w:t>1</w:t>
            </w:r>
            <w:r w:rsidRPr="0092112A">
              <w:rPr>
                <w:b/>
                <w:bCs/>
              </w:rPr>
              <w:t xml:space="preserve"> </w:t>
            </w:r>
          </w:p>
        </w:tc>
        <w:tc>
          <w:tcPr>
            <w:tcW w:w="532" w:type="pct"/>
            <w:shd w:val="clear" w:color="auto" w:fill="auto"/>
          </w:tcPr>
          <w:p w14:paraId="7C24FA3D" w14:textId="6FBD3FE0" w:rsidR="00BE5C9A" w:rsidRPr="00FD70DE" w:rsidRDefault="0092112A" w:rsidP="00AC3BE0">
            <w:pPr>
              <w:pStyle w:val="TableText"/>
              <w:jc w:val="center"/>
              <w:rPr>
                <w:rFonts w:cstheme="minorHAnsi"/>
                <w:b/>
                <w:bCs/>
              </w:rPr>
            </w:pPr>
            <w:r>
              <w:rPr>
                <w:b/>
                <w:bCs/>
              </w:rPr>
              <w:t>r</w:t>
            </w:r>
            <w:r w:rsidRPr="0092112A">
              <w:rPr>
                <w:b/>
                <w:bCs/>
              </w:rPr>
              <w:t>edacted</w:t>
            </w:r>
            <w:r w:rsidRPr="0092112A">
              <w:rPr>
                <w:b/>
                <w:bCs/>
                <w:vertAlign w:val="superscript"/>
              </w:rPr>
              <w:t>1</w:t>
            </w:r>
            <w:r w:rsidR="00B73675" w:rsidRPr="004432D2" w:rsidDel="0092112A">
              <w:rPr>
                <w:b/>
                <w:bCs/>
              </w:rPr>
              <w:t xml:space="preserve"> </w:t>
            </w:r>
          </w:p>
        </w:tc>
        <w:tc>
          <w:tcPr>
            <w:tcW w:w="532" w:type="pct"/>
            <w:shd w:val="clear" w:color="auto" w:fill="auto"/>
          </w:tcPr>
          <w:p w14:paraId="31A0F9A9" w14:textId="4A486165" w:rsidR="00BE5C9A" w:rsidRPr="00FD70DE" w:rsidRDefault="0092112A" w:rsidP="00AC3BE0">
            <w:pPr>
              <w:pStyle w:val="TableText"/>
              <w:jc w:val="center"/>
              <w:rPr>
                <w:rFonts w:cstheme="minorHAnsi"/>
                <w:b/>
                <w:bCs/>
              </w:rPr>
            </w:pPr>
            <w:r>
              <w:rPr>
                <w:b/>
                <w:bCs/>
              </w:rPr>
              <w:t>r</w:t>
            </w:r>
            <w:r w:rsidRPr="0092112A">
              <w:rPr>
                <w:b/>
                <w:bCs/>
              </w:rPr>
              <w:t>edacted</w:t>
            </w:r>
            <w:r w:rsidRPr="0092112A">
              <w:rPr>
                <w:b/>
                <w:bCs/>
                <w:vertAlign w:val="superscript"/>
              </w:rPr>
              <w:t>1</w:t>
            </w:r>
            <w:r w:rsidR="00B73675" w:rsidRPr="00C04906" w:rsidDel="0092112A">
              <w:rPr>
                <w:b/>
                <w:bCs/>
              </w:rPr>
              <w:t xml:space="preserve"> </w:t>
            </w:r>
          </w:p>
        </w:tc>
        <w:tc>
          <w:tcPr>
            <w:tcW w:w="532" w:type="pct"/>
            <w:shd w:val="clear" w:color="auto" w:fill="auto"/>
          </w:tcPr>
          <w:p w14:paraId="079699D8" w14:textId="55CD449E" w:rsidR="00BE5C9A" w:rsidRPr="00FD70DE" w:rsidRDefault="0092112A" w:rsidP="00AC3BE0">
            <w:pPr>
              <w:pStyle w:val="TableText"/>
              <w:jc w:val="center"/>
              <w:rPr>
                <w:rFonts w:cstheme="minorHAnsi"/>
                <w:b/>
                <w:bCs/>
              </w:rPr>
            </w:pPr>
            <w:r>
              <w:rPr>
                <w:b/>
                <w:bCs/>
              </w:rPr>
              <w:t>r</w:t>
            </w:r>
            <w:r w:rsidRPr="0092112A">
              <w:rPr>
                <w:b/>
                <w:bCs/>
              </w:rPr>
              <w:t>edacted</w:t>
            </w:r>
            <w:r w:rsidRPr="0092112A">
              <w:rPr>
                <w:b/>
                <w:bCs/>
                <w:vertAlign w:val="superscript"/>
              </w:rPr>
              <w:t>1</w:t>
            </w:r>
            <w:r w:rsidR="00B73675" w:rsidRPr="00236D39" w:rsidDel="0092112A">
              <w:rPr>
                <w:b/>
                <w:bCs/>
              </w:rPr>
              <w:t xml:space="preserve"> </w:t>
            </w:r>
          </w:p>
        </w:tc>
        <w:tc>
          <w:tcPr>
            <w:tcW w:w="532" w:type="pct"/>
            <w:shd w:val="clear" w:color="auto" w:fill="auto"/>
          </w:tcPr>
          <w:p w14:paraId="3798B7F4" w14:textId="3ECE54F0" w:rsidR="00BE5C9A" w:rsidRPr="00FD70DE" w:rsidRDefault="0092112A" w:rsidP="00AC3BE0">
            <w:pPr>
              <w:pStyle w:val="TableText"/>
              <w:jc w:val="center"/>
              <w:rPr>
                <w:rFonts w:cstheme="minorHAnsi"/>
                <w:b/>
                <w:bCs/>
              </w:rPr>
            </w:pPr>
            <w:r>
              <w:rPr>
                <w:b/>
                <w:bCs/>
              </w:rPr>
              <w:t>r</w:t>
            </w:r>
            <w:r w:rsidRPr="0092112A">
              <w:rPr>
                <w:b/>
                <w:bCs/>
              </w:rPr>
              <w:t>edacted</w:t>
            </w:r>
            <w:r w:rsidRPr="0092112A">
              <w:rPr>
                <w:b/>
                <w:bCs/>
                <w:vertAlign w:val="superscript"/>
              </w:rPr>
              <w:t>1</w:t>
            </w:r>
            <w:r w:rsidR="00B73675" w:rsidRPr="00236D39" w:rsidDel="0092112A">
              <w:rPr>
                <w:b/>
                <w:bCs/>
              </w:rPr>
              <w:t xml:space="preserve"> </w:t>
            </w:r>
          </w:p>
        </w:tc>
        <w:tc>
          <w:tcPr>
            <w:tcW w:w="954" w:type="pct"/>
            <w:shd w:val="clear" w:color="auto" w:fill="auto"/>
          </w:tcPr>
          <w:p w14:paraId="78D5E63A" w14:textId="0C9D587A" w:rsidR="00BE5C9A" w:rsidRPr="00FD70DE" w:rsidRDefault="0092112A" w:rsidP="00AC3BE0">
            <w:pPr>
              <w:pStyle w:val="TableText"/>
              <w:keepNext/>
              <w:jc w:val="center"/>
              <w:rPr>
                <w:rFonts w:cstheme="minorHAnsi"/>
                <w:b/>
                <w:bCs/>
              </w:rPr>
            </w:pPr>
            <w:r>
              <w:rPr>
                <w:b/>
                <w:bCs/>
              </w:rPr>
              <w:t>r</w:t>
            </w:r>
            <w:r w:rsidRPr="0092112A">
              <w:rPr>
                <w:b/>
                <w:bCs/>
              </w:rPr>
              <w:t>edacted</w:t>
            </w:r>
            <w:r w:rsidRPr="0092112A">
              <w:rPr>
                <w:b/>
                <w:bCs/>
                <w:vertAlign w:val="superscript"/>
              </w:rPr>
              <w:t>1</w:t>
            </w:r>
            <w:r w:rsidR="00B73675" w:rsidRPr="00045EAE" w:rsidDel="0092112A">
              <w:rPr>
                <w:b/>
                <w:bCs/>
              </w:rPr>
              <w:t xml:space="preserve"> </w:t>
            </w:r>
          </w:p>
        </w:tc>
      </w:tr>
    </w:tbl>
    <w:p w14:paraId="0EECAD53" w14:textId="5B96AADE" w:rsidR="003B740E" w:rsidRPr="00862E3E" w:rsidRDefault="00862E3E" w:rsidP="001C70F1">
      <w:pPr>
        <w:pStyle w:val="3-BodyText"/>
        <w:spacing w:after="0"/>
        <w:rPr>
          <w:i/>
          <w:iCs/>
          <w:snapToGrid/>
          <w:sz w:val="18"/>
          <w:szCs w:val="18"/>
        </w:rPr>
      </w:pPr>
      <w:bookmarkStart w:id="58" w:name="_Toc69491427"/>
      <w:r w:rsidRPr="00862E3E">
        <w:rPr>
          <w:i/>
          <w:iCs/>
          <w:snapToGrid/>
          <w:sz w:val="18"/>
          <w:szCs w:val="18"/>
        </w:rPr>
        <w:t>The redacted values correspond to the following ranges</w:t>
      </w:r>
    </w:p>
    <w:p w14:paraId="607607AF" w14:textId="4727D225" w:rsidR="00F565D1" w:rsidRPr="00862E3E" w:rsidRDefault="00F565D1" w:rsidP="003B740E">
      <w:pPr>
        <w:pStyle w:val="3-BodyText"/>
        <w:rPr>
          <w:i/>
          <w:iCs/>
          <w:snapToGrid/>
          <w:sz w:val="18"/>
          <w:szCs w:val="18"/>
        </w:rPr>
      </w:pPr>
      <w:r w:rsidRPr="00862E3E">
        <w:rPr>
          <w:i/>
          <w:iCs/>
          <w:snapToGrid/>
          <w:sz w:val="18"/>
          <w:szCs w:val="18"/>
        </w:rPr>
        <w:t>1 $0 to &lt; $10 million</w:t>
      </w:r>
    </w:p>
    <w:p w14:paraId="18588D48" w14:textId="752DE480" w:rsidR="004506DC" w:rsidRPr="003A793E" w:rsidRDefault="004506DC"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t xml:space="preserve">Other relevant </w:t>
      </w:r>
      <w:bookmarkEnd w:id="58"/>
      <w:r w:rsidRPr="003A793E">
        <w:rPr>
          <w:rFonts w:ascii="Franklin Gothic Medium" w:hAnsi="Franklin Gothic Medium"/>
          <w:b w:val="0"/>
          <w:i w:val="0"/>
          <w:snapToGrid/>
          <w:color w:val="000000" w:themeColor="text1"/>
          <w:sz w:val="32"/>
          <w:szCs w:val="26"/>
        </w:rPr>
        <w:t>information</w:t>
      </w:r>
    </w:p>
    <w:p w14:paraId="3731B7F5" w14:textId="1D625619" w:rsidR="007D12D3" w:rsidRDefault="004506DC" w:rsidP="007D12D3">
      <w:pPr>
        <w:pStyle w:val="Tablenotes"/>
        <w:spacing w:after="120"/>
        <w:contextualSpacing w:val="0"/>
        <w:rPr>
          <w:rFonts w:ascii="Franklin Gothic Book" w:hAnsi="Franklin Gothic Book"/>
          <w:sz w:val="22"/>
        </w:rPr>
      </w:pPr>
      <w:r w:rsidRPr="001B421A">
        <w:rPr>
          <w:rFonts w:ascii="Franklin Gothic Book" w:hAnsi="Franklin Gothic Book"/>
          <w:sz w:val="22"/>
        </w:rPr>
        <w:t xml:space="preserve">Nil. </w:t>
      </w:r>
      <w:r w:rsidR="007D12D3">
        <w:rPr>
          <w:rFonts w:ascii="Franklin Gothic Book" w:hAnsi="Franklin Gothic Book"/>
          <w:sz w:val="22"/>
        </w:rPr>
        <w:br w:type="page"/>
      </w:r>
    </w:p>
    <w:p w14:paraId="68C4DF61" w14:textId="77777777" w:rsidR="004506DC" w:rsidRPr="003A793E" w:rsidRDefault="004506DC"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59" w:name="_Toc145678765"/>
      <w:bookmarkStart w:id="60" w:name="_Toc150172410"/>
      <w:bookmarkStart w:id="61" w:name="_Toc153462785"/>
      <w:r w:rsidRPr="003A793E">
        <w:rPr>
          <w:rFonts w:ascii="Franklin Gothic Medium" w:hAnsi="Franklin Gothic Medium"/>
          <w:b w:val="0"/>
          <w:i w:val="0"/>
          <w:snapToGrid/>
          <w:color w:val="000000" w:themeColor="text1"/>
          <w:sz w:val="32"/>
          <w:szCs w:val="26"/>
        </w:rPr>
        <w:lastRenderedPageBreak/>
        <w:t>Key issues from ESC to MSAC</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016"/>
      </w:tblGrid>
      <w:tr w:rsidR="00B93393" w:rsidRPr="00FD70DE" w14:paraId="63E93043" w14:textId="77777777" w:rsidTr="004506DC">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auto"/>
          </w:tcPr>
          <w:bookmarkEnd w:id="59"/>
          <w:bookmarkEnd w:id="60"/>
          <w:bookmarkEnd w:id="61"/>
          <w:p w14:paraId="72C9EE85" w14:textId="77777777" w:rsidR="004506DC" w:rsidRPr="004506DC" w:rsidRDefault="004506DC" w:rsidP="00C6349A">
            <w:pPr>
              <w:rPr>
                <w:rFonts w:ascii="Franklin Gothic Book" w:hAnsi="Franklin Gothic Book"/>
                <w:b w:val="0"/>
                <w:lang w:val="en-AU"/>
              </w:rPr>
            </w:pPr>
            <w:r w:rsidRPr="004506DC">
              <w:rPr>
                <w:rFonts w:ascii="Franklin Gothic Book" w:hAnsi="Franklin Gothic Book"/>
              </w:rPr>
              <w:t>Main issues for MSAC consideration</w:t>
            </w:r>
            <w:r w:rsidRPr="004506DC">
              <w:rPr>
                <w:rFonts w:ascii="Franklin Gothic Book" w:hAnsi="Franklin Gothic Book"/>
                <w:lang w:val="en-AU"/>
              </w:rPr>
              <w:t xml:space="preserve"> </w:t>
            </w:r>
          </w:p>
          <w:p w14:paraId="7F0DF3FB" w14:textId="6DE484DC" w:rsidR="00B93393" w:rsidRPr="00157044" w:rsidRDefault="00B93393" w:rsidP="00C6349A">
            <w:pPr>
              <w:rPr>
                <w:b w:val="0"/>
                <w:lang w:val="en-AU"/>
              </w:rPr>
            </w:pPr>
            <w:r w:rsidRPr="004506DC">
              <w:rPr>
                <w:rFonts w:ascii="Franklin Gothic Book" w:hAnsi="Franklin Gothic Book"/>
                <w:lang w:val="en-AU"/>
              </w:rPr>
              <w:t>Clinical issues</w:t>
            </w:r>
          </w:p>
          <w:p w14:paraId="5555D2A0" w14:textId="77777777" w:rsidR="00B93393" w:rsidRPr="004506DC" w:rsidRDefault="00B93393" w:rsidP="00C6349A">
            <w:pPr>
              <w:pStyle w:val="InstructionBulletpoint"/>
              <w:rPr>
                <w:rStyle w:val="InstructionalTextChar"/>
                <w:rFonts w:ascii="Franklin Gothic Book" w:hAnsi="Franklin Gothic Book"/>
                <w:b w:val="0"/>
                <w:i/>
                <w:color w:val="auto"/>
                <w:sz w:val="22"/>
                <w:lang w:val="en-AU"/>
              </w:rPr>
            </w:pPr>
            <w:r w:rsidRPr="004506DC">
              <w:rPr>
                <w:rStyle w:val="InstructionalTextChar"/>
                <w:rFonts w:ascii="Franklin Gothic Book" w:hAnsi="Franklin Gothic Book"/>
                <w:b w:val="0"/>
                <w:i/>
                <w:color w:val="auto"/>
                <w:sz w:val="22"/>
                <w:lang w:val="en-AU"/>
              </w:rPr>
              <w:t>The ESCs advised that as CHD is rare and the monitoring of HDV viral load and subsequent clinical management requires more highly specialised knowledge, the ordering of monitoring tests should be limited to specialists.</w:t>
            </w:r>
            <w:r w:rsidRPr="004506DC">
              <w:rPr>
                <w:rFonts w:ascii="Franklin Gothic Book" w:hAnsi="Franklin Gothic Book"/>
                <w:b w:val="0"/>
                <w:i/>
                <w:color w:val="auto"/>
                <w:sz w:val="22"/>
              </w:rPr>
              <w:t xml:space="preserve"> R</w:t>
            </w:r>
            <w:proofErr w:type="spellStart"/>
            <w:r w:rsidRPr="004506DC">
              <w:rPr>
                <w:rStyle w:val="InstructionalTextChar"/>
                <w:rFonts w:ascii="Franklin Gothic Book" w:hAnsi="Franklin Gothic Book"/>
                <w:b w:val="0"/>
                <w:i/>
                <w:color w:val="auto"/>
                <w:sz w:val="22"/>
                <w:lang w:val="en-AU"/>
              </w:rPr>
              <w:t>estricting</w:t>
            </w:r>
            <w:proofErr w:type="spellEnd"/>
            <w:r w:rsidRPr="004506DC">
              <w:rPr>
                <w:rStyle w:val="InstructionalTextChar"/>
                <w:rFonts w:ascii="Franklin Gothic Book" w:hAnsi="Franklin Gothic Book"/>
                <w:b w:val="0"/>
                <w:i/>
                <w:color w:val="auto"/>
                <w:sz w:val="22"/>
                <w:lang w:val="en-AU"/>
              </w:rPr>
              <w:t xml:space="preserve"> the ordering of monitoring tests to specialists would also make it more likely that sequential monitoring testing of the same patients would occur in the same laboratory, and thus reduce inter-laboratory variability in testing, if more laboratories were to take up this testing in the future. </w:t>
            </w:r>
            <w:proofErr w:type="gramStart"/>
            <w:r w:rsidRPr="004506DC">
              <w:rPr>
                <w:rStyle w:val="InstructionalTextChar"/>
                <w:rFonts w:ascii="Franklin Gothic Book" w:hAnsi="Franklin Gothic Book"/>
                <w:b w:val="0"/>
                <w:i/>
                <w:color w:val="auto"/>
                <w:sz w:val="22"/>
                <w:lang w:val="en-AU"/>
              </w:rPr>
              <w:t>Therefore</w:t>
            </w:r>
            <w:proofErr w:type="gramEnd"/>
            <w:r w:rsidRPr="004506DC">
              <w:rPr>
                <w:rStyle w:val="InstructionalTextChar"/>
                <w:rFonts w:ascii="Franklin Gothic Book" w:hAnsi="Franklin Gothic Book"/>
                <w:b w:val="0"/>
                <w:i/>
                <w:color w:val="auto"/>
                <w:sz w:val="22"/>
                <w:lang w:val="en-AU"/>
              </w:rPr>
              <w:t xml:space="preserve"> the ESCs recommended that </w:t>
            </w:r>
            <w:r w:rsidRPr="004506DC">
              <w:rPr>
                <w:rFonts w:ascii="Franklin Gothic Book" w:hAnsi="Franklin Gothic Book"/>
                <w:b w:val="0"/>
                <w:i/>
                <w:color w:val="auto"/>
                <w:sz w:val="22"/>
              </w:rPr>
              <w:t>MSAC consider a single MBS item to cover testing for both eligibility and monitoring which is restricted to specialists.</w:t>
            </w:r>
          </w:p>
          <w:p w14:paraId="587E3A70" w14:textId="26EAC47A" w:rsidR="00B93393" w:rsidRPr="004506DC" w:rsidRDefault="00B93393" w:rsidP="00C6349A">
            <w:pPr>
              <w:pStyle w:val="InstructionBulletpoint"/>
              <w:rPr>
                <w:rFonts w:ascii="Franklin Gothic Book" w:eastAsia="Calibri" w:hAnsi="Franklin Gothic Book" w:cs="Calibri"/>
                <w:sz w:val="22"/>
                <w:lang w:val="en-AU"/>
              </w:rPr>
            </w:pPr>
            <w:r w:rsidRPr="004506DC">
              <w:rPr>
                <w:rStyle w:val="InstructionalTextChar"/>
                <w:rFonts w:ascii="Franklin Gothic Book" w:hAnsi="Franklin Gothic Book"/>
                <w:b w:val="0"/>
                <w:iCs/>
                <w:color w:val="auto"/>
                <w:sz w:val="22"/>
                <w:lang w:val="en-AU"/>
              </w:rPr>
              <w:t>The c</w:t>
            </w:r>
            <w:proofErr w:type="spellStart"/>
            <w:r w:rsidRPr="004506DC">
              <w:rPr>
                <w:rStyle w:val="InstructionalTextChar"/>
                <w:rFonts w:ascii="Franklin Gothic Book" w:hAnsi="Franklin Gothic Book"/>
                <w:b w:val="0"/>
                <w:iCs/>
                <w:color w:val="auto"/>
                <w:sz w:val="22"/>
              </w:rPr>
              <w:t>ommentary</w:t>
            </w:r>
            <w:proofErr w:type="spellEnd"/>
            <w:r w:rsidRPr="004506DC">
              <w:rPr>
                <w:rStyle w:val="InstructionalTextChar"/>
                <w:rFonts w:ascii="Franklin Gothic Book" w:hAnsi="Franklin Gothic Book"/>
                <w:b w:val="0"/>
                <w:iCs/>
                <w:color w:val="auto"/>
                <w:sz w:val="22"/>
              </w:rPr>
              <w:t xml:space="preserve"> considered that</w:t>
            </w:r>
            <w:r w:rsidRPr="004506DC">
              <w:rPr>
                <w:rStyle w:val="InstructionalTextChar"/>
                <w:rFonts w:ascii="Franklin Gothic Book" w:hAnsi="Franklin Gothic Book"/>
                <w:iCs/>
                <w:color w:val="auto"/>
                <w:sz w:val="22"/>
              </w:rPr>
              <w:t xml:space="preserve"> </w:t>
            </w:r>
            <w:r w:rsidRPr="004506DC">
              <w:rPr>
                <w:rStyle w:val="InstructionalTextChar"/>
                <w:rFonts w:ascii="Franklin Gothic Book" w:hAnsi="Franklin Gothic Book"/>
                <w:b w:val="0"/>
                <w:iCs/>
                <w:color w:val="auto"/>
                <w:sz w:val="22"/>
                <w:lang w:val="en-AU"/>
              </w:rPr>
              <w:t xml:space="preserve">reliability of different tests in detecting similar viral loads (quantitative concordance) is problematic. Differences can be larger than 2 </w:t>
            </w:r>
            <w:r w:rsidR="00F142E3" w:rsidRPr="00F142E3">
              <w:rPr>
                <w:rFonts w:ascii="Franklin Gothic Book" w:hAnsi="Franklin Gothic Book"/>
                <w:b w:val="0"/>
                <w:bCs/>
                <w:color w:val="auto"/>
                <w:sz w:val="22"/>
              </w:rPr>
              <w:t>log</w:t>
            </w:r>
            <w:r w:rsidR="00F142E3" w:rsidRPr="00F142E3">
              <w:rPr>
                <w:rFonts w:ascii="Franklin Gothic Book" w:hAnsi="Franklin Gothic Book"/>
                <w:b w:val="0"/>
                <w:bCs/>
                <w:color w:val="auto"/>
                <w:sz w:val="22"/>
                <w:vertAlign w:val="subscript"/>
              </w:rPr>
              <w:t>10</w:t>
            </w:r>
            <w:r w:rsidRPr="004506DC">
              <w:rPr>
                <w:rStyle w:val="InstructionalTextChar"/>
                <w:rFonts w:ascii="Franklin Gothic Book" w:hAnsi="Franklin Gothic Book"/>
                <w:b w:val="0"/>
                <w:iCs/>
                <w:color w:val="auto"/>
                <w:sz w:val="22"/>
                <w:lang w:val="en-AU"/>
              </w:rPr>
              <w:t xml:space="preserve"> IU/</w:t>
            </w:r>
            <w:proofErr w:type="spellStart"/>
            <w:r w:rsidRPr="004506DC">
              <w:rPr>
                <w:rStyle w:val="InstructionalTextChar"/>
                <w:rFonts w:ascii="Franklin Gothic Book" w:hAnsi="Franklin Gothic Book"/>
                <w:b w:val="0"/>
                <w:iCs/>
                <w:color w:val="auto"/>
                <w:sz w:val="22"/>
                <w:lang w:val="en-AU"/>
              </w:rPr>
              <w:t>mL.</w:t>
            </w:r>
            <w:proofErr w:type="spellEnd"/>
            <w:r w:rsidRPr="004506DC">
              <w:rPr>
                <w:rStyle w:val="InstructionalTextChar"/>
                <w:rFonts w:ascii="Franklin Gothic Book" w:hAnsi="Franklin Gothic Book"/>
                <w:b w:val="0"/>
                <w:iCs/>
                <w:color w:val="auto"/>
                <w:sz w:val="22"/>
                <w:lang w:val="en-AU"/>
              </w:rPr>
              <w:t xml:space="preserve"> Three studies found that the quantitative differences between tests were large enough that they could potentially result in inappropriate changes in patient management. </w:t>
            </w:r>
            <w:proofErr w:type="gramStart"/>
            <w:r w:rsidRPr="004506DC">
              <w:rPr>
                <w:rStyle w:val="InstructionalTextChar"/>
                <w:rFonts w:ascii="Franklin Gothic Book" w:hAnsi="Franklin Gothic Book"/>
                <w:b w:val="0"/>
                <w:i/>
                <w:color w:val="auto"/>
                <w:sz w:val="22"/>
                <w:lang w:val="en-AU"/>
              </w:rPr>
              <w:t>However</w:t>
            </w:r>
            <w:proofErr w:type="gramEnd"/>
            <w:r w:rsidRPr="004506DC">
              <w:rPr>
                <w:rStyle w:val="InstructionalTextChar"/>
                <w:rFonts w:ascii="Franklin Gothic Book" w:hAnsi="Franklin Gothic Book"/>
                <w:b w:val="0"/>
                <w:i/>
                <w:color w:val="auto"/>
                <w:sz w:val="22"/>
                <w:lang w:val="en-AU"/>
              </w:rPr>
              <w:t xml:space="preserve"> </w:t>
            </w:r>
            <w:r w:rsidRPr="004506DC">
              <w:rPr>
                <w:rStyle w:val="InstructionalTextChar"/>
                <w:rFonts w:ascii="Franklin Gothic Book" w:hAnsi="Franklin Gothic Book"/>
                <w:b w:val="0"/>
                <w:i/>
                <w:color w:val="auto"/>
                <w:sz w:val="22"/>
              </w:rPr>
              <w:t>the</w:t>
            </w:r>
            <w:r w:rsidRPr="004506DC">
              <w:rPr>
                <w:rStyle w:val="InstructionalTextChar"/>
                <w:rFonts w:ascii="Franklin Gothic Book" w:hAnsi="Franklin Gothic Book"/>
                <w:b w:val="0"/>
                <w:i/>
                <w:color w:val="auto"/>
                <w:sz w:val="22"/>
                <w:lang w:val="en-AU"/>
              </w:rPr>
              <w:t xml:space="preserve"> ESCs noted that currently only one laboratory </w:t>
            </w:r>
            <w:r w:rsidRPr="004506DC">
              <w:rPr>
                <w:rStyle w:val="InstructionalTextChar"/>
                <w:rFonts w:ascii="Franklin Gothic Book" w:hAnsi="Franklin Gothic Book"/>
                <w:b w:val="0"/>
                <w:i/>
                <w:color w:val="auto"/>
                <w:sz w:val="22"/>
              </w:rPr>
              <w:t>in Australia</w:t>
            </w:r>
            <w:r w:rsidRPr="004506DC">
              <w:rPr>
                <w:rStyle w:val="InstructionalTextChar"/>
                <w:rFonts w:ascii="Franklin Gothic Book" w:hAnsi="Franklin Gothic Book"/>
                <w:b w:val="0"/>
                <w:i/>
                <w:color w:val="auto"/>
                <w:sz w:val="22"/>
                <w:lang w:val="en-AU"/>
              </w:rPr>
              <w:t xml:space="preserve">, the </w:t>
            </w:r>
            <w:r w:rsidRPr="004506DC">
              <w:rPr>
                <w:rFonts w:ascii="Franklin Gothic Book" w:hAnsi="Franklin Gothic Book"/>
                <w:b w:val="0"/>
                <w:i/>
                <w:color w:val="auto"/>
                <w:sz w:val="22"/>
              </w:rPr>
              <w:t>Victorian Infectious Diseases Reference Laboratory (VIDRL),</w:t>
            </w:r>
            <w:r w:rsidRPr="004506DC">
              <w:rPr>
                <w:rStyle w:val="InstructionalTextChar"/>
                <w:rFonts w:ascii="Franklin Gothic Book" w:hAnsi="Franklin Gothic Book"/>
                <w:b w:val="0"/>
                <w:i/>
                <w:color w:val="auto"/>
                <w:sz w:val="22"/>
                <w:lang w:val="en-AU"/>
              </w:rPr>
              <w:t xml:space="preserve"> offers HDV RNA testing, thus eliminating the potential for inter-laboratory variability in results. The ESCs considered that if other laboratories were to offer HDV testing in the future, </w:t>
            </w:r>
            <w:r w:rsidRPr="004506DC">
              <w:rPr>
                <w:rStyle w:val="InstructionalTextChar"/>
                <w:rFonts w:ascii="Franklin Gothic Book" w:hAnsi="Franklin Gothic Book"/>
                <w:b w:val="0"/>
                <w:i/>
                <w:iCs/>
                <w:color w:val="auto"/>
                <w:sz w:val="22"/>
                <w:lang w:val="en-AU"/>
              </w:rPr>
              <w:t>an external</w:t>
            </w:r>
            <w:r w:rsidRPr="004506DC">
              <w:rPr>
                <w:rStyle w:val="InstructionalTextChar"/>
                <w:rFonts w:ascii="Franklin Gothic Book" w:hAnsi="Franklin Gothic Book"/>
                <w:b w:val="0"/>
                <w:i/>
                <w:color w:val="auto"/>
                <w:sz w:val="22"/>
                <w:lang w:val="en-AU"/>
              </w:rPr>
              <w:t xml:space="preserve"> quality assurance program (QAP) would n</w:t>
            </w:r>
            <w:proofErr w:type="spellStart"/>
            <w:r w:rsidRPr="004506DC">
              <w:rPr>
                <w:rStyle w:val="InstructionalTextChar"/>
                <w:rFonts w:ascii="Franklin Gothic Book" w:hAnsi="Franklin Gothic Book"/>
                <w:b w:val="0"/>
                <w:i/>
                <w:color w:val="auto"/>
                <w:sz w:val="22"/>
              </w:rPr>
              <w:t>eed</w:t>
            </w:r>
            <w:proofErr w:type="spellEnd"/>
            <w:r w:rsidRPr="004506DC">
              <w:rPr>
                <w:rStyle w:val="InstructionalTextChar"/>
                <w:rFonts w:ascii="Franklin Gothic Book" w:hAnsi="Franklin Gothic Book"/>
                <w:b w:val="0"/>
                <w:i/>
                <w:color w:val="auto"/>
                <w:sz w:val="22"/>
              </w:rPr>
              <w:t xml:space="preserve"> to </w:t>
            </w:r>
            <w:r w:rsidRPr="004506DC">
              <w:rPr>
                <w:rStyle w:val="InstructionalTextChar"/>
                <w:rFonts w:ascii="Franklin Gothic Book" w:hAnsi="Franklin Gothic Book"/>
                <w:b w:val="0"/>
                <w:i/>
                <w:color w:val="auto"/>
                <w:sz w:val="22"/>
                <w:lang w:val="en-AU"/>
              </w:rPr>
              <w:t xml:space="preserve">be established to ensure inter-laboratory consistency in testing. </w:t>
            </w:r>
            <w:r w:rsidRPr="004506DC">
              <w:rPr>
                <w:rStyle w:val="InstructionalTextChar"/>
                <w:rFonts w:ascii="Franklin Gothic Book" w:hAnsi="Franklin Gothic Book"/>
                <w:b w:val="0"/>
                <w:i/>
                <w:iCs/>
                <w:color w:val="auto"/>
                <w:sz w:val="22"/>
                <w:lang w:val="en-AU"/>
              </w:rPr>
              <w:t xml:space="preserve"> </w:t>
            </w:r>
            <w:r w:rsidRPr="004506DC">
              <w:rPr>
                <w:rFonts w:ascii="Franklin Gothic Book" w:hAnsi="Franklin Gothic Book"/>
                <w:b w:val="0"/>
                <w:bCs/>
                <w:i/>
                <w:iCs/>
                <w:color w:val="auto"/>
                <w:sz w:val="22"/>
              </w:rPr>
              <w:t xml:space="preserve">Under the </w:t>
            </w:r>
            <w:r w:rsidRPr="004506DC">
              <w:rPr>
                <w:rFonts w:ascii="Franklin Gothic Book" w:eastAsia="Calibri" w:hAnsi="Franklin Gothic Book" w:cs="Calibri"/>
                <w:b w:val="0"/>
                <w:bCs/>
                <w:i/>
                <w:iCs/>
                <w:color w:val="auto"/>
                <w:sz w:val="22"/>
                <w:lang w:val="en-AU"/>
              </w:rPr>
              <w:t>Requirements for Medical Pathology Services, laboratories must be enrolled, participate and perform to an acceptable standard in external quality programs where they are available. Where such a program does not exist for a particular test method, the validity of the test results must be demonstrated by methods such as inter-laboratory comparisons or the analysis of reference material</w:t>
            </w:r>
            <w:r w:rsidRPr="004506DC">
              <w:rPr>
                <w:rFonts w:ascii="Franklin Gothic Book" w:eastAsia="Calibri" w:hAnsi="Franklin Gothic Book" w:cs="Calibri"/>
                <w:b w:val="0"/>
                <w:bCs/>
                <w:i/>
                <w:iCs/>
                <w:sz w:val="22"/>
                <w:lang w:val="en-AU"/>
              </w:rPr>
              <w:t>.</w:t>
            </w:r>
          </w:p>
          <w:p w14:paraId="7D94AD41" w14:textId="77777777" w:rsidR="00B93393" w:rsidRPr="004506DC" w:rsidRDefault="00B93393" w:rsidP="00C6349A">
            <w:pPr>
              <w:rPr>
                <w:rFonts w:ascii="Franklin Gothic Book" w:hAnsi="Franklin Gothic Book"/>
                <w:i/>
                <w:szCs w:val="24"/>
                <w:lang w:val="en-AU"/>
              </w:rPr>
            </w:pPr>
            <w:r w:rsidRPr="004506DC">
              <w:rPr>
                <w:rFonts w:ascii="Franklin Gothic Book" w:hAnsi="Franklin Gothic Book" w:cstheme="minorHAnsi"/>
                <w:i/>
                <w:szCs w:val="24"/>
                <w:lang w:val="en-AU"/>
              </w:rPr>
              <w:t>Economic issues</w:t>
            </w:r>
          </w:p>
          <w:p w14:paraId="4BC79D42" w14:textId="77777777" w:rsidR="00B93393" w:rsidRPr="004506DC" w:rsidRDefault="00B93393" w:rsidP="00C6349A">
            <w:pPr>
              <w:pStyle w:val="InstructionBulletpoint"/>
              <w:rPr>
                <w:rStyle w:val="InstructionalTextChar"/>
                <w:rFonts w:ascii="Franklin Gothic Book" w:hAnsi="Franklin Gothic Book"/>
                <w:b w:val="0"/>
                <w:color w:val="auto"/>
                <w:sz w:val="22"/>
                <w:lang w:val="en-AU"/>
              </w:rPr>
            </w:pPr>
            <w:r w:rsidRPr="004506DC">
              <w:rPr>
                <w:rStyle w:val="InstructionalTextChar"/>
                <w:rFonts w:ascii="Franklin Gothic Book" w:hAnsi="Franklin Gothic Book"/>
                <w:b w:val="0"/>
                <w:i/>
                <w:iCs/>
                <w:color w:val="auto"/>
                <w:sz w:val="22"/>
                <w:lang w:val="en-AU"/>
              </w:rPr>
              <w:t>The issues previously raised by the ESCs regarding the economic model remain largely unaddressed, and the model remains mostly unchanged.</w:t>
            </w:r>
          </w:p>
          <w:p w14:paraId="43E8D68D" w14:textId="77777777" w:rsidR="00B93393" w:rsidRPr="004506DC" w:rsidRDefault="00B93393" w:rsidP="00C6349A">
            <w:pPr>
              <w:pStyle w:val="InstructionBulletpoint"/>
              <w:rPr>
                <w:rStyle w:val="InstructionalTextChar"/>
                <w:rFonts w:ascii="Franklin Gothic Book" w:hAnsi="Franklin Gothic Book"/>
                <w:b w:val="0"/>
                <w:color w:val="auto"/>
                <w:sz w:val="22"/>
                <w:lang w:val="en-AU"/>
              </w:rPr>
            </w:pPr>
            <w:r w:rsidRPr="004506DC">
              <w:rPr>
                <w:rStyle w:val="InstructionalTextChar"/>
                <w:rFonts w:ascii="Franklin Gothic Book" w:hAnsi="Franklin Gothic Book"/>
                <w:b w:val="0"/>
                <w:color w:val="auto"/>
                <w:sz w:val="22"/>
                <w:lang w:val="en-AU"/>
              </w:rPr>
              <w:t xml:space="preserve">The economic model assumed that patients would undergo HDV RNA testing every 6 months while on bulevirtide treatment. Although this is consistent with the proposed MBS item descriptor, the only change in management modelled due to the inclusion of HDV RNA monitoring was to cease treatment in non-responders at Week 144 (~33 months). The role of testing for monitoring the efficacy of bulevirtide is therefore not appropriately addressed in the economic model.  </w:t>
            </w:r>
          </w:p>
          <w:p w14:paraId="567BB670" w14:textId="77777777" w:rsidR="00B93393" w:rsidRPr="004506DC" w:rsidRDefault="00B93393" w:rsidP="004506DC">
            <w:pPr>
              <w:rPr>
                <w:rFonts w:ascii="Franklin Gothic Book" w:hAnsi="Franklin Gothic Book" w:cstheme="minorHAnsi"/>
                <w:i/>
                <w:szCs w:val="24"/>
                <w:lang w:val="en-AU"/>
              </w:rPr>
            </w:pPr>
            <w:r w:rsidRPr="004506DC">
              <w:rPr>
                <w:rFonts w:ascii="Franklin Gothic Book" w:hAnsi="Franklin Gothic Book" w:cstheme="minorHAnsi"/>
                <w:i/>
                <w:szCs w:val="24"/>
                <w:lang w:val="en-AU"/>
              </w:rPr>
              <w:t>Financial issues</w:t>
            </w:r>
          </w:p>
          <w:p w14:paraId="6312D102" w14:textId="77777777" w:rsidR="00B93393" w:rsidRPr="004506DC" w:rsidRDefault="00B93393" w:rsidP="00C6349A">
            <w:pPr>
              <w:pStyle w:val="InstructionBulletpoint"/>
              <w:keepNext/>
              <w:keepLines/>
              <w:rPr>
                <w:rFonts w:ascii="Franklin Gothic Book" w:hAnsi="Franklin Gothic Book"/>
                <w:b w:val="0"/>
                <w:color w:val="auto"/>
                <w:sz w:val="22"/>
                <w:lang w:val="en-AU"/>
              </w:rPr>
            </w:pPr>
            <w:r w:rsidRPr="004506DC">
              <w:rPr>
                <w:rStyle w:val="InstructionalTextChar"/>
                <w:rFonts w:ascii="Franklin Gothic Book" w:hAnsi="Franklin Gothic Book"/>
                <w:b w:val="0"/>
                <w:color w:val="auto"/>
                <w:sz w:val="22"/>
                <w:lang w:val="en-AU"/>
              </w:rPr>
              <w:t>The financial model has been updated to account for the changes requested following the March 2024 submission.</w:t>
            </w:r>
          </w:p>
        </w:tc>
      </w:tr>
    </w:tbl>
    <w:p w14:paraId="44CE62D8" w14:textId="77777777" w:rsidR="00B93393" w:rsidRPr="004506DC" w:rsidRDefault="00B93393" w:rsidP="004506DC">
      <w:pPr>
        <w:pStyle w:val="Heading4"/>
        <w:rPr>
          <w:rFonts w:ascii="Franklin Gothic Book" w:hAnsi="Franklin Gothic Book"/>
          <w:color w:val="auto"/>
        </w:rPr>
      </w:pPr>
      <w:r w:rsidRPr="004506DC">
        <w:rPr>
          <w:rFonts w:ascii="Franklin Gothic Book" w:hAnsi="Franklin Gothic Book"/>
          <w:color w:val="auto"/>
        </w:rPr>
        <w:t xml:space="preserve">ESCs discussion </w:t>
      </w:r>
    </w:p>
    <w:p w14:paraId="3CB2E318"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The ESCs noted that this application was an integrated codependent re-submission seeking Medicare Benefits Schedule (MBS) listing of the quantitation of Hepatitis D viral ribonucleic acid (RNA) polymerase chain reaction (PCR) testing in plasma or serum to determine eligibility for treatment with bulevirtide in patients with chronic HDV (CHD) with compensated liver disease and for monitoring efficacy of bulevirtide treatment.</w:t>
      </w:r>
    </w:p>
    <w:p w14:paraId="35BED567"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that HDV infections occur within a setting of a co-infection with chronic hepatitis B virus (HBV). In Australia and in many countries globally, there is an effective HBV vaccination </w:t>
      </w:r>
      <w:r w:rsidRPr="004506DC">
        <w:rPr>
          <w:rFonts w:ascii="Franklin Gothic Book" w:hAnsi="Franklin Gothic Book"/>
          <w:sz w:val="22"/>
        </w:rPr>
        <w:lastRenderedPageBreak/>
        <w:t>program. Therefore, HDV infections are relatively rare and predominantly affect people who have immigrated to Australia.</w:t>
      </w:r>
    </w:p>
    <w:p w14:paraId="750DA768"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The ESCs noted that bulevirtide is listed on the Australian Register of Therapeutic Goods (ARTG) for the treatment of CHD in adults with compensated liver disease. The ARTG listing cites the effectiveness of bulevirtide for the treatment of CHD being based on three randomised open-label studies, two completed Phase 2 studies and one ongoing Phase 3 study. In addition, a fourth ongoing randomised open-label Phase 2 study was included in the integrated analysis of clinical safety.</w:t>
      </w:r>
    </w:p>
    <w:p w14:paraId="27DC3C91"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that the mechanism of action of bulevirtide was to bind to and inactivate the viral receptor on the surface of hepatocytes that HDV uses to </w:t>
      </w:r>
      <w:proofErr w:type="gramStart"/>
      <w:r w:rsidRPr="004506DC">
        <w:rPr>
          <w:rFonts w:ascii="Franklin Gothic Book" w:hAnsi="Franklin Gothic Book"/>
          <w:sz w:val="22"/>
        </w:rPr>
        <w:t>gain entry into</w:t>
      </w:r>
      <w:proofErr w:type="gramEnd"/>
      <w:r w:rsidRPr="004506DC">
        <w:rPr>
          <w:rFonts w:ascii="Franklin Gothic Book" w:hAnsi="Franklin Gothic Book"/>
          <w:sz w:val="22"/>
        </w:rPr>
        <w:t xml:space="preserve"> the cells, thereby preventing virus entry into hepatocytes. The ESCs also noted that the reduction in viral load is dependent on hepatocyte replacement which is influenced by patient factors as well as viral factors and takes an extended </w:t>
      </w:r>
      <w:proofErr w:type="gramStart"/>
      <w:r w:rsidRPr="004506DC">
        <w:rPr>
          <w:rFonts w:ascii="Franklin Gothic Book" w:hAnsi="Franklin Gothic Book"/>
          <w:sz w:val="22"/>
        </w:rPr>
        <w:t>period of time</w:t>
      </w:r>
      <w:proofErr w:type="gramEnd"/>
      <w:r w:rsidRPr="004506DC">
        <w:rPr>
          <w:rFonts w:ascii="Franklin Gothic Book" w:hAnsi="Franklin Gothic Book"/>
          <w:sz w:val="22"/>
        </w:rPr>
        <w:t xml:space="preserve">. Therefore, understanding the mechanism of action, and the link between viral load and hepatocyte replacement, is important for interpreting HDV load during the monitoring of treatment of CHD with bulevirtide. </w:t>
      </w:r>
      <w:proofErr w:type="gramStart"/>
      <w:r w:rsidRPr="004506DC">
        <w:rPr>
          <w:rFonts w:ascii="Franklin Gothic Book" w:hAnsi="Franklin Gothic Book"/>
          <w:sz w:val="22"/>
        </w:rPr>
        <w:t>Thus</w:t>
      </w:r>
      <w:proofErr w:type="gramEnd"/>
      <w:r w:rsidRPr="004506DC">
        <w:rPr>
          <w:rFonts w:ascii="Franklin Gothic Book" w:hAnsi="Franklin Gothic Book"/>
          <w:sz w:val="22"/>
        </w:rPr>
        <w:t xml:space="preserve"> the ESCs considered that there was biological plausibility to the claim that a quantitative test was required for monitoring of treatment of CHD with bulevirtide because a quantitative test is needed to detect reduction in viral load (relative to baseline) which is likely to precede a clinical response regardless of the absolute value.  The ESCs noted that a qualitative test would not report viral load and is unlikely to be informative for monitoring. The ESCs also noted that resistance to bulevirtide is theoretically possible, although this was not discussed in the resubmission.</w:t>
      </w:r>
    </w:p>
    <w:p w14:paraId="470C3CD9"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The ESCs noted that no consumer input had been received regarding this application.</w:t>
      </w:r>
    </w:p>
    <w:p w14:paraId="3B87372F"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that the Department presented two possible sets of amendments to the applicant’s proposed item descriptor. In the first set of amendments, while one item descriptor is retained, the reference to bulevirtide is replaced with a reference to a ‘PBS listed treatment’. In the second (alternative) set of amendments, the Department proposed that in addition to replacing the reference to bulevirtide with a reference to a ‘PBS listed treatment’ there should be two separate MBS item descriptors, one for determining eligibility for treatment requestable by specialist or consultant physicians, and one for monitoring of response to treatment with no restriction on requestor type. </w:t>
      </w:r>
    </w:p>
    <w:p w14:paraId="4D5CE48F"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The ESCs considered that to maintain consistency with the recent approach to refer broadly to Pharmaceutical Benefits Scheme (PBS)-listed treatments, rather than to name the specific treatments, it was appropriate for the MBS item descriptor to refer to a treatment listed on the PBS, rather than to bulevirtide specifically.</w:t>
      </w:r>
    </w:p>
    <w:p w14:paraId="7FB91DA8"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The ESCs discussed the merits of restricting the MBS item for eligibility for treatment with bulevirtide to specialists, with the MBS item for monitoring being open to include non-specialists, such as general practitioners (GPs), as requestors. While the ESCs noted the Department’s argument that opening the item for monitoring to non-specialists would potentially enable greater access to testing for patients, and allow  GPs to be involved in ongoing management of CHD patients, the ESCs advised that as CHD is rare and the monitoring of HDV viral load and subsequent clinical management requires more highly specialised knowledge, the ordering of monitoring tests should also be limited to specialists. The ESCs also considered that restricting the ordering of monitoring tests to specialists would also make it more likely that sequential monitoring testing of the same patients would occur in the same laboratory, and thus reduce inter-laboratory variability in testing, if more laboratories were to take up this testing in the future. The ESCs suggested that the MBS item for monitoring HDV viral load during bulevirtide treatment should be limited to specialists, as has been proposed for the MBS item for testing for eligibility for treatment with bulevirtide, then there would be no need for two separate MBS items. Therefore, the ESCs recommended MSAC consider a single MBS item to cover testing for both eligibility and monitoring which is restricted to specialists.</w:t>
      </w:r>
    </w:p>
    <w:p w14:paraId="7BB3C2D1" w14:textId="77777777" w:rsidR="00B93393" w:rsidRPr="004506DC" w:rsidRDefault="00B93393" w:rsidP="004506DC">
      <w:pPr>
        <w:keepNext/>
        <w:keepLines/>
        <w:spacing w:before="240" w:after="0" w:line="257" w:lineRule="auto"/>
        <w:ind w:left="1418" w:hanging="1418"/>
        <w:rPr>
          <w:rFonts w:ascii="Arial Narrow" w:eastAsia="Arial Narrow" w:hAnsi="Arial Narrow" w:cs="Arial Narrow"/>
          <w:b/>
          <w:bCs/>
          <w:color w:val="000000" w:themeColor="text1"/>
          <w:sz w:val="20"/>
          <w:szCs w:val="20"/>
        </w:rPr>
      </w:pPr>
      <w:r w:rsidRPr="004506DC">
        <w:rPr>
          <w:rFonts w:ascii="Arial Narrow" w:eastAsia="Arial Narrow" w:hAnsi="Arial Narrow" w:cs="Arial Narrow"/>
          <w:b/>
          <w:bCs/>
          <w:color w:val="000000" w:themeColor="text1"/>
          <w:sz w:val="20"/>
          <w:szCs w:val="20"/>
        </w:rPr>
        <w:lastRenderedPageBreak/>
        <w:t>Table 1 -</w:t>
      </w:r>
      <w:r w:rsidRPr="004506DC">
        <w:tab/>
      </w:r>
      <w:r w:rsidRPr="004506DC">
        <w:rPr>
          <w:rFonts w:ascii="Arial Narrow" w:eastAsia="Arial Narrow" w:hAnsi="Arial Narrow" w:cs="Arial Narrow"/>
          <w:b/>
          <w:bCs/>
          <w:color w:val="000000" w:themeColor="text1"/>
          <w:sz w:val="20"/>
          <w:szCs w:val="20"/>
        </w:rPr>
        <w:t>Applicant’s proposed MBS item for testing HDV RNA with Department’s suggested amendments</w:t>
      </w:r>
    </w:p>
    <w:tbl>
      <w:tblPr>
        <w:tblW w:w="0" w:type="auto"/>
        <w:tblLayout w:type="fixed"/>
        <w:tblLook w:val="04A0" w:firstRow="1" w:lastRow="0" w:firstColumn="1" w:lastColumn="0" w:noHBand="0" w:noVBand="1"/>
      </w:tblPr>
      <w:tblGrid>
        <w:gridCol w:w="9015"/>
      </w:tblGrid>
      <w:tr w:rsidR="00B93393" w14:paraId="42E09699" w14:textId="77777777" w:rsidTr="00C6349A">
        <w:trPr>
          <w:trHeight w:val="34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5D7D1" w14:textId="77777777" w:rsidR="00B93393" w:rsidRDefault="00B93393" w:rsidP="004506DC">
            <w:pPr>
              <w:keepNext/>
              <w:keepLines/>
              <w:jc w:val="right"/>
              <w:rPr>
                <w:rFonts w:ascii="Arial Narrow" w:eastAsia="Arial Narrow" w:hAnsi="Arial Narrow" w:cs="Arial Narrow"/>
                <w:sz w:val="20"/>
                <w:szCs w:val="20"/>
              </w:rPr>
            </w:pPr>
            <w:r w:rsidRPr="181A8BBD">
              <w:rPr>
                <w:rFonts w:ascii="Arial Narrow" w:eastAsia="Arial Narrow" w:hAnsi="Arial Narrow" w:cs="Arial Narrow"/>
                <w:sz w:val="20"/>
                <w:szCs w:val="20"/>
              </w:rPr>
              <w:t>Category 6 – PATHOLOGY SERVICES</w:t>
            </w:r>
          </w:p>
          <w:p w14:paraId="24754B90" w14:textId="77777777" w:rsidR="00B93393" w:rsidRDefault="00B93393" w:rsidP="004506DC">
            <w:pPr>
              <w:keepNext/>
              <w:keepLines/>
              <w:jc w:val="right"/>
              <w:rPr>
                <w:rFonts w:ascii="Arial Narrow" w:eastAsia="Arial Narrow" w:hAnsi="Arial Narrow" w:cs="Arial Narrow"/>
                <w:sz w:val="20"/>
                <w:szCs w:val="20"/>
              </w:rPr>
            </w:pPr>
            <w:r w:rsidRPr="181A8BBD">
              <w:rPr>
                <w:rFonts w:ascii="Arial Narrow" w:eastAsia="Arial Narrow" w:hAnsi="Arial Narrow" w:cs="Arial Narrow"/>
                <w:sz w:val="20"/>
                <w:szCs w:val="20"/>
              </w:rPr>
              <w:t>Group P3 - Microbiology</w:t>
            </w:r>
          </w:p>
        </w:tc>
      </w:tr>
      <w:tr w:rsidR="00B93393" w14:paraId="7B50152E" w14:textId="77777777" w:rsidTr="00C6349A">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FE49C4" w14:textId="77777777" w:rsidR="00B93393" w:rsidRDefault="00B93393" w:rsidP="004506DC">
            <w:pPr>
              <w:keepNext/>
              <w:keepLines/>
              <w:spacing w:before="40" w:after="40"/>
              <w:rPr>
                <w:rFonts w:ascii="Arial Narrow" w:eastAsia="Arial Narrow" w:hAnsi="Arial Narrow" w:cs="Arial Narrow"/>
                <w:sz w:val="20"/>
                <w:szCs w:val="20"/>
              </w:rPr>
            </w:pPr>
            <w:r w:rsidRPr="181A8BBD">
              <w:rPr>
                <w:rFonts w:ascii="Arial Narrow" w:eastAsia="Arial Narrow" w:hAnsi="Arial Narrow" w:cs="Arial Narrow"/>
                <w:sz w:val="20"/>
                <w:szCs w:val="20"/>
              </w:rPr>
              <w:t>MBS item *XXXX</w:t>
            </w:r>
          </w:p>
          <w:p w14:paraId="0260CA69" w14:textId="77777777" w:rsidR="00B93393" w:rsidRDefault="00B93393" w:rsidP="004506DC">
            <w:pPr>
              <w:keepNext/>
              <w:keepLines/>
              <w:spacing w:before="40" w:after="40"/>
              <w:rPr>
                <w:rFonts w:ascii="Arial Narrow" w:eastAsia="Arial Narrow" w:hAnsi="Arial Narrow" w:cs="Arial Narrow"/>
                <w:sz w:val="20"/>
                <w:szCs w:val="20"/>
              </w:rPr>
            </w:pPr>
            <w:r w:rsidRPr="181A8BBD">
              <w:rPr>
                <w:rFonts w:ascii="Arial Narrow" w:eastAsia="Arial Narrow" w:hAnsi="Arial Narrow" w:cs="Arial Narrow"/>
                <w:sz w:val="20"/>
                <w:szCs w:val="20"/>
              </w:rPr>
              <w:t xml:space="preserve">Quantitation of Hepatitis D viral RNA load in plasma or serum, </w:t>
            </w:r>
            <w:r w:rsidRPr="00CE31EA">
              <w:rPr>
                <w:rFonts w:ascii="Arial Narrow" w:eastAsia="Arial Narrow" w:hAnsi="Arial Narrow" w:cs="Arial Narrow"/>
                <w:strike/>
                <w:color w:val="ED0000"/>
                <w:sz w:val="20"/>
                <w:szCs w:val="20"/>
              </w:rPr>
              <w:t>i</w:t>
            </w:r>
            <w:r w:rsidRPr="00CE31EA">
              <w:rPr>
                <w:rFonts w:ascii="Calibri" w:eastAsia="Calibri" w:hAnsi="Calibri" w:cs="Calibri"/>
                <w:strike/>
                <w:color w:val="ED0000"/>
                <w:szCs w:val="24"/>
              </w:rPr>
              <w:t xml:space="preserve">n </w:t>
            </w:r>
            <w:r w:rsidRPr="00CE31EA">
              <w:rPr>
                <w:rFonts w:ascii="Arial Narrow" w:eastAsia="Arial Narrow" w:hAnsi="Arial Narrow" w:cs="Arial Narrow"/>
                <w:color w:val="ED0000"/>
                <w:sz w:val="20"/>
                <w:szCs w:val="20"/>
              </w:rPr>
              <w:t>requested by a specialist or consultant physician for</w:t>
            </w:r>
            <w:r w:rsidRPr="181A8BBD">
              <w:rPr>
                <w:rFonts w:ascii="Arial Narrow" w:eastAsia="Arial Narrow" w:hAnsi="Arial Narrow" w:cs="Arial Narrow"/>
                <w:sz w:val="20"/>
                <w:szCs w:val="20"/>
              </w:rPr>
              <w:t>:</w:t>
            </w:r>
          </w:p>
          <w:p w14:paraId="5641C854" w14:textId="77777777" w:rsidR="00B93393" w:rsidRDefault="00B93393" w:rsidP="004506DC">
            <w:pPr>
              <w:pStyle w:val="ListParagraph"/>
              <w:keepNext/>
              <w:keepLines/>
              <w:spacing w:before="0" w:after="0"/>
              <w:ind w:hanging="360"/>
              <w:rPr>
                <w:rFonts w:ascii="Arial Narrow" w:eastAsia="Arial Narrow" w:hAnsi="Arial Narrow" w:cs="Arial Narrow"/>
                <w:sz w:val="20"/>
                <w:szCs w:val="20"/>
              </w:rPr>
            </w:pPr>
            <w:r w:rsidRPr="00CE31EA">
              <w:rPr>
                <w:rFonts w:ascii="Arial Narrow" w:eastAsia="Arial Narrow" w:hAnsi="Arial Narrow" w:cs="Arial Narrow"/>
                <w:strike/>
                <w:color w:val="ED0000"/>
                <w:sz w:val="20"/>
                <w:szCs w:val="20"/>
              </w:rPr>
              <w:t>The pre-treatment evaluation for access to therapy for chronic HDV in</w:t>
            </w:r>
            <w:r w:rsidRPr="00CE31EA">
              <w:rPr>
                <w:rFonts w:ascii="Arial Narrow" w:eastAsia="Arial Narrow" w:hAnsi="Arial Narrow" w:cs="Arial Narrow"/>
                <w:color w:val="ED0000"/>
                <w:sz w:val="20"/>
                <w:szCs w:val="20"/>
              </w:rPr>
              <w:t xml:space="preserve"> a</w:t>
            </w:r>
            <w:r w:rsidRPr="181A8BBD">
              <w:rPr>
                <w:rFonts w:ascii="Arial Narrow" w:eastAsia="Arial Narrow" w:hAnsi="Arial Narrow" w:cs="Arial Narrow"/>
                <w:sz w:val="20"/>
                <w:szCs w:val="20"/>
              </w:rPr>
              <w:t xml:space="preserve"> patient who </w:t>
            </w:r>
            <w:r w:rsidRPr="00CE31EA">
              <w:rPr>
                <w:rFonts w:ascii="Arial Narrow" w:eastAsia="Arial Narrow" w:hAnsi="Arial Narrow" w:cs="Arial Narrow"/>
                <w:strike/>
                <w:color w:val="ED0000"/>
                <w:sz w:val="20"/>
                <w:szCs w:val="20"/>
              </w:rPr>
              <w:t>are</w:t>
            </w:r>
            <w:r w:rsidRPr="181A8BBD">
              <w:rPr>
                <w:rFonts w:ascii="Arial Narrow" w:eastAsia="Arial Narrow" w:hAnsi="Arial Narrow" w:cs="Arial Narrow"/>
                <w:sz w:val="20"/>
                <w:szCs w:val="20"/>
              </w:rPr>
              <w:t xml:space="preserve"> </w:t>
            </w:r>
            <w:r w:rsidRPr="00CE31EA">
              <w:rPr>
                <w:rFonts w:ascii="Arial Narrow" w:eastAsia="Arial Narrow" w:hAnsi="Arial Narrow" w:cs="Arial Narrow"/>
                <w:color w:val="ED0000"/>
                <w:sz w:val="20"/>
                <w:szCs w:val="20"/>
              </w:rPr>
              <w:t xml:space="preserve">is </w:t>
            </w:r>
            <w:r w:rsidRPr="181A8BBD">
              <w:rPr>
                <w:rFonts w:ascii="Arial Narrow" w:eastAsia="Arial Narrow" w:hAnsi="Arial Narrow" w:cs="Arial Narrow"/>
                <w:sz w:val="20"/>
                <w:szCs w:val="20"/>
              </w:rPr>
              <w:t>Hepatitis D viral antibody positive and suspected of having chronic hepatitis D</w:t>
            </w:r>
            <w:r w:rsidRPr="00CE31EA">
              <w:rPr>
                <w:rFonts w:ascii="Arial Narrow" w:eastAsia="Arial Narrow" w:hAnsi="Arial Narrow" w:cs="Arial Narrow"/>
                <w:color w:val="ED0000"/>
                <w:sz w:val="20"/>
                <w:szCs w:val="20"/>
              </w:rPr>
              <w:t>,</w:t>
            </w:r>
            <w:r w:rsidRPr="181A8BBD">
              <w:rPr>
                <w:rFonts w:ascii="Arial Narrow" w:eastAsia="Arial Narrow" w:hAnsi="Arial Narrow" w:cs="Arial Narrow"/>
                <w:sz w:val="20"/>
                <w:szCs w:val="20"/>
              </w:rPr>
              <w:t xml:space="preserve"> for access to a treatment listed on the </w:t>
            </w:r>
            <w:r w:rsidRPr="00CE31EA">
              <w:rPr>
                <w:rFonts w:ascii="Arial Narrow" w:eastAsia="Arial Narrow" w:hAnsi="Arial Narrow" w:cs="Arial Narrow"/>
                <w:color w:val="ED0000"/>
                <w:sz w:val="20"/>
                <w:szCs w:val="20"/>
              </w:rPr>
              <w:t>Pharmaceutical Benefits Scheme (PBS)</w:t>
            </w:r>
            <w:r w:rsidRPr="181A8BBD">
              <w:rPr>
                <w:rFonts w:ascii="Arial Narrow" w:eastAsia="Arial Narrow" w:hAnsi="Arial Narrow" w:cs="Arial Narrow"/>
                <w:sz w:val="20"/>
                <w:szCs w:val="20"/>
              </w:rPr>
              <w:t>; or</w:t>
            </w:r>
          </w:p>
          <w:p w14:paraId="34AF2279" w14:textId="77777777" w:rsidR="00B93393" w:rsidRDefault="00B93393" w:rsidP="004506DC">
            <w:pPr>
              <w:pStyle w:val="ListParagraph"/>
              <w:keepNext/>
              <w:keepLines/>
              <w:spacing w:before="0" w:after="0"/>
              <w:ind w:hanging="360"/>
              <w:rPr>
                <w:rFonts w:ascii="Arial Narrow" w:eastAsia="Arial Narrow" w:hAnsi="Arial Narrow" w:cs="Arial Narrow"/>
                <w:sz w:val="20"/>
                <w:szCs w:val="20"/>
              </w:rPr>
            </w:pPr>
            <w:r w:rsidRPr="37C20EEE">
              <w:rPr>
                <w:rFonts w:ascii="Arial Narrow" w:eastAsia="Arial Narrow" w:hAnsi="Arial Narrow" w:cs="Arial Narrow"/>
                <w:sz w:val="20"/>
                <w:szCs w:val="20"/>
              </w:rPr>
              <w:t xml:space="preserve">A patient undertaking viral therapy for chronic hepatitis D with </w:t>
            </w:r>
            <w:r w:rsidRPr="00CE31EA">
              <w:rPr>
                <w:rFonts w:ascii="Arial Narrow" w:eastAsia="Arial Narrow" w:hAnsi="Arial Narrow" w:cs="Arial Narrow"/>
                <w:strike/>
                <w:color w:val="ED0000"/>
                <w:sz w:val="20"/>
                <w:szCs w:val="20"/>
              </w:rPr>
              <w:t>bulevirtide</w:t>
            </w:r>
            <w:r w:rsidRPr="37C20EEE">
              <w:rPr>
                <w:rFonts w:ascii="Arial Narrow" w:eastAsia="Arial Narrow" w:hAnsi="Arial Narrow" w:cs="Arial Narrow"/>
                <w:sz w:val="20"/>
                <w:szCs w:val="20"/>
              </w:rPr>
              <w:t xml:space="preserve"> a PBS listed treatment, for the purpose of assessing treatment effectiveness.</w:t>
            </w:r>
          </w:p>
          <w:p w14:paraId="3DCA5246" w14:textId="77777777" w:rsidR="00B93393" w:rsidRDefault="00B93393" w:rsidP="004506DC">
            <w:pPr>
              <w:keepNext/>
              <w:keepLines/>
              <w:spacing w:before="40" w:after="40"/>
              <w:ind w:left="720"/>
              <w:rPr>
                <w:rFonts w:ascii="Arial Narrow" w:eastAsia="Arial Narrow" w:hAnsi="Arial Narrow" w:cs="Arial Narrow"/>
                <w:sz w:val="20"/>
                <w:szCs w:val="20"/>
              </w:rPr>
            </w:pPr>
            <w:r w:rsidRPr="181A8BBD">
              <w:rPr>
                <w:rFonts w:ascii="Arial Narrow" w:eastAsia="Arial Narrow" w:hAnsi="Arial Narrow" w:cs="Arial Narrow"/>
                <w:sz w:val="20"/>
                <w:szCs w:val="20"/>
              </w:rPr>
              <w:t xml:space="preserve"> </w:t>
            </w:r>
          </w:p>
          <w:p w14:paraId="15C32ADD" w14:textId="77777777" w:rsidR="00B93393" w:rsidRDefault="00B93393" w:rsidP="004506DC">
            <w:pPr>
              <w:keepNext/>
              <w:keepLines/>
              <w:spacing w:before="40" w:after="40"/>
              <w:rPr>
                <w:rFonts w:ascii="Arial Narrow" w:eastAsia="Arial Narrow" w:hAnsi="Arial Narrow" w:cs="Arial Narrow"/>
                <w:sz w:val="20"/>
                <w:szCs w:val="20"/>
              </w:rPr>
            </w:pPr>
            <w:r w:rsidRPr="4904BCD2">
              <w:rPr>
                <w:rFonts w:ascii="Arial Narrow" w:eastAsia="Arial Narrow" w:hAnsi="Arial Narrow" w:cs="Arial Narrow"/>
                <w:sz w:val="20"/>
                <w:szCs w:val="20"/>
              </w:rPr>
              <w:t xml:space="preserve">To a maximum of 2 tests in a </w:t>
            </w:r>
            <w:proofErr w:type="gramStart"/>
            <w:r w:rsidRPr="4904BCD2">
              <w:rPr>
                <w:rFonts w:ascii="Arial Narrow" w:eastAsia="Arial Narrow" w:hAnsi="Arial Narrow" w:cs="Arial Narrow"/>
                <w:sz w:val="20"/>
                <w:szCs w:val="20"/>
              </w:rPr>
              <w:t>12 month</w:t>
            </w:r>
            <w:proofErr w:type="gramEnd"/>
            <w:r w:rsidRPr="4904BCD2">
              <w:rPr>
                <w:rFonts w:ascii="Arial Narrow" w:eastAsia="Arial Narrow" w:hAnsi="Arial Narrow" w:cs="Arial Narrow"/>
                <w:sz w:val="20"/>
                <w:szCs w:val="20"/>
              </w:rPr>
              <w:t xml:space="preserve"> period</w:t>
            </w:r>
          </w:p>
        </w:tc>
      </w:tr>
      <w:tr w:rsidR="00B93393" w14:paraId="0301E3FB" w14:textId="77777777" w:rsidTr="00C6349A">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498F0E" w14:textId="77777777" w:rsidR="00B93393" w:rsidRDefault="00B93393" w:rsidP="004506DC">
            <w:pPr>
              <w:keepNext/>
              <w:keepLines/>
              <w:rPr>
                <w:rFonts w:ascii="Arial Narrow" w:eastAsia="Arial Narrow" w:hAnsi="Arial Narrow" w:cs="Arial Narrow"/>
                <w:sz w:val="20"/>
                <w:szCs w:val="20"/>
              </w:rPr>
            </w:pPr>
            <w:r w:rsidRPr="4904BCD2">
              <w:rPr>
                <w:rFonts w:ascii="Arial Narrow" w:eastAsia="Arial Narrow" w:hAnsi="Arial Narrow" w:cs="Arial Narrow"/>
                <w:sz w:val="20"/>
                <w:szCs w:val="20"/>
              </w:rPr>
              <w:t>Fee: $152.10 Benefit: 75% $114.10   85% = $129.30</w:t>
            </w:r>
          </w:p>
        </w:tc>
      </w:tr>
    </w:tbl>
    <w:p w14:paraId="7A93CA21" w14:textId="77777777" w:rsidR="00B93393" w:rsidRPr="00CE31EA" w:rsidRDefault="00B93393" w:rsidP="004506DC">
      <w:pPr>
        <w:keepNext/>
        <w:keepLines/>
        <w:tabs>
          <w:tab w:val="left" w:pos="0"/>
          <w:tab w:val="left" w:pos="426"/>
        </w:tabs>
        <w:rPr>
          <w:rFonts w:ascii="Arial Narrow" w:eastAsia="Segoe UI" w:hAnsi="Arial Narrow" w:cs="Segoe UI"/>
          <w:color w:val="ED0000"/>
          <w:sz w:val="18"/>
          <w:szCs w:val="18"/>
        </w:rPr>
      </w:pPr>
      <w:r w:rsidRPr="00CE31EA">
        <w:rPr>
          <w:rFonts w:ascii="Arial Narrow" w:eastAsia="Segoe UI" w:hAnsi="Arial Narrow" w:cs="Segoe UI"/>
          <w:color w:val="ED0000"/>
          <w:sz w:val="18"/>
          <w:szCs w:val="18"/>
        </w:rPr>
        <w:t>Department suggested amendments in red text and strike-through</w:t>
      </w:r>
    </w:p>
    <w:p w14:paraId="296ED2F6" w14:textId="77777777" w:rsidR="00B93393" w:rsidRPr="004506DC" w:rsidRDefault="00B93393" w:rsidP="004506DC">
      <w:pPr>
        <w:jc w:val="left"/>
        <w:rPr>
          <w:rFonts w:ascii="Franklin Gothic Book" w:eastAsia="Calibri" w:hAnsi="Franklin Gothic Book" w:cs="Calibri"/>
          <w:sz w:val="22"/>
        </w:rPr>
      </w:pPr>
      <w:r w:rsidRPr="004506DC">
        <w:rPr>
          <w:rFonts w:ascii="Franklin Gothic Book" w:hAnsi="Franklin Gothic Book"/>
          <w:sz w:val="22"/>
        </w:rPr>
        <w:t>The ESCs noted that the concordance of quantitative tests could be problematic as the differences in viral loads measured by different commercial tests could be as large as 2 log</w:t>
      </w:r>
      <w:r w:rsidRPr="004506DC">
        <w:rPr>
          <w:rFonts w:ascii="Franklin Gothic Book" w:hAnsi="Franklin Gothic Book"/>
          <w:sz w:val="22"/>
          <w:vertAlign w:val="subscript"/>
        </w:rPr>
        <w:t>10</w:t>
      </w:r>
      <w:r w:rsidRPr="004506DC">
        <w:rPr>
          <w:rFonts w:ascii="Franklin Gothic Book" w:hAnsi="Franklin Gothic Book"/>
          <w:sz w:val="22"/>
        </w:rPr>
        <w:t xml:space="preserve">IU/ml – which is the magnitude of change that the applicant argues is clinically meaningful.  However, the ESCs noted that currently only one laboratory in Australia offers HDV RNA testing. This laboratory is the Victorian Infectious Diseases Reference Laboratory (VIDRL). VIDRL offers an in-house quantitative PCR test for the detection and quantification of HDV RNA. The ESCs noted that the in-house VIDRL assay has NATA accreditation for HDV testing.  The in-house HDV RNA test has been validated against the World Health Organisation (WHO) reference standard for HDV genotype 1 and against other genotypes. Inter-run reproducibility of the in-house test used by VIDRL was demonstrated in the resubmission by testing low and high positive controls over seven runs. This demonstrated that the current test used in Australia is reproducible and measures viral load consistently. </w:t>
      </w:r>
      <w:proofErr w:type="gramStart"/>
      <w:r w:rsidRPr="004506DC">
        <w:rPr>
          <w:rFonts w:ascii="Franklin Gothic Book" w:hAnsi="Franklin Gothic Book"/>
          <w:sz w:val="22"/>
        </w:rPr>
        <w:t>Moreover</w:t>
      </w:r>
      <w:proofErr w:type="gramEnd"/>
      <w:r w:rsidRPr="004506DC">
        <w:rPr>
          <w:rFonts w:ascii="Franklin Gothic Book" w:hAnsi="Franklin Gothic Book"/>
          <w:sz w:val="22"/>
        </w:rPr>
        <w:t xml:space="preserve"> the ESCs considered that if other laboratories were to offer HDV testing in the future, an external quality assurance program (QAP) would ensure inter-laboratory consistency in testing. Under the </w:t>
      </w:r>
      <w:r w:rsidRPr="004506DC">
        <w:rPr>
          <w:rFonts w:ascii="Franklin Gothic Book" w:eastAsia="Calibri" w:hAnsi="Franklin Gothic Book" w:cs="Calibri"/>
          <w:i/>
          <w:iCs/>
          <w:sz w:val="22"/>
        </w:rPr>
        <w:t>Requirements for Medical Pathology Services</w:t>
      </w:r>
      <w:r w:rsidRPr="004506DC">
        <w:rPr>
          <w:rFonts w:ascii="Franklin Gothic Book" w:eastAsia="Calibri" w:hAnsi="Franklin Gothic Book" w:cs="Calibri"/>
          <w:sz w:val="22"/>
        </w:rPr>
        <w:t xml:space="preserve">, laboratories must be enrolled, participate and perform to an acceptable standard in external quality programs where they are available. Where such a program does not exist for a particular test method, the validity of the test results must be demonstrated by methods such as inter-laboratory comparisons or the analysis of reference material. </w:t>
      </w:r>
    </w:p>
    <w:p w14:paraId="1B9FF8E4"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also acknowledged that some variation of viral nucleic acid levels over time is to be expected when monitoring chronic viruses (e.g. HBV, HIV and HDV). The ESCs considered that the trends in HDV levels over time what was of ultimate importance in such testing and therefore the ESCs considered that the overall ‘signal to noise’ ratio of this proposed quantitative test was acceptable.  </w:t>
      </w:r>
    </w:p>
    <w:p w14:paraId="631C0E47"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that the key trial in this application was the MYR 301 trial, a phase 3 randomised trial of bulevirtide in patients with CHD. This trial concluded that after 48 weeks of bulevirtide treatment, HDV and ALT (alanine </w:t>
      </w:r>
      <w:proofErr w:type="gramStart"/>
      <w:r w:rsidRPr="004506DC">
        <w:rPr>
          <w:rFonts w:ascii="Franklin Gothic Book" w:hAnsi="Franklin Gothic Book"/>
          <w:sz w:val="22"/>
        </w:rPr>
        <w:t>amino-transferase</w:t>
      </w:r>
      <w:proofErr w:type="gramEnd"/>
      <w:r w:rsidRPr="004506DC">
        <w:rPr>
          <w:rFonts w:ascii="Franklin Gothic Book" w:hAnsi="Franklin Gothic Book"/>
          <w:sz w:val="22"/>
        </w:rPr>
        <w:t>, a liver enzyme that indicates liver damage) levels were reduced in patients with CHD. The ESCs noted that the assay used in the key trial (</w:t>
      </w:r>
      <w:proofErr w:type="spellStart"/>
      <w:r w:rsidRPr="004506DC">
        <w:rPr>
          <w:rFonts w:ascii="Franklin Gothic Book" w:hAnsi="Franklin Gothic Book"/>
          <w:sz w:val="22"/>
        </w:rPr>
        <w:t>Robogene</w:t>
      </w:r>
      <w:proofErr w:type="spellEnd"/>
      <w:r w:rsidRPr="004506DC">
        <w:rPr>
          <w:rFonts w:ascii="Franklin Gothic Book" w:hAnsi="Franklin Gothic Book"/>
          <w:sz w:val="22"/>
        </w:rPr>
        <w:t xml:space="preserve"> ® RNA quantification kit) was different to the current quantitative HDV RNA assay available in Australia (an in-house assay available in a single Australian laboratory).</w:t>
      </w:r>
    </w:p>
    <w:p w14:paraId="465CB6A0"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the evidence presented in the resubmission. This included three studies that reported on the prognostic validity of HDV RNA detection versus no detection at baseline, two studies that looked at the ability of HDV RNA levels to predict the development of cirrhosis and four studies that looked at the relationship between a reduction in HDV viral load and associated health outcomes. The ESCs considered these supported the claim that active chronic HDV (detectable HDV RNA) was associated with worse liver-related outcomes.  </w:t>
      </w:r>
    </w:p>
    <w:p w14:paraId="6DD6E320" w14:textId="4CEB15B6"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lastRenderedPageBreak/>
        <w:t>The ESCs specifically noted a German study</w:t>
      </w:r>
      <w:r w:rsidRPr="004506DC">
        <w:rPr>
          <w:rStyle w:val="FootnoteReference"/>
          <w:rFonts w:ascii="Franklin Gothic Book" w:hAnsi="Franklin Gothic Book"/>
          <w:sz w:val="22"/>
        </w:rPr>
        <w:footnoteReference w:id="32"/>
      </w:r>
      <w:r w:rsidRPr="004506DC">
        <w:rPr>
          <w:rFonts w:ascii="Franklin Gothic Book" w:hAnsi="Franklin Gothic Book"/>
          <w:sz w:val="22"/>
        </w:rPr>
        <w:t xml:space="preserve"> where 114 patients were treated with </w:t>
      </w:r>
      <w:proofErr w:type="gramStart"/>
      <w:r w:rsidRPr="004506DC">
        <w:rPr>
          <w:rFonts w:ascii="Franklin Gothic Book" w:hAnsi="Franklin Gothic Book"/>
          <w:sz w:val="22"/>
        </w:rPr>
        <w:t>bulevirtide</w:t>
      </w:r>
      <w:proofErr w:type="gramEnd"/>
      <w:r w:rsidRPr="004506DC">
        <w:rPr>
          <w:rFonts w:ascii="Franklin Gothic Book" w:hAnsi="Franklin Gothic Book"/>
          <w:sz w:val="22"/>
        </w:rPr>
        <w:t xml:space="preserve"> and the virological response was defined as a &gt;2 log</w:t>
      </w:r>
      <w:r w:rsidRPr="004506DC">
        <w:rPr>
          <w:rFonts w:ascii="Franklin Gothic Book" w:hAnsi="Franklin Gothic Book"/>
          <w:sz w:val="22"/>
          <w:vertAlign w:val="subscript"/>
        </w:rPr>
        <w:t>10</w:t>
      </w:r>
      <w:r w:rsidRPr="004506DC">
        <w:rPr>
          <w:rFonts w:ascii="Franklin Gothic Book" w:hAnsi="Franklin Gothic Book"/>
          <w:sz w:val="22"/>
        </w:rPr>
        <w:t xml:space="preserve"> decline in viral load. Of the 114 treated patients, 87 (76%) had a virological response, with the mean time to virologic response being 23</w:t>
      </w:r>
      <w:r w:rsidR="001C70F1">
        <w:rPr>
          <w:rFonts w:ascii="Franklin Gothic Book" w:hAnsi="Franklin Gothic Book"/>
          <w:sz w:val="22"/>
        </w:rPr>
        <w:t> </w:t>
      </w:r>
      <w:r w:rsidRPr="004506DC">
        <w:rPr>
          <w:rFonts w:ascii="Franklin Gothic Book" w:hAnsi="Franklin Gothic Book"/>
          <w:sz w:val="22"/>
        </w:rPr>
        <w:t>weeks. In 11 cases, a virologic breakthrough (&gt;1 log</w:t>
      </w:r>
      <w:r w:rsidRPr="004506DC">
        <w:rPr>
          <w:rFonts w:ascii="Franklin Gothic Book" w:hAnsi="Franklin Gothic Book"/>
          <w:sz w:val="22"/>
          <w:vertAlign w:val="subscript"/>
        </w:rPr>
        <w:t>10</w:t>
      </w:r>
      <w:r w:rsidRPr="004506DC">
        <w:rPr>
          <w:rFonts w:ascii="Franklin Gothic Book" w:hAnsi="Franklin Gothic Book"/>
          <w:sz w:val="22"/>
        </w:rPr>
        <w:t xml:space="preserve"> increase in HDV viral load) was observed. One out of the 114 patients treated with bulevirtide stopped treatment due to insufficient response, but it is not explicit whether this was due to lack of virological response (determined by HDV RNA). The ESCs noted that although this study potentially provides an example of a single case where treatment was altered due to the measurement of HDV RNA levels, the study was not informative regarding the proportion of patients with altered management in patients treated with bulevirtide, as the case series specifically excluded patients who had used bulevirtide in combination with pegylated interferon. </w:t>
      </w:r>
    </w:p>
    <w:p w14:paraId="67D43C02"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The ESCs identified an Austrian publication, Jachs et al 2022</w:t>
      </w:r>
      <w:r w:rsidRPr="004506DC">
        <w:rPr>
          <w:rStyle w:val="FootnoteReference"/>
          <w:rFonts w:ascii="Franklin Gothic Book" w:hAnsi="Franklin Gothic Book"/>
          <w:sz w:val="22"/>
        </w:rPr>
        <w:footnoteReference w:id="33"/>
      </w:r>
      <w:r w:rsidRPr="004506DC">
        <w:rPr>
          <w:rFonts w:ascii="Franklin Gothic Book" w:hAnsi="Franklin Gothic Book"/>
          <w:sz w:val="22"/>
        </w:rPr>
        <w:t xml:space="preserve">, that was not identified in the resubmission (though an earlier abstract of this study was identified in the previous commentary). The ESCs considered this publication provided the most compelling evidence of likely changes in patient management </w:t>
      </w:r>
      <w:proofErr w:type="gramStart"/>
      <w:r w:rsidRPr="004506DC">
        <w:rPr>
          <w:rFonts w:ascii="Franklin Gothic Book" w:hAnsi="Franklin Gothic Book"/>
          <w:sz w:val="22"/>
        </w:rPr>
        <w:t>as a result of</w:t>
      </w:r>
      <w:proofErr w:type="gramEnd"/>
      <w:r w:rsidRPr="004506DC">
        <w:rPr>
          <w:rFonts w:ascii="Franklin Gothic Book" w:hAnsi="Franklin Gothic Book"/>
          <w:sz w:val="22"/>
        </w:rPr>
        <w:t xml:space="preserve"> monitoring quantitative HDV RNA levels in patients treated with bulevirtide. The ESCs noted that </w:t>
      </w:r>
      <w:r w:rsidRPr="004506DC" w:rsidDel="00FD33BB">
        <w:rPr>
          <w:rFonts w:ascii="Franklin Gothic Book" w:hAnsi="Franklin Gothic Book"/>
          <w:sz w:val="22"/>
        </w:rPr>
        <w:t xml:space="preserve">this </w:t>
      </w:r>
      <w:r w:rsidRPr="004506DC">
        <w:rPr>
          <w:rFonts w:ascii="Franklin Gothic Book" w:hAnsi="Franklin Gothic Book"/>
          <w:sz w:val="22"/>
        </w:rPr>
        <w:t>study of 23 patients adopted a response-guided approach where patients who achieved virological response on bulevirtide monotherapy at week 24 continued this therapy and were offered to terminate treatment if HDV</w:t>
      </w:r>
      <w:r w:rsidRPr="004506DC">
        <w:rPr>
          <w:rFonts w:ascii="Cambria Math" w:hAnsi="Cambria Math" w:cs="Cambria Math"/>
          <w:sz w:val="22"/>
        </w:rPr>
        <w:t>‐</w:t>
      </w:r>
      <w:r w:rsidRPr="004506DC">
        <w:rPr>
          <w:rFonts w:ascii="Franklin Gothic Book" w:hAnsi="Franklin Gothic Book"/>
          <w:sz w:val="22"/>
        </w:rPr>
        <w:t>RNA remained undetectable at least at three time points within 6</w:t>
      </w:r>
      <w:r w:rsidRPr="004506DC">
        <w:rPr>
          <w:rFonts w:ascii="Arial" w:hAnsi="Arial" w:cs="Arial"/>
          <w:sz w:val="22"/>
        </w:rPr>
        <w:t> </w:t>
      </w:r>
      <w:r w:rsidRPr="004506DC">
        <w:rPr>
          <w:rFonts w:ascii="Franklin Gothic Book" w:hAnsi="Franklin Gothic Book"/>
          <w:sz w:val="22"/>
        </w:rPr>
        <w:t>months while for patients without further HDV</w:t>
      </w:r>
      <w:r w:rsidRPr="004506DC">
        <w:rPr>
          <w:rFonts w:ascii="Cambria Math" w:hAnsi="Cambria Math" w:cs="Cambria Math"/>
          <w:sz w:val="22"/>
        </w:rPr>
        <w:t>‐</w:t>
      </w:r>
      <w:r w:rsidRPr="004506DC">
        <w:rPr>
          <w:rFonts w:ascii="Franklin Gothic Book" w:hAnsi="Franklin Gothic Book"/>
          <w:sz w:val="22"/>
        </w:rPr>
        <w:t>RNA decline after week 24</w:t>
      </w:r>
      <w:r w:rsidRPr="004506DC">
        <w:rPr>
          <w:rFonts w:ascii="Franklin Gothic Book" w:hAnsi="Franklin Gothic Book" w:cs="Franklin Gothic Book"/>
          <w:sz w:val="22"/>
        </w:rPr>
        <w:t>–</w:t>
      </w:r>
      <w:r w:rsidRPr="004506DC">
        <w:rPr>
          <w:rFonts w:ascii="Franklin Gothic Book" w:hAnsi="Franklin Gothic Book"/>
          <w:sz w:val="22"/>
        </w:rPr>
        <w:t>48 interferon treatment was added irrespective of response. The study reported that interferon treatment was added in eight patients, comprising 2 viral responders with a &gt;2 log</w:t>
      </w:r>
      <w:r w:rsidRPr="004506DC">
        <w:rPr>
          <w:rFonts w:ascii="Franklin Gothic Book" w:hAnsi="Franklin Gothic Book"/>
          <w:sz w:val="22"/>
          <w:vertAlign w:val="subscript"/>
        </w:rPr>
        <w:t>10</w:t>
      </w:r>
      <w:r w:rsidRPr="004506DC">
        <w:rPr>
          <w:rFonts w:ascii="Franklin Gothic Book" w:hAnsi="Franklin Gothic Book"/>
          <w:sz w:val="22"/>
        </w:rPr>
        <w:t xml:space="preserve"> or more reduction in HDV-RNA levels and 6 non-responders.</w:t>
      </w:r>
      <w:r w:rsidRPr="004506DC" w:rsidDel="00C02503">
        <w:rPr>
          <w:rFonts w:ascii="Franklin Gothic Book" w:hAnsi="Franklin Gothic Book"/>
          <w:sz w:val="22"/>
        </w:rPr>
        <w:t xml:space="preserve"> </w:t>
      </w:r>
      <w:r w:rsidRPr="004506DC">
        <w:rPr>
          <w:rFonts w:ascii="Franklin Gothic Book" w:hAnsi="Franklin Gothic Book"/>
          <w:sz w:val="22"/>
        </w:rPr>
        <w:t xml:space="preserve"> The ESCs noted that a critical appraisal that was produced post-ESC concluded that the decision to change treatment by adding interferon for the two responders appeared to be directly related to the quantitative HDV RNA result.  In the case of one patient interferon was added because of an increase in HDV-RNA at week 44, while for the other patient, interferon was added because there was no further reduction in HDV RNA after week 24. The ESCs also noted that the study indicated that for the second responder (who had interferon added to treatment because of an increase in viral load in week 44), the clinicians had expected a continued drop past 2 log</w:t>
      </w:r>
      <w:r w:rsidRPr="004506DC">
        <w:rPr>
          <w:rFonts w:ascii="Franklin Gothic Book" w:hAnsi="Franklin Gothic Book"/>
          <w:sz w:val="22"/>
          <w:vertAlign w:val="subscript"/>
        </w:rPr>
        <w:t>10</w:t>
      </w:r>
      <w:r w:rsidRPr="004506DC">
        <w:rPr>
          <w:rFonts w:ascii="Franklin Gothic Book" w:hAnsi="Franklin Gothic Book"/>
          <w:sz w:val="22"/>
        </w:rPr>
        <w:t xml:space="preserve"> reduction over time.  However, the critical appraisal noted that some non-responders received </w:t>
      </w:r>
      <w:proofErr w:type="gramStart"/>
      <w:r w:rsidRPr="004506DC">
        <w:rPr>
          <w:rFonts w:ascii="Franklin Gothic Book" w:hAnsi="Franklin Gothic Book"/>
          <w:sz w:val="22"/>
        </w:rPr>
        <w:t>interferon</w:t>
      </w:r>
      <w:proofErr w:type="gramEnd"/>
      <w:r w:rsidRPr="004506DC">
        <w:rPr>
          <w:rFonts w:ascii="Franklin Gothic Book" w:hAnsi="Franklin Gothic Book"/>
          <w:sz w:val="22"/>
        </w:rPr>
        <w:t xml:space="preserve"> and some did not and the reason for this discrepancy was not discussed in the study. The ESCs noted that interferon is not indicated for use in patients with HDV in Australia, although there are two PBS listings for peginterferon alfa-2a with unrestricted benefit listings.</w:t>
      </w:r>
    </w:p>
    <w:p w14:paraId="540EFC75"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the pre-subcommittee response (PSCR) to the question of whether a qualitative test would be more appropriate for identification of eligible patients and monitoring efficacy of treatment with bulevirtide than a quantitative test. The PSCR stated that the resubmission has deliberately avoided using the term “undetectable” to define the HDV RNA level indicative of the response outcome of clinical relevance in CHD, because there have been significant improvements in the sensitivity of HDV RNA tests, over time. This means that patients reported in older studies as having undetectable levels of HDV RNA may have had detectable and quantifiable RNA levels using the current more advanced quantitative testing platforms. The ESCs acknowledged this argument and therefore accepted that the evidence presented in the resubmission including evidence based on detectable versus undetectable RNA levels was indicative of the biologically plausible claim that a drop in quantitative HDV viral load levels relative to baseline was indicative of clinical response to treatment insofar as patients with lower detectable viral loads may have a reduced risk of developing liver-related clinical events compared to patients with higher detectable viral loads.  The ESCs also noted that quantitative testing is consistent with the current practices in testing of other chronic viruses that are not </w:t>
      </w:r>
      <w:r w:rsidRPr="004506DC">
        <w:rPr>
          <w:rFonts w:ascii="Franklin Gothic Book" w:hAnsi="Franklin Gothic Book"/>
          <w:sz w:val="22"/>
        </w:rPr>
        <w:lastRenderedPageBreak/>
        <w:t xml:space="preserve">rapidly cleared, including hepatitis B virus (HBV) and human immunodeficiency virus (HIV) and that quantitative RNA testing is also likely to be useful in determining non-responders to treatment (e.g. due to antiviral resistance or other factors). </w:t>
      </w:r>
    </w:p>
    <w:p w14:paraId="5DF7E546"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Taking account of the above considerations and the additional evidence provided by Jachs et al (2022), the ESCs concluded that qualitative testing will result in the loss of valuable information while not necessarily being lower cost compared with quantitative testing.  For these reasons, the ESCs advice to MSAC is that quantitative testing of HDV RNA levels was more appropriate for the monitoring of viral load both to identify eligible patients for treatment with bulevirtide as well as to determine the efficacy of treatment with bulevirtide than qualitative testing.  </w:t>
      </w:r>
    </w:p>
    <w:p w14:paraId="0A23A74B" w14:textId="3BC779B5"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However, while noting the limitations of the concept of “detectable” vs “undetectable”, the ESCs considered the evidence provided did not adequately support the surrogacy of a ≥2 </w:t>
      </w:r>
      <w:r w:rsidR="00EC52DB" w:rsidRPr="00193386">
        <w:rPr>
          <w:rFonts w:ascii="Franklin Gothic Book" w:hAnsi="Franklin Gothic Book"/>
          <w:sz w:val="22"/>
        </w:rPr>
        <w:t>log</w:t>
      </w:r>
      <w:r w:rsidR="00EC52DB" w:rsidRPr="00193386">
        <w:rPr>
          <w:rFonts w:ascii="Franklin Gothic Book" w:hAnsi="Franklin Gothic Book"/>
          <w:sz w:val="22"/>
          <w:vertAlign w:val="subscript"/>
        </w:rPr>
        <w:t>10</w:t>
      </w:r>
      <w:r w:rsidRPr="004506DC">
        <w:rPr>
          <w:rFonts w:ascii="Franklin Gothic Book" w:hAnsi="Franklin Gothic Book"/>
          <w:sz w:val="22"/>
        </w:rPr>
        <w:t xml:space="preserve"> IU/mL decline in HDV RNA level, for improved long-term liver-related health outcomes. The ESCs noted that one publication provided evidence for this relationship (Farci et al 2004</w:t>
      </w:r>
      <w:r w:rsidRPr="004506DC">
        <w:rPr>
          <w:rStyle w:val="FootnoteReference"/>
          <w:rFonts w:ascii="Franklin Gothic Book" w:hAnsi="Franklin Gothic Book"/>
          <w:sz w:val="22"/>
        </w:rPr>
        <w:footnoteReference w:id="34"/>
      </w:r>
      <w:r w:rsidRPr="004506DC">
        <w:rPr>
          <w:rFonts w:ascii="Franklin Gothic Book" w:hAnsi="Franklin Gothic Book"/>
          <w:sz w:val="22"/>
        </w:rPr>
        <w:t>), however this analysis was based on data from a 1994 study of treatment with interferon, and two more recent studies (Palom 2021</w:t>
      </w:r>
      <w:r w:rsidRPr="004506DC">
        <w:rPr>
          <w:rStyle w:val="FootnoteReference"/>
          <w:rFonts w:ascii="Franklin Gothic Book" w:hAnsi="Franklin Gothic Book"/>
          <w:sz w:val="22"/>
        </w:rPr>
        <w:footnoteReference w:id="35"/>
      </w:r>
      <w:r w:rsidRPr="004506DC">
        <w:rPr>
          <w:rFonts w:ascii="Franklin Gothic Book" w:hAnsi="Franklin Gothic Book"/>
          <w:sz w:val="22"/>
        </w:rPr>
        <w:t xml:space="preserve"> and </w:t>
      </w:r>
      <w:proofErr w:type="spellStart"/>
      <w:r w:rsidRPr="004506DC">
        <w:rPr>
          <w:rFonts w:ascii="Franklin Gothic Book" w:hAnsi="Franklin Gothic Book"/>
          <w:sz w:val="22"/>
        </w:rPr>
        <w:t>Wranke</w:t>
      </w:r>
      <w:proofErr w:type="spellEnd"/>
      <w:r w:rsidRPr="004506DC">
        <w:rPr>
          <w:rFonts w:ascii="Franklin Gothic Book" w:hAnsi="Franklin Gothic Book"/>
          <w:sz w:val="22"/>
        </w:rPr>
        <w:t xml:space="preserve"> 2020</w:t>
      </w:r>
      <w:r w:rsidRPr="004506DC">
        <w:rPr>
          <w:rStyle w:val="FootnoteReference"/>
          <w:rFonts w:ascii="Franklin Gothic Book" w:hAnsi="Franklin Gothic Book"/>
          <w:sz w:val="22"/>
        </w:rPr>
        <w:footnoteReference w:id="36"/>
      </w:r>
      <w:r w:rsidRPr="004506DC">
        <w:rPr>
          <w:rFonts w:ascii="Franklin Gothic Book" w:hAnsi="Franklin Gothic Book"/>
          <w:sz w:val="22"/>
        </w:rPr>
        <w:t xml:space="preserve">) failed to show a statistically significant difference in clinical outcomes based on ≥2 </w:t>
      </w:r>
      <w:r w:rsidR="00EC52DB" w:rsidRPr="00193386">
        <w:rPr>
          <w:rFonts w:ascii="Franklin Gothic Book" w:hAnsi="Franklin Gothic Book"/>
          <w:sz w:val="22"/>
        </w:rPr>
        <w:t>log</w:t>
      </w:r>
      <w:r w:rsidR="00EC52DB" w:rsidRPr="00193386">
        <w:rPr>
          <w:rFonts w:ascii="Franklin Gothic Book" w:hAnsi="Franklin Gothic Book"/>
          <w:sz w:val="22"/>
          <w:vertAlign w:val="subscript"/>
        </w:rPr>
        <w:t>10</w:t>
      </w:r>
      <w:r w:rsidRPr="004506DC">
        <w:rPr>
          <w:rFonts w:ascii="Franklin Gothic Book" w:hAnsi="Franklin Gothic Book"/>
          <w:sz w:val="22"/>
        </w:rPr>
        <w:t xml:space="preserve"> IU/ml reduction. The ESCs noted that when PBAC considered entecavir for the treatment of CHB, it accepted the biological plausibility of the clinical relevance of reduction in viral load based on an outcome measure of an absolute reduction or reduction below a defined cut-off rather than a specified level of reduction in viral load. </w:t>
      </w:r>
    </w:p>
    <w:p w14:paraId="14D59B33" w14:textId="3B1D5785" w:rsidR="00B93393" w:rsidRPr="00AF070F" w:rsidRDefault="00B93393" w:rsidP="004506DC">
      <w:pPr>
        <w:jc w:val="left"/>
        <w:rPr>
          <w:rFonts w:ascii="Franklin Gothic Book" w:hAnsi="Franklin Gothic Book"/>
          <w:sz w:val="22"/>
        </w:rPr>
      </w:pPr>
      <w:r w:rsidRPr="00AF070F">
        <w:rPr>
          <w:rFonts w:ascii="Franklin Gothic Book" w:hAnsi="Franklin Gothic Book"/>
          <w:sz w:val="22"/>
        </w:rPr>
        <w:t>The ESCs noted that the issues previously raised by the ESCs regarding the economic model remain largely unaddressed, and the model remains mostly unchanged. The ESCs noted that the ICER base case of $</w:t>
      </w:r>
      <w:r w:rsidR="00604D0F" w:rsidRPr="00AF070F">
        <w:rPr>
          <w:rFonts w:ascii="Franklin Gothic Book" w:hAnsi="Franklin Gothic Book"/>
          <w:sz w:val="22"/>
        </w:rPr>
        <w:t xml:space="preserve"> </w:t>
      </w:r>
      <w:r w:rsidR="0092112A" w:rsidRPr="00AF070F">
        <w:rPr>
          <w:rFonts w:ascii="Franklin Gothic Book" w:hAnsi="Franklin Gothic Book"/>
          <w:sz w:val="22"/>
        </w:rPr>
        <w:t>95,000 to &lt;$115,000</w:t>
      </w:r>
      <w:r w:rsidR="00AF070F" w:rsidRPr="00AF070F">
        <w:rPr>
          <w:rFonts w:ascii="Franklin Gothic Book" w:hAnsi="Franklin Gothic Book"/>
          <w:sz w:val="22"/>
        </w:rPr>
        <w:t xml:space="preserve"> </w:t>
      </w:r>
      <w:r w:rsidRPr="00AF070F">
        <w:rPr>
          <w:rFonts w:ascii="Franklin Gothic Book" w:hAnsi="Franklin Gothic Book"/>
          <w:sz w:val="22"/>
        </w:rPr>
        <w:t xml:space="preserve">per QALY assumed that the treatment response was a reduction in HDV RNA levels to undetectable HDV RNA  levels or by ≥2 </w:t>
      </w:r>
      <w:r w:rsidR="00EC52DB" w:rsidRPr="00193386">
        <w:rPr>
          <w:rFonts w:ascii="Franklin Gothic Book" w:hAnsi="Franklin Gothic Book"/>
          <w:sz w:val="22"/>
        </w:rPr>
        <w:t>log</w:t>
      </w:r>
      <w:r w:rsidR="00EC52DB" w:rsidRPr="00193386">
        <w:rPr>
          <w:rFonts w:ascii="Franklin Gothic Book" w:hAnsi="Franklin Gothic Book"/>
          <w:sz w:val="22"/>
          <w:vertAlign w:val="subscript"/>
        </w:rPr>
        <w:t>10</w:t>
      </w:r>
      <w:r w:rsidRPr="00AF070F">
        <w:rPr>
          <w:rFonts w:ascii="Franklin Gothic Book" w:hAnsi="Franklin Gothic Book"/>
          <w:sz w:val="22"/>
        </w:rPr>
        <w:t xml:space="preserve"> IU/mL, meaning that responders only had to meet one of these outcomes (linked to liver-related outcomes) but this was not the primary efficacy endpoint in the key trial (undetectable HDV RNA or decrease in HDV RNA levels by ≥2 log10 IU/mL and ALT normalisation). The ESCs noted that a sensitivity analysis assuming response to treatment was the primary efficacy endpoint in the key trial increased the ICER by 11% to </w:t>
      </w:r>
      <w:r w:rsidR="0092112A" w:rsidRPr="00AF070F">
        <w:rPr>
          <w:rFonts w:ascii="Franklin Gothic Book" w:hAnsi="Franklin Gothic Book"/>
          <w:sz w:val="22"/>
        </w:rPr>
        <w:t>$ 95,000 to &lt;$115,000</w:t>
      </w:r>
      <w:r w:rsidR="00AF070F" w:rsidRPr="00AF070F">
        <w:rPr>
          <w:rFonts w:ascii="Franklin Gothic Book" w:hAnsi="Franklin Gothic Book"/>
          <w:sz w:val="22"/>
        </w:rPr>
        <w:t xml:space="preserve"> </w:t>
      </w:r>
      <w:r w:rsidRPr="00AF070F">
        <w:rPr>
          <w:rFonts w:ascii="Franklin Gothic Book" w:hAnsi="Franklin Gothic Book"/>
          <w:sz w:val="22"/>
        </w:rPr>
        <w:t xml:space="preserve">while assuming that the response was reduction to undetectable HDV RNA levels (i.e. all responders had to meet this more stringent outcome) increased the ICER by 56% to </w:t>
      </w:r>
      <w:r w:rsidR="00156E05" w:rsidRPr="00AF070F">
        <w:rPr>
          <w:rFonts w:ascii="Franklin Gothic Book" w:hAnsi="Franklin Gothic Book"/>
          <w:sz w:val="22"/>
        </w:rPr>
        <w:t>$135,000 to &lt;155,000</w:t>
      </w:r>
      <w:r w:rsidR="00604D0F" w:rsidRPr="00AF070F">
        <w:rPr>
          <w:rFonts w:ascii="Franklin Gothic Book" w:hAnsi="Franklin Gothic Book"/>
          <w:sz w:val="22"/>
        </w:rPr>
        <w:t xml:space="preserve"> redacted</w:t>
      </w:r>
      <w:r w:rsidRPr="00AF070F">
        <w:rPr>
          <w:rFonts w:ascii="Franklin Gothic Book" w:hAnsi="Franklin Gothic Book"/>
          <w:sz w:val="22"/>
        </w:rPr>
        <w:t xml:space="preserve">. The ESCs considered the economic model was complex but had limited data to inform longer term costs and outcomes. </w:t>
      </w:r>
    </w:p>
    <w:p w14:paraId="61AFBAC8"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that the economic model assumed that patients would undergo HDV RNA testing every 6 months while on bulevirtide treatment and that although this is consistent with the proposed MBS item descriptor, the model was limited because the only change in management modelled due to the inclusion of HDV RNA monitoring was to cease treatment in non-responders at Week 144. Nonetheless, the ESCs agreed that the clinical changes prompted by continued monitoring in the model were not specified and this issue was insufficiently addressed. </w:t>
      </w:r>
    </w:p>
    <w:p w14:paraId="2D9D80E5"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noted that the financial model has been updated to account for the changes requested by MSAC following the March 2024 submission. </w:t>
      </w:r>
    </w:p>
    <w:p w14:paraId="0E669CCC"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advised that given the finding that a quantitative test that can determine viral load is an appropriate test for both initial testing and monitoring, the fee of $152.10 is appropriate, being equivalent to quantitative testing fee for HBV (MBS item 69482 for the quantitation of HBV </w:t>
      </w:r>
      <w:r w:rsidRPr="004506DC">
        <w:rPr>
          <w:rFonts w:ascii="Franklin Gothic Book" w:hAnsi="Franklin Gothic Book"/>
          <w:sz w:val="22"/>
        </w:rPr>
        <w:lastRenderedPageBreak/>
        <w:t>DNA). HBV testing was considered by the ESCs as an appropriate test against which to benchmark the proposed fee.</w:t>
      </w:r>
    </w:p>
    <w:p w14:paraId="1199FC27" w14:textId="77777777" w:rsidR="00B93393" w:rsidRPr="004506DC" w:rsidRDefault="00B93393" w:rsidP="004506DC">
      <w:pPr>
        <w:jc w:val="left"/>
        <w:rPr>
          <w:rFonts w:ascii="Franklin Gothic Book" w:hAnsi="Franklin Gothic Book"/>
          <w:sz w:val="22"/>
        </w:rPr>
      </w:pPr>
      <w:r w:rsidRPr="004506DC">
        <w:rPr>
          <w:rFonts w:ascii="Franklin Gothic Book" w:hAnsi="Franklin Gothic Book"/>
          <w:sz w:val="22"/>
        </w:rPr>
        <w:t xml:space="preserve">The ESCs advised that a critical appraisal of the new Austrian study by Jachs et al (2022) on change in management should be undertaken and provided to MSAC for its consideration.  This critical appraisal was produced post-ESC and is provided in Section 9 of the Executive Summary and was discussed briefly above. </w:t>
      </w:r>
    </w:p>
    <w:p w14:paraId="54243C5C" w14:textId="788E3DCB" w:rsidR="00B93393" w:rsidRDefault="00B93393" w:rsidP="004506DC">
      <w:pPr>
        <w:jc w:val="left"/>
        <w:rPr>
          <w:rFonts w:ascii="Franklin Gothic Book" w:hAnsi="Franklin Gothic Book"/>
          <w:sz w:val="22"/>
        </w:rPr>
      </w:pPr>
      <w:r w:rsidRPr="004506DC">
        <w:rPr>
          <w:rFonts w:ascii="Franklin Gothic Book" w:hAnsi="Franklin Gothic Book"/>
          <w:sz w:val="22"/>
        </w:rPr>
        <w:t>The ESCs noted that liver stiffness is measured via transient elastography (</w:t>
      </w:r>
      <w:proofErr w:type="spellStart"/>
      <w:r w:rsidRPr="004506DC">
        <w:rPr>
          <w:rFonts w:ascii="Franklin Gothic Book" w:hAnsi="Franklin Gothic Book"/>
          <w:sz w:val="22"/>
        </w:rPr>
        <w:t>Fibroscan</w:t>
      </w:r>
      <w:proofErr w:type="spellEnd"/>
      <w:r w:rsidRPr="004506DC">
        <w:rPr>
          <w:rFonts w:ascii="Franklin Gothic Book" w:hAnsi="Franklin Gothic Book"/>
          <w:sz w:val="22"/>
        </w:rPr>
        <w:t xml:space="preserve">) and is useful in assessing liver fibrosis or scarring in patients with chronic liver disease. The ESCs noted that transient elastography is not currently MBS </w:t>
      </w:r>
      <w:proofErr w:type="gramStart"/>
      <w:r w:rsidRPr="004506DC">
        <w:rPr>
          <w:rFonts w:ascii="Franklin Gothic Book" w:hAnsi="Franklin Gothic Book"/>
          <w:sz w:val="22"/>
        </w:rPr>
        <w:t>funded</w:t>
      </w:r>
      <w:proofErr w:type="gramEnd"/>
      <w:r w:rsidRPr="004506DC">
        <w:rPr>
          <w:rFonts w:ascii="Franklin Gothic Book" w:hAnsi="Franklin Gothic Book"/>
          <w:sz w:val="22"/>
        </w:rPr>
        <w:t xml:space="preserve"> and patients currently pay privately for this service. The ESCs noted that an MSAC application was recently received for transient elastography, however it does not include the population with chronic liver disease due to hepatitis. The Department advised (out-of-session) that if MSAC ultimately recommended funding for this application in its current form, it would not facilitate access to an MBS rebate for transient elastography for any patients undergoing HDV RNA PCR testing.</w:t>
      </w:r>
    </w:p>
    <w:p w14:paraId="1EC7F0A1" w14:textId="77777777" w:rsidR="004506DC" w:rsidRPr="003A793E" w:rsidRDefault="004506DC"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bookmarkStart w:id="62" w:name="_Hlk193984667"/>
      <w:r w:rsidRPr="003A793E">
        <w:rPr>
          <w:rFonts w:ascii="Franklin Gothic Medium" w:hAnsi="Franklin Gothic Medium"/>
          <w:b w:val="0"/>
          <w:i w:val="0"/>
          <w:snapToGrid/>
          <w:color w:val="000000" w:themeColor="text1"/>
          <w:sz w:val="32"/>
          <w:szCs w:val="26"/>
        </w:rPr>
        <w:t>Applicant comments on MSAC’s Public Summary Document</w:t>
      </w:r>
    </w:p>
    <w:p w14:paraId="43997EFA" w14:textId="3906E61F" w:rsidR="00024C3C" w:rsidRPr="001C70F1" w:rsidRDefault="00024C3C" w:rsidP="004506DC">
      <w:pPr>
        <w:spacing w:after="240" w:line="259" w:lineRule="auto"/>
        <w:jc w:val="left"/>
        <w:rPr>
          <w:rFonts w:ascii="Franklin Gothic Book" w:hAnsi="Franklin Gothic Book"/>
          <w:sz w:val="22"/>
        </w:rPr>
      </w:pPr>
      <w:r w:rsidRPr="001C70F1">
        <w:rPr>
          <w:rFonts w:ascii="Franklin Gothic Book" w:hAnsi="Franklin Gothic Book"/>
          <w:sz w:val="22"/>
        </w:rPr>
        <w:t xml:space="preserve">Gilead welcomes the decision to support MBS listing of the HDV RNA PCR test for quantification of HDV RNA to </w:t>
      </w:r>
      <w:proofErr w:type="spellStart"/>
      <w:r w:rsidRPr="001C70F1">
        <w:rPr>
          <w:rFonts w:ascii="Franklin Gothic Book" w:hAnsi="Franklin Gothic Book"/>
          <w:sz w:val="22"/>
        </w:rPr>
        <w:t>i</w:t>
      </w:r>
      <w:proofErr w:type="spellEnd"/>
      <w:r w:rsidRPr="001C70F1">
        <w:rPr>
          <w:rFonts w:ascii="Franklin Gothic Book" w:hAnsi="Franklin Gothic Book"/>
          <w:sz w:val="22"/>
        </w:rPr>
        <w:t>) determine eligibility for treatment with bulevirtide and ii) monitor the efficacy of bulevirtide treatment in patients with chronic HDV (CHD) infection with compensated liver disease. Gilead thanks the valuable input from multiple organisations who were all supportive of the public funding of this service</w:t>
      </w:r>
      <w:r w:rsidR="001C70F1">
        <w:rPr>
          <w:rFonts w:ascii="Franklin Gothic Book" w:hAnsi="Franklin Gothic Book"/>
          <w:sz w:val="22"/>
        </w:rPr>
        <w:t>.</w:t>
      </w:r>
    </w:p>
    <w:p w14:paraId="45FBCD4F" w14:textId="77777777" w:rsidR="004506DC" w:rsidRPr="003A793E" w:rsidRDefault="004506DC" w:rsidP="00C6349A">
      <w:pPr>
        <w:pStyle w:val="Heading2"/>
        <w:numPr>
          <w:ilvl w:val="0"/>
          <w:numId w:val="25"/>
        </w:numPr>
        <w:spacing w:after="240"/>
        <w:ind w:hanging="720"/>
        <w:rPr>
          <w:rFonts w:ascii="Franklin Gothic Medium" w:hAnsi="Franklin Gothic Medium"/>
          <w:b w:val="0"/>
          <w:i w:val="0"/>
          <w:snapToGrid/>
          <w:color w:val="000000" w:themeColor="text1"/>
          <w:sz w:val="32"/>
          <w:szCs w:val="26"/>
        </w:rPr>
      </w:pPr>
      <w:r w:rsidRPr="003A793E">
        <w:rPr>
          <w:rFonts w:ascii="Franklin Gothic Medium" w:hAnsi="Franklin Gothic Medium"/>
          <w:b w:val="0"/>
          <w:i w:val="0"/>
          <w:snapToGrid/>
          <w:color w:val="000000" w:themeColor="text1"/>
          <w:sz w:val="32"/>
          <w:szCs w:val="26"/>
        </w:rPr>
        <w:t>Further information on MSAC</w:t>
      </w:r>
    </w:p>
    <w:p w14:paraId="49175295" w14:textId="73330073" w:rsidR="004506DC" w:rsidRPr="004506DC" w:rsidRDefault="004506DC" w:rsidP="004506DC">
      <w:pPr>
        <w:pStyle w:val="BodyText"/>
        <w:rPr>
          <w:rFonts w:ascii="Franklin Gothic Book" w:hAnsi="Franklin Gothic Book"/>
          <w:b/>
          <w:bCs/>
          <w:i/>
          <w:iCs/>
          <w:sz w:val="22"/>
        </w:rPr>
      </w:pPr>
      <w:r w:rsidRPr="00F309FA">
        <w:rPr>
          <w:rFonts w:ascii="Franklin Gothic Book" w:hAnsi="Franklin Gothic Book"/>
          <w:bCs/>
          <w:iCs/>
          <w:sz w:val="22"/>
        </w:rPr>
        <w:t xml:space="preserve">MSAC Terms of Reference and other information are available on the MSAC Website: </w:t>
      </w:r>
      <w:hyperlink r:id="rId18" w:tooltip="Link to the MSAC website" w:history="1">
        <w:r w:rsidRPr="000D2098">
          <w:rPr>
            <w:rStyle w:val="Hyperlink"/>
            <w:rFonts w:ascii="Franklin Gothic Book" w:hAnsi="Franklin Gothic Book"/>
            <w:iCs/>
            <w:color w:val="007BB8"/>
            <w:sz w:val="22"/>
          </w:rPr>
          <w:t>visit the MSAC website</w:t>
        </w:r>
      </w:hyperlink>
      <w:bookmarkEnd w:id="62"/>
    </w:p>
    <w:sectPr w:rsidR="004506DC" w:rsidRPr="004506DC" w:rsidSect="003F79A0">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88FDF" w14:textId="77777777" w:rsidR="006F2FC5" w:rsidRDefault="006F2FC5" w:rsidP="00BA3306">
      <w:pPr>
        <w:spacing w:before="0" w:after="0"/>
      </w:pPr>
      <w:r>
        <w:separator/>
      </w:r>
    </w:p>
    <w:p w14:paraId="6444609C" w14:textId="77777777" w:rsidR="006F2FC5" w:rsidRDefault="006F2FC5"/>
  </w:endnote>
  <w:endnote w:type="continuationSeparator" w:id="0">
    <w:p w14:paraId="2FEA3D6E" w14:textId="77777777" w:rsidR="006F2FC5" w:rsidRDefault="006F2FC5" w:rsidP="00BA3306">
      <w:pPr>
        <w:spacing w:before="0" w:after="0"/>
      </w:pPr>
      <w:r>
        <w:continuationSeparator/>
      </w:r>
    </w:p>
    <w:p w14:paraId="48437B0E" w14:textId="77777777" w:rsidR="006F2FC5" w:rsidRDefault="006F2FC5"/>
  </w:endnote>
  <w:endnote w:type="continuationNotice" w:id="1">
    <w:p w14:paraId="79A2C64B" w14:textId="77777777" w:rsidR="006F2FC5" w:rsidRDefault="006F2F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Body)">
    <w:altName w:val="Calibri"/>
    <w:charset w:val="00"/>
    <w:family w:val="roman"/>
    <w:pitch w:val="default"/>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0F5A" w14:textId="77777777" w:rsidR="007335B2" w:rsidRDefault="0073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270787"/>
      <w:docPartObj>
        <w:docPartGallery w:val="Page Numbers (Bottom of Page)"/>
        <w:docPartUnique/>
      </w:docPartObj>
    </w:sdtPr>
    <w:sdtEndPr>
      <w:rPr>
        <w:noProof/>
      </w:rPr>
    </w:sdtEndPr>
    <w:sdtContent>
      <w:p w14:paraId="583B141D" w14:textId="11BAFA40" w:rsidR="004506DC" w:rsidRDefault="004506DC" w:rsidP="00450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6587" w14:textId="77777777" w:rsidR="007335B2" w:rsidRDefault="0073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7B81" w14:textId="77777777" w:rsidR="006F2FC5" w:rsidRDefault="006F2FC5" w:rsidP="00926E25">
      <w:pPr>
        <w:spacing w:before="0" w:after="0"/>
      </w:pPr>
      <w:r>
        <w:separator/>
      </w:r>
    </w:p>
  </w:footnote>
  <w:footnote w:type="continuationSeparator" w:id="0">
    <w:p w14:paraId="0BCD1D7E" w14:textId="77777777" w:rsidR="006F2FC5" w:rsidRDefault="006F2FC5" w:rsidP="00BA3306">
      <w:pPr>
        <w:spacing w:before="0" w:after="0"/>
      </w:pPr>
      <w:r>
        <w:continuationSeparator/>
      </w:r>
    </w:p>
    <w:p w14:paraId="56F11110" w14:textId="77777777" w:rsidR="006F2FC5" w:rsidRDefault="006F2FC5"/>
  </w:footnote>
  <w:footnote w:type="continuationNotice" w:id="1">
    <w:p w14:paraId="1DD1C05F" w14:textId="77777777" w:rsidR="006F2FC5" w:rsidRDefault="006F2FC5">
      <w:pPr>
        <w:spacing w:before="0" w:after="0"/>
      </w:pPr>
    </w:p>
  </w:footnote>
  <w:footnote w:id="2">
    <w:p w14:paraId="6BEA7CA4" w14:textId="05FEAEE8" w:rsidR="00853201" w:rsidRPr="00853201" w:rsidRDefault="00853201">
      <w:pPr>
        <w:pStyle w:val="FootnoteText"/>
        <w:rPr>
          <w:lang w:val="en-US"/>
        </w:rPr>
      </w:pPr>
      <w:r>
        <w:rPr>
          <w:rStyle w:val="FootnoteReference"/>
        </w:rPr>
        <w:footnoteRef/>
      </w:r>
      <w:r>
        <w:t xml:space="preserve"> </w:t>
      </w:r>
      <w:r w:rsidR="00204EC9" w:rsidRPr="00204EC9">
        <w:t>Wong, RJ, Brosgart, C, Wong, SS, Feld, J, Glenn, J, Hamid, S, Cohen, C, Zovich, B, Ward, J, Wedemeyer, H, Yurdaydin, C and Gish, R 2024a, 'Estimating the prevalence of hepatitis delta virus infection among adults in the United States: A meta-analysis', Liver Int, vol. 44, no. 7, pp. 1715-1734.</w:t>
      </w:r>
    </w:p>
  </w:footnote>
  <w:footnote w:id="3">
    <w:p w14:paraId="3A7D3988" w14:textId="77777777" w:rsidR="00C42FC5" w:rsidRPr="00CD0F7F" w:rsidRDefault="00C42FC5" w:rsidP="00C42FC5">
      <w:pPr>
        <w:spacing w:before="0" w:after="0"/>
        <w:rPr>
          <w:sz w:val="18"/>
          <w:szCs w:val="20"/>
        </w:rPr>
      </w:pPr>
      <w:r>
        <w:rPr>
          <w:rStyle w:val="FootnoteReference"/>
        </w:rPr>
        <w:footnoteRef/>
      </w:r>
      <w:r>
        <w:t xml:space="preserve"> </w:t>
      </w:r>
      <w:r w:rsidRPr="00E51191">
        <w:rPr>
          <w:sz w:val="18"/>
          <w:szCs w:val="20"/>
        </w:rPr>
        <w:t xml:space="preserve">Illescas-López, M, Chaves-Blanco, L, de Salazar, A, Hernández-Febles, M, Carracedo, R, </w:t>
      </w:r>
      <w:r w:rsidRPr="00E51191">
        <w:rPr>
          <w:sz w:val="18"/>
          <w:szCs w:val="20"/>
        </w:rPr>
        <w:t>Lagarejos, E, Fuentes, A, Pereira, S, Cea, M, De La Iglesia, A, Freyre, C, Iborra, A, Odero, V, García-Barrionuevo, A, Aguilera, A, Pena, MJ and García, F 2024, 'Assessment of performance and comparison of three commercial HDV RNA detection assays: implications for diagnosis and treatment monitoring', Front Cell Infect Microbiol, vol. 14, p. 1422299.</w:t>
      </w:r>
    </w:p>
  </w:footnote>
  <w:footnote w:id="4">
    <w:p w14:paraId="7114E680" w14:textId="1767AB47" w:rsidR="00C42FC5" w:rsidRPr="001B4A28" w:rsidRDefault="00C42FC5" w:rsidP="00C42FC5">
      <w:pPr>
        <w:pStyle w:val="FootnoteText"/>
        <w:rPr>
          <w:lang w:val="en-US"/>
        </w:rPr>
      </w:pPr>
      <w:r>
        <w:rPr>
          <w:rStyle w:val="FootnoteReference"/>
        </w:rPr>
        <w:footnoteRef/>
      </w:r>
      <w:r>
        <w:t xml:space="preserve"> </w:t>
      </w:r>
      <w:r w:rsidRPr="00C7478E">
        <w:t>Bonanzinga S. HDV Robogene Verification: Victorian Infectious Disease Reference Laboratory2023.</w:t>
      </w:r>
    </w:p>
  </w:footnote>
  <w:footnote w:id="5">
    <w:p w14:paraId="49DBC35F" w14:textId="77777777" w:rsidR="00C42FC5" w:rsidRPr="00CD0F7F" w:rsidRDefault="00C42FC5" w:rsidP="00C42FC5">
      <w:pPr>
        <w:spacing w:before="0" w:after="0"/>
        <w:rPr>
          <w:sz w:val="18"/>
          <w:szCs w:val="16"/>
          <w:lang w:val="en-US"/>
        </w:rPr>
      </w:pPr>
      <w:r>
        <w:rPr>
          <w:rStyle w:val="FootnoteReference"/>
        </w:rPr>
        <w:footnoteRef/>
      </w:r>
      <w:r>
        <w:t xml:space="preserve"> </w:t>
      </w:r>
      <w:r w:rsidRPr="00CD0F7F">
        <w:rPr>
          <w:sz w:val="18"/>
          <w:szCs w:val="20"/>
        </w:rPr>
        <w:t xml:space="preserve">Wedemeyer, H, Leus, M, Battersby, TR, Glenn, J, </w:t>
      </w:r>
      <w:r w:rsidRPr="00CD0F7F">
        <w:rPr>
          <w:sz w:val="18"/>
          <w:szCs w:val="20"/>
        </w:rPr>
        <w:t>Gordien, E, Kamili, S, Kapoor, H, Kessler, HH, Lenz, O, Lütgehetmann, M, Mixson-Hayden, T, Simon, CO, Thomson, M, Westman, G, Miller, V, Terrault, N and Lampertico, P 2023b, 'HDV RNA assays: Performance characteristics, clinical utility, and challenges', Hepatology.</w:t>
      </w:r>
    </w:p>
  </w:footnote>
  <w:footnote w:id="6">
    <w:p w14:paraId="0EE2EB8E" w14:textId="77777777" w:rsidR="00C42FC5" w:rsidRPr="00CD0F7F" w:rsidRDefault="00C42FC5" w:rsidP="00C42FC5">
      <w:pPr>
        <w:spacing w:before="0" w:after="0"/>
        <w:rPr>
          <w:sz w:val="18"/>
          <w:szCs w:val="20"/>
        </w:rPr>
      </w:pPr>
      <w:r>
        <w:rPr>
          <w:rStyle w:val="FootnoteReference"/>
        </w:rPr>
        <w:footnoteRef/>
      </w:r>
      <w:r>
        <w:t xml:space="preserve"> </w:t>
      </w:r>
      <w:r w:rsidRPr="00CD0F7F">
        <w:rPr>
          <w:sz w:val="18"/>
          <w:szCs w:val="20"/>
        </w:rPr>
        <w:t>Anolli, MP, Renteria, SU, Degasperi, E, Borghi, M, Facchetti, F, Sambarino, D, Perbellini, R, Monico, S, Ceriotti, F and Lampertico, P 2024, 'Quantification of serum HDV RNA by Robogene 2.0 in HDV patients is significantly influenced by the extraction methods', Liver Int, vol. 44, no. 3, pp. 831-837.</w:t>
      </w:r>
    </w:p>
    <w:p w14:paraId="32736A79" w14:textId="77777777" w:rsidR="00C42FC5" w:rsidRPr="00CD0F7F" w:rsidRDefault="00C42FC5" w:rsidP="00C42FC5">
      <w:pPr>
        <w:spacing w:before="0" w:after="0"/>
        <w:rPr>
          <w:sz w:val="18"/>
          <w:szCs w:val="20"/>
          <w:lang w:val="en-US"/>
        </w:rPr>
      </w:pPr>
      <w:r w:rsidRPr="00CD0F7F">
        <w:rPr>
          <w:sz w:val="18"/>
          <w:szCs w:val="20"/>
        </w:rPr>
        <w:t>Sandmann, L, Bremer, B, Deterding, K, Port, K, Gey, B, Früchtel, C, Reinhardt, A, Lachmann, I, Cornberg, M, Kefalakes, H, Maasoumy, B and Wedemeyer, H 2024, 'Letter to the Editor: The WHO HDV RNA international standard does not reflect variability of real-world samples', Hepatology.</w:t>
      </w:r>
    </w:p>
  </w:footnote>
  <w:footnote w:id="7">
    <w:p w14:paraId="10C86D2A"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 xml:space="preserve">Bremer, B, Anastasiou, OE, </w:t>
      </w:r>
      <w:r w:rsidRPr="00CD0F7F">
        <w:rPr>
          <w:sz w:val="18"/>
          <w:szCs w:val="20"/>
        </w:rPr>
        <w:t>Ciesek, S and Wedemeyer, H 2019, 'Automated nucleic acid isolation methods for HDV viral load quantification can lead to viral load underestimation', Antivir Ther, vol. 24, no. 2, pp. 117-123.</w:t>
      </w:r>
    </w:p>
  </w:footnote>
  <w:footnote w:id="8">
    <w:p w14:paraId="7410A97D"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 xml:space="preserve">Le Gal, F, </w:t>
      </w:r>
      <w:r w:rsidRPr="00CD0F7F">
        <w:rPr>
          <w:sz w:val="18"/>
          <w:szCs w:val="20"/>
        </w:rPr>
        <w:t>Brichler, S, Sahli, R, Chevret, S and Gordien, E 2016, 'First international external quality assessment for hepatitis delta virus RNA quantification in plasma', Hepatology, vol. 64, no. 5, pp. 1483-1494.</w:t>
      </w:r>
    </w:p>
  </w:footnote>
  <w:footnote w:id="9">
    <w:p w14:paraId="3E431A52"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 xml:space="preserve">Stelzl, E, </w:t>
      </w:r>
      <w:r w:rsidRPr="00CD0F7F">
        <w:rPr>
          <w:sz w:val="18"/>
          <w:szCs w:val="20"/>
        </w:rPr>
        <w:t>Ciesek, S, Cornberg, M, Maasoumy, B, Heim, A, Chudy, M, Olivero, A, Miklau, FN, Nickel, A, Reinhardt, A, Dietzsch, M and Kessler, HH 2021, 'Reliable quantification of plasma HDV RNA is of paramount importance for treatment monitoring: A European multicenter study', J Clin Virol, vol. 142, p. 104932.</w:t>
      </w:r>
    </w:p>
  </w:footnote>
  <w:footnote w:id="10">
    <w:p w14:paraId="2F5583A6"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Anolli, MP, Renteria, SU, Degasperi, E, Borghi, M, Facchetti, F, Sambarino, D, Perbellini, R, Monico, S, Ceriotti, F and Lampertico, P 2024, 'Quantification of serum HDV RNA by Robogene 2.0 in HDV patients is significantly influenced by the extraction methods', Liver Int, vol. 44, no. 3, pp. 831-837.</w:t>
      </w:r>
    </w:p>
  </w:footnote>
  <w:footnote w:id="11">
    <w:p w14:paraId="7EA83232"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 xml:space="preserve">Bremer, B, Anastasiou, OE, </w:t>
      </w:r>
      <w:r w:rsidRPr="00CD0F7F">
        <w:rPr>
          <w:sz w:val="18"/>
          <w:szCs w:val="20"/>
        </w:rPr>
        <w:t>Ciesek, S and Wedemeyer, H 2019, 'Automated nucleic acid isolation methods for HDV viral load quantification can lead to viral load underestimation', Antivir Ther, vol. 24, no. 2, pp. 117-123.</w:t>
      </w:r>
    </w:p>
  </w:footnote>
  <w:footnote w:id="12">
    <w:p w14:paraId="159A9F87"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Bonanzinga, S 2023, HDV Robogene Verification, Victorian Infectious Disease Reference Laboratory.</w:t>
      </w:r>
    </w:p>
  </w:footnote>
  <w:footnote w:id="13">
    <w:p w14:paraId="73633F27"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Gish, RG, Wong, RJ, Di Tanna, GL, Kaushik, A, Kim, C, Smith, NJ and Kennedy, PTF 2024, 'Association of hepatitis delta virus with liver morbidity and mortality: A systematic literature review and meta-analysis', Hepatology, vol. 79, no. 5, pp. 1129-1140.</w:t>
      </w:r>
    </w:p>
  </w:footnote>
  <w:footnote w:id="14">
    <w:p w14:paraId="7A13BA08" w14:textId="36094FB9" w:rsidR="004807C7" w:rsidRDefault="004807C7">
      <w:pPr>
        <w:pStyle w:val="FootnoteText"/>
      </w:pPr>
      <w:r>
        <w:rPr>
          <w:rStyle w:val="FootnoteReference"/>
        </w:rPr>
        <w:footnoteRef/>
      </w:r>
      <w:r>
        <w:t xml:space="preserve"> </w:t>
      </w:r>
      <w:r w:rsidRPr="004807C7">
        <w:t xml:space="preserve">Gish RG, Wong RJ, </w:t>
      </w:r>
      <w:r>
        <w:rPr>
          <w:i/>
          <w:iCs/>
        </w:rPr>
        <w:t>et al.</w:t>
      </w:r>
      <w:r w:rsidRPr="004807C7">
        <w:t xml:space="preserve">. Association of hepatitis delta virus with liver morbidity and mortality: A systematic literature review and meta-analysis. </w:t>
      </w:r>
      <w:r w:rsidRPr="004807C7">
        <w:rPr>
          <w:i/>
          <w:iCs/>
        </w:rPr>
        <w:t>Hepatology (Baltimore, Md)</w:t>
      </w:r>
      <w:r w:rsidRPr="004807C7">
        <w:t>. 2024;79(5):1129-40.</w:t>
      </w:r>
    </w:p>
  </w:footnote>
  <w:footnote w:id="15">
    <w:p w14:paraId="089D218F" w14:textId="5367B796" w:rsidR="004807C7" w:rsidRDefault="004807C7">
      <w:pPr>
        <w:pStyle w:val="FootnoteText"/>
      </w:pPr>
      <w:r>
        <w:rPr>
          <w:rStyle w:val="FootnoteReference"/>
        </w:rPr>
        <w:footnoteRef/>
      </w:r>
      <w:r>
        <w:t xml:space="preserve"> </w:t>
      </w:r>
      <w:r w:rsidRPr="004807C7">
        <w:t xml:space="preserve">Wranke A, Lobato C, et al. Long-term outcome of hepatitis delta in different regions world-wide: Results of the Hepatitis Delta International Network. </w:t>
      </w:r>
      <w:r w:rsidRPr="004807C7">
        <w:rPr>
          <w:i/>
          <w:iCs/>
        </w:rPr>
        <w:t>Liver Int</w:t>
      </w:r>
      <w:r w:rsidRPr="004807C7">
        <w:t>. 2024;44(9):2442-57.</w:t>
      </w:r>
    </w:p>
  </w:footnote>
  <w:footnote w:id="16">
    <w:p w14:paraId="417AA3C5" w14:textId="53A4098E" w:rsidR="00C42FC5" w:rsidRPr="00097D77" w:rsidRDefault="00C42FC5" w:rsidP="00C42FC5">
      <w:pPr>
        <w:spacing w:before="0" w:after="0"/>
        <w:rPr>
          <w:sz w:val="18"/>
          <w:szCs w:val="20"/>
        </w:rPr>
      </w:pPr>
      <w:r>
        <w:rPr>
          <w:rStyle w:val="FootnoteReference"/>
        </w:rPr>
        <w:footnoteRef/>
      </w:r>
      <w:r>
        <w:t xml:space="preserve"> </w:t>
      </w:r>
      <w:r w:rsidRPr="00CD0F7F">
        <w:rPr>
          <w:sz w:val="18"/>
          <w:szCs w:val="20"/>
        </w:rPr>
        <w:t xml:space="preserve">d’Arminio Monforte, A, Tavelli, A, Salpini, R, Piermatteo, L, D'Anna, S, Carrara, S, Malagnino, V, Mazzotta, V, Brancaccio, G, Marchetti, GC, Rosselli Del Turco, E, Rossotti, R, Mussini, C, Antinori, A, Lo Caputo, S, Ceccherini Silberstein, F, Gaeta, GB, Svicher, V, Puoti, M and Group, </w:t>
      </w:r>
      <w:r w:rsidRPr="00C117AB">
        <w:rPr>
          <w:sz w:val="18"/>
          <w:szCs w:val="20"/>
        </w:rPr>
        <w:t>f</w:t>
      </w:r>
      <w:r w:rsidR="00C117AB" w:rsidRPr="00C117AB">
        <w:rPr>
          <w:sz w:val="18"/>
          <w:szCs w:val="20"/>
        </w:rPr>
        <w:t xml:space="preserve">or </w:t>
      </w:r>
      <w:r w:rsidRPr="00C117AB">
        <w:rPr>
          <w:sz w:val="18"/>
          <w:szCs w:val="20"/>
        </w:rPr>
        <w:t>t</w:t>
      </w:r>
      <w:r w:rsidR="00C117AB" w:rsidRPr="00C117AB">
        <w:rPr>
          <w:sz w:val="18"/>
          <w:szCs w:val="20"/>
        </w:rPr>
        <w:t xml:space="preserve">he </w:t>
      </w:r>
      <w:r w:rsidRPr="00C117AB">
        <w:rPr>
          <w:sz w:val="18"/>
          <w:szCs w:val="20"/>
        </w:rPr>
        <w:t>I</w:t>
      </w:r>
      <w:r w:rsidR="00C117AB" w:rsidRPr="00C117AB">
        <w:rPr>
          <w:sz w:val="18"/>
          <w:szCs w:val="20"/>
        </w:rPr>
        <w:t xml:space="preserve">CONA </w:t>
      </w:r>
      <w:r w:rsidRPr="00C117AB">
        <w:rPr>
          <w:sz w:val="18"/>
          <w:szCs w:val="20"/>
        </w:rPr>
        <w:t>F</w:t>
      </w:r>
      <w:r w:rsidR="00C117AB" w:rsidRPr="00C117AB">
        <w:rPr>
          <w:sz w:val="18"/>
          <w:szCs w:val="20"/>
        </w:rPr>
        <w:t xml:space="preserve">oundation </w:t>
      </w:r>
      <w:r w:rsidRPr="00C117AB">
        <w:rPr>
          <w:sz w:val="18"/>
          <w:szCs w:val="20"/>
        </w:rPr>
        <w:t>S</w:t>
      </w:r>
      <w:r w:rsidR="00C117AB">
        <w:rPr>
          <w:sz w:val="18"/>
          <w:szCs w:val="20"/>
        </w:rPr>
        <w:t>tudy Group</w:t>
      </w:r>
      <w:r w:rsidRPr="00CD0F7F">
        <w:rPr>
          <w:sz w:val="18"/>
          <w:szCs w:val="20"/>
        </w:rPr>
        <w:t xml:space="preserve"> 2024, 'Determinants of worse liver-related outcome according to HDV infection among HBsAg positive persons living with HIV: Data from the ICONA cohort', Liver International, vol. 44, no. 2, pp. 603-613.</w:t>
      </w:r>
    </w:p>
  </w:footnote>
  <w:footnote w:id="17">
    <w:p w14:paraId="18E985ED"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 xml:space="preserve">Romeo, R, </w:t>
      </w:r>
      <w:r w:rsidRPr="00CD0F7F">
        <w:rPr>
          <w:sz w:val="18"/>
          <w:szCs w:val="20"/>
        </w:rPr>
        <w:t>Foglieni, B, Casazza, G, Spreafico, M, Colombo, M and Prati, D 2014, 'High serum levels of HDV RNA are predictors of cirrhosis and liver cancer in patients with chronic hepatitis delta', PLoS One, vol. 9, no. 3, p. e92062.</w:t>
      </w:r>
    </w:p>
  </w:footnote>
  <w:footnote w:id="18">
    <w:p w14:paraId="51C381E7" w14:textId="77777777" w:rsidR="00C42FC5" w:rsidRPr="00CD0F7F" w:rsidRDefault="00C42FC5" w:rsidP="00C42FC5">
      <w:pPr>
        <w:spacing w:before="0" w:after="0"/>
        <w:rPr>
          <w:sz w:val="18"/>
          <w:szCs w:val="20"/>
          <w:lang w:val="en-US"/>
        </w:rPr>
      </w:pPr>
      <w:r>
        <w:rPr>
          <w:rStyle w:val="FootnoteReference"/>
        </w:rPr>
        <w:footnoteRef/>
      </w:r>
      <w:r>
        <w:t xml:space="preserve"> </w:t>
      </w:r>
      <w:r w:rsidRPr="00CD0F7F">
        <w:rPr>
          <w:sz w:val="18"/>
          <w:szCs w:val="20"/>
        </w:rPr>
        <w:t xml:space="preserve">Farci, P, </w:t>
      </w:r>
      <w:r w:rsidRPr="00CD0F7F">
        <w:rPr>
          <w:sz w:val="18"/>
          <w:szCs w:val="20"/>
        </w:rPr>
        <w:t>Roskams, T, Chessa, L, Peddis, G, Mazzoleni, AP, Scioscia, R, Serra, G, Lai, ME, Loy, M, Caruso, L, Desmet, V, Purcell, RH and Balestrieri, A 2004, 'Long-term benefit of interferon alpha therapy of chronic hepatitis D: regression of advanced hepatic fibrosis', Gastroenterology, vol. 126, no. 7, pp. 1740-1749.</w:t>
      </w:r>
    </w:p>
  </w:footnote>
  <w:footnote w:id="19">
    <w:p w14:paraId="545B6C95" w14:textId="77777777" w:rsidR="00C42FC5" w:rsidRPr="00E312CE" w:rsidRDefault="00C42FC5" w:rsidP="00C42FC5">
      <w:pPr>
        <w:spacing w:before="0" w:after="0"/>
        <w:rPr>
          <w:sz w:val="18"/>
          <w:szCs w:val="20"/>
          <w:lang w:val="en-US"/>
        </w:rPr>
      </w:pPr>
      <w:r>
        <w:rPr>
          <w:rStyle w:val="FootnoteReference"/>
        </w:rPr>
        <w:footnoteRef/>
      </w:r>
      <w:r>
        <w:t xml:space="preserve"> </w:t>
      </w:r>
      <w:r w:rsidRPr="00CD0F7F">
        <w:rPr>
          <w:sz w:val="18"/>
          <w:szCs w:val="20"/>
        </w:rPr>
        <w:t>Yurdaydin, C, Keskin, O, Kalkan, C, Karakaya, F, Caliskan, A, Kabacam, G, Onder, FO, Karatayli, S, Karatayli, E, Deda, X, Bozkaya, H, Bozdayi, AM and Idilman, R 2018, 'Interferon Treatment Duration in Patients With Chronic Delta Hepatitis and its Effect on the Natural Course of the Disease', J Infect Dis, vol. 217, no. 8, pp. 1184-1192.</w:t>
      </w:r>
    </w:p>
  </w:footnote>
  <w:footnote w:id="20">
    <w:p w14:paraId="52617F06" w14:textId="77777777" w:rsidR="00C42FC5" w:rsidRPr="00E312CE" w:rsidRDefault="00C42FC5" w:rsidP="00C42FC5">
      <w:pPr>
        <w:spacing w:before="0" w:after="0"/>
        <w:rPr>
          <w:sz w:val="18"/>
          <w:szCs w:val="20"/>
          <w:lang w:val="en-US"/>
        </w:rPr>
      </w:pPr>
      <w:r>
        <w:rPr>
          <w:rStyle w:val="FootnoteReference"/>
        </w:rPr>
        <w:footnoteRef/>
      </w:r>
      <w:r>
        <w:t xml:space="preserve"> </w:t>
      </w:r>
      <w:r w:rsidRPr="00E312CE">
        <w:rPr>
          <w:sz w:val="18"/>
          <w:szCs w:val="20"/>
        </w:rPr>
        <w:t xml:space="preserve">Ghany, MG, Buti, M, </w:t>
      </w:r>
      <w:r w:rsidRPr="00E312CE">
        <w:rPr>
          <w:sz w:val="18"/>
          <w:szCs w:val="20"/>
        </w:rPr>
        <w:t>Lampertico, P and Lee, HM 2023, 'Guidance on treatment endpoints and study design for clinical trials aiming to achieve cure in chronic hepatitis B and D: Report from the 2022 AASLD-EASL HBV-HDV Treatment Endpoints Conference', Hepatology, vol. 78, no. 5, pp. 1654-1673.</w:t>
      </w:r>
    </w:p>
  </w:footnote>
  <w:footnote w:id="21">
    <w:p w14:paraId="0152DC6E" w14:textId="77777777" w:rsidR="00C42FC5" w:rsidRPr="00E312CE" w:rsidRDefault="00C42FC5" w:rsidP="00C42FC5">
      <w:pPr>
        <w:spacing w:before="0" w:after="0"/>
        <w:rPr>
          <w:sz w:val="18"/>
          <w:szCs w:val="20"/>
        </w:rPr>
      </w:pPr>
      <w:r>
        <w:rPr>
          <w:rStyle w:val="FootnoteReference"/>
        </w:rPr>
        <w:footnoteRef/>
      </w:r>
      <w:r>
        <w:t xml:space="preserve"> </w:t>
      </w:r>
      <w:r w:rsidRPr="00E312CE">
        <w:rPr>
          <w:sz w:val="18"/>
          <w:szCs w:val="20"/>
        </w:rPr>
        <w:t xml:space="preserve">Roulot, D, </w:t>
      </w:r>
      <w:r w:rsidRPr="00E312CE">
        <w:rPr>
          <w:sz w:val="18"/>
          <w:szCs w:val="20"/>
        </w:rPr>
        <w:t>Brichler, S, Layese, R, BenAbdesselam, Z, Zoulim, F, Thibault, V, Scholtes, C, Roche, B, Castelnau, C, Poynard, T, Chazouillères, O, Ganne, N, Fontaine, H, Gournay, J, Guyader, D, Le Gal, F, Nahon, P, Roudot-Thoraval, F and Gordien, E 2020, 'Origin, HDV genotype and persistent viremia determine outcome and treatment response in patients with chronic hepatitis delta', J Hepatol, vol. 73, no. 5, pp. 1046-1062.</w:t>
      </w:r>
    </w:p>
    <w:p w14:paraId="62DF13DE" w14:textId="77777777" w:rsidR="00C42FC5" w:rsidRPr="00E312CE" w:rsidRDefault="00C42FC5" w:rsidP="00C42FC5">
      <w:pPr>
        <w:spacing w:before="0" w:after="0"/>
        <w:rPr>
          <w:sz w:val="18"/>
          <w:szCs w:val="20"/>
          <w:lang w:val="en-US"/>
        </w:rPr>
      </w:pPr>
      <w:r w:rsidRPr="00E312CE">
        <w:rPr>
          <w:sz w:val="18"/>
          <w:szCs w:val="20"/>
        </w:rPr>
        <w:t>Wranke, A, Hardtke, S, Heidrich, B, Dalekos, G, Yalçin, K, Tabak, F, Gürel, S, Çakaloğlu, Y, Akarca, US, Lammert, F, Häussinger, D, Müller, T, Wöbse, M, Manns, MP, Idilman, R, Cornberg, M, Wedemeyer, H and Yurdaydin, C 2020, 'Ten-year follow-up of a randomized controlled clinical trial in chronic hepatitis delta', J Viral Hepat, vol. 27, no. 12, pp. 1359-1368.</w:t>
      </w:r>
    </w:p>
  </w:footnote>
  <w:footnote w:id="22">
    <w:p w14:paraId="57A3A471" w14:textId="77777777" w:rsidR="00140032" w:rsidRPr="00E312CE" w:rsidRDefault="00140032" w:rsidP="00140032">
      <w:pPr>
        <w:spacing w:before="0" w:after="0"/>
        <w:rPr>
          <w:sz w:val="18"/>
          <w:szCs w:val="20"/>
          <w:lang w:val="en-US"/>
        </w:rPr>
      </w:pPr>
      <w:r>
        <w:rPr>
          <w:rStyle w:val="FootnoteReference"/>
        </w:rPr>
        <w:footnoteRef/>
      </w:r>
      <w:r>
        <w:t xml:space="preserve"> </w:t>
      </w:r>
      <w:r w:rsidRPr="00E312CE">
        <w:rPr>
          <w:sz w:val="18"/>
          <w:szCs w:val="20"/>
        </w:rPr>
        <w:t xml:space="preserve">Anastasiou, OE, </w:t>
      </w:r>
      <w:r w:rsidRPr="00E312CE">
        <w:rPr>
          <w:sz w:val="18"/>
          <w:szCs w:val="20"/>
        </w:rPr>
        <w:t>Caruntu, FA, Curescu, MG, Yalcin, K, Akarca, US, Gürel, S, Zeuzem, S, Erhardt, A, Lüth, S, Papatheodoridis, GV, Keskin, O, Port, K, Radu, M, Celen, MK, Idilman, R, Heidrich, B, Mederacke, I, von der Leyen, H, Kahlhöfer, J, von Karpowitz, M, Hardtke, S, Cornberg, M, Yurdaydin, C and Wedemeyer, H 2024, 'Five-year follow-up of 96 weeks peginterferon plus tenofovir disoproxil fumarate in hepatitis D', Liver International, vol. 44, no. 1, pp. 139-147.</w:t>
      </w:r>
    </w:p>
  </w:footnote>
  <w:footnote w:id="23">
    <w:p w14:paraId="2FB698F8" w14:textId="77777777" w:rsidR="00C42FC5" w:rsidRDefault="00C42FC5" w:rsidP="00C42FC5">
      <w:pPr>
        <w:pStyle w:val="FootnoteText"/>
      </w:pPr>
      <w:r>
        <w:rPr>
          <w:rStyle w:val="FootnoteReference"/>
        </w:rPr>
        <w:footnoteRef/>
      </w:r>
      <w:r>
        <w:t xml:space="preserve"> </w:t>
      </w:r>
      <w:r w:rsidRPr="00CA4084">
        <w:t>Binter T, Jachs M, Hartl L, Aberle S, Zoller H, Aigner E. Efficacy of long-term treatment of chronic hepatitis D patients with bulevirtide - results of a "real world" study. Hepatology. 2021;74:420A-1A.</w:t>
      </w:r>
    </w:p>
  </w:footnote>
  <w:footnote w:id="24">
    <w:p w14:paraId="0B172E13" w14:textId="77777777" w:rsidR="00C42FC5" w:rsidRDefault="00C42FC5" w:rsidP="00C42FC5">
      <w:pPr>
        <w:pStyle w:val="FootnoteText"/>
      </w:pPr>
      <w:r>
        <w:rPr>
          <w:rStyle w:val="FootnoteReference"/>
        </w:rPr>
        <w:footnoteRef/>
      </w:r>
      <w:r w:rsidRPr="00D270D7">
        <w:t xml:space="preserve"> Dietz-Fricke C, Tacke F, Zollner C, Demir M, Schmidt HH, Schramm C, et al. </w:t>
      </w:r>
      <w:r w:rsidRPr="00C41711">
        <w:t>Treating hepatitis D with bulevirtide - Real-world experience from 114 patients. JHEP Rep. 2023 Apr;5(4):100686.</w:t>
      </w:r>
    </w:p>
  </w:footnote>
  <w:footnote w:id="25">
    <w:p w14:paraId="63C088C0" w14:textId="77777777" w:rsidR="00C42FC5" w:rsidRPr="00E312CE" w:rsidRDefault="00C42FC5" w:rsidP="00C42FC5">
      <w:pPr>
        <w:spacing w:before="0" w:after="0"/>
        <w:rPr>
          <w:sz w:val="18"/>
          <w:szCs w:val="20"/>
          <w:lang w:val="en-US"/>
        </w:rPr>
      </w:pPr>
      <w:r>
        <w:rPr>
          <w:rStyle w:val="FootnoteReference"/>
        </w:rPr>
        <w:footnoteRef/>
      </w:r>
      <w:r>
        <w:t xml:space="preserve"> </w:t>
      </w:r>
      <w:r w:rsidRPr="00E312CE">
        <w:rPr>
          <w:sz w:val="18"/>
          <w:szCs w:val="20"/>
        </w:rPr>
        <w:t xml:space="preserve">Erhardt, A, Gerlich, W, Starke, C, Wend, U, Donner, A, Sagir, A, </w:t>
      </w:r>
      <w:r w:rsidRPr="00E312CE">
        <w:rPr>
          <w:sz w:val="18"/>
          <w:szCs w:val="20"/>
        </w:rPr>
        <w:t>Heintges, T and Haussinger, D 2006, 'Treatment of chronic hepatitis delta with pegylated interferon-alpha2b', Liver Int, vol. 26, no. 7, pp. 805-810.</w:t>
      </w:r>
    </w:p>
  </w:footnote>
  <w:footnote w:id="26">
    <w:p w14:paraId="6C4B29C1" w14:textId="77777777" w:rsidR="00C42FC5" w:rsidRDefault="00C42FC5" w:rsidP="00C42FC5">
      <w:pPr>
        <w:spacing w:before="0" w:after="0"/>
        <w:rPr>
          <w:sz w:val="18"/>
          <w:szCs w:val="20"/>
        </w:rPr>
      </w:pPr>
      <w:r>
        <w:rPr>
          <w:rStyle w:val="FootnoteReference"/>
        </w:rPr>
        <w:footnoteRef/>
      </w:r>
      <w:r>
        <w:t xml:space="preserve"> </w:t>
      </w:r>
      <w:r w:rsidRPr="00E312CE">
        <w:rPr>
          <w:sz w:val="18"/>
          <w:szCs w:val="20"/>
        </w:rPr>
        <w:t xml:space="preserve">Erhardt, A, Gerlich, W, Starke, C, Wend, U, Donner, A, Sagir, A, </w:t>
      </w:r>
      <w:r w:rsidRPr="00E312CE">
        <w:rPr>
          <w:sz w:val="18"/>
          <w:szCs w:val="20"/>
        </w:rPr>
        <w:t>Heintges, T and Haussinger, D 2006, 'Treatment of chronic hepatitis delta with pegylated interferon-alpha2b', Liver Int, vol. 26, no. 7, pp. 805-810.</w:t>
      </w:r>
    </w:p>
    <w:p w14:paraId="1A8DC28F" w14:textId="77777777" w:rsidR="00C42FC5" w:rsidRPr="00E312CE" w:rsidRDefault="00C42FC5" w:rsidP="00C42FC5">
      <w:pPr>
        <w:spacing w:before="0" w:after="0"/>
        <w:rPr>
          <w:sz w:val="18"/>
          <w:szCs w:val="20"/>
        </w:rPr>
      </w:pPr>
      <w:r w:rsidRPr="00E312CE">
        <w:rPr>
          <w:sz w:val="18"/>
          <w:szCs w:val="20"/>
        </w:rPr>
        <w:t>Castelnau, C, Le Gal, F, Ripault, MP, Gordien, E, Martinot-Peignoux, M, Boyer, N, Pham, BN, Maylin, S, Bedossa, P, Deny, P, Marcellin, P and Gault, E 2006, 'Efficacy of peginterferon alpha-2b in chronic hepatitis delta: relevance of quantitative RT-PCR for follow-up', Hepatology, vol. 44, no. 3, pp. 728-735.</w:t>
      </w:r>
    </w:p>
    <w:p w14:paraId="4B6D9BB9" w14:textId="77777777" w:rsidR="00C42FC5" w:rsidRPr="00E312CE" w:rsidRDefault="00C42FC5" w:rsidP="00C42FC5">
      <w:pPr>
        <w:spacing w:before="0" w:after="0"/>
        <w:rPr>
          <w:sz w:val="18"/>
          <w:szCs w:val="20"/>
          <w:lang w:val="en-US"/>
        </w:rPr>
      </w:pPr>
      <w:r w:rsidRPr="00E312CE">
        <w:rPr>
          <w:sz w:val="18"/>
          <w:szCs w:val="20"/>
        </w:rPr>
        <w:t>Manesis, EK, Schina, M, Le Gal, F, Agelopoulou, O, Papaioannou, C, Kalligero, C, Arseniou, V, Manolakoloulos, S, Hadziyannis, ES, Gault, E, Koskinas, J, Papatheodoridis, GV and Archimandritis, AJ 2007, 'Quantitative analysis of hepatitis D virus RNA and hepatitis B surface antigen serum levels in chronic delta hepatitis improves treatment monitoring', Antiviral Therapy, vol. 12, no. 3, pp. 381-388.</w:t>
      </w:r>
    </w:p>
  </w:footnote>
  <w:footnote w:id="27">
    <w:p w14:paraId="46FBF5C1" w14:textId="77777777" w:rsidR="00C42FC5" w:rsidRPr="00E312CE" w:rsidRDefault="00C42FC5" w:rsidP="00C42FC5">
      <w:pPr>
        <w:spacing w:before="0" w:after="0"/>
        <w:rPr>
          <w:sz w:val="18"/>
          <w:szCs w:val="20"/>
          <w:lang w:val="en-US"/>
        </w:rPr>
      </w:pPr>
      <w:r>
        <w:rPr>
          <w:rStyle w:val="FootnoteReference"/>
        </w:rPr>
        <w:footnoteRef/>
      </w:r>
      <w:r>
        <w:t xml:space="preserve"> </w:t>
      </w:r>
      <w:r w:rsidRPr="00E312CE">
        <w:rPr>
          <w:sz w:val="18"/>
          <w:szCs w:val="20"/>
        </w:rPr>
        <w:t xml:space="preserve">Manesis, EK, </w:t>
      </w:r>
      <w:r w:rsidRPr="00E312CE">
        <w:rPr>
          <w:sz w:val="18"/>
          <w:szCs w:val="20"/>
        </w:rPr>
        <w:t>Schina, M, Le Gal, F, Agelopoulou, O, Papaioannou, C, Kalligero, C, Arseniou, V, Manolakoloulos, S, Hadziyannis, ES, Gault, E, Koskinas, J, Papatheodoridis, GV and Archimandritis, AJ 2007, 'Quantitative analysis of hepatitis D virus RNA and hepatitis B surface antigen serum levels in chronic delta hepatitis improves treatment monitoring', Antiviral Therapy, vol. 12, no. 3, pp. 381-388.</w:t>
      </w:r>
    </w:p>
  </w:footnote>
  <w:footnote w:id="28">
    <w:p w14:paraId="4B0FB605" w14:textId="77777777" w:rsidR="00C42FC5" w:rsidRPr="00E312CE" w:rsidRDefault="00C42FC5" w:rsidP="00C42FC5">
      <w:pPr>
        <w:spacing w:before="0" w:after="0"/>
        <w:rPr>
          <w:sz w:val="18"/>
          <w:szCs w:val="20"/>
          <w:lang w:val="en-US"/>
        </w:rPr>
      </w:pPr>
      <w:r>
        <w:rPr>
          <w:rStyle w:val="FootnoteReference"/>
        </w:rPr>
        <w:footnoteRef/>
      </w:r>
      <w:r>
        <w:t xml:space="preserve"> </w:t>
      </w:r>
      <w:r w:rsidRPr="00E312CE">
        <w:rPr>
          <w:sz w:val="18"/>
          <w:szCs w:val="20"/>
        </w:rPr>
        <w:t xml:space="preserve">Heidrich, B, </w:t>
      </w:r>
      <w:r w:rsidRPr="00E312CE">
        <w:rPr>
          <w:sz w:val="18"/>
          <w:szCs w:val="20"/>
        </w:rPr>
        <w:t>Yurdaydin, C, Kabacam, G, Ratsch, BA, Zachou, K, Bremer, B, Dalekos, GN, Erhardt, A, Tabak, F, Yalcin, K, Gurel, S, Zeuzem, S, Cornberg, M, Bock, CT, Manns, MP, Wedemeyer, H and Group, H-S 2014, 'Late HDV RNA relapse after peginterferon alpha-based therapy of chronic hepatitis delta', Hepatology, vol. 60, no. 1, pp. 87-97.</w:t>
      </w:r>
    </w:p>
  </w:footnote>
  <w:footnote w:id="29">
    <w:p w14:paraId="61837CB2" w14:textId="77777777" w:rsidR="0021265F" w:rsidRDefault="0021265F" w:rsidP="0021265F">
      <w:pPr>
        <w:pStyle w:val="FootnoteText"/>
      </w:pPr>
      <w:r>
        <w:rPr>
          <w:rStyle w:val="FootnoteReference"/>
        </w:rPr>
        <w:footnoteRef/>
      </w:r>
      <w:r>
        <w:t xml:space="preserve"> </w:t>
      </w:r>
      <w:r w:rsidRPr="007B5021">
        <w:t xml:space="preserve">Coghill S, McNamara J, </w:t>
      </w:r>
      <w:r>
        <w:rPr>
          <w:i/>
          <w:iCs/>
        </w:rPr>
        <w:t>et al</w:t>
      </w:r>
      <w:r w:rsidRPr="007B5021">
        <w:t xml:space="preserve">. Epidemiology and clinical outcomes of hepatitis delta (D) virus infection in Queensland, Australia. </w:t>
      </w:r>
      <w:r w:rsidRPr="002C55BA">
        <w:rPr>
          <w:i/>
          <w:iCs/>
        </w:rPr>
        <w:t>Int J Infect Dis</w:t>
      </w:r>
      <w:r w:rsidRPr="007B5021">
        <w:t>. 2018 Sep;74:123-7.</w:t>
      </w:r>
    </w:p>
    <w:p w14:paraId="0C53A264" w14:textId="77777777" w:rsidR="0021265F" w:rsidRDefault="0021265F" w:rsidP="0021265F">
      <w:pPr>
        <w:pStyle w:val="FootnoteText"/>
      </w:pPr>
      <w:r w:rsidRPr="007B5021">
        <w:t xml:space="preserve">Jackson K, MacLachlan J, </w:t>
      </w:r>
      <w:r w:rsidRPr="002C55BA">
        <w:rPr>
          <w:i/>
          <w:iCs/>
        </w:rPr>
        <w:t>et al</w:t>
      </w:r>
      <w:r w:rsidRPr="007B5021">
        <w:t xml:space="preserve">. Epidemiology and phylogenetic analysis of hepatitis D virus infection in Australia. </w:t>
      </w:r>
      <w:r w:rsidRPr="002C55BA">
        <w:rPr>
          <w:i/>
          <w:iCs/>
        </w:rPr>
        <w:t>Intern Med J</w:t>
      </w:r>
      <w:r w:rsidRPr="007B5021">
        <w:t>. 2018 Nov;48(11):1308-17.</w:t>
      </w:r>
    </w:p>
    <w:p w14:paraId="7F89951D" w14:textId="77777777" w:rsidR="0021265F" w:rsidRDefault="0021265F" w:rsidP="0021265F">
      <w:pPr>
        <w:pStyle w:val="FootnoteText"/>
      </w:pPr>
      <w:r w:rsidRPr="007B5021">
        <w:t>Shadur B, MacLachlan J, Cowie B. Hepatitis D virus in Victoria 2000-2009</w:t>
      </w:r>
      <w:r w:rsidRPr="002C55BA">
        <w:rPr>
          <w:i/>
          <w:iCs/>
        </w:rPr>
        <w:t>. Intern Med J</w:t>
      </w:r>
      <w:r w:rsidRPr="007B5021">
        <w:t>. 2013 Oct;43(10):1081-7.</w:t>
      </w:r>
    </w:p>
  </w:footnote>
  <w:footnote w:id="30">
    <w:p w14:paraId="5C2A81FA" w14:textId="77777777" w:rsidR="0021265F" w:rsidRDefault="0021265F" w:rsidP="0021265F">
      <w:pPr>
        <w:pStyle w:val="FootnoteText"/>
      </w:pPr>
      <w:r>
        <w:rPr>
          <w:rStyle w:val="FootnoteReference"/>
        </w:rPr>
        <w:footnoteRef/>
      </w:r>
      <w:r>
        <w:t xml:space="preserve"> </w:t>
      </w:r>
      <w:r w:rsidRPr="00FD44B1">
        <w:t xml:space="preserve">Gish RG, Wong RJ, Di Tanna GL, </w:t>
      </w:r>
      <w:r>
        <w:t>et l.</w:t>
      </w:r>
      <w:r w:rsidRPr="00FD44B1">
        <w:t xml:space="preserve"> Association of hepatitis delta virus with liver morbidity and mortality: A systematic literature review and meta-analysis. Hepatology (Baltimore, Md). 2024;79(5):1129-40.</w:t>
      </w:r>
    </w:p>
  </w:footnote>
  <w:footnote w:id="31">
    <w:p w14:paraId="65C94B2E" w14:textId="77777777" w:rsidR="0021265F" w:rsidRDefault="0021265F" w:rsidP="0021265F">
      <w:pPr>
        <w:pStyle w:val="FootnoteText"/>
      </w:pPr>
      <w:r>
        <w:rPr>
          <w:rStyle w:val="FootnoteReference"/>
        </w:rPr>
        <w:footnoteRef/>
      </w:r>
      <w:r>
        <w:t xml:space="preserve"> </w:t>
      </w:r>
      <w:r w:rsidRPr="008B4F93">
        <w:t xml:space="preserve">Palom A, Sopena S, </w:t>
      </w:r>
      <w:r w:rsidRPr="002C55BA">
        <w:rPr>
          <w:i/>
          <w:iCs/>
        </w:rPr>
        <w:t>et al</w:t>
      </w:r>
      <w:r w:rsidRPr="008B4F93">
        <w:t xml:space="preserve">. One-quarter of chronic hepatitis D patients reach HDV-RNA decline or undetectability during the natural course of the disease. </w:t>
      </w:r>
      <w:r w:rsidRPr="002C55BA">
        <w:rPr>
          <w:i/>
          <w:iCs/>
        </w:rPr>
        <w:t xml:space="preserve">Alimentary </w:t>
      </w:r>
      <w:r>
        <w:rPr>
          <w:i/>
          <w:iCs/>
        </w:rPr>
        <w:t>P</w:t>
      </w:r>
      <w:r w:rsidRPr="002C55BA">
        <w:rPr>
          <w:i/>
          <w:iCs/>
        </w:rPr>
        <w:t xml:space="preserve">harmacology &amp; </w:t>
      </w:r>
      <w:r>
        <w:rPr>
          <w:i/>
          <w:iCs/>
        </w:rPr>
        <w:t>T</w:t>
      </w:r>
      <w:r w:rsidRPr="002C55BA">
        <w:rPr>
          <w:i/>
          <w:iCs/>
        </w:rPr>
        <w:t>herapeutics</w:t>
      </w:r>
      <w:r w:rsidRPr="008B4F93">
        <w:t>. 2021;54(4):462-9.</w:t>
      </w:r>
    </w:p>
  </w:footnote>
  <w:footnote w:id="32">
    <w:p w14:paraId="6A96501E" w14:textId="77777777" w:rsidR="00B93393" w:rsidRDefault="00B93393" w:rsidP="00B93393">
      <w:pPr>
        <w:pStyle w:val="FootnoteText"/>
      </w:pPr>
      <w:r>
        <w:rPr>
          <w:rStyle w:val="FootnoteReference"/>
        </w:rPr>
        <w:footnoteRef/>
      </w:r>
      <w:r>
        <w:t xml:space="preserve"> </w:t>
      </w:r>
      <w:r w:rsidRPr="00851EDC">
        <w:t>Dietz-Fricke, et al</w:t>
      </w:r>
      <w:r>
        <w:t xml:space="preserve"> (2023)</w:t>
      </w:r>
      <w:r w:rsidRPr="00851EDC">
        <w:t>.</w:t>
      </w:r>
      <w:r>
        <w:t xml:space="preserve"> ”</w:t>
      </w:r>
      <w:r w:rsidRPr="00851EDC">
        <w:t>Treating hepatitis D with bulevirtide - Real-world experience from 114 patients.</w:t>
      </w:r>
      <w:r>
        <w:t>”</w:t>
      </w:r>
      <w:r w:rsidRPr="00851EDC">
        <w:t xml:space="preserve"> JHEP Rep. Apr;5(4):100686</w:t>
      </w:r>
    </w:p>
  </w:footnote>
  <w:footnote w:id="33">
    <w:p w14:paraId="60919EAE" w14:textId="06B54185" w:rsidR="00B93393" w:rsidRDefault="00B93393" w:rsidP="00B93393">
      <w:pPr>
        <w:pStyle w:val="FootnoteText"/>
      </w:pPr>
      <w:r>
        <w:rPr>
          <w:rStyle w:val="FootnoteReference"/>
        </w:rPr>
        <w:footnoteRef/>
      </w:r>
      <w:r>
        <w:t xml:space="preserve"> </w:t>
      </w:r>
      <w:r w:rsidRPr="00A13C4E">
        <w:t>Jachs</w:t>
      </w:r>
      <w:r>
        <w:t xml:space="preserve"> </w:t>
      </w:r>
      <w:r w:rsidRPr="00A13C4E">
        <w:t xml:space="preserve">et al. (2022) </w:t>
      </w:r>
      <w:r>
        <w:t>“</w:t>
      </w:r>
      <w:r w:rsidRPr="00A13C4E">
        <w:t>Response</w:t>
      </w:r>
      <w:r w:rsidRPr="00A13C4E">
        <w:rPr>
          <w:rFonts w:ascii="Cambria Math" w:hAnsi="Cambria Math" w:cs="Cambria Math"/>
        </w:rPr>
        <w:t>‐</w:t>
      </w:r>
      <w:r w:rsidRPr="00A13C4E">
        <w:t>guided long</w:t>
      </w:r>
      <w:r w:rsidRPr="00A13C4E">
        <w:rPr>
          <w:rFonts w:ascii="Cambria Math" w:hAnsi="Cambria Math" w:cs="Cambria Math"/>
        </w:rPr>
        <w:t>‐</w:t>
      </w:r>
      <w:r w:rsidRPr="00A13C4E">
        <w:t>term treatment of chronic hepatitis D patients with bulevirtide</w:t>
      </w:r>
      <w:r w:rsidRPr="00A13C4E">
        <w:rPr>
          <w:rFonts w:ascii="Aptos" w:hAnsi="Aptos" w:cs="Aptos"/>
        </w:rPr>
        <w:t>—</w:t>
      </w:r>
      <w:r w:rsidRPr="00A13C4E">
        <w:t xml:space="preserve">results of a </w:t>
      </w:r>
      <w:r w:rsidRPr="00A13C4E">
        <w:rPr>
          <w:rFonts w:ascii="Aptos" w:hAnsi="Aptos" w:cs="Aptos"/>
        </w:rPr>
        <w:t>“</w:t>
      </w:r>
      <w:r w:rsidRPr="00A13C4E">
        <w:t>real world</w:t>
      </w:r>
      <w:r w:rsidRPr="00A13C4E">
        <w:rPr>
          <w:rFonts w:ascii="Aptos" w:hAnsi="Aptos" w:cs="Aptos"/>
        </w:rPr>
        <w:t>”</w:t>
      </w:r>
      <w:r w:rsidRPr="00A13C4E">
        <w:t xml:space="preserve"> study</w:t>
      </w:r>
      <w:r>
        <w:t>.</w:t>
      </w:r>
      <w:r w:rsidRPr="00A13C4E">
        <w:t>”</w:t>
      </w:r>
      <w:r>
        <w:rPr>
          <w:b/>
          <w:bCs/>
        </w:rPr>
        <w:t xml:space="preserve"> </w:t>
      </w:r>
      <w:r w:rsidRPr="00A13C4E">
        <w:t xml:space="preserve">Aliment </w:t>
      </w:r>
      <w:r w:rsidRPr="00A13C4E">
        <w:t>Pharmacol Ther. 2022 May 5;56(1):144–154. doi: </w:t>
      </w:r>
      <w:hyperlink r:id="rId1" w:history="1">
        <w:r w:rsidRPr="00CE31EA">
          <w:rPr>
            <w:rStyle w:val="Hyperlink"/>
            <w:color w:val="007BB8"/>
          </w:rPr>
          <w:t>10.1111/apt.16945</w:t>
        </w:r>
      </w:hyperlink>
    </w:p>
  </w:footnote>
  <w:footnote w:id="34">
    <w:p w14:paraId="4D8155AC" w14:textId="77777777" w:rsidR="00B93393" w:rsidRDefault="00B93393" w:rsidP="00B93393">
      <w:pPr>
        <w:pStyle w:val="FootnoteText"/>
      </w:pPr>
      <w:r>
        <w:rPr>
          <w:rStyle w:val="FootnoteReference"/>
        </w:rPr>
        <w:footnoteRef/>
      </w:r>
      <w:r>
        <w:t xml:space="preserve"> </w:t>
      </w:r>
      <w:r w:rsidRPr="00580550">
        <w:t xml:space="preserve">Farci, P, </w:t>
      </w:r>
      <w:r w:rsidRPr="00580550">
        <w:t>Roskams, T, Chessa, L, Peddis, G, Mazzoleni, AP, Scioscia, R, Serra, G, Lai, ME, Loy, M, Caruso, L, Desmet, V, Purcell, RH and Balestrieri, A 2004, 'Long-term benefit of interferon alpha therapy of chronic hepatitis D: regression of advanced hepatic fibrosis', Gastroenterology, vol. 126, no. 7, pp. 1740-1749</w:t>
      </w:r>
      <w:r>
        <w:t>.</w:t>
      </w:r>
    </w:p>
  </w:footnote>
  <w:footnote w:id="35">
    <w:p w14:paraId="75C086DD" w14:textId="77777777" w:rsidR="00B93393" w:rsidRDefault="00B93393" w:rsidP="00B93393">
      <w:pPr>
        <w:pStyle w:val="FootnoteText"/>
      </w:pPr>
      <w:r>
        <w:rPr>
          <w:rStyle w:val="FootnoteReference"/>
        </w:rPr>
        <w:footnoteRef/>
      </w:r>
      <w:r>
        <w:t xml:space="preserve"> </w:t>
      </w:r>
      <w:r w:rsidRPr="00580550">
        <w:t>Palom A, Sopena S, et al. One-quarter of chronic hepatitis D patients reach HDV-RNA decline or undetectability during the natural course of the disease. Alimentary Pharmacology &amp; Therapeutics. 2021;54(4):462-9</w:t>
      </w:r>
      <w:r>
        <w:t>.</w:t>
      </w:r>
    </w:p>
  </w:footnote>
  <w:footnote w:id="36">
    <w:p w14:paraId="7602D540" w14:textId="77777777" w:rsidR="00B93393" w:rsidRDefault="00B93393" w:rsidP="00B93393">
      <w:pPr>
        <w:pStyle w:val="FootnoteText"/>
      </w:pPr>
      <w:r>
        <w:rPr>
          <w:rStyle w:val="FootnoteReference"/>
        </w:rPr>
        <w:footnoteRef/>
      </w:r>
      <w:r>
        <w:t xml:space="preserve"> </w:t>
      </w:r>
      <w:r w:rsidRPr="00580550">
        <w:t>Wranke A, Lobato C, et al. Long-term outcome of hepatitis delta in different regions world-wide: Results of the Hepatitis Delta International Network. Liver Int. 2024;44(9):2442-57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5A49" w14:textId="77777777" w:rsidR="007335B2" w:rsidRDefault="0073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85D2" w14:textId="77777777" w:rsidR="007335B2" w:rsidRDefault="00733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2CE" w14:textId="77777777" w:rsidR="007335B2" w:rsidRDefault="0073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97176"/>
    <w:multiLevelType w:val="hybridMultilevel"/>
    <w:tmpl w:val="7A5229FA"/>
    <w:lvl w:ilvl="0" w:tplc="D75EB9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217C2A"/>
    <w:multiLevelType w:val="hybridMultilevel"/>
    <w:tmpl w:val="8B56C2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B6BB0"/>
    <w:multiLevelType w:val="hybridMultilevel"/>
    <w:tmpl w:val="2DD47D4C"/>
    <w:lvl w:ilvl="0" w:tplc="4C98D146">
      <w:start w:val="1"/>
      <w:numFmt w:val="lowerLetter"/>
      <w:lvlText w:val="%1)"/>
      <w:lvlJc w:val="left"/>
      <w:pPr>
        <w:tabs>
          <w:tab w:val="num" w:pos="720"/>
        </w:tabs>
        <w:ind w:left="720" w:hanging="360"/>
      </w:pPr>
    </w:lvl>
    <w:lvl w:ilvl="1" w:tplc="2620E522" w:tentative="1">
      <w:start w:val="1"/>
      <w:numFmt w:val="lowerLetter"/>
      <w:lvlText w:val="%2)"/>
      <w:lvlJc w:val="left"/>
      <w:pPr>
        <w:tabs>
          <w:tab w:val="num" w:pos="1440"/>
        </w:tabs>
        <w:ind w:left="1440" w:hanging="360"/>
      </w:pPr>
    </w:lvl>
    <w:lvl w:ilvl="2" w:tplc="F1784A60" w:tentative="1">
      <w:start w:val="1"/>
      <w:numFmt w:val="lowerLetter"/>
      <w:lvlText w:val="%3)"/>
      <w:lvlJc w:val="left"/>
      <w:pPr>
        <w:tabs>
          <w:tab w:val="num" w:pos="2160"/>
        </w:tabs>
        <w:ind w:left="2160" w:hanging="360"/>
      </w:pPr>
    </w:lvl>
    <w:lvl w:ilvl="3" w:tplc="C19889E2" w:tentative="1">
      <w:start w:val="1"/>
      <w:numFmt w:val="lowerLetter"/>
      <w:lvlText w:val="%4)"/>
      <w:lvlJc w:val="left"/>
      <w:pPr>
        <w:tabs>
          <w:tab w:val="num" w:pos="2880"/>
        </w:tabs>
        <w:ind w:left="2880" w:hanging="360"/>
      </w:pPr>
    </w:lvl>
    <w:lvl w:ilvl="4" w:tplc="18FE2B9E" w:tentative="1">
      <w:start w:val="1"/>
      <w:numFmt w:val="lowerLetter"/>
      <w:lvlText w:val="%5)"/>
      <w:lvlJc w:val="left"/>
      <w:pPr>
        <w:tabs>
          <w:tab w:val="num" w:pos="3600"/>
        </w:tabs>
        <w:ind w:left="3600" w:hanging="360"/>
      </w:pPr>
    </w:lvl>
    <w:lvl w:ilvl="5" w:tplc="B004F72C" w:tentative="1">
      <w:start w:val="1"/>
      <w:numFmt w:val="lowerLetter"/>
      <w:lvlText w:val="%6)"/>
      <w:lvlJc w:val="left"/>
      <w:pPr>
        <w:tabs>
          <w:tab w:val="num" w:pos="4320"/>
        </w:tabs>
        <w:ind w:left="4320" w:hanging="360"/>
      </w:pPr>
    </w:lvl>
    <w:lvl w:ilvl="6" w:tplc="E6223EF4" w:tentative="1">
      <w:start w:val="1"/>
      <w:numFmt w:val="lowerLetter"/>
      <w:lvlText w:val="%7)"/>
      <w:lvlJc w:val="left"/>
      <w:pPr>
        <w:tabs>
          <w:tab w:val="num" w:pos="5040"/>
        </w:tabs>
        <w:ind w:left="5040" w:hanging="360"/>
      </w:pPr>
    </w:lvl>
    <w:lvl w:ilvl="7" w:tplc="9CC251B8" w:tentative="1">
      <w:start w:val="1"/>
      <w:numFmt w:val="lowerLetter"/>
      <w:lvlText w:val="%8)"/>
      <w:lvlJc w:val="left"/>
      <w:pPr>
        <w:tabs>
          <w:tab w:val="num" w:pos="5760"/>
        </w:tabs>
        <w:ind w:left="5760" w:hanging="360"/>
      </w:pPr>
    </w:lvl>
    <w:lvl w:ilvl="8" w:tplc="8C228906" w:tentative="1">
      <w:start w:val="1"/>
      <w:numFmt w:val="lowerLetter"/>
      <w:lvlText w:val="%9)"/>
      <w:lvlJc w:val="left"/>
      <w:pPr>
        <w:tabs>
          <w:tab w:val="num" w:pos="6480"/>
        </w:tabs>
        <w:ind w:left="6480" w:hanging="360"/>
      </w:pPr>
    </w:lvl>
  </w:abstractNum>
  <w:abstractNum w:abstractNumId="4" w15:restartNumberingAfterBreak="0">
    <w:nsid w:val="090C506B"/>
    <w:multiLevelType w:val="hybridMultilevel"/>
    <w:tmpl w:val="B86CB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95123FA"/>
    <w:multiLevelType w:val="hybridMultilevel"/>
    <w:tmpl w:val="32A65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7F428C"/>
    <w:multiLevelType w:val="hybridMultilevel"/>
    <w:tmpl w:val="7AF2F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847AEC"/>
    <w:multiLevelType w:val="hybridMultilevel"/>
    <w:tmpl w:val="E66C3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BE3F07"/>
    <w:multiLevelType w:val="hybridMultilevel"/>
    <w:tmpl w:val="64C0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88725AA"/>
    <w:multiLevelType w:val="multilevel"/>
    <w:tmpl w:val="55A8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E02CA38"/>
    <w:multiLevelType w:val="hybridMultilevel"/>
    <w:tmpl w:val="FFFFFFFF"/>
    <w:lvl w:ilvl="0" w:tplc="48C40542">
      <w:start w:val="1"/>
      <w:numFmt w:val="bullet"/>
      <w:lvlText w:val=""/>
      <w:lvlJc w:val="left"/>
      <w:pPr>
        <w:ind w:left="720" w:hanging="360"/>
      </w:pPr>
      <w:rPr>
        <w:rFonts w:ascii="Symbol" w:hAnsi="Symbol" w:hint="default"/>
      </w:rPr>
    </w:lvl>
    <w:lvl w:ilvl="1" w:tplc="F3CA3F24">
      <w:start w:val="1"/>
      <w:numFmt w:val="bullet"/>
      <w:lvlText w:val="o"/>
      <w:lvlJc w:val="left"/>
      <w:pPr>
        <w:ind w:left="1440" w:hanging="360"/>
      </w:pPr>
      <w:rPr>
        <w:rFonts w:ascii="Courier New" w:hAnsi="Courier New" w:hint="default"/>
      </w:rPr>
    </w:lvl>
    <w:lvl w:ilvl="2" w:tplc="D08E6D18">
      <w:start w:val="1"/>
      <w:numFmt w:val="bullet"/>
      <w:lvlText w:val=""/>
      <w:lvlJc w:val="left"/>
      <w:pPr>
        <w:ind w:left="2160" w:hanging="360"/>
      </w:pPr>
      <w:rPr>
        <w:rFonts w:ascii="Wingdings" w:hAnsi="Wingdings" w:hint="default"/>
      </w:rPr>
    </w:lvl>
    <w:lvl w:ilvl="3" w:tplc="93B2B4DC">
      <w:start w:val="1"/>
      <w:numFmt w:val="bullet"/>
      <w:lvlText w:val=""/>
      <w:lvlJc w:val="left"/>
      <w:pPr>
        <w:ind w:left="2880" w:hanging="360"/>
      </w:pPr>
      <w:rPr>
        <w:rFonts w:ascii="Symbol" w:hAnsi="Symbol" w:hint="default"/>
      </w:rPr>
    </w:lvl>
    <w:lvl w:ilvl="4" w:tplc="CCA0D09C">
      <w:start w:val="1"/>
      <w:numFmt w:val="bullet"/>
      <w:lvlText w:val="o"/>
      <w:lvlJc w:val="left"/>
      <w:pPr>
        <w:ind w:left="3600" w:hanging="360"/>
      </w:pPr>
      <w:rPr>
        <w:rFonts w:ascii="Courier New" w:hAnsi="Courier New" w:hint="default"/>
      </w:rPr>
    </w:lvl>
    <w:lvl w:ilvl="5" w:tplc="958A658C">
      <w:start w:val="1"/>
      <w:numFmt w:val="bullet"/>
      <w:lvlText w:val=""/>
      <w:lvlJc w:val="left"/>
      <w:pPr>
        <w:ind w:left="4320" w:hanging="360"/>
      </w:pPr>
      <w:rPr>
        <w:rFonts w:ascii="Wingdings" w:hAnsi="Wingdings" w:hint="default"/>
      </w:rPr>
    </w:lvl>
    <w:lvl w:ilvl="6" w:tplc="0AFA74E2">
      <w:start w:val="1"/>
      <w:numFmt w:val="bullet"/>
      <w:lvlText w:val=""/>
      <w:lvlJc w:val="left"/>
      <w:pPr>
        <w:ind w:left="5040" w:hanging="360"/>
      </w:pPr>
      <w:rPr>
        <w:rFonts w:ascii="Symbol" w:hAnsi="Symbol" w:hint="default"/>
      </w:rPr>
    </w:lvl>
    <w:lvl w:ilvl="7" w:tplc="9AA8C170">
      <w:start w:val="1"/>
      <w:numFmt w:val="bullet"/>
      <w:lvlText w:val="o"/>
      <w:lvlJc w:val="left"/>
      <w:pPr>
        <w:ind w:left="5760" w:hanging="360"/>
      </w:pPr>
      <w:rPr>
        <w:rFonts w:ascii="Courier New" w:hAnsi="Courier New" w:hint="default"/>
      </w:rPr>
    </w:lvl>
    <w:lvl w:ilvl="8" w:tplc="6366BB7E">
      <w:start w:val="1"/>
      <w:numFmt w:val="bullet"/>
      <w:lvlText w:val=""/>
      <w:lvlJc w:val="left"/>
      <w:pPr>
        <w:ind w:left="6480" w:hanging="360"/>
      </w:pPr>
      <w:rPr>
        <w:rFonts w:ascii="Wingdings" w:hAnsi="Wingdings" w:hint="default"/>
      </w:rPr>
    </w:lvl>
  </w:abstractNum>
  <w:abstractNum w:abstractNumId="15" w15:restartNumberingAfterBreak="0">
    <w:nsid w:val="24BD2F7F"/>
    <w:multiLevelType w:val="hybridMultilevel"/>
    <w:tmpl w:val="D3D64A20"/>
    <w:lvl w:ilvl="0" w:tplc="593A9A52">
      <w:numFmt w:val="bullet"/>
      <w:lvlText w:val="-"/>
      <w:lvlJc w:val="left"/>
      <w:pPr>
        <w:ind w:left="420" w:hanging="360"/>
      </w:pPr>
      <w:rPr>
        <w:rFonts w:ascii="Franklin Gothic Book" w:eastAsiaTheme="minorHAnsi" w:hAnsi="Franklin Gothic Book"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27575C58"/>
    <w:multiLevelType w:val="multilevel"/>
    <w:tmpl w:val="8F0E7E5E"/>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5529D"/>
    <w:multiLevelType w:val="hybridMultilevel"/>
    <w:tmpl w:val="2A46262E"/>
    <w:lvl w:ilvl="0" w:tplc="7804AF38">
      <w:numFmt w:val="bullet"/>
      <w:lvlText w:val="-"/>
      <w:lvlJc w:val="left"/>
      <w:pPr>
        <w:ind w:left="663" w:hanging="360"/>
      </w:pPr>
      <w:rPr>
        <w:rFonts w:ascii="Calibri" w:eastAsiaTheme="minorHAnsi" w:hAnsi="Calibri" w:cs="Calibri"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8" w15:restartNumberingAfterBreak="0">
    <w:nsid w:val="2CD10C59"/>
    <w:multiLevelType w:val="hybridMultilevel"/>
    <w:tmpl w:val="C4A0D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35C021D"/>
    <w:multiLevelType w:val="multilevel"/>
    <w:tmpl w:val="8774D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8096A79"/>
    <w:multiLevelType w:val="multilevel"/>
    <w:tmpl w:val="54C0B3FC"/>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55215E"/>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C92016"/>
    <w:multiLevelType w:val="hybridMultilevel"/>
    <w:tmpl w:val="4B709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EA2FDC"/>
    <w:multiLevelType w:val="hybridMultilevel"/>
    <w:tmpl w:val="73ECB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376C72"/>
    <w:multiLevelType w:val="hybridMultilevel"/>
    <w:tmpl w:val="3A7C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71A4C"/>
    <w:multiLevelType w:val="hybridMultilevel"/>
    <w:tmpl w:val="FDEA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8B218F1"/>
    <w:multiLevelType w:val="hybridMultilevel"/>
    <w:tmpl w:val="A238ACA0"/>
    <w:lvl w:ilvl="0" w:tplc="8B282944">
      <w:start w:val="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09DC924"/>
    <w:multiLevelType w:val="hybridMultilevel"/>
    <w:tmpl w:val="FFFFFFFF"/>
    <w:lvl w:ilvl="0" w:tplc="DD80F8F4">
      <w:start w:val="1"/>
      <w:numFmt w:val="bullet"/>
      <w:lvlText w:val=""/>
      <w:lvlJc w:val="left"/>
      <w:pPr>
        <w:ind w:left="720" w:hanging="360"/>
      </w:pPr>
      <w:rPr>
        <w:rFonts w:ascii="Symbol" w:hAnsi="Symbol" w:hint="default"/>
      </w:rPr>
    </w:lvl>
    <w:lvl w:ilvl="1" w:tplc="6BA8A934">
      <w:start w:val="1"/>
      <w:numFmt w:val="bullet"/>
      <w:lvlText w:val="o"/>
      <w:lvlJc w:val="left"/>
      <w:pPr>
        <w:ind w:left="1440" w:hanging="360"/>
      </w:pPr>
      <w:rPr>
        <w:rFonts w:ascii="Courier New" w:hAnsi="Courier New" w:hint="default"/>
      </w:rPr>
    </w:lvl>
    <w:lvl w:ilvl="2" w:tplc="DA5C9FE6">
      <w:start w:val="1"/>
      <w:numFmt w:val="bullet"/>
      <w:lvlText w:val=""/>
      <w:lvlJc w:val="left"/>
      <w:pPr>
        <w:ind w:left="2160" w:hanging="360"/>
      </w:pPr>
      <w:rPr>
        <w:rFonts w:ascii="Wingdings" w:hAnsi="Wingdings" w:hint="default"/>
      </w:rPr>
    </w:lvl>
    <w:lvl w:ilvl="3" w:tplc="E7EA9742">
      <w:start w:val="1"/>
      <w:numFmt w:val="bullet"/>
      <w:lvlText w:val=""/>
      <w:lvlJc w:val="left"/>
      <w:pPr>
        <w:ind w:left="2880" w:hanging="360"/>
      </w:pPr>
      <w:rPr>
        <w:rFonts w:ascii="Symbol" w:hAnsi="Symbol" w:hint="default"/>
      </w:rPr>
    </w:lvl>
    <w:lvl w:ilvl="4" w:tplc="301267F0">
      <w:start w:val="1"/>
      <w:numFmt w:val="bullet"/>
      <w:lvlText w:val="o"/>
      <w:lvlJc w:val="left"/>
      <w:pPr>
        <w:ind w:left="3600" w:hanging="360"/>
      </w:pPr>
      <w:rPr>
        <w:rFonts w:ascii="Courier New" w:hAnsi="Courier New" w:hint="default"/>
      </w:rPr>
    </w:lvl>
    <w:lvl w:ilvl="5" w:tplc="D3FA98AE">
      <w:start w:val="1"/>
      <w:numFmt w:val="bullet"/>
      <w:lvlText w:val=""/>
      <w:lvlJc w:val="left"/>
      <w:pPr>
        <w:ind w:left="4320" w:hanging="360"/>
      </w:pPr>
      <w:rPr>
        <w:rFonts w:ascii="Wingdings" w:hAnsi="Wingdings" w:hint="default"/>
      </w:rPr>
    </w:lvl>
    <w:lvl w:ilvl="6" w:tplc="B7EC4A42">
      <w:start w:val="1"/>
      <w:numFmt w:val="bullet"/>
      <w:lvlText w:val=""/>
      <w:lvlJc w:val="left"/>
      <w:pPr>
        <w:ind w:left="5040" w:hanging="360"/>
      </w:pPr>
      <w:rPr>
        <w:rFonts w:ascii="Symbol" w:hAnsi="Symbol" w:hint="default"/>
      </w:rPr>
    </w:lvl>
    <w:lvl w:ilvl="7" w:tplc="27B80DB4">
      <w:start w:val="1"/>
      <w:numFmt w:val="bullet"/>
      <w:lvlText w:val="o"/>
      <w:lvlJc w:val="left"/>
      <w:pPr>
        <w:ind w:left="5760" w:hanging="360"/>
      </w:pPr>
      <w:rPr>
        <w:rFonts w:ascii="Courier New" w:hAnsi="Courier New" w:hint="default"/>
      </w:rPr>
    </w:lvl>
    <w:lvl w:ilvl="8" w:tplc="0526F168">
      <w:start w:val="1"/>
      <w:numFmt w:val="bullet"/>
      <w:lvlText w:val=""/>
      <w:lvlJc w:val="left"/>
      <w:pPr>
        <w:ind w:left="6480" w:hanging="360"/>
      </w:pPr>
      <w:rPr>
        <w:rFonts w:ascii="Wingdings" w:hAnsi="Wingdings" w:hint="default"/>
      </w:rPr>
    </w:lvl>
  </w:abstractNum>
  <w:abstractNum w:abstractNumId="31"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4E4593"/>
    <w:multiLevelType w:val="multilevel"/>
    <w:tmpl w:val="A7C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F15806"/>
    <w:multiLevelType w:val="hybridMultilevel"/>
    <w:tmpl w:val="3ED4A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BA2634"/>
    <w:multiLevelType w:val="multilevel"/>
    <w:tmpl w:val="C56EB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C0D0977"/>
    <w:multiLevelType w:val="hybridMultilevel"/>
    <w:tmpl w:val="04465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4D033C"/>
    <w:multiLevelType w:val="multilevel"/>
    <w:tmpl w:val="6AAE3028"/>
    <w:styleLink w:val="Style2"/>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911BEF"/>
    <w:multiLevelType w:val="multilevel"/>
    <w:tmpl w:val="6AAE3028"/>
    <w:styleLink w:val="Style3"/>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9A74D4"/>
    <w:multiLevelType w:val="multilevel"/>
    <w:tmpl w:val="5FF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219559">
    <w:abstractNumId w:val="21"/>
  </w:num>
  <w:num w:numId="2" w16cid:durableId="268393627">
    <w:abstractNumId w:val="13"/>
  </w:num>
  <w:num w:numId="3" w16cid:durableId="1728722686">
    <w:abstractNumId w:val="11"/>
  </w:num>
  <w:num w:numId="4" w16cid:durableId="2098357730">
    <w:abstractNumId w:val="36"/>
  </w:num>
  <w:num w:numId="5" w16cid:durableId="821584777">
    <w:abstractNumId w:val="29"/>
  </w:num>
  <w:num w:numId="6" w16cid:durableId="1831209707">
    <w:abstractNumId w:val="6"/>
  </w:num>
  <w:num w:numId="7" w16cid:durableId="1213539042">
    <w:abstractNumId w:val="16"/>
  </w:num>
  <w:num w:numId="8" w16cid:durableId="1119836982">
    <w:abstractNumId w:val="31"/>
  </w:num>
  <w:num w:numId="9" w16cid:durableId="376708755">
    <w:abstractNumId w:val="0"/>
  </w:num>
  <w:num w:numId="10" w16cid:durableId="3575890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438738">
    <w:abstractNumId w:val="37"/>
  </w:num>
  <w:num w:numId="12" w16cid:durableId="219446458">
    <w:abstractNumId w:val="27"/>
  </w:num>
  <w:num w:numId="13" w16cid:durableId="432748491">
    <w:abstractNumId w:val="24"/>
  </w:num>
  <w:num w:numId="14" w16cid:durableId="1716932451">
    <w:abstractNumId w:val="7"/>
  </w:num>
  <w:num w:numId="15" w16cid:durableId="210267045">
    <w:abstractNumId w:val="26"/>
  </w:num>
  <w:num w:numId="16" w16cid:durableId="1622495622">
    <w:abstractNumId w:val="22"/>
  </w:num>
  <w:num w:numId="17" w16cid:durableId="558251527">
    <w:abstractNumId w:val="25"/>
  </w:num>
  <w:num w:numId="18" w16cid:durableId="1481732919">
    <w:abstractNumId w:val="2"/>
  </w:num>
  <w:num w:numId="19" w16cid:durableId="1577665023">
    <w:abstractNumId w:val="35"/>
  </w:num>
  <w:num w:numId="20" w16cid:durableId="1234050769">
    <w:abstractNumId w:val="10"/>
  </w:num>
  <w:num w:numId="21" w16cid:durableId="504587935">
    <w:abstractNumId w:val="17"/>
  </w:num>
  <w:num w:numId="22" w16cid:durableId="371077282">
    <w:abstractNumId w:val="8"/>
  </w:num>
  <w:num w:numId="23" w16cid:durableId="1462113508">
    <w:abstractNumId w:val="18"/>
  </w:num>
  <w:num w:numId="24" w16cid:durableId="17316483">
    <w:abstractNumId w:val="4"/>
  </w:num>
  <w:num w:numId="25" w16cid:durableId="2125490391">
    <w:abstractNumId w:val="23"/>
  </w:num>
  <w:num w:numId="26" w16cid:durableId="998770964">
    <w:abstractNumId w:val="1"/>
  </w:num>
  <w:num w:numId="27" w16cid:durableId="184904280">
    <w:abstractNumId w:val="9"/>
  </w:num>
  <w:num w:numId="28" w16cid:durableId="908927443">
    <w:abstractNumId w:val="28"/>
  </w:num>
  <w:num w:numId="29" w16cid:durableId="1257401734">
    <w:abstractNumId w:val="3"/>
  </w:num>
  <w:num w:numId="30" w16cid:durableId="1587230999">
    <w:abstractNumId w:val="30"/>
  </w:num>
  <w:num w:numId="31" w16cid:durableId="1980837712">
    <w:abstractNumId w:val="14"/>
  </w:num>
  <w:num w:numId="32" w16cid:durableId="46076666">
    <w:abstractNumId w:val="38"/>
  </w:num>
  <w:num w:numId="33" w16cid:durableId="216288108">
    <w:abstractNumId w:val="34"/>
  </w:num>
  <w:num w:numId="34" w16cid:durableId="2022001659">
    <w:abstractNumId w:val="19"/>
  </w:num>
  <w:num w:numId="35" w16cid:durableId="646055859">
    <w:abstractNumId w:val="32"/>
  </w:num>
  <w:num w:numId="36" w16cid:durableId="1810970990">
    <w:abstractNumId w:val="12"/>
  </w:num>
  <w:num w:numId="37" w16cid:durableId="1451701118">
    <w:abstractNumId w:val="15"/>
  </w:num>
  <w:num w:numId="38" w16cid:durableId="832525810">
    <w:abstractNumId w:val="20"/>
  </w:num>
  <w:num w:numId="39" w16cid:durableId="1064838680">
    <w:abstractNumId w:val="33"/>
  </w:num>
  <w:num w:numId="40" w16cid:durableId="919103088">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Narrow&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vwed2aatew98exf9lvz9xgzddatzze050x&quot;&gt;1708.1 HDV RNA bulevirtide&lt;record-ids&gt;&lt;item&gt;2&lt;/item&gt;&lt;item&gt;3&lt;/item&gt;&lt;item&gt;7&lt;/item&gt;&lt;item&gt;9&lt;/item&gt;&lt;item&gt;10&lt;/item&gt;&lt;item&gt;13&lt;/item&gt;&lt;item&gt;14&lt;/item&gt;&lt;item&gt;17&lt;/item&gt;&lt;item&gt;18&lt;/item&gt;&lt;item&gt;19&lt;/item&gt;&lt;item&gt;20&lt;/item&gt;&lt;item&gt;21&lt;/item&gt;&lt;item&gt;24&lt;/item&gt;&lt;item&gt;25&lt;/item&gt;&lt;item&gt;28&lt;/item&gt;&lt;item&gt;29&lt;/item&gt;&lt;item&gt;31&lt;/item&gt;&lt;item&gt;32&lt;/item&gt;&lt;item&gt;33&lt;/item&gt;&lt;item&gt;36&lt;/item&gt;&lt;item&gt;37&lt;/item&gt;&lt;item&gt;38&lt;/item&gt;&lt;item&gt;39&lt;/item&gt;&lt;item&gt;40&lt;/item&gt;&lt;item&gt;41&lt;/item&gt;&lt;item&gt;42&lt;/item&gt;&lt;item&gt;44&lt;/item&gt;&lt;item&gt;45&lt;/item&gt;&lt;item&gt;48&lt;/item&gt;&lt;item&gt;51&lt;/item&gt;&lt;item&gt;56&lt;/item&gt;&lt;item&gt;57&lt;/item&gt;&lt;item&gt;63&lt;/item&gt;&lt;item&gt;67&lt;/item&gt;&lt;item&gt;69&lt;/item&gt;&lt;item&gt;70&lt;/item&gt;&lt;item&gt;72&lt;/item&gt;&lt;item&gt;74&lt;/item&gt;&lt;item&gt;77&lt;/item&gt;&lt;item&gt;78&lt;/item&gt;&lt;item&gt;79&lt;/item&gt;&lt;item&gt;80&lt;/item&gt;&lt;item&gt;82&lt;/item&gt;&lt;item&gt;83&lt;/item&gt;&lt;item&gt;84&lt;/item&gt;&lt;item&gt;85&lt;/item&gt;&lt;item&gt;86&lt;/item&gt;&lt;item&gt;87&lt;/item&gt;&lt;item&gt;88&lt;/item&gt;&lt;item&gt;90&lt;/item&gt;&lt;item&gt;92&lt;/item&gt;&lt;item&gt;93&lt;/item&gt;&lt;item&gt;94&lt;/item&gt;&lt;item&gt;101&lt;/item&gt;&lt;item&gt;102&lt;/item&gt;&lt;item&gt;104&lt;/item&gt;&lt;item&gt;105&lt;/item&gt;&lt;item&gt;106&lt;/item&gt;&lt;item&gt;109&lt;/item&gt;&lt;item&gt;110&lt;/item&gt;&lt;item&gt;116&lt;/item&gt;&lt;item&gt;117&lt;/item&gt;&lt;item&gt;121&lt;/item&gt;&lt;item&gt;122&lt;/item&gt;&lt;item&gt;126&lt;/item&gt;&lt;item&gt;127&lt;/item&gt;&lt;item&gt;131&lt;/item&gt;&lt;item&gt;135&lt;/item&gt;&lt;item&gt;140&lt;/item&gt;&lt;item&gt;161&lt;/item&gt;&lt;item&gt;162&lt;/item&gt;&lt;item&gt;163&lt;/item&gt;&lt;item&gt;168&lt;/item&gt;&lt;item&gt;169&lt;/item&gt;&lt;item&gt;173&lt;/item&gt;&lt;item&gt;175&lt;/item&gt;&lt;item&gt;180&lt;/item&gt;&lt;item&gt;184&lt;/item&gt;&lt;item&gt;185&lt;/item&gt;&lt;item&gt;186&lt;/item&gt;&lt;item&gt;189&lt;/item&gt;&lt;item&gt;192&lt;/item&gt;&lt;item&gt;193&lt;/item&gt;&lt;item&gt;194&lt;/item&gt;&lt;item&gt;196&lt;/item&gt;&lt;item&gt;197&lt;/item&gt;&lt;item&gt;198&lt;/item&gt;&lt;item&gt;199&lt;/item&gt;&lt;item&gt;200&lt;/item&gt;&lt;item&gt;202&lt;/item&gt;&lt;item&gt;205&lt;/item&gt;&lt;item&gt;211&lt;/item&gt;&lt;/record-ids&gt;&lt;/item&gt;&lt;/Libraries&gt;"/>
    <w:docVar w:name="EN.UseJSCitationFormat" w:val="False"/>
  </w:docVars>
  <w:rsids>
    <w:rsidRoot w:val="00BF5482"/>
    <w:rsid w:val="00000071"/>
    <w:rsid w:val="0000085B"/>
    <w:rsid w:val="000009E9"/>
    <w:rsid w:val="00000D13"/>
    <w:rsid w:val="00001207"/>
    <w:rsid w:val="00001AB4"/>
    <w:rsid w:val="0000213D"/>
    <w:rsid w:val="000022D1"/>
    <w:rsid w:val="00002C86"/>
    <w:rsid w:val="00002F7C"/>
    <w:rsid w:val="00003506"/>
    <w:rsid w:val="00003516"/>
    <w:rsid w:val="000037CE"/>
    <w:rsid w:val="00003854"/>
    <w:rsid w:val="00003CA2"/>
    <w:rsid w:val="00003DDF"/>
    <w:rsid w:val="000045BA"/>
    <w:rsid w:val="000049A4"/>
    <w:rsid w:val="00005149"/>
    <w:rsid w:val="00005AD6"/>
    <w:rsid w:val="00005AFE"/>
    <w:rsid w:val="00005E25"/>
    <w:rsid w:val="0000604B"/>
    <w:rsid w:val="0000614F"/>
    <w:rsid w:val="000062E0"/>
    <w:rsid w:val="00006904"/>
    <w:rsid w:val="00007E37"/>
    <w:rsid w:val="000102FE"/>
    <w:rsid w:val="000105FE"/>
    <w:rsid w:val="0001066F"/>
    <w:rsid w:val="00010C95"/>
    <w:rsid w:val="00010EF7"/>
    <w:rsid w:val="00011595"/>
    <w:rsid w:val="00011A86"/>
    <w:rsid w:val="00011AE9"/>
    <w:rsid w:val="00011CA5"/>
    <w:rsid w:val="00012442"/>
    <w:rsid w:val="0001281E"/>
    <w:rsid w:val="00012A4E"/>
    <w:rsid w:val="00012EBE"/>
    <w:rsid w:val="00012F5E"/>
    <w:rsid w:val="00013006"/>
    <w:rsid w:val="000131C9"/>
    <w:rsid w:val="00013222"/>
    <w:rsid w:val="0001358E"/>
    <w:rsid w:val="000138FA"/>
    <w:rsid w:val="000139D0"/>
    <w:rsid w:val="00013CAE"/>
    <w:rsid w:val="00013E19"/>
    <w:rsid w:val="000142C1"/>
    <w:rsid w:val="0001509C"/>
    <w:rsid w:val="00015290"/>
    <w:rsid w:val="00015474"/>
    <w:rsid w:val="0001548D"/>
    <w:rsid w:val="00015631"/>
    <w:rsid w:val="00015BD0"/>
    <w:rsid w:val="00016563"/>
    <w:rsid w:val="00016590"/>
    <w:rsid w:val="00016EB3"/>
    <w:rsid w:val="000170E1"/>
    <w:rsid w:val="00017224"/>
    <w:rsid w:val="00017796"/>
    <w:rsid w:val="000179B4"/>
    <w:rsid w:val="00017DC5"/>
    <w:rsid w:val="00017E73"/>
    <w:rsid w:val="000200D6"/>
    <w:rsid w:val="0002095B"/>
    <w:rsid w:val="00020CE0"/>
    <w:rsid w:val="00021343"/>
    <w:rsid w:val="00021A08"/>
    <w:rsid w:val="00022188"/>
    <w:rsid w:val="00022361"/>
    <w:rsid w:val="00023139"/>
    <w:rsid w:val="00023288"/>
    <w:rsid w:val="000233B7"/>
    <w:rsid w:val="000239BE"/>
    <w:rsid w:val="00023CBE"/>
    <w:rsid w:val="00024C1A"/>
    <w:rsid w:val="00024C3C"/>
    <w:rsid w:val="00024DCD"/>
    <w:rsid w:val="0002501A"/>
    <w:rsid w:val="000250D8"/>
    <w:rsid w:val="00025176"/>
    <w:rsid w:val="000253E3"/>
    <w:rsid w:val="000255A3"/>
    <w:rsid w:val="00025B1B"/>
    <w:rsid w:val="00025C8B"/>
    <w:rsid w:val="00026442"/>
    <w:rsid w:val="000266F5"/>
    <w:rsid w:val="00026763"/>
    <w:rsid w:val="00027C74"/>
    <w:rsid w:val="00027F29"/>
    <w:rsid w:val="00030115"/>
    <w:rsid w:val="000301EB"/>
    <w:rsid w:val="00030751"/>
    <w:rsid w:val="00030D4B"/>
    <w:rsid w:val="00030D9F"/>
    <w:rsid w:val="00030EAB"/>
    <w:rsid w:val="000310F5"/>
    <w:rsid w:val="000312DE"/>
    <w:rsid w:val="0003184A"/>
    <w:rsid w:val="000318CA"/>
    <w:rsid w:val="000323E4"/>
    <w:rsid w:val="000323F7"/>
    <w:rsid w:val="00032542"/>
    <w:rsid w:val="00032C7D"/>
    <w:rsid w:val="0003349C"/>
    <w:rsid w:val="000338E6"/>
    <w:rsid w:val="00033CE1"/>
    <w:rsid w:val="00034276"/>
    <w:rsid w:val="000342B0"/>
    <w:rsid w:val="00034404"/>
    <w:rsid w:val="0003461B"/>
    <w:rsid w:val="000347B3"/>
    <w:rsid w:val="00034949"/>
    <w:rsid w:val="0003497C"/>
    <w:rsid w:val="000355B7"/>
    <w:rsid w:val="00035741"/>
    <w:rsid w:val="000359BA"/>
    <w:rsid w:val="000361E0"/>
    <w:rsid w:val="0003691A"/>
    <w:rsid w:val="00036968"/>
    <w:rsid w:val="00036AD3"/>
    <w:rsid w:val="00036C5C"/>
    <w:rsid w:val="000370BB"/>
    <w:rsid w:val="0003752E"/>
    <w:rsid w:val="00037AEE"/>
    <w:rsid w:val="00037EA6"/>
    <w:rsid w:val="000400A0"/>
    <w:rsid w:val="00040149"/>
    <w:rsid w:val="000404D6"/>
    <w:rsid w:val="00040603"/>
    <w:rsid w:val="00040A37"/>
    <w:rsid w:val="000410FC"/>
    <w:rsid w:val="0004130F"/>
    <w:rsid w:val="000415BF"/>
    <w:rsid w:val="000419EB"/>
    <w:rsid w:val="00041B4B"/>
    <w:rsid w:val="00041BE3"/>
    <w:rsid w:val="00042434"/>
    <w:rsid w:val="0004284C"/>
    <w:rsid w:val="0004295E"/>
    <w:rsid w:val="00043006"/>
    <w:rsid w:val="000436E6"/>
    <w:rsid w:val="00043A61"/>
    <w:rsid w:val="00043C5C"/>
    <w:rsid w:val="000442A6"/>
    <w:rsid w:val="0004441D"/>
    <w:rsid w:val="0004530B"/>
    <w:rsid w:val="000453F5"/>
    <w:rsid w:val="000457CE"/>
    <w:rsid w:val="00045A57"/>
    <w:rsid w:val="00045EAE"/>
    <w:rsid w:val="000461CF"/>
    <w:rsid w:val="00046888"/>
    <w:rsid w:val="00047262"/>
    <w:rsid w:val="0004758F"/>
    <w:rsid w:val="00047867"/>
    <w:rsid w:val="00047C39"/>
    <w:rsid w:val="00050364"/>
    <w:rsid w:val="0005067F"/>
    <w:rsid w:val="00051316"/>
    <w:rsid w:val="000522EE"/>
    <w:rsid w:val="00052654"/>
    <w:rsid w:val="00052A30"/>
    <w:rsid w:val="00052BCD"/>
    <w:rsid w:val="0005356B"/>
    <w:rsid w:val="000535F1"/>
    <w:rsid w:val="000535F9"/>
    <w:rsid w:val="0005373E"/>
    <w:rsid w:val="000539DA"/>
    <w:rsid w:val="00053FC9"/>
    <w:rsid w:val="00054171"/>
    <w:rsid w:val="000541EE"/>
    <w:rsid w:val="0005458F"/>
    <w:rsid w:val="00054A0A"/>
    <w:rsid w:val="00055AC8"/>
    <w:rsid w:val="00055DCD"/>
    <w:rsid w:val="00055FF9"/>
    <w:rsid w:val="00056AFD"/>
    <w:rsid w:val="0005757E"/>
    <w:rsid w:val="000578D9"/>
    <w:rsid w:val="00057F71"/>
    <w:rsid w:val="00061E50"/>
    <w:rsid w:val="00062018"/>
    <w:rsid w:val="00062067"/>
    <w:rsid w:val="0006287B"/>
    <w:rsid w:val="00062D24"/>
    <w:rsid w:val="00062E31"/>
    <w:rsid w:val="000635D7"/>
    <w:rsid w:val="00063AF1"/>
    <w:rsid w:val="00063D9A"/>
    <w:rsid w:val="000643FA"/>
    <w:rsid w:val="0006440D"/>
    <w:rsid w:val="0006442F"/>
    <w:rsid w:val="00064D04"/>
    <w:rsid w:val="00065C62"/>
    <w:rsid w:val="00065CDE"/>
    <w:rsid w:val="00065F4A"/>
    <w:rsid w:val="00066386"/>
    <w:rsid w:val="000663B2"/>
    <w:rsid w:val="00066B10"/>
    <w:rsid w:val="0006756A"/>
    <w:rsid w:val="000676E5"/>
    <w:rsid w:val="000677DE"/>
    <w:rsid w:val="00067C9B"/>
    <w:rsid w:val="000705E3"/>
    <w:rsid w:val="0007063B"/>
    <w:rsid w:val="000708AA"/>
    <w:rsid w:val="00070D75"/>
    <w:rsid w:val="00070EF7"/>
    <w:rsid w:val="00070F2E"/>
    <w:rsid w:val="00071CEB"/>
    <w:rsid w:val="00071E21"/>
    <w:rsid w:val="00071FD4"/>
    <w:rsid w:val="000721FB"/>
    <w:rsid w:val="00072E94"/>
    <w:rsid w:val="0007322D"/>
    <w:rsid w:val="0007384A"/>
    <w:rsid w:val="00073A09"/>
    <w:rsid w:val="00074006"/>
    <w:rsid w:val="0007430C"/>
    <w:rsid w:val="000743D5"/>
    <w:rsid w:val="00074A38"/>
    <w:rsid w:val="00074A93"/>
    <w:rsid w:val="00074F65"/>
    <w:rsid w:val="0007565D"/>
    <w:rsid w:val="000759A1"/>
    <w:rsid w:val="00076302"/>
    <w:rsid w:val="000767C2"/>
    <w:rsid w:val="00076ACE"/>
    <w:rsid w:val="0007713E"/>
    <w:rsid w:val="0007746D"/>
    <w:rsid w:val="00077490"/>
    <w:rsid w:val="000778EF"/>
    <w:rsid w:val="00077D29"/>
    <w:rsid w:val="00077EEB"/>
    <w:rsid w:val="00077F1E"/>
    <w:rsid w:val="00080210"/>
    <w:rsid w:val="00080813"/>
    <w:rsid w:val="00080FF3"/>
    <w:rsid w:val="000816DF"/>
    <w:rsid w:val="000817CF"/>
    <w:rsid w:val="00081CE7"/>
    <w:rsid w:val="00081DA2"/>
    <w:rsid w:val="00081FC2"/>
    <w:rsid w:val="00082390"/>
    <w:rsid w:val="00082422"/>
    <w:rsid w:val="00082450"/>
    <w:rsid w:val="000825EF"/>
    <w:rsid w:val="00082868"/>
    <w:rsid w:val="000829B3"/>
    <w:rsid w:val="000829F7"/>
    <w:rsid w:val="00082BF0"/>
    <w:rsid w:val="00083100"/>
    <w:rsid w:val="0008338B"/>
    <w:rsid w:val="0008362B"/>
    <w:rsid w:val="000839AB"/>
    <w:rsid w:val="000847FE"/>
    <w:rsid w:val="00084B18"/>
    <w:rsid w:val="00084DCD"/>
    <w:rsid w:val="00086133"/>
    <w:rsid w:val="000862B9"/>
    <w:rsid w:val="00086D10"/>
    <w:rsid w:val="000872D7"/>
    <w:rsid w:val="000873A5"/>
    <w:rsid w:val="00087816"/>
    <w:rsid w:val="00087C16"/>
    <w:rsid w:val="00087FAA"/>
    <w:rsid w:val="00090194"/>
    <w:rsid w:val="00090A4D"/>
    <w:rsid w:val="00091018"/>
    <w:rsid w:val="0009113F"/>
    <w:rsid w:val="000914AE"/>
    <w:rsid w:val="00091E8E"/>
    <w:rsid w:val="000920DC"/>
    <w:rsid w:val="0009226C"/>
    <w:rsid w:val="0009235E"/>
    <w:rsid w:val="00092727"/>
    <w:rsid w:val="00092929"/>
    <w:rsid w:val="00092945"/>
    <w:rsid w:val="00092D9B"/>
    <w:rsid w:val="00092DD7"/>
    <w:rsid w:val="00092FF0"/>
    <w:rsid w:val="0009360B"/>
    <w:rsid w:val="00093EC3"/>
    <w:rsid w:val="00094005"/>
    <w:rsid w:val="000940C8"/>
    <w:rsid w:val="000948FF"/>
    <w:rsid w:val="00094934"/>
    <w:rsid w:val="00094CDE"/>
    <w:rsid w:val="00094D0C"/>
    <w:rsid w:val="0009529D"/>
    <w:rsid w:val="00096024"/>
    <w:rsid w:val="00096541"/>
    <w:rsid w:val="0009688E"/>
    <w:rsid w:val="00096AB5"/>
    <w:rsid w:val="00096BCD"/>
    <w:rsid w:val="00096BF1"/>
    <w:rsid w:val="0009719F"/>
    <w:rsid w:val="00097824"/>
    <w:rsid w:val="00097A0C"/>
    <w:rsid w:val="00097D77"/>
    <w:rsid w:val="00097FBB"/>
    <w:rsid w:val="000A027E"/>
    <w:rsid w:val="000A0416"/>
    <w:rsid w:val="000A0515"/>
    <w:rsid w:val="000A0623"/>
    <w:rsid w:val="000A0E92"/>
    <w:rsid w:val="000A11BF"/>
    <w:rsid w:val="000A156A"/>
    <w:rsid w:val="000A1B33"/>
    <w:rsid w:val="000A1F7B"/>
    <w:rsid w:val="000A2489"/>
    <w:rsid w:val="000A2561"/>
    <w:rsid w:val="000A2639"/>
    <w:rsid w:val="000A2694"/>
    <w:rsid w:val="000A26BD"/>
    <w:rsid w:val="000A2EF1"/>
    <w:rsid w:val="000A3406"/>
    <w:rsid w:val="000A3D99"/>
    <w:rsid w:val="000A3F4C"/>
    <w:rsid w:val="000A4F73"/>
    <w:rsid w:val="000A5A2D"/>
    <w:rsid w:val="000A5C4D"/>
    <w:rsid w:val="000A5D44"/>
    <w:rsid w:val="000A5FDD"/>
    <w:rsid w:val="000A6953"/>
    <w:rsid w:val="000A6FBD"/>
    <w:rsid w:val="000A7333"/>
    <w:rsid w:val="000A7EA5"/>
    <w:rsid w:val="000B111E"/>
    <w:rsid w:val="000B1E1A"/>
    <w:rsid w:val="000B1FA7"/>
    <w:rsid w:val="000B2BE3"/>
    <w:rsid w:val="000B3108"/>
    <w:rsid w:val="000B35EA"/>
    <w:rsid w:val="000B3638"/>
    <w:rsid w:val="000B3B1A"/>
    <w:rsid w:val="000B4288"/>
    <w:rsid w:val="000B47FA"/>
    <w:rsid w:val="000B4C3B"/>
    <w:rsid w:val="000B54D3"/>
    <w:rsid w:val="000B552D"/>
    <w:rsid w:val="000B56CD"/>
    <w:rsid w:val="000B57ED"/>
    <w:rsid w:val="000B5B3B"/>
    <w:rsid w:val="000B5C43"/>
    <w:rsid w:val="000B5C90"/>
    <w:rsid w:val="000B5EC8"/>
    <w:rsid w:val="000B6812"/>
    <w:rsid w:val="000B6B69"/>
    <w:rsid w:val="000B6FC5"/>
    <w:rsid w:val="000B7547"/>
    <w:rsid w:val="000B7AED"/>
    <w:rsid w:val="000B7E89"/>
    <w:rsid w:val="000C0142"/>
    <w:rsid w:val="000C024D"/>
    <w:rsid w:val="000C070F"/>
    <w:rsid w:val="000C0DDC"/>
    <w:rsid w:val="000C0FCC"/>
    <w:rsid w:val="000C1139"/>
    <w:rsid w:val="000C11CC"/>
    <w:rsid w:val="000C1364"/>
    <w:rsid w:val="000C14FB"/>
    <w:rsid w:val="000C158F"/>
    <w:rsid w:val="000C1A38"/>
    <w:rsid w:val="000C2834"/>
    <w:rsid w:val="000C2E4F"/>
    <w:rsid w:val="000C38EA"/>
    <w:rsid w:val="000C41B5"/>
    <w:rsid w:val="000C4446"/>
    <w:rsid w:val="000C49D7"/>
    <w:rsid w:val="000C5609"/>
    <w:rsid w:val="000C5AF7"/>
    <w:rsid w:val="000C5B95"/>
    <w:rsid w:val="000C5EE4"/>
    <w:rsid w:val="000C5FF1"/>
    <w:rsid w:val="000C61CA"/>
    <w:rsid w:val="000C65A2"/>
    <w:rsid w:val="000C668E"/>
    <w:rsid w:val="000C6A40"/>
    <w:rsid w:val="000C7555"/>
    <w:rsid w:val="000C7629"/>
    <w:rsid w:val="000C7883"/>
    <w:rsid w:val="000C793A"/>
    <w:rsid w:val="000C79EA"/>
    <w:rsid w:val="000C7AFA"/>
    <w:rsid w:val="000C7B1E"/>
    <w:rsid w:val="000C7B6A"/>
    <w:rsid w:val="000C7F97"/>
    <w:rsid w:val="000D0023"/>
    <w:rsid w:val="000D0339"/>
    <w:rsid w:val="000D0472"/>
    <w:rsid w:val="000D085B"/>
    <w:rsid w:val="000D0A81"/>
    <w:rsid w:val="000D136C"/>
    <w:rsid w:val="000D14E3"/>
    <w:rsid w:val="000D169F"/>
    <w:rsid w:val="000D1AB4"/>
    <w:rsid w:val="000D1EB3"/>
    <w:rsid w:val="000D22BB"/>
    <w:rsid w:val="000D2BC2"/>
    <w:rsid w:val="000D2D2D"/>
    <w:rsid w:val="000D3072"/>
    <w:rsid w:val="000D341A"/>
    <w:rsid w:val="000D3454"/>
    <w:rsid w:val="000D39A0"/>
    <w:rsid w:val="000D39EF"/>
    <w:rsid w:val="000D3C9F"/>
    <w:rsid w:val="000D405E"/>
    <w:rsid w:val="000D4380"/>
    <w:rsid w:val="000D43E8"/>
    <w:rsid w:val="000D44B8"/>
    <w:rsid w:val="000D4793"/>
    <w:rsid w:val="000D4AAF"/>
    <w:rsid w:val="000D4E07"/>
    <w:rsid w:val="000D4E87"/>
    <w:rsid w:val="000D5375"/>
    <w:rsid w:val="000D53A2"/>
    <w:rsid w:val="000D544C"/>
    <w:rsid w:val="000D54DB"/>
    <w:rsid w:val="000D6679"/>
    <w:rsid w:val="000D7847"/>
    <w:rsid w:val="000D7A9C"/>
    <w:rsid w:val="000D7DDD"/>
    <w:rsid w:val="000D7E21"/>
    <w:rsid w:val="000E0135"/>
    <w:rsid w:val="000E07CD"/>
    <w:rsid w:val="000E0913"/>
    <w:rsid w:val="000E0C0F"/>
    <w:rsid w:val="000E0CF4"/>
    <w:rsid w:val="000E0E6C"/>
    <w:rsid w:val="000E12D8"/>
    <w:rsid w:val="000E158E"/>
    <w:rsid w:val="000E1800"/>
    <w:rsid w:val="000E182D"/>
    <w:rsid w:val="000E1902"/>
    <w:rsid w:val="000E2683"/>
    <w:rsid w:val="000E3421"/>
    <w:rsid w:val="000E34E9"/>
    <w:rsid w:val="000E383D"/>
    <w:rsid w:val="000E385D"/>
    <w:rsid w:val="000E3CEF"/>
    <w:rsid w:val="000E4165"/>
    <w:rsid w:val="000E4218"/>
    <w:rsid w:val="000E48F5"/>
    <w:rsid w:val="000E48FD"/>
    <w:rsid w:val="000E4ED3"/>
    <w:rsid w:val="000E4F32"/>
    <w:rsid w:val="000E5233"/>
    <w:rsid w:val="000E540A"/>
    <w:rsid w:val="000E541C"/>
    <w:rsid w:val="000E555F"/>
    <w:rsid w:val="000E5605"/>
    <w:rsid w:val="000E5816"/>
    <w:rsid w:val="000E7019"/>
    <w:rsid w:val="000E713C"/>
    <w:rsid w:val="000E74C0"/>
    <w:rsid w:val="000E7C7E"/>
    <w:rsid w:val="000F0447"/>
    <w:rsid w:val="000F08AD"/>
    <w:rsid w:val="000F11D1"/>
    <w:rsid w:val="000F171B"/>
    <w:rsid w:val="000F1F00"/>
    <w:rsid w:val="000F2012"/>
    <w:rsid w:val="000F243A"/>
    <w:rsid w:val="000F2534"/>
    <w:rsid w:val="000F2658"/>
    <w:rsid w:val="000F313A"/>
    <w:rsid w:val="000F31B1"/>
    <w:rsid w:val="000F3652"/>
    <w:rsid w:val="000F374D"/>
    <w:rsid w:val="000F3ECD"/>
    <w:rsid w:val="000F40DA"/>
    <w:rsid w:val="000F49A0"/>
    <w:rsid w:val="000F4A93"/>
    <w:rsid w:val="000F4B0A"/>
    <w:rsid w:val="000F4C2B"/>
    <w:rsid w:val="000F4CCF"/>
    <w:rsid w:val="000F4FAD"/>
    <w:rsid w:val="000F5295"/>
    <w:rsid w:val="000F52D0"/>
    <w:rsid w:val="000F5770"/>
    <w:rsid w:val="000F5CBF"/>
    <w:rsid w:val="000F5CCD"/>
    <w:rsid w:val="000F6066"/>
    <w:rsid w:val="000F63ED"/>
    <w:rsid w:val="000F6610"/>
    <w:rsid w:val="000F6A9C"/>
    <w:rsid w:val="000F6B09"/>
    <w:rsid w:val="000F72F5"/>
    <w:rsid w:val="000F7A0A"/>
    <w:rsid w:val="000F7BCF"/>
    <w:rsid w:val="0010002A"/>
    <w:rsid w:val="00100061"/>
    <w:rsid w:val="0010046C"/>
    <w:rsid w:val="0010081D"/>
    <w:rsid w:val="0010086D"/>
    <w:rsid w:val="00100CB1"/>
    <w:rsid w:val="00100F01"/>
    <w:rsid w:val="001014CE"/>
    <w:rsid w:val="001018A8"/>
    <w:rsid w:val="0010215D"/>
    <w:rsid w:val="001021D4"/>
    <w:rsid w:val="00102475"/>
    <w:rsid w:val="00102602"/>
    <w:rsid w:val="00102FFB"/>
    <w:rsid w:val="00103777"/>
    <w:rsid w:val="0010402F"/>
    <w:rsid w:val="001041E8"/>
    <w:rsid w:val="00104861"/>
    <w:rsid w:val="00104A1D"/>
    <w:rsid w:val="00104AEF"/>
    <w:rsid w:val="00104E74"/>
    <w:rsid w:val="001050DE"/>
    <w:rsid w:val="001054F7"/>
    <w:rsid w:val="00105979"/>
    <w:rsid w:val="001059D6"/>
    <w:rsid w:val="00105D5C"/>
    <w:rsid w:val="001060EC"/>
    <w:rsid w:val="00106499"/>
    <w:rsid w:val="0010682C"/>
    <w:rsid w:val="001069A7"/>
    <w:rsid w:val="0010736B"/>
    <w:rsid w:val="001101B6"/>
    <w:rsid w:val="001105F7"/>
    <w:rsid w:val="00110671"/>
    <w:rsid w:val="001108E6"/>
    <w:rsid w:val="001111D8"/>
    <w:rsid w:val="00111301"/>
    <w:rsid w:val="00111334"/>
    <w:rsid w:val="00111634"/>
    <w:rsid w:val="00111667"/>
    <w:rsid w:val="00111951"/>
    <w:rsid w:val="00111BA0"/>
    <w:rsid w:val="00111DCD"/>
    <w:rsid w:val="001127B7"/>
    <w:rsid w:val="001128B5"/>
    <w:rsid w:val="00112D5B"/>
    <w:rsid w:val="00112E39"/>
    <w:rsid w:val="00112F1A"/>
    <w:rsid w:val="00113194"/>
    <w:rsid w:val="00113249"/>
    <w:rsid w:val="0011332D"/>
    <w:rsid w:val="001136A7"/>
    <w:rsid w:val="00113E13"/>
    <w:rsid w:val="0011467A"/>
    <w:rsid w:val="00114706"/>
    <w:rsid w:val="00114737"/>
    <w:rsid w:val="0011479F"/>
    <w:rsid w:val="001147E2"/>
    <w:rsid w:val="001148C3"/>
    <w:rsid w:val="00114BE0"/>
    <w:rsid w:val="00114D70"/>
    <w:rsid w:val="001157AB"/>
    <w:rsid w:val="00115D20"/>
    <w:rsid w:val="00116180"/>
    <w:rsid w:val="0011631D"/>
    <w:rsid w:val="00116580"/>
    <w:rsid w:val="00116D36"/>
    <w:rsid w:val="00116FEE"/>
    <w:rsid w:val="001172AF"/>
    <w:rsid w:val="0011732D"/>
    <w:rsid w:val="00117CCD"/>
    <w:rsid w:val="00118908"/>
    <w:rsid w:val="0012036E"/>
    <w:rsid w:val="0012086C"/>
    <w:rsid w:val="00120B23"/>
    <w:rsid w:val="00120E2E"/>
    <w:rsid w:val="001211A4"/>
    <w:rsid w:val="00121875"/>
    <w:rsid w:val="00121AEE"/>
    <w:rsid w:val="001221C9"/>
    <w:rsid w:val="001222CB"/>
    <w:rsid w:val="001223B6"/>
    <w:rsid w:val="001223DE"/>
    <w:rsid w:val="001225FC"/>
    <w:rsid w:val="001227D0"/>
    <w:rsid w:val="00122C04"/>
    <w:rsid w:val="00122D27"/>
    <w:rsid w:val="00122D9B"/>
    <w:rsid w:val="00122DBC"/>
    <w:rsid w:val="00122ED9"/>
    <w:rsid w:val="00122F21"/>
    <w:rsid w:val="0012355E"/>
    <w:rsid w:val="00123E81"/>
    <w:rsid w:val="00123F66"/>
    <w:rsid w:val="00124431"/>
    <w:rsid w:val="00124C99"/>
    <w:rsid w:val="0012508B"/>
    <w:rsid w:val="0012523C"/>
    <w:rsid w:val="00125471"/>
    <w:rsid w:val="00125673"/>
    <w:rsid w:val="00125C1E"/>
    <w:rsid w:val="0012664D"/>
    <w:rsid w:val="00126E1D"/>
    <w:rsid w:val="0012701F"/>
    <w:rsid w:val="00127243"/>
    <w:rsid w:val="001279AE"/>
    <w:rsid w:val="001303EA"/>
    <w:rsid w:val="00130B45"/>
    <w:rsid w:val="00130BBA"/>
    <w:rsid w:val="00130F78"/>
    <w:rsid w:val="001311A4"/>
    <w:rsid w:val="0013148F"/>
    <w:rsid w:val="00131AB0"/>
    <w:rsid w:val="001323D6"/>
    <w:rsid w:val="00132402"/>
    <w:rsid w:val="001325C9"/>
    <w:rsid w:val="001326FE"/>
    <w:rsid w:val="00132C4C"/>
    <w:rsid w:val="00133734"/>
    <w:rsid w:val="00133889"/>
    <w:rsid w:val="00133B1C"/>
    <w:rsid w:val="0013445E"/>
    <w:rsid w:val="00134BA2"/>
    <w:rsid w:val="00134DEF"/>
    <w:rsid w:val="00135050"/>
    <w:rsid w:val="0013506B"/>
    <w:rsid w:val="0013555F"/>
    <w:rsid w:val="001356F5"/>
    <w:rsid w:val="001358BE"/>
    <w:rsid w:val="00135CBC"/>
    <w:rsid w:val="00136112"/>
    <w:rsid w:val="00136208"/>
    <w:rsid w:val="00136399"/>
    <w:rsid w:val="00136A8E"/>
    <w:rsid w:val="00136AD4"/>
    <w:rsid w:val="00136C0A"/>
    <w:rsid w:val="00136E76"/>
    <w:rsid w:val="00136ED8"/>
    <w:rsid w:val="00136F0F"/>
    <w:rsid w:val="00137290"/>
    <w:rsid w:val="001374D4"/>
    <w:rsid w:val="00140032"/>
    <w:rsid w:val="00140A20"/>
    <w:rsid w:val="00140AF6"/>
    <w:rsid w:val="001414F1"/>
    <w:rsid w:val="00141B8C"/>
    <w:rsid w:val="00141C79"/>
    <w:rsid w:val="00141EFB"/>
    <w:rsid w:val="00142387"/>
    <w:rsid w:val="00142B92"/>
    <w:rsid w:val="00142BBD"/>
    <w:rsid w:val="0014361B"/>
    <w:rsid w:val="001442B9"/>
    <w:rsid w:val="00145475"/>
    <w:rsid w:val="00145AA0"/>
    <w:rsid w:val="001461BD"/>
    <w:rsid w:val="001463C0"/>
    <w:rsid w:val="00146581"/>
    <w:rsid w:val="001468C6"/>
    <w:rsid w:val="00146BA3"/>
    <w:rsid w:val="00146C47"/>
    <w:rsid w:val="00146FA8"/>
    <w:rsid w:val="00147105"/>
    <w:rsid w:val="0014743A"/>
    <w:rsid w:val="0014790F"/>
    <w:rsid w:val="001479C8"/>
    <w:rsid w:val="00147AFB"/>
    <w:rsid w:val="00147C4F"/>
    <w:rsid w:val="00150137"/>
    <w:rsid w:val="00150423"/>
    <w:rsid w:val="00150F68"/>
    <w:rsid w:val="0015150F"/>
    <w:rsid w:val="001518C4"/>
    <w:rsid w:val="001520AD"/>
    <w:rsid w:val="0015247C"/>
    <w:rsid w:val="00152635"/>
    <w:rsid w:val="00152912"/>
    <w:rsid w:val="00152A06"/>
    <w:rsid w:val="00152A28"/>
    <w:rsid w:val="00152B66"/>
    <w:rsid w:val="00152CF9"/>
    <w:rsid w:val="00153068"/>
    <w:rsid w:val="00153A3C"/>
    <w:rsid w:val="00153E0E"/>
    <w:rsid w:val="00154013"/>
    <w:rsid w:val="00154706"/>
    <w:rsid w:val="00154735"/>
    <w:rsid w:val="001547F8"/>
    <w:rsid w:val="0015495C"/>
    <w:rsid w:val="00154AE4"/>
    <w:rsid w:val="00154D12"/>
    <w:rsid w:val="00155417"/>
    <w:rsid w:val="001563C1"/>
    <w:rsid w:val="00156E05"/>
    <w:rsid w:val="00157044"/>
    <w:rsid w:val="0015733B"/>
    <w:rsid w:val="00160883"/>
    <w:rsid w:val="001608BD"/>
    <w:rsid w:val="00160920"/>
    <w:rsid w:val="001609A4"/>
    <w:rsid w:val="001611E9"/>
    <w:rsid w:val="00161309"/>
    <w:rsid w:val="001613EF"/>
    <w:rsid w:val="001617EC"/>
    <w:rsid w:val="00161F16"/>
    <w:rsid w:val="0016315E"/>
    <w:rsid w:val="00163372"/>
    <w:rsid w:val="00163598"/>
    <w:rsid w:val="00163819"/>
    <w:rsid w:val="0016395B"/>
    <w:rsid w:val="0016432C"/>
    <w:rsid w:val="001649A3"/>
    <w:rsid w:val="00164AC1"/>
    <w:rsid w:val="00165001"/>
    <w:rsid w:val="00165328"/>
    <w:rsid w:val="0016535B"/>
    <w:rsid w:val="00165776"/>
    <w:rsid w:val="00165A07"/>
    <w:rsid w:val="00165A49"/>
    <w:rsid w:val="00165B25"/>
    <w:rsid w:val="00165CD2"/>
    <w:rsid w:val="00165CDD"/>
    <w:rsid w:val="001667A9"/>
    <w:rsid w:val="00167448"/>
    <w:rsid w:val="00167A95"/>
    <w:rsid w:val="00167DB5"/>
    <w:rsid w:val="001702E7"/>
    <w:rsid w:val="001709D4"/>
    <w:rsid w:val="00171424"/>
    <w:rsid w:val="001718FD"/>
    <w:rsid w:val="00171CB7"/>
    <w:rsid w:val="0017213F"/>
    <w:rsid w:val="00172B0B"/>
    <w:rsid w:val="00173177"/>
    <w:rsid w:val="00173577"/>
    <w:rsid w:val="00173B4D"/>
    <w:rsid w:val="00173CF4"/>
    <w:rsid w:val="00173E55"/>
    <w:rsid w:val="00174058"/>
    <w:rsid w:val="00174369"/>
    <w:rsid w:val="00174DF5"/>
    <w:rsid w:val="00175455"/>
    <w:rsid w:val="0017564E"/>
    <w:rsid w:val="00176658"/>
    <w:rsid w:val="00176742"/>
    <w:rsid w:val="00176A3C"/>
    <w:rsid w:val="00176AA5"/>
    <w:rsid w:val="00176ACF"/>
    <w:rsid w:val="00176BB1"/>
    <w:rsid w:val="001770A7"/>
    <w:rsid w:val="001770E4"/>
    <w:rsid w:val="0017720E"/>
    <w:rsid w:val="001772CC"/>
    <w:rsid w:val="00177747"/>
    <w:rsid w:val="00177750"/>
    <w:rsid w:val="00177893"/>
    <w:rsid w:val="00177CE7"/>
    <w:rsid w:val="00177D4E"/>
    <w:rsid w:val="00180217"/>
    <w:rsid w:val="00180F7D"/>
    <w:rsid w:val="00180FB9"/>
    <w:rsid w:val="0018141A"/>
    <w:rsid w:val="00181C1F"/>
    <w:rsid w:val="00182403"/>
    <w:rsid w:val="00182B9D"/>
    <w:rsid w:val="001835E9"/>
    <w:rsid w:val="0018369D"/>
    <w:rsid w:val="0018373E"/>
    <w:rsid w:val="001839C0"/>
    <w:rsid w:val="00183A87"/>
    <w:rsid w:val="00183BF3"/>
    <w:rsid w:val="00184221"/>
    <w:rsid w:val="0018443E"/>
    <w:rsid w:val="00184668"/>
    <w:rsid w:val="0018586D"/>
    <w:rsid w:val="00185C35"/>
    <w:rsid w:val="00185CB8"/>
    <w:rsid w:val="00185EBA"/>
    <w:rsid w:val="00186307"/>
    <w:rsid w:val="00186353"/>
    <w:rsid w:val="001863F7"/>
    <w:rsid w:val="00186641"/>
    <w:rsid w:val="00186733"/>
    <w:rsid w:val="0018690D"/>
    <w:rsid w:val="00186CD6"/>
    <w:rsid w:val="00186EBC"/>
    <w:rsid w:val="00187475"/>
    <w:rsid w:val="001877BB"/>
    <w:rsid w:val="0018783A"/>
    <w:rsid w:val="0018789D"/>
    <w:rsid w:val="00187916"/>
    <w:rsid w:val="0018B143"/>
    <w:rsid w:val="0019092C"/>
    <w:rsid w:val="001911BD"/>
    <w:rsid w:val="00191517"/>
    <w:rsid w:val="001916C0"/>
    <w:rsid w:val="00191B1A"/>
    <w:rsid w:val="00191FCE"/>
    <w:rsid w:val="00192198"/>
    <w:rsid w:val="001924BC"/>
    <w:rsid w:val="0019272E"/>
    <w:rsid w:val="00192AD1"/>
    <w:rsid w:val="00193386"/>
    <w:rsid w:val="001934EB"/>
    <w:rsid w:val="0019364B"/>
    <w:rsid w:val="00193BA3"/>
    <w:rsid w:val="00193BFD"/>
    <w:rsid w:val="00194598"/>
    <w:rsid w:val="0019472B"/>
    <w:rsid w:val="0019474E"/>
    <w:rsid w:val="001949CF"/>
    <w:rsid w:val="00194BC7"/>
    <w:rsid w:val="001952BB"/>
    <w:rsid w:val="0019568F"/>
    <w:rsid w:val="00195C31"/>
    <w:rsid w:val="00195DA4"/>
    <w:rsid w:val="00195EB1"/>
    <w:rsid w:val="00195F48"/>
    <w:rsid w:val="00195F88"/>
    <w:rsid w:val="00196412"/>
    <w:rsid w:val="00197591"/>
    <w:rsid w:val="001976C4"/>
    <w:rsid w:val="00197B66"/>
    <w:rsid w:val="00197C51"/>
    <w:rsid w:val="00197D31"/>
    <w:rsid w:val="00197FCE"/>
    <w:rsid w:val="001A0142"/>
    <w:rsid w:val="001A05CF"/>
    <w:rsid w:val="001A1EFF"/>
    <w:rsid w:val="001A1F25"/>
    <w:rsid w:val="001A20DC"/>
    <w:rsid w:val="001A29B6"/>
    <w:rsid w:val="001A2BA9"/>
    <w:rsid w:val="001A2F44"/>
    <w:rsid w:val="001A34DF"/>
    <w:rsid w:val="001A3509"/>
    <w:rsid w:val="001A3DC9"/>
    <w:rsid w:val="001A46E8"/>
    <w:rsid w:val="001A4939"/>
    <w:rsid w:val="001A49CD"/>
    <w:rsid w:val="001A4BA0"/>
    <w:rsid w:val="001A4E87"/>
    <w:rsid w:val="001A5DF2"/>
    <w:rsid w:val="001A65E8"/>
    <w:rsid w:val="001A69B9"/>
    <w:rsid w:val="001A6B91"/>
    <w:rsid w:val="001A7169"/>
    <w:rsid w:val="001A75DC"/>
    <w:rsid w:val="001A7809"/>
    <w:rsid w:val="001A7831"/>
    <w:rsid w:val="001A79AA"/>
    <w:rsid w:val="001A7ACF"/>
    <w:rsid w:val="001A7E4F"/>
    <w:rsid w:val="001B00CE"/>
    <w:rsid w:val="001B0318"/>
    <w:rsid w:val="001B0B6C"/>
    <w:rsid w:val="001B0F15"/>
    <w:rsid w:val="001B11CC"/>
    <w:rsid w:val="001B12A9"/>
    <w:rsid w:val="001B134A"/>
    <w:rsid w:val="001B1A44"/>
    <w:rsid w:val="001B2352"/>
    <w:rsid w:val="001B2429"/>
    <w:rsid w:val="001B2EA9"/>
    <w:rsid w:val="001B317F"/>
    <w:rsid w:val="001B36A8"/>
    <w:rsid w:val="001B3EFA"/>
    <w:rsid w:val="001B5B6B"/>
    <w:rsid w:val="001B5D05"/>
    <w:rsid w:val="001B6389"/>
    <w:rsid w:val="001B676A"/>
    <w:rsid w:val="001B699A"/>
    <w:rsid w:val="001B70D4"/>
    <w:rsid w:val="001B7366"/>
    <w:rsid w:val="001B7757"/>
    <w:rsid w:val="001C04B6"/>
    <w:rsid w:val="001C04CC"/>
    <w:rsid w:val="001C051E"/>
    <w:rsid w:val="001C06AA"/>
    <w:rsid w:val="001C081D"/>
    <w:rsid w:val="001C100E"/>
    <w:rsid w:val="001C1A09"/>
    <w:rsid w:val="001C1B7E"/>
    <w:rsid w:val="001C23A7"/>
    <w:rsid w:val="001C240A"/>
    <w:rsid w:val="001C2797"/>
    <w:rsid w:val="001C2AC7"/>
    <w:rsid w:val="001C2E4C"/>
    <w:rsid w:val="001C31E0"/>
    <w:rsid w:val="001C362D"/>
    <w:rsid w:val="001C3A59"/>
    <w:rsid w:val="001C3AD4"/>
    <w:rsid w:val="001C3E7B"/>
    <w:rsid w:val="001C40A1"/>
    <w:rsid w:val="001C41CB"/>
    <w:rsid w:val="001C4380"/>
    <w:rsid w:val="001C44AE"/>
    <w:rsid w:val="001C4CF9"/>
    <w:rsid w:val="001C530C"/>
    <w:rsid w:val="001C5C03"/>
    <w:rsid w:val="001C5F3A"/>
    <w:rsid w:val="001C646B"/>
    <w:rsid w:val="001C6748"/>
    <w:rsid w:val="001C69D7"/>
    <w:rsid w:val="001C69F3"/>
    <w:rsid w:val="001C6A8F"/>
    <w:rsid w:val="001C6C30"/>
    <w:rsid w:val="001C6C89"/>
    <w:rsid w:val="001C70F1"/>
    <w:rsid w:val="001C7320"/>
    <w:rsid w:val="001C7497"/>
    <w:rsid w:val="001C796E"/>
    <w:rsid w:val="001C7D17"/>
    <w:rsid w:val="001C7D1B"/>
    <w:rsid w:val="001D03B9"/>
    <w:rsid w:val="001D08EE"/>
    <w:rsid w:val="001D0B19"/>
    <w:rsid w:val="001D0DA4"/>
    <w:rsid w:val="001D1138"/>
    <w:rsid w:val="001D2574"/>
    <w:rsid w:val="001D259F"/>
    <w:rsid w:val="001D277D"/>
    <w:rsid w:val="001D2AB4"/>
    <w:rsid w:val="001D2F88"/>
    <w:rsid w:val="001D3352"/>
    <w:rsid w:val="001D3515"/>
    <w:rsid w:val="001D3CBA"/>
    <w:rsid w:val="001D3E57"/>
    <w:rsid w:val="001D4002"/>
    <w:rsid w:val="001D4DC2"/>
    <w:rsid w:val="001D5D47"/>
    <w:rsid w:val="001D5DE3"/>
    <w:rsid w:val="001D5FD1"/>
    <w:rsid w:val="001D6478"/>
    <w:rsid w:val="001D694C"/>
    <w:rsid w:val="001D6B66"/>
    <w:rsid w:val="001D6F1D"/>
    <w:rsid w:val="001D70D7"/>
    <w:rsid w:val="001D7264"/>
    <w:rsid w:val="001D72D8"/>
    <w:rsid w:val="001D75ED"/>
    <w:rsid w:val="001D7CF1"/>
    <w:rsid w:val="001E05E9"/>
    <w:rsid w:val="001E0994"/>
    <w:rsid w:val="001E0B0D"/>
    <w:rsid w:val="001E12AF"/>
    <w:rsid w:val="001E1517"/>
    <w:rsid w:val="001E17E4"/>
    <w:rsid w:val="001E1827"/>
    <w:rsid w:val="001E1918"/>
    <w:rsid w:val="001E1BA2"/>
    <w:rsid w:val="001E1E51"/>
    <w:rsid w:val="001E2229"/>
    <w:rsid w:val="001E25EC"/>
    <w:rsid w:val="001E2B87"/>
    <w:rsid w:val="001E2BA2"/>
    <w:rsid w:val="001E2E82"/>
    <w:rsid w:val="001E2ED8"/>
    <w:rsid w:val="001E2F32"/>
    <w:rsid w:val="001E3746"/>
    <w:rsid w:val="001E3BCD"/>
    <w:rsid w:val="001E3DD6"/>
    <w:rsid w:val="001E46C6"/>
    <w:rsid w:val="001E4B33"/>
    <w:rsid w:val="001E4E98"/>
    <w:rsid w:val="001E5088"/>
    <w:rsid w:val="001E51ED"/>
    <w:rsid w:val="001E5896"/>
    <w:rsid w:val="001E5918"/>
    <w:rsid w:val="001E5C3F"/>
    <w:rsid w:val="001E6042"/>
    <w:rsid w:val="001E643E"/>
    <w:rsid w:val="001E65A5"/>
    <w:rsid w:val="001E665E"/>
    <w:rsid w:val="001E6C5D"/>
    <w:rsid w:val="001E6CDE"/>
    <w:rsid w:val="001E7763"/>
    <w:rsid w:val="001F01E3"/>
    <w:rsid w:val="001F0675"/>
    <w:rsid w:val="001F073C"/>
    <w:rsid w:val="001F095B"/>
    <w:rsid w:val="001F0D0A"/>
    <w:rsid w:val="001F0E1C"/>
    <w:rsid w:val="001F0F74"/>
    <w:rsid w:val="001F106D"/>
    <w:rsid w:val="001F109E"/>
    <w:rsid w:val="001F2912"/>
    <w:rsid w:val="001F2C03"/>
    <w:rsid w:val="001F2F47"/>
    <w:rsid w:val="001F3AF3"/>
    <w:rsid w:val="001F4708"/>
    <w:rsid w:val="001F5016"/>
    <w:rsid w:val="001F56CF"/>
    <w:rsid w:val="001F5864"/>
    <w:rsid w:val="001F5F52"/>
    <w:rsid w:val="001F60D7"/>
    <w:rsid w:val="001F6896"/>
    <w:rsid w:val="001F68D2"/>
    <w:rsid w:val="001F6A84"/>
    <w:rsid w:val="001F6D86"/>
    <w:rsid w:val="001F7228"/>
    <w:rsid w:val="001F75DF"/>
    <w:rsid w:val="001F76D9"/>
    <w:rsid w:val="001F7C11"/>
    <w:rsid w:val="00200296"/>
    <w:rsid w:val="0020056D"/>
    <w:rsid w:val="0020066F"/>
    <w:rsid w:val="0020071B"/>
    <w:rsid w:val="002008C9"/>
    <w:rsid w:val="00200B71"/>
    <w:rsid w:val="00201064"/>
    <w:rsid w:val="002010A7"/>
    <w:rsid w:val="00201ADB"/>
    <w:rsid w:val="00201B5C"/>
    <w:rsid w:val="002028A2"/>
    <w:rsid w:val="00202BBD"/>
    <w:rsid w:val="00202EB8"/>
    <w:rsid w:val="00203363"/>
    <w:rsid w:val="002033F6"/>
    <w:rsid w:val="002035DB"/>
    <w:rsid w:val="002037F9"/>
    <w:rsid w:val="00203AF1"/>
    <w:rsid w:val="00203D8B"/>
    <w:rsid w:val="00203DF1"/>
    <w:rsid w:val="00204B6C"/>
    <w:rsid w:val="00204D5B"/>
    <w:rsid w:val="00204EC9"/>
    <w:rsid w:val="00204FD4"/>
    <w:rsid w:val="002054A7"/>
    <w:rsid w:val="002055A1"/>
    <w:rsid w:val="00205680"/>
    <w:rsid w:val="002058E5"/>
    <w:rsid w:val="00205A2F"/>
    <w:rsid w:val="00205AD3"/>
    <w:rsid w:val="00206346"/>
    <w:rsid w:val="0020650B"/>
    <w:rsid w:val="0020711E"/>
    <w:rsid w:val="002072D5"/>
    <w:rsid w:val="00207D72"/>
    <w:rsid w:val="00207EF8"/>
    <w:rsid w:val="0021046C"/>
    <w:rsid w:val="00210500"/>
    <w:rsid w:val="00210545"/>
    <w:rsid w:val="00210601"/>
    <w:rsid w:val="00210C47"/>
    <w:rsid w:val="00210FAA"/>
    <w:rsid w:val="002111BC"/>
    <w:rsid w:val="00211340"/>
    <w:rsid w:val="00211825"/>
    <w:rsid w:val="00211F2D"/>
    <w:rsid w:val="00211F51"/>
    <w:rsid w:val="0021265F"/>
    <w:rsid w:val="00213AC4"/>
    <w:rsid w:val="00214438"/>
    <w:rsid w:val="002145F7"/>
    <w:rsid w:val="00214875"/>
    <w:rsid w:val="0021495A"/>
    <w:rsid w:val="00214A26"/>
    <w:rsid w:val="00214B6E"/>
    <w:rsid w:val="00214CFF"/>
    <w:rsid w:val="00214E62"/>
    <w:rsid w:val="00215730"/>
    <w:rsid w:val="00215787"/>
    <w:rsid w:val="00215F2B"/>
    <w:rsid w:val="00215F9A"/>
    <w:rsid w:val="00216562"/>
    <w:rsid w:val="002165A3"/>
    <w:rsid w:val="002166AC"/>
    <w:rsid w:val="00216816"/>
    <w:rsid w:val="002176BC"/>
    <w:rsid w:val="002179D2"/>
    <w:rsid w:val="00217C9A"/>
    <w:rsid w:val="00217E92"/>
    <w:rsid w:val="002183CB"/>
    <w:rsid w:val="0022051C"/>
    <w:rsid w:val="002205EB"/>
    <w:rsid w:val="00220FE5"/>
    <w:rsid w:val="0022112C"/>
    <w:rsid w:val="0022222A"/>
    <w:rsid w:val="0022254D"/>
    <w:rsid w:val="002227EB"/>
    <w:rsid w:val="00222856"/>
    <w:rsid w:val="00222C06"/>
    <w:rsid w:val="00222DAC"/>
    <w:rsid w:val="00222F1D"/>
    <w:rsid w:val="00222FAF"/>
    <w:rsid w:val="00223236"/>
    <w:rsid w:val="0022338D"/>
    <w:rsid w:val="002234A6"/>
    <w:rsid w:val="0022395D"/>
    <w:rsid w:val="00223ACC"/>
    <w:rsid w:val="00223CDE"/>
    <w:rsid w:val="0022448D"/>
    <w:rsid w:val="002250C2"/>
    <w:rsid w:val="002259EE"/>
    <w:rsid w:val="00225FCB"/>
    <w:rsid w:val="002260AE"/>
    <w:rsid w:val="002261B1"/>
    <w:rsid w:val="002261D1"/>
    <w:rsid w:val="00226882"/>
    <w:rsid w:val="00226B69"/>
    <w:rsid w:val="00227120"/>
    <w:rsid w:val="00227D10"/>
    <w:rsid w:val="00230361"/>
    <w:rsid w:val="00230533"/>
    <w:rsid w:val="002306B1"/>
    <w:rsid w:val="00230A19"/>
    <w:rsid w:val="00230EA7"/>
    <w:rsid w:val="0023111F"/>
    <w:rsid w:val="002314C6"/>
    <w:rsid w:val="00231D68"/>
    <w:rsid w:val="00232193"/>
    <w:rsid w:val="00232E02"/>
    <w:rsid w:val="00233296"/>
    <w:rsid w:val="002333F3"/>
    <w:rsid w:val="002334FD"/>
    <w:rsid w:val="00233714"/>
    <w:rsid w:val="00233B8E"/>
    <w:rsid w:val="00233E51"/>
    <w:rsid w:val="00234259"/>
    <w:rsid w:val="002353D3"/>
    <w:rsid w:val="0023541C"/>
    <w:rsid w:val="002357EF"/>
    <w:rsid w:val="00235B74"/>
    <w:rsid w:val="002360C1"/>
    <w:rsid w:val="00236156"/>
    <w:rsid w:val="00236315"/>
    <w:rsid w:val="00236724"/>
    <w:rsid w:val="002367A7"/>
    <w:rsid w:val="00236D39"/>
    <w:rsid w:val="00236DF2"/>
    <w:rsid w:val="0023734C"/>
    <w:rsid w:val="0023743A"/>
    <w:rsid w:val="00237516"/>
    <w:rsid w:val="00237D87"/>
    <w:rsid w:val="0024113A"/>
    <w:rsid w:val="00241173"/>
    <w:rsid w:val="002411D3"/>
    <w:rsid w:val="002412E5"/>
    <w:rsid w:val="002413BE"/>
    <w:rsid w:val="00241C12"/>
    <w:rsid w:val="002425C6"/>
    <w:rsid w:val="002425EA"/>
    <w:rsid w:val="00242A16"/>
    <w:rsid w:val="00242C6B"/>
    <w:rsid w:val="00242EA0"/>
    <w:rsid w:val="002435A2"/>
    <w:rsid w:val="00243685"/>
    <w:rsid w:val="00243BA6"/>
    <w:rsid w:val="00243C04"/>
    <w:rsid w:val="00243D02"/>
    <w:rsid w:val="00243E2D"/>
    <w:rsid w:val="00243F24"/>
    <w:rsid w:val="00243F6E"/>
    <w:rsid w:val="0024459C"/>
    <w:rsid w:val="00244C13"/>
    <w:rsid w:val="00244E7E"/>
    <w:rsid w:val="002456A1"/>
    <w:rsid w:val="002458B3"/>
    <w:rsid w:val="00245AD1"/>
    <w:rsid w:val="00245AD9"/>
    <w:rsid w:val="00245F6D"/>
    <w:rsid w:val="00246177"/>
    <w:rsid w:val="002469AE"/>
    <w:rsid w:val="002469EE"/>
    <w:rsid w:val="00246B37"/>
    <w:rsid w:val="00246BDF"/>
    <w:rsid w:val="002470BB"/>
    <w:rsid w:val="0024754E"/>
    <w:rsid w:val="0024761E"/>
    <w:rsid w:val="00247CBD"/>
    <w:rsid w:val="0025049E"/>
    <w:rsid w:val="002514B0"/>
    <w:rsid w:val="00251628"/>
    <w:rsid w:val="00251AAB"/>
    <w:rsid w:val="00252284"/>
    <w:rsid w:val="0025237B"/>
    <w:rsid w:val="002523E3"/>
    <w:rsid w:val="00252CED"/>
    <w:rsid w:val="00252D61"/>
    <w:rsid w:val="002530CA"/>
    <w:rsid w:val="002530E7"/>
    <w:rsid w:val="002532B4"/>
    <w:rsid w:val="00253610"/>
    <w:rsid w:val="00254637"/>
    <w:rsid w:val="0025480A"/>
    <w:rsid w:val="0025487C"/>
    <w:rsid w:val="00254A0B"/>
    <w:rsid w:val="00254AE2"/>
    <w:rsid w:val="00254EEB"/>
    <w:rsid w:val="00255290"/>
    <w:rsid w:val="00255957"/>
    <w:rsid w:val="00255BE1"/>
    <w:rsid w:val="00255E3A"/>
    <w:rsid w:val="0025613F"/>
    <w:rsid w:val="002565A1"/>
    <w:rsid w:val="0025679C"/>
    <w:rsid w:val="002570B3"/>
    <w:rsid w:val="00257B5B"/>
    <w:rsid w:val="00257C43"/>
    <w:rsid w:val="00257CBD"/>
    <w:rsid w:val="00257F91"/>
    <w:rsid w:val="0025FAF5"/>
    <w:rsid w:val="0026009D"/>
    <w:rsid w:val="00260578"/>
    <w:rsid w:val="00260635"/>
    <w:rsid w:val="00260A9D"/>
    <w:rsid w:val="0026150E"/>
    <w:rsid w:val="00261C73"/>
    <w:rsid w:val="00261DC6"/>
    <w:rsid w:val="00262136"/>
    <w:rsid w:val="0026269B"/>
    <w:rsid w:val="00262A50"/>
    <w:rsid w:val="00262C13"/>
    <w:rsid w:val="00263178"/>
    <w:rsid w:val="00263A45"/>
    <w:rsid w:val="00263D21"/>
    <w:rsid w:val="00264472"/>
    <w:rsid w:val="00264623"/>
    <w:rsid w:val="00264773"/>
    <w:rsid w:val="00264A19"/>
    <w:rsid w:val="00264DF9"/>
    <w:rsid w:val="00264E52"/>
    <w:rsid w:val="002655EF"/>
    <w:rsid w:val="00265767"/>
    <w:rsid w:val="00265850"/>
    <w:rsid w:val="00265CEA"/>
    <w:rsid w:val="00267181"/>
    <w:rsid w:val="0026720F"/>
    <w:rsid w:val="002675CF"/>
    <w:rsid w:val="0026781E"/>
    <w:rsid w:val="00267D73"/>
    <w:rsid w:val="00267DBC"/>
    <w:rsid w:val="00267DF3"/>
    <w:rsid w:val="0027016A"/>
    <w:rsid w:val="002704E0"/>
    <w:rsid w:val="002705ED"/>
    <w:rsid w:val="00270BBC"/>
    <w:rsid w:val="00270CC0"/>
    <w:rsid w:val="00271371"/>
    <w:rsid w:val="00271694"/>
    <w:rsid w:val="00271EE4"/>
    <w:rsid w:val="002728AB"/>
    <w:rsid w:val="00272E31"/>
    <w:rsid w:val="00273220"/>
    <w:rsid w:val="0027331C"/>
    <w:rsid w:val="0027372F"/>
    <w:rsid w:val="0027375E"/>
    <w:rsid w:val="00273785"/>
    <w:rsid w:val="00273CED"/>
    <w:rsid w:val="00273DFF"/>
    <w:rsid w:val="0027402F"/>
    <w:rsid w:val="00274911"/>
    <w:rsid w:val="00274AEE"/>
    <w:rsid w:val="00274B1F"/>
    <w:rsid w:val="00275252"/>
    <w:rsid w:val="00275549"/>
    <w:rsid w:val="0027575E"/>
    <w:rsid w:val="002759FF"/>
    <w:rsid w:val="00275AA3"/>
    <w:rsid w:val="00275DBA"/>
    <w:rsid w:val="0027650D"/>
    <w:rsid w:val="002769FB"/>
    <w:rsid w:val="00276C8A"/>
    <w:rsid w:val="00276C8F"/>
    <w:rsid w:val="0027774D"/>
    <w:rsid w:val="00277A9D"/>
    <w:rsid w:val="00277ADB"/>
    <w:rsid w:val="00277D40"/>
    <w:rsid w:val="002801F4"/>
    <w:rsid w:val="00280321"/>
    <w:rsid w:val="002807EC"/>
    <w:rsid w:val="00280ABC"/>
    <w:rsid w:val="00280B5B"/>
    <w:rsid w:val="00280BE1"/>
    <w:rsid w:val="00280D8D"/>
    <w:rsid w:val="00281708"/>
    <w:rsid w:val="0028174F"/>
    <w:rsid w:val="00281DCF"/>
    <w:rsid w:val="00282024"/>
    <w:rsid w:val="00282507"/>
    <w:rsid w:val="00283107"/>
    <w:rsid w:val="00283163"/>
    <w:rsid w:val="00283269"/>
    <w:rsid w:val="002836DF"/>
    <w:rsid w:val="002843E9"/>
    <w:rsid w:val="00284756"/>
    <w:rsid w:val="00284AB1"/>
    <w:rsid w:val="00284B21"/>
    <w:rsid w:val="002856F8"/>
    <w:rsid w:val="00285ACB"/>
    <w:rsid w:val="002861AB"/>
    <w:rsid w:val="00286369"/>
    <w:rsid w:val="0028686C"/>
    <w:rsid w:val="00287410"/>
    <w:rsid w:val="00287439"/>
    <w:rsid w:val="002874E6"/>
    <w:rsid w:val="00287596"/>
    <w:rsid w:val="0028777E"/>
    <w:rsid w:val="00287E1E"/>
    <w:rsid w:val="0029060E"/>
    <w:rsid w:val="00290829"/>
    <w:rsid w:val="00290A4A"/>
    <w:rsid w:val="00290CDE"/>
    <w:rsid w:val="00290E57"/>
    <w:rsid w:val="00291928"/>
    <w:rsid w:val="00291E80"/>
    <w:rsid w:val="00291F76"/>
    <w:rsid w:val="00292130"/>
    <w:rsid w:val="002921C0"/>
    <w:rsid w:val="002923C7"/>
    <w:rsid w:val="002923DF"/>
    <w:rsid w:val="0029243A"/>
    <w:rsid w:val="002926D8"/>
    <w:rsid w:val="0029289C"/>
    <w:rsid w:val="002928F4"/>
    <w:rsid w:val="0029292F"/>
    <w:rsid w:val="00292FE0"/>
    <w:rsid w:val="0029302D"/>
    <w:rsid w:val="00293929"/>
    <w:rsid w:val="00293A1D"/>
    <w:rsid w:val="00293A2F"/>
    <w:rsid w:val="00293C4E"/>
    <w:rsid w:val="0029403F"/>
    <w:rsid w:val="00294577"/>
    <w:rsid w:val="00295127"/>
    <w:rsid w:val="0029538C"/>
    <w:rsid w:val="00295483"/>
    <w:rsid w:val="0029592B"/>
    <w:rsid w:val="00295A00"/>
    <w:rsid w:val="002965A7"/>
    <w:rsid w:val="002969D7"/>
    <w:rsid w:val="00296CE2"/>
    <w:rsid w:val="00296FB3"/>
    <w:rsid w:val="00297386"/>
    <w:rsid w:val="0029766F"/>
    <w:rsid w:val="002A0124"/>
    <w:rsid w:val="002A04C8"/>
    <w:rsid w:val="002A0C5D"/>
    <w:rsid w:val="002A1A38"/>
    <w:rsid w:val="002A209A"/>
    <w:rsid w:val="002A211D"/>
    <w:rsid w:val="002A2C50"/>
    <w:rsid w:val="002A3092"/>
    <w:rsid w:val="002A35E4"/>
    <w:rsid w:val="002A391F"/>
    <w:rsid w:val="002A3CB1"/>
    <w:rsid w:val="002A3E46"/>
    <w:rsid w:val="002A4336"/>
    <w:rsid w:val="002A4503"/>
    <w:rsid w:val="002A4EA6"/>
    <w:rsid w:val="002A4FB8"/>
    <w:rsid w:val="002A5A12"/>
    <w:rsid w:val="002A5E00"/>
    <w:rsid w:val="002A6017"/>
    <w:rsid w:val="002A638C"/>
    <w:rsid w:val="002A65E6"/>
    <w:rsid w:val="002A6938"/>
    <w:rsid w:val="002A724C"/>
    <w:rsid w:val="002A7897"/>
    <w:rsid w:val="002A78B9"/>
    <w:rsid w:val="002A7DD6"/>
    <w:rsid w:val="002B01AE"/>
    <w:rsid w:val="002B05B8"/>
    <w:rsid w:val="002B10E7"/>
    <w:rsid w:val="002B1909"/>
    <w:rsid w:val="002B1B08"/>
    <w:rsid w:val="002B1EDE"/>
    <w:rsid w:val="002B29B9"/>
    <w:rsid w:val="002B3599"/>
    <w:rsid w:val="002B46B2"/>
    <w:rsid w:val="002B487C"/>
    <w:rsid w:val="002B4941"/>
    <w:rsid w:val="002B4A0E"/>
    <w:rsid w:val="002B4E57"/>
    <w:rsid w:val="002B5073"/>
    <w:rsid w:val="002B5948"/>
    <w:rsid w:val="002B5ABF"/>
    <w:rsid w:val="002B5B10"/>
    <w:rsid w:val="002B5D74"/>
    <w:rsid w:val="002B603A"/>
    <w:rsid w:val="002B64D3"/>
    <w:rsid w:val="002B67CA"/>
    <w:rsid w:val="002B6817"/>
    <w:rsid w:val="002B68EC"/>
    <w:rsid w:val="002B6D98"/>
    <w:rsid w:val="002B71DA"/>
    <w:rsid w:val="002B75FC"/>
    <w:rsid w:val="002B7ADB"/>
    <w:rsid w:val="002B7F0B"/>
    <w:rsid w:val="002C00F5"/>
    <w:rsid w:val="002C0450"/>
    <w:rsid w:val="002C0806"/>
    <w:rsid w:val="002C1434"/>
    <w:rsid w:val="002C1543"/>
    <w:rsid w:val="002C17C7"/>
    <w:rsid w:val="002C1CBF"/>
    <w:rsid w:val="002C1D2F"/>
    <w:rsid w:val="002C2632"/>
    <w:rsid w:val="002C29E0"/>
    <w:rsid w:val="002C2CBB"/>
    <w:rsid w:val="002C349E"/>
    <w:rsid w:val="002C34CF"/>
    <w:rsid w:val="002C388C"/>
    <w:rsid w:val="002C3B50"/>
    <w:rsid w:val="002C403E"/>
    <w:rsid w:val="002C433C"/>
    <w:rsid w:val="002C4498"/>
    <w:rsid w:val="002C4915"/>
    <w:rsid w:val="002C4DDE"/>
    <w:rsid w:val="002C5891"/>
    <w:rsid w:val="002C5FD1"/>
    <w:rsid w:val="002C6033"/>
    <w:rsid w:val="002C6292"/>
    <w:rsid w:val="002C6D34"/>
    <w:rsid w:val="002C6F50"/>
    <w:rsid w:val="002C719E"/>
    <w:rsid w:val="002C7320"/>
    <w:rsid w:val="002C763B"/>
    <w:rsid w:val="002C7B62"/>
    <w:rsid w:val="002C7C13"/>
    <w:rsid w:val="002C7D6A"/>
    <w:rsid w:val="002D04C7"/>
    <w:rsid w:val="002D0ACA"/>
    <w:rsid w:val="002D0C79"/>
    <w:rsid w:val="002D0D7F"/>
    <w:rsid w:val="002D0E57"/>
    <w:rsid w:val="002D0EF2"/>
    <w:rsid w:val="002D1242"/>
    <w:rsid w:val="002D13B6"/>
    <w:rsid w:val="002D1716"/>
    <w:rsid w:val="002D1A9E"/>
    <w:rsid w:val="002D21A6"/>
    <w:rsid w:val="002D23E6"/>
    <w:rsid w:val="002D24AC"/>
    <w:rsid w:val="002D2822"/>
    <w:rsid w:val="002D29A1"/>
    <w:rsid w:val="002D2FCA"/>
    <w:rsid w:val="002D327C"/>
    <w:rsid w:val="002D3374"/>
    <w:rsid w:val="002D374F"/>
    <w:rsid w:val="002D37CF"/>
    <w:rsid w:val="002D3BD2"/>
    <w:rsid w:val="002D4077"/>
    <w:rsid w:val="002D4446"/>
    <w:rsid w:val="002D4524"/>
    <w:rsid w:val="002D46AA"/>
    <w:rsid w:val="002D49EA"/>
    <w:rsid w:val="002D5B28"/>
    <w:rsid w:val="002D6188"/>
    <w:rsid w:val="002D6502"/>
    <w:rsid w:val="002D6750"/>
    <w:rsid w:val="002D691C"/>
    <w:rsid w:val="002D6924"/>
    <w:rsid w:val="002D6C09"/>
    <w:rsid w:val="002D6CB2"/>
    <w:rsid w:val="002D780E"/>
    <w:rsid w:val="002D7823"/>
    <w:rsid w:val="002D78A4"/>
    <w:rsid w:val="002D78BB"/>
    <w:rsid w:val="002E0481"/>
    <w:rsid w:val="002E0504"/>
    <w:rsid w:val="002E05AA"/>
    <w:rsid w:val="002E065C"/>
    <w:rsid w:val="002E0E17"/>
    <w:rsid w:val="002E0E99"/>
    <w:rsid w:val="002E0EB8"/>
    <w:rsid w:val="002E108B"/>
    <w:rsid w:val="002E1094"/>
    <w:rsid w:val="002E138F"/>
    <w:rsid w:val="002E1AE7"/>
    <w:rsid w:val="002E1B25"/>
    <w:rsid w:val="002E1E15"/>
    <w:rsid w:val="002E27D2"/>
    <w:rsid w:val="002E2BED"/>
    <w:rsid w:val="002E389F"/>
    <w:rsid w:val="002E3CD0"/>
    <w:rsid w:val="002E4293"/>
    <w:rsid w:val="002E4473"/>
    <w:rsid w:val="002E4A9F"/>
    <w:rsid w:val="002E4C2D"/>
    <w:rsid w:val="002E4E2C"/>
    <w:rsid w:val="002E5285"/>
    <w:rsid w:val="002E531E"/>
    <w:rsid w:val="002E5755"/>
    <w:rsid w:val="002E5DEA"/>
    <w:rsid w:val="002E5F0D"/>
    <w:rsid w:val="002E6213"/>
    <w:rsid w:val="002E724A"/>
    <w:rsid w:val="002E7704"/>
    <w:rsid w:val="002F0338"/>
    <w:rsid w:val="002F078A"/>
    <w:rsid w:val="002F148A"/>
    <w:rsid w:val="002F1E22"/>
    <w:rsid w:val="002F1F2F"/>
    <w:rsid w:val="002F2305"/>
    <w:rsid w:val="002F2324"/>
    <w:rsid w:val="002F256D"/>
    <w:rsid w:val="002F26E6"/>
    <w:rsid w:val="002F286F"/>
    <w:rsid w:val="002F2A58"/>
    <w:rsid w:val="002F311E"/>
    <w:rsid w:val="002F313A"/>
    <w:rsid w:val="002F3211"/>
    <w:rsid w:val="002F345B"/>
    <w:rsid w:val="002F3B81"/>
    <w:rsid w:val="002F3E0D"/>
    <w:rsid w:val="002F4515"/>
    <w:rsid w:val="002F4E4D"/>
    <w:rsid w:val="002F4EDC"/>
    <w:rsid w:val="002F5B94"/>
    <w:rsid w:val="002F5FEC"/>
    <w:rsid w:val="002F6730"/>
    <w:rsid w:val="002F6A33"/>
    <w:rsid w:val="002F71B8"/>
    <w:rsid w:val="002F71C0"/>
    <w:rsid w:val="002F71F4"/>
    <w:rsid w:val="002F7E7A"/>
    <w:rsid w:val="002F7F19"/>
    <w:rsid w:val="002F7FA3"/>
    <w:rsid w:val="0030044F"/>
    <w:rsid w:val="0030067F"/>
    <w:rsid w:val="00300718"/>
    <w:rsid w:val="00300B29"/>
    <w:rsid w:val="003018A1"/>
    <w:rsid w:val="00301EA1"/>
    <w:rsid w:val="00301F26"/>
    <w:rsid w:val="00302AAD"/>
    <w:rsid w:val="00302CC1"/>
    <w:rsid w:val="00302FCC"/>
    <w:rsid w:val="00303516"/>
    <w:rsid w:val="00303B88"/>
    <w:rsid w:val="00305294"/>
    <w:rsid w:val="003059D0"/>
    <w:rsid w:val="00305B2D"/>
    <w:rsid w:val="003061DB"/>
    <w:rsid w:val="003062A8"/>
    <w:rsid w:val="003062AE"/>
    <w:rsid w:val="0030648C"/>
    <w:rsid w:val="003065A7"/>
    <w:rsid w:val="003066AD"/>
    <w:rsid w:val="003069B5"/>
    <w:rsid w:val="0030723E"/>
    <w:rsid w:val="00307BA8"/>
    <w:rsid w:val="0031030C"/>
    <w:rsid w:val="0031033B"/>
    <w:rsid w:val="00310894"/>
    <w:rsid w:val="00310E37"/>
    <w:rsid w:val="00311140"/>
    <w:rsid w:val="00312303"/>
    <w:rsid w:val="003128BF"/>
    <w:rsid w:val="00312FAD"/>
    <w:rsid w:val="003135BD"/>
    <w:rsid w:val="00313D39"/>
    <w:rsid w:val="0031480D"/>
    <w:rsid w:val="003148F1"/>
    <w:rsid w:val="00314BFC"/>
    <w:rsid w:val="003151DC"/>
    <w:rsid w:val="00315340"/>
    <w:rsid w:val="00315419"/>
    <w:rsid w:val="003154CB"/>
    <w:rsid w:val="00315514"/>
    <w:rsid w:val="003155D7"/>
    <w:rsid w:val="00315721"/>
    <w:rsid w:val="003162EB"/>
    <w:rsid w:val="0031661E"/>
    <w:rsid w:val="003166BB"/>
    <w:rsid w:val="00316D51"/>
    <w:rsid w:val="00317674"/>
    <w:rsid w:val="003178E2"/>
    <w:rsid w:val="00317E18"/>
    <w:rsid w:val="003204DD"/>
    <w:rsid w:val="003204F1"/>
    <w:rsid w:val="003208AE"/>
    <w:rsid w:val="00321A8D"/>
    <w:rsid w:val="00321BE1"/>
    <w:rsid w:val="00321CE7"/>
    <w:rsid w:val="00321E59"/>
    <w:rsid w:val="00321EFD"/>
    <w:rsid w:val="00322A91"/>
    <w:rsid w:val="00322B61"/>
    <w:rsid w:val="00322C1E"/>
    <w:rsid w:val="00323440"/>
    <w:rsid w:val="003236E7"/>
    <w:rsid w:val="00323CDD"/>
    <w:rsid w:val="00324141"/>
    <w:rsid w:val="003241AC"/>
    <w:rsid w:val="0032484A"/>
    <w:rsid w:val="003248C2"/>
    <w:rsid w:val="00324B79"/>
    <w:rsid w:val="00324C18"/>
    <w:rsid w:val="003252EF"/>
    <w:rsid w:val="00325463"/>
    <w:rsid w:val="0032581F"/>
    <w:rsid w:val="003259B9"/>
    <w:rsid w:val="00325A08"/>
    <w:rsid w:val="00325F40"/>
    <w:rsid w:val="003261B5"/>
    <w:rsid w:val="0032671E"/>
    <w:rsid w:val="003267EB"/>
    <w:rsid w:val="0032755C"/>
    <w:rsid w:val="00327B96"/>
    <w:rsid w:val="00330952"/>
    <w:rsid w:val="00330FF8"/>
    <w:rsid w:val="00331403"/>
    <w:rsid w:val="00331A16"/>
    <w:rsid w:val="00331A5F"/>
    <w:rsid w:val="00331C0C"/>
    <w:rsid w:val="00331F71"/>
    <w:rsid w:val="0033225A"/>
    <w:rsid w:val="003322A3"/>
    <w:rsid w:val="00332605"/>
    <w:rsid w:val="003326C9"/>
    <w:rsid w:val="00332992"/>
    <w:rsid w:val="003329A6"/>
    <w:rsid w:val="00333578"/>
    <w:rsid w:val="0033373E"/>
    <w:rsid w:val="00333A19"/>
    <w:rsid w:val="00333C84"/>
    <w:rsid w:val="00333CFB"/>
    <w:rsid w:val="0033491A"/>
    <w:rsid w:val="00334ACF"/>
    <w:rsid w:val="00334C2E"/>
    <w:rsid w:val="00334E4F"/>
    <w:rsid w:val="00334EBC"/>
    <w:rsid w:val="003358EF"/>
    <w:rsid w:val="00335BF7"/>
    <w:rsid w:val="003361A1"/>
    <w:rsid w:val="00336425"/>
    <w:rsid w:val="003368DF"/>
    <w:rsid w:val="00336E2E"/>
    <w:rsid w:val="00336E9E"/>
    <w:rsid w:val="003370C5"/>
    <w:rsid w:val="00337C05"/>
    <w:rsid w:val="00337CCA"/>
    <w:rsid w:val="003404AB"/>
    <w:rsid w:val="00340556"/>
    <w:rsid w:val="00340EB7"/>
    <w:rsid w:val="00341653"/>
    <w:rsid w:val="00341A14"/>
    <w:rsid w:val="003429D1"/>
    <w:rsid w:val="003439F8"/>
    <w:rsid w:val="00343AFD"/>
    <w:rsid w:val="00344330"/>
    <w:rsid w:val="00344410"/>
    <w:rsid w:val="00344B62"/>
    <w:rsid w:val="003457BF"/>
    <w:rsid w:val="00345E01"/>
    <w:rsid w:val="0034663B"/>
    <w:rsid w:val="00346E86"/>
    <w:rsid w:val="003473B2"/>
    <w:rsid w:val="0034763A"/>
    <w:rsid w:val="0034769D"/>
    <w:rsid w:val="0035045D"/>
    <w:rsid w:val="00350600"/>
    <w:rsid w:val="00350C6D"/>
    <w:rsid w:val="00350DD8"/>
    <w:rsid w:val="00351267"/>
    <w:rsid w:val="00351381"/>
    <w:rsid w:val="003516B9"/>
    <w:rsid w:val="003516F9"/>
    <w:rsid w:val="003520CC"/>
    <w:rsid w:val="00352131"/>
    <w:rsid w:val="00352154"/>
    <w:rsid w:val="0035226D"/>
    <w:rsid w:val="00352471"/>
    <w:rsid w:val="003530A6"/>
    <w:rsid w:val="0035345A"/>
    <w:rsid w:val="00353602"/>
    <w:rsid w:val="00353627"/>
    <w:rsid w:val="0035428B"/>
    <w:rsid w:val="0035439E"/>
    <w:rsid w:val="003546FC"/>
    <w:rsid w:val="00354A98"/>
    <w:rsid w:val="00354BD0"/>
    <w:rsid w:val="00355605"/>
    <w:rsid w:val="00355773"/>
    <w:rsid w:val="003557FA"/>
    <w:rsid w:val="00355B41"/>
    <w:rsid w:val="00355F72"/>
    <w:rsid w:val="0035604A"/>
    <w:rsid w:val="00356638"/>
    <w:rsid w:val="003566E1"/>
    <w:rsid w:val="00356EEB"/>
    <w:rsid w:val="0035753A"/>
    <w:rsid w:val="00357657"/>
    <w:rsid w:val="00357E32"/>
    <w:rsid w:val="00357F4A"/>
    <w:rsid w:val="00360744"/>
    <w:rsid w:val="00361157"/>
    <w:rsid w:val="003614EB"/>
    <w:rsid w:val="00361672"/>
    <w:rsid w:val="00361DC6"/>
    <w:rsid w:val="0036239D"/>
    <w:rsid w:val="00362821"/>
    <w:rsid w:val="0036300D"/>
    <w:rsid w:val="00363487"/>
    <w:rsid w:val="003639A6"/>
    <w:rsid w:val="00363E59"/>
    <w:rsid w:val="003641A8"/>
    <w:rsid w:val="0036430C"/>
    <w:rsid w:val="003645D5"/>
    <w:rsid w:val="00364DFD"/>
    <w:rsid w:val="003656CB"/>
    <w:rsid w:val="00365754"/>
    <w:rsid w:val="00366755"/>
    <w:rsid w:val="00366A6C"/>
    <w:rsid w:val="00366AF8"/>
    <w:rsid w:val="00367111"/>
    <w:rsid w:val="003672B6"/>
    <w:rsid w:val="003679AE"/>
    <w:rsid w:val="00367B69"/>
    <w:rsid w:val="0037021D"/>
    <w:rsid w:val="00370394"/>
    <w:rsid w:val="00370688"/>
    <w:rsid w:val="003714BA"/>
    <w:rsid w:val="0037155F"/>
    <w:rsid w:val="00371566"/>
    <w:rsid w:val="00371ADB"/>
    <w:rsid w:val="00371D41"/>
    <w:rsid w:val="003723B1"/>
    <w:rsid w:val="00372432"/>
    <w:rsid w:val="00372AD7"/>
    <w:rsid w:val="00373186"/>
    <w:rsid w:val="003736D7"/>
    <w:rsid w:val="00373B33"/>
    <w:rsid w:val="00373CD4"/>
    <w:rsid w:val="0037425F"/>
    <w:rsid w:val="003747ED"/>
    <w:rsid w:val="00375828"/>
    <w:rsid w:val="00375F2C"/>
    <w:rsid w:val="00376372"/>
    <w:rsid w:val="003764B6"/>
    <w:rsid w:val="00376A3B"/>
    <w:rsid w:val="00377100"/>
    <w:rsid w:val="00377478"/>
    <w:rsid w:val="00377561"/>
    <w:rsid w:val="00377949"/>
    <w:rsid w:val="003802AE"/>
    <w:rsid w:val="0038040E"/>
    <w:rsid w:val="003807A2"/>
    <w:rsid w:val="0038089C"/>
    <w:rsid w:val="00380928"/>
    <w:rsid w:val="0038135F"/>
    <w:rsid w:val="0038180E"/>
    <w:rsid w:val="00381F83"/>
    <w:rsid w:val="00382164"/>
    <w:rsid w:val="003821AB"/>
    <w:rsid w:val="0038281C"/>
    <w:rsid w:val="003828CC"/>
    <w:rsid w:val="00382CC6"/>
    <w:rsid w:val="00383162"/>
    <w:rsid w:val="00383925"/>
    <w:rsid w:val="00383ED4"/>
    <w:rsid w:val="0038456C"/>
    <w:rsid w:val="003846FD"/>
    <w:rsid w:val="00384B5B"/>
    <w:rsid w:val="0038516B"/>
    <w:rsid w:val="003852E7"/>
    <w:rsid w:val="00385531"/>
    <w:rsid w:val="00385A64"/>
    <w:rsid w:val="00385B3B"/>
    <w:rsid w:val="00385C00"/>
    <w:rsid w:val="003866AB"/>
    <w:rsid w:val="003867DC"/>
    <w:rsid w:val="00386D1A"/>
    <w:rsid w:val="003872BA"/>
    <w:rsid w:val="00387A04"/>
    <w:rsid w:val="00387F40"/>
    <w:rsid w:val="003901BE"/>
    <w:rsid w:val="0039045D"/>
    <w:rsid w:val="00390F5E"/>
    <w:rsid w:val="0039123C"/>
    <w:rsid w:val="00391479"/>
    <w:rsid w:val="0039182E"/>
    <w:rsid w:val="00391C88"/>
    <w:rsid w:val="00391FD1"/>
    <w:rsid w:val="00392863"/>
    <w:rsid w:val="00392D3C"/>
    <w:rsid w:val="0039342B"/>
    <w:rsid w:val="003939E9"/>
    <w:rsid w:val="00393FAF"/>
    <w:rsid w:val="003941CD"/>
    <w:rsid w:val="00394C83"/>
    <w:rsid w:val="00396339"/>
    <w:rsid w:val="00396630"/>
    <w:rsid w:val="00396949"/>
    <w:rsid w:val="00396973"/>
    <w:rsid w:val="00397170"/>
    <w:rsid w:val="00397B85"/>
    <w:rsid w:val="00397EA4"/>
    <w:rsid w:val="003A04B8"/>
    <w:rsid w:val="003A096A"/>
    <w:rsid w:val="003A0C24"/>
    <w:rsid w:val="003A1027"/>
    <w:rsid w:val="003A15D4"/>
    <w:rsid w:val="003A1624"/>
    <w:rsid w:val="003A1730"/>
    <w:rsid w:val="003A1942"/>
    <w:rsid w:val="003A1D0F"/>
    <w:rsid w:val="003A20C0"/>
    <w:rsid w:val="003A255F"/>
    <w:rsid w:val="003A25B8"/>
    <w:rsid w:val="003A2BF7"/>
    <w:rsid w:val="003A31AA"/>
    <w:rsid w:val="003A3433"/>
    <w:rsid w:val="003A38A8"/>
    <w:rsid w:val="003A38C1"/>
    <w:rsid w:val="003A399F"/>
    <w:rsid w:val="003A3F5C"/>
    <w:rsid w:val="003A46DB"/>
    <w:rsid w:val="003A5249"/>
    <w:rsid w:val="003A537E"/>
    <w:rsid w:val="003A575B"/>
    <w:rsid w:val="003A5845"/>
    <w:rsid w:val="003A591E"/>
    <w:rsid w:val="003A5E4B"/>
    <w:rsid w:val="003A5EB3"/>
    <w:rsid w:val="003A6378"/>
    <w:rsid w:val="003A660F"/>
    <w:rsid w:val="003A693E"/>
    <w:rsid w:val="003A746D"/>
    <w:rsid w:val="003A7595"/>
    <w:rsid w:val="003A79A4"/>
    <w:rsid w:val="003A7CB3"/>
    <w:rsid w:val="003A7F33"/>
    <w:rsid w:val="003B01DA"/>
    <w:rsid w:val="003B0727"/>
    <w:rsid w:val="003B094D"/>
    <w:rsid w:val="003B095E"/>
    <w:rsid w:val="003B0AB6"/>
    <w:rsid w:val="003B0FF2"/>
    <w:rsid w:val="003B123D"/>
    <w:rsid w:val="003B1BDB"/>
    <w:rsid w:val="003B2B82"/>
    <w:rsid w:val="003B3531"/>
    <w:rsid w:val="003B35EF"/>
    <w:rsid w:val="003B3BBA"/>
    <w:rsid w:val="003B3C35"/>
    <w:rsid w:val="003B3D32"/>
    <w:rsid w:val="003B3D8E"/>
    <w:rsid w:val="003B3FA3"/>
    <w:rsid w:val="003B41A2"/>
    <w:rsid w:val="003B45C6"/>
    <w:rsid w:val="003B4915"/>
    <w:rsid w:val="003B4978"/>
    <w:rsid w:val="003B4A0A"/>
    <w:rsid w:val="003B4F54"/>
    <w:rsid w:val="003B510D"/>
    <w:rsid w:val="003B560D"/>
    <w:rsid w:val="003B59F4"/>
    <w:rsid w:val="003B5FDC"/>
    <w:rsid w:val="003B6906"/>
    <w:rsid w:val="003B6B05"/>
    <w:rsid w:val="003B6D5C"/>
    <w:rsid w:val="003B6FB1"/>
    <w:rsid w:val="003B7260"/>
    <w:rsid w:val="003B7303"/>
    <w:rsid w:val="003B740D"/>
    <w:rsid w:val="003B740E"/>
    <w:rsid w:val="003B7500"/>
    <w:rsid w:val="003B7656"/>
    <w:rsid w:val="003B772F"/>
    <w:rsid w:val="003B7D03"/>
    <w:rsid w:val="003B7E92"/>
    <w:rsid w:val="003C0127"/>
    <w:rsid w:val="003C02B2"/>
    <w:rsid w:val="003C055D"/>
    <w:rsid w:val="003C0725"/>
    <w:rsid w:val="003C0741"/>
    <w:rsid w:val="003C093B"/>
    <w:rsid w:val="003C0A13"/>
    <w:rsid w:val="003C0B40"/>
    <w:rsid w:val="003C0EAF"/>
    <w:rsid w:val="003C10AA"/>
    <w:rsid w:val="003C11EA"/>
    <w:rsid w:val="003C13C4"/>
    <w:rsid w:val="003C17AD"/>
    <w:rsid w:val="003C1819"/>
    <w:rsid w:val="003C1A9F"/>
    <w:rsid w:val="003C25DE"/>
    <w:rsid w:val="003C26A3"/>
    <w:rsid w:val="003C26C7"/>
    <w:rsid w:val="003C2701"/>
    <w:rsid w:val="003C2902"/>
    <w:rsid w:val="003C3084"/>
    <w:rsid w:val="003C3EED"/>
    <w:rsid w:val="003C4C9A"/>
    <w:rsid w:val="003C4ECC"/>
    <w:rsid w:val="003C527F"/>
    <w:rsid w:val="003C52AA"/>
    <w:rsid w:val="003C549A"/>
    <w:rsid w:val="003C54D2"/>
    <w:rsid w:val="003C57E0"/>
    <w:rsid w:val="003C6650"/>
    <w:rsid w:val="003C6A73"/>
    <w:rsid w:val="003C70EC"/>
    <w:rsid w:val="003C76DB"/>
    <w:rsid w:val="003C777E"/>
    <w:rsid w:val="003C7925"/>
    <w:rsid w:val="003C7B7F"/>
    <w:rsid w:val="003D0345"/>
    <w:rsid w:val="003D092D"/>
    <w:rsid w:val="003D09E8"/>
    <w:rsid w:val="003D11A9"/>
    <w:rsid w:val="003D1451"/>
    <w:rsid w:val="003D1565"/>
    <w:rsid w:val="003D18C8"/>
    <w:rsid w:val="003D1EA2"/>
    <w:rsid w:val="003D1FB3"/>
    <w:rsid w:val="003D243A"/>
    <w:rsid w:val="003D2923"/>
    <w:rsid w:val="003D2995"/>
    <w:rsid w:val="003D2A37"/>
    <w:rsid w:val="003D3E6A"/>
    <w:rsid w:val="003D3EFE"/>
    <w:rsid w:val="003D4093"/>
    <w:rsid w:val="003D42D5"/>
    <w:rsid w:val="003D460A"/>
    <w:rsid w:val="003D563D"/>
    <w:rsid w:val="003D5658"/>
    <w:rsid w:val="003D56A8"/>
    <w:rsid w:val="003D5979"/>
    <w:rsid w:val="003D5CF2"/>
    <w:rsid w:val="003D69E1"/>
    <w:rsid w:val="003D69EF"/>
    <w:rsid w:val="003D70E1"/>
    <w:rsid w:val="003D716D"/>
    <w:rsid w:val="003D77FF"/>
    <w:rsid w:val="003D7858"/>
    <w:rsid w:val="003D78E9"/>
    <w:rsid w:val="003D796F"/>
    <w:rsid w:val="003D7EA7"/>
    <w:rsid w:val="003E0345"/>
    <w:rsid w:val="003E0643"/>
    <w:rsid w:val="003E067A"/>
    <w:rsid w:val="003E06D4"/>
    <w:rsid w:val="003E0DB1"/>
    <w:rsid w:val="003E0EDB"/>
    <w:rsid w:val="003E0F79"/>
    <w:rsid w:val="003E0F95"/>
    <w:rsid w:val="003E29D5"/>
    <w:rsid w:val="003E3143"/>
    <w:rsid w:val="003E3FAA"/>
    <w:rsid w:val="003E471B"/>
    <w:rsid w:val="003E552F"/>
    <w:rsid w:val="003E561B"/>
    <w:rsid w:val="003E6196"/>
    <w:rsid w:val="003E61DB"/>
    <w:rsid w:val="003E6475"/>
    <w:rsid w:val="003E7417"/>
    <w:rsid w:val="003E749D"/>
    <w:rsid w:val="003E7528"/>
    <w:rsid w:val="003E7B0D"/>
    <w:rsid w:val="003E7BF6"/>
    <w:rsid w:val="003F0088"/>
    <w:rsid w:val="003F04BE"/>
    <w:rsid w:val="003F105A"/>
    <w:rsid w:val="003F1E48"/>
    <w:rsid w:val="003F2027"/>
    <w:rsid w:val="003F265B"/>
    <w:rsid w:val="003F28F7"/>
    <w:rsid w:val="003F2B39"/>
    <w:rsid w:val="003F2CC6"/>
    <w:rsid w:val="003F2F6D"/>
    <w:rsid w:val="003F34EF"/>
    <w:rsid w:val="003F379B"/>
    <w:rsid w:val="003F4588"/>
    <w:rsid w:val="003F4D2B"/>
    <w:rsid w:val="003F4DEC"/>
    <w:rsid w:val="003F4EF7"/>
    <w:rsid w:val="003F57E6"/>
    <w:rsid w:val="003F60EC"/>
    <w:rsid w:val="003F6199"/>
    <w:rsid w:val="003F624B"/>
    <w:rsid w:val="003F64F0"/>
    <w:rsid w:val="003F68A7"/>
    <w:rsid w:val="003F6E1D"/>
    <w:rsid w:val="003F7426"/>
    <w:rsid w:val="003F77F4"/>
    <w:rsid w:val="003F7941"/>
    <w:rsid w:val="003F79A0"/>
    <w:rsid w:val="00400CC7"/>
    <w:rsid w:val="00400EE4"/>
    <w:rsid w:val="00400F25"/>
    <w:rsid w:val="004011ED"/>
    <w:rsid w:val="004012CC"/>
    <w:rsid w:val="00401482"/>
    <w:rsid w:val="004018B1"/>
    <w:rsid w:val="00401E3D"/>
    <w:rsid w:val="00401E77"/>
    <w:rsid w:val="00401F14"/>
    <w:rsid w:val="00401FB9"/>
    <w:rsid w:val="00402098"/>
    <w:rsid w:val="00402661"/>
    <w:rsid w:val="00402EE5"/>
    <w:rsid w:val="004032AE"/>
    <w:rsid w:val="004033BF"/>
    <w:rsid w:val="0040370B"/>
    <w:rsid w:val="00403720"/>
    <w:rsid w:val="00403759"/>
    <w:rsid w:val="00403834"/>
    <w:rsid w:val="00403C05"/>
    <w:rsid w:val="00403CAF"/>
    <w:rsid w:val="00404433"/>
    <w:rsid w:val="004044F2"/>
    <w:rsid w:val="00404560"/>
    <w:rsid w:val="00404B7C"/>
    <w:rsid w:val="00404C3E"/>
    <w:rsid w:val="00405627"/>
    <w:rsid w:val="004058BA"/>
    <w:rsid w:val="00405B5A"/>
    <w:rsid w:val="00406005"/>
    <w:rsid w:val="0040607B"/>
    <w:rsid w:val="0040616E"/>
    <w:rsid w:val="00406437"/>
    <w:rsid w:val="004064BB"/>
    <w:rsid w:val="00406756"/>
    <w:rsid w:val="004067E0"/>
    <w:rsid w:val="00406DCB"/>
    <w:rsid w:val="00407004"/>
    <w:rsid w:val="004072EC"/>
    <w:rsid w:val="004073DC"/>
    <w:rsid w:val="004074AD"/>
    <w:rsid w:val="004074D2"/>
    <w:rsid w:val="00407586"/>
    <w:rsid w:val="00407B7F"/>
    <w:rsid w:val="00407BB6"/>
    <w:rsid w:val="00407BFF"/>
    <w:rsid w:val="00407C71"/>
    <w:rsid w:val="00407C85"/>
    <w:rsid w:val="00407E62"/>
    <w:rsid w:val="00410F59"/>
    <w:rsid w:val="0041108F"/>
    <w:rsid w:val="004112C2"/>
    <w:rsid w:val="004113D2"/>
    <w:rsid w:val="00411471"/>
    <w:rsid w:val="004117FD"/>
    <w:rsid w:val="00411D0E"/>
    <w:rsid w:val="00411F2D"/>
    <w:rsid w:val="00411FE4"/>
    <w:rsid w:val="00412622"/>
    <w:rsid w:val="00412B06"/>
    <w:rsid w:val="00413DC5"/>
    <w:rsid w:val="00413FE6"/>
    <w:rsid w:val="00414755"/>
    <w:rsid w:val="0041498A"/>
    <w:rsid w:val="00414FDC"/>
    <w:rsid w:val="00415414"/>
    <w:rsid w:val="00415A02"/>
    <w:rsid w:val="0041616A"/>
    <w:rsid w:val="00416479"/>
    <w:rsid w:val="00416566"/>
    <w:rsid w:val="0041685C"/>
    <w:rsid w:val="004168E2"/>
    <w:rsid w:val="004172B7"/>
    <w:rsid w:val="004173A9"/>
    <w:rsid w:val="00420540"/>
    <w:rsid w:val="00420AB1"/>
    <w:rsid w:val="00421450"/>
    <w:rsid w:val="00421F47"/>
    <w:rsid w:val="00422086"/>
    <w:rsid w:val="004223BE"/>
    <w:rsid w:val="004225E4"/>
    <w:rsid w:val="00422CBF"/>
    <w:rsid w:val="00422F23"/>
    <w:rsid w:val="00423085"/>
    <w:rsid w:val="004234C8"/>
    <w:rsid w:val="0042353C"/>
    <w:rsid w:val="00423F3A"/>
    <w:rsid w:val="004240A6"/>
    <w:rsid w:val="00424216"/>
    <w:rsid w:val="00424532"/>
    <w:rsid w:val="004245CE"/>
    <w:rsid w:val="00424740"/>
    <w:rsid w:val="00424A4F"/>
    <w:rsid w:val="00424C59"/>
    <w:rsid w:val="00425029"/>
    <w:rsid w:val="00425C4C"/>
    <w:rsid w:val="00425D22"/>
    <w:rsid w:val="00425E57"/>
    <w:rsid w:val="00426090"/>
    <w:rsid w:val="00426361"/>
    <w:rsid w:val="004263AE"/>
    <w:rsid w:val="0042673D"/>
    <w:rsid w:val="00426C29"/>
    <w:rsid w:val="00426CD0"/>
    <w:rsid w:val="00426CF2"/>
    <w:rsid w:val="00426D1B"/>
    <w:rsid w:val="00427352"/>
    <w:rsid w:val="004273AD"/>
    <w:rsid w:val="004276CD"/>
    <w:rsid w:val="00427866"/>
    <w:rsid w:val="00427A86"/>
    <w:rsid w:val="00427E55"/>
    <w:rsid w:val="0043010A"/>
    <w:rsid w:val="004304D6"/>
    <w:rsid w:val="00430961"/>
    <w:rsid w:val="00430BD7"/>
    <w:rsid w:val="00430D57"/>
    <w:rsid w:val="00430E00"/>
    <w:rsid w:val="00430F28"/>
    <w:rsid w:val="00431875"/>
    <w:rsid w:val="0043275D"/>
    <w:rsid w:val="00432822"/>
    <w:rsid w:val="00432CD2"/>
    <w:rsid w:val="004330DE"/>
    <w:rsid w:val="004335C4"/>
    <w:rsid w:val="004338C1"/>
    <w:rsid w:val="0043429D"/>
    <w:rsid w:val="00434FEE"/>
    <w:rsid w:val="00435376"/>
    <w:rsid w:val="004365B2"/>
    <w:rsid w:val="00436858"/>
    <w:rsid w:val="004369B7"/>
    <w:rsid w:val="00436EEC"/>
    <w:rsid w:val="004371CE"/>
    <w:rsid w:val="00437319"/>
    <w:rsid w:val="004376F6"/>
    <w:rsid w:val="00437760"/>
    <w:rsid w:val="00437AD1"/>
    <w:rsid w:val="00437BB5"/>
    <w:rsid w:val="00440793"/>
    <w:rsid w:val="00440FCF"/>
    <w:rsid w:val="004416DF"/>
    <w:rsid w:val="0044181C"/>
    <w:rsid w:val="00441962"/>
    <w:rsid w:val="00441A84"/>
    <w:rsid w:val="004420A3"/>
    <w:rsid w:val="00442156"/>
    <w:rsid w:val="00442203"/>
    <w:rsid w:val="004425E1"/>
    <w:rsid w:val="00442D60"/>
    <w:rsid w:val="00442D71"/>
    <w:rsid w:val="00442DE0"/>
    <w:rsid w:val="00442E7B"/>
    <w:rsid w:val="004432D2"/>
    <w:rsid w:val="00443810"/>
    <w:rsid w:val="00443ADC"/>
    <w:rsid w:val="0044449E"/>
    <w:rsid w:val="00445379"/>
    <w:rsid w:val="004456E4"/>
    <w:rsid w:val="00445C98"/>
    <w:rsid w:val="0044613C"/>
    <w:rsid w:val="00446551"/>
    <w:rsid w:val="004466A4"/>
    <w:rsid w:val="00446A12"/>
    <w:rsid w:val="0044715B"/>
    <w:rsid w:val="00447F89"/>
    <w:rsid w:val="0045020E"/>
    <w:rsid w:val="0045030A"/>
    <w:rsid w:val="004504BA"/>
    <w:rsid w:val="004506DC"/>
    <w:rsid w:val="00450BA8"/>
    <w:rsid w:val="00450BE2"/>
    <w:rsid w:val="00450CB2"/>
    <w:rsid w:val="00450F1A"/>
    <w:rsid w:val="00451158"/>
    <w:rsid w:val="004518A0"/>
    <w:rsid w:val="00451A2E"/>
    <w:rsid w:val="00451B0D"/>
    <w:rsid w:val="00452AAF"/>
    <w:rsid w:val="00452FE6"/>
    <w:rsid w:val="0045335A"/>
    <w:rsid w:val="0045352C"/>
    <w:rsid w:val="0045389C"/>
    <w:rsid w:val="00453AC2"/>
    <w:rsid w:val="00453BAE"/>
    <w:rsid w:val="00453D59"/>
    <w:rsid w:val="00453E1F"/>
    <w:rsid w:val="00454626"/>
    <w:rsid w:val="004546BA"/>
    <w:rsid w:val="004548E9"/>
    <w:rsid w:val="00454945"/>
    <w:rsid w:val="00454B57"/>
    <w:rsid w:val="00454EF7"/>
    <w:rsid w:val="00455019"/>
    <w:rsid w:val="00455EBE"/>
    <w:rsid w:val="00455EFB"/>
    <w:rsid w:val="004561A3"/>
    <w:rsid w:val="00456242"/>
    <w:rsid w:val="004562C8"/>
    <w:rsid w:val="0045655F"/>
    <w:rsid w:val="004567EC"/>
    <w:rsid w:val="00456BBE"/>
    <w:rsid w:val="0045779C"/>
    <w:rsid w:val="00457861"/>
    <w:rsid w:val="0045796B"/>
    <w:rsid w:val="00457AD3"/>
    <w:rsid w:val="00457F0E"/>
    <w:rsid w:val="00460B6A"/>
    <w:rsid w:val="00460BCD"/>
    <w:rsid w:val="00460DDB"/>
    <w:rsid w:val="004619BB"/>
    <w:rsid w:val="0046209C"/>
    <w:rsid w:val="00462414"/>
    <w:rsid w:val="00462A03"/>
    <w:rsid w:val="00462F7B"/>
    <w:rsid w:val="0046311B"/>
    <w:rsid w:val="00463AF1"/>
    <w:rsid w:val="00463E9A"/>
    <w:rsid w:val="0046419C"/>
    <w:rsid w:val="004641CE"/>
    <w:rsid w:val="0046429F"/>
    <w:rsid w:val="00464485"/>
    <w:rsid w:val="00464A44"/>
    <w:rsid w:val="00465729"/>
    <w:rsid w:val="00465A04"/>
    <w:rsid w:val="00465A11"/>
    <w:rsid w:val="00465ACB"/>
    <w:rsid w:val="00465D3F"/>
    <w:rsid w:val="0046600B"/>
    <w:rsid w:val="004661FE"/>
    <w:rsid w:val="0046621E"/>
    <w:rsid w:val="00467147"/>
    <w:rsid w:val="004700BE"/>
    <w:rsid w:val="00470757"/>
    <w:rsid w:val="004709BC"/>
    <w:rsid w:val="00470D37"/>
    <w:rsid w:val="00470E73"/>
    <w:rsid w:val="00470FFF"/>
    <w:rsid w:val="00471970"/>
    <w:rsid w:val="004719CD"/>
    <w:rsid w:val="0047204A"/>
    <w:rsid w:val="00472389"/>
    <w:rsid w:val="00472D4D"/>
    <w:rsid w:val="00472E33"/>
    <w:rsid w:val="00473128"/>
    <w:rsid w:val="0047350A"/>
    <w:rsid w:val="00473A26"/>
    <w:rsid w:val="00474791"/>
    <w:rsid w:val="004747CF"/>
    <w:rsid w:val="004748B3"/>
    <w:rsid w:val="00474A30"/>
    <w:rsid w:val="00474A9B"/>
    <w:rsid w:val="00475E7A"/>
    <w:rsid w:val="00476476"/>
    <w:rsid w:val="004766E1"/>
    <w:rsid w:val="00476901"/>
    <w:rsid w:val="00476C10"/>
    <w:rsid w:val="0047743D"/>
    <w:rsid w:val="00477842"/>
    <w:rsid w:val="00477ABA"/>
    <w:rsid w:val="00477B38"/>
    <w:rsid w:val="00480724"/>
    <w:rsid w:val="004807C7"/>
    <w:rsid w:val="00480CB7"/>
    <w:rsid w:val="00480E4B"/>
    <w:rsid w:val="00481549"/>
    <w:rsid w:val="00482294"/>
    <w:rsid w:val="00482D27"/>
    <w:rsid w:val="0048324B"/>
    <w:rsid w:val="00483C11"/>
    <w:rsid w:val="00484102"/>
    <w:rsid w:val="00484276"/>
    <w:rsid w:val="0048478C"/>
    <w:rsid w:val="00484B26"/>
    <w:rsid w:val="00484B71"/>
    <w:rsid w:val="00485A20"/>
    <w:rsid w:val="0048622B"/>
    <w:rsid w:val="004868F1"/>
    <w:rsid w:val="00487257"/>
    <w:rsid w:val="00487424"/>
    <w:rsid w:val="0048761C"/>
    <w:rsid w:val="004879D7"/>
    <w:rsid w:val="00487D2A"/>
    <w:rsid w:val="004902CF"/>
    <w:rsid w:val="004908B7"/>
    <w:rsid w:val="00490A71"/>
    <w:rsid w:val="00490A87"/>
    <w:rsid w:val="00490C7F"/>
    <w:rsid w:val="004919DD"/>
    <w:rsid w:val="00491DBD"/>
    <w:rsid w:val="00491EDE"/>
    <w:rsid w:val="004921AF"/>
    <w:rsid w:val="00492F4E"/>
    <w:rsid w:val="004935EF"/>
    <w:rsid w:val="00493F80"/>
    <w:rsid w:val="004943A5"/>
    <w:rsid w:val="00494476"/>
    <w:rsid w:val="004948CC"/>
    <w:rsid w:val="00494D0F"/>
    <w:rsid w:val="00494F7C"/>
    <w:rsid w:val="00495807"/>
    <w:rsid w:val="00495AF6"/>
    <w:rsid w:val="00495ECF"/>
    <w:rsid w:val="00497039"/>
    <w:rsid w:val="00497C26"/>
    <w:rsid w:val="004A04EB"/>
    <w:rsid w:val="004A0533"/>
    <w:rsid w:val="004A06F8"/>
    <w:rsid w:val="004A070D"/>
    <w:rsid w:val="004A0A64"/>
    <w:rsid w:val="004A0C6D"/>
    <w:rsid w:val="004A16E9"/>
    <w:rsid w:val="004A1D09"/>
    <w:rsid w:val="004A2DF5"/>
    <w:rsid w:val="004A314A"/>
    <w:rsid w:val="004A394D"/>
    <w:rsid w:val="004A3D00"/>
    <w:rsid w:val="004A3F87"/>
    <w:rsid w:val="004A4163"/>
    <w:rsid w:val="004A487D"/>
    <w:rsid w:val="004A490B"/>
    <w:rsid w:val="004A4D67"/>
    <w:rsid w:val="004A4E8C"/>
    <w:rsid w:val="004A4EF3"/>
    <w:rsid w:val="004A526E"/>
    <w:rsid w:val="004A5746"/>
    <w:rsid w:val="004A590F"/>
    <w:rsid w:val="004A5AE9"/>
    <w:rsid w:val="004A5FFD"/>
    <w:rsid w:val="004A602E"/>
    <w:rsid w:val="004A699A"/>
    <w:rsid w:val="004A6DA1"/>
    <w:rsid w:val="004A6F9E"/>
    <w:rsid w:val="004A7206"/>
    <w:rsid w:val="004A76E3"/>
    <w:rsid w:val="004B00B7"/>
    <w:rsid w:val="004B010F"/>
    <w:rsid w:val="004B02E9"/>
    <w:rsid w:val="004B0FD3"/>
    <w:rsid w:val="004B13AA"/>
    <w:rsid w:val="004B1710"/>
    <w:rsid w:val="004B1787"/>
    <w:rsid w:val="004B19BD"/>
    <w:rsid w:val="004B1C1A"/>
    <w:rsid w:val="004B1EF0"/>
    <w:rsid w:val="004B2A00"/>
    <w:rsid w:val="004B2ABF"/>
    <w:rsid w:val="004B2C2C"/>
    <w:rsid w:val="004B2CC2"/>
    <w:rsid w:val="004B2ED0"/>
    <w:rsid w:val="004B353D"/>
    <w:rsid w:val="004B38C2"/>
    <w:rsid w:val="004B3C00"/>
    <w:rsid w:val="004B3DC6"/>
    <w:rsid w:val="004B4C1B"/>
    <w:rsid w:val="004B5398"/>
    <w:rsid w:val="004B59C2"/>
    <w:rsid w:val="004B5EF7"/>
    <w:rsid w:val="004B60DC"/>
    <w:rsid w:val="004B6D01"/>
    <w:rsid w:val="004B6E66"/>
    <w:rsid w:val="004B74F4"/>
    <w:rsid w:val="004B7AD1"/>
    <w:rsid w:val="004B7D80"/>
    <w:rsid w:val="004C000E"/>
    <w:rsid w:val="004C02C6"/>
    <w:rsid w:val="004C0777"/>
    <w:rsid w:val="004C07C1"/>
    <w:rsid w:val="004C0824"/>
    <w:rsid w:val="004C0855"/>
    <w:rsid w:val="004C0DF5"/>
    <w:rsid w:val="004C12D3"/>
    <w:rsid w:val="004C153F"/>
    <w:rsid w:val="004C1CA1"/>
    <w:rsid w:val="004C1D0C"/>
    <w:rsid w:val="004C24B7"/>
    <w:rsid w:val="004C2B2F"/>
    <w:rsid w:val="004C2CA7"/>
    <w:rsid w:val="004C2D95"/>
    <w:rsid w:val="004C2E76"/>
    <w:rsid w:val="004C2FF3"/>
    <w:rsid w:val="004C31D7"/>
    <w:rsid w:val="004C32B7"/>
    <w:rsid w:val="004C32F4"/>
    <w:rsid w:val="004C332B"/>
    <w:rsid w:val="004C33D1"/>
    <w:rsid w:val="004C37B3"/>
    <w:rsid w:val="004C3B63"/>
    <w:rsid w:val="004C3EB2"/>
    <w:rsid w:val="004C4118"/>
    <w:rsid w:val="004C445C"/>
    <w:rsid w:val="004C44E8"/>
    <w:rsid w:val="004C4603"/>
    <w:rsid w:val="004C4751"/>
    <w:rsid w:val="004C53C6"/>
    <w:rsid w:val="004C559B"/>
    <w:rsid w:val="004C5611"/>
    <w:rsid w:val="004C5783"/>
    <w:rsid w:val="004C5D69"/>
    <w:rsid w:val="004C5F62"/>
    <w:rsid w:val="004C6990"/>
    <w:rsid w:val="004C69D7"/>
    <w:rsid w:val="004C7196"/>
    <w:rsid w:val="004C729F"/>
    <w:rsid w:val="004C7376"/>
    <w:rsid w:val="004C7406"/>
    <w:rsid w:val="004C750C"/>
    <w:rsid w:val="004C776D"/>
    <w:rsid w:val="004C7997"/>
    <w:rsid w:val="004D0A72"/>
    <w:rsid w:val="004D0BE8"/>
    <w:rsid w:val="004D0D06"/>
    <w:rsid w:val="004D0DC2"/>
    <w:rsid w:val="004D0E34"/>
    <w:rsid w:val="004D1006"/>
    <w:rsid w:val="004D2922"/>
    <w:rsid w:val="004D2F11"/>
    <w:rsid w:val="004D3350"/>
    <w:rsid w:val="004D3E23"/>
    <w:rsid w:val="004D3F04"/>
    <w:rsid w:val="004D41C7"/>
    <w:rsid w:val="004D4372"/>
    <w:rsid w:val="004D45DF"/>
    <w:rsid w:val="004D46CE"/>
    <w:rsid w:val="004D4C1B"/>
    <w:rsid w:val="004D5466"/>
    <w:rsid w:val="004D57F2"/>
    <w:rsid w:val="004D5C00"/>
    <w:rsid w:val="004D5E18"/>
    <w:rsid w:val="004D6779"/>
    <w:rsid w:val="004D711A"/>
    <w:rsid w:val="004D7505"/>
    <w:rsid w:val="004D7706"/>
    <w:rsid w:val="004D7F30"/>
    <w:rsid w:val="004E00EF"/>
    <w:rsid w:val="004E01C8"/>
    <w:rsid w:val="004E0424"/>
    <w:rsid w:val="004E0C0B"/>
    <w:rsid w:val="004E136F"/>
    <w:rsid w:val="004E1BF6"/>
    <w:rsid w:val="004E1E24"/>
    <w:rsid w:val="004E2125"/>
    <w:rsid w:val="004E341D"/>
    <w:rsid w:val="004E346E"/>
    <w:rsid w:val="004E3723"/>
    <w:rsid w:val="004E3A42"/>
    <w:rsid w:val="004E3AFC"/>
    <w:rsid w:val="004E3BBF"/>
    <w:rsid w:val="004E42EC"/>
    <w:rsid w:val="004E4E97"/>
    <w:rsid w:val="004E5525"/>
    <w:rsid w:val="004E593B"/>
    <w:rsid w:val="004E5BB9"/>
    <w:rsid w:val="004E5DAC"/>
    <w:rsid w:val="004E5F8F"/>
    <w:rsid w:val="004E6CFF"/>
    <w:rsid w:val="004E6D75"/>
    <w:rsid w:val="004E7A2B"/>
    <w:rsid w:val="004E7AD4"/>
    <w:rsid w:val="004E7C55"/>
    <w:rsid w:val="004F0007"/>
    <w:rsid w:val="004F0619"/>
    <w:rsid w:val="004F0AC6"/>
    <w:rsid w:val="004F0F12"/>
    <w:rsid w:val="004F1342"/>
    <w:rsid w:val="004F1473"/>
    <w:rsid w:val="004F1649"/>
    <w:rsid w:val="004F1724"/>
    <w:rsid w:val="004F1802"/>
    <w:rsid w:val="004F1AA4"/>
    <w:rsid w:val="004F2248"/>
    <w:rsid w:val="004F2487"/>
    <w:rsid w:val="004F2608"/>
    <w:rsid w:val="004F34B3"/>
    <w:rsid w:val="004F3688"/>
    <w:rsid w:val="004F36A5"/>
    <w:rsid w:val="004F3AAE"/>
    <w:rsid w:val="004F4253"/>
    <w:rsid w:val="004F4406"/>
    <w:rsid w:val="004F448E"/>
    <w:rsid w:val="004F4906"/>
    <w:rsid w:val="004F4BDE"/>
    <w:rsid w:val="004F504F"/>
    <w:rsid w:val="004F5A76"/>
    <w:rsid w:val="004F5F6F"/>
    <w:rsid w:val="004F6214"/>
    <w:rsid w:val="004F6490"/>
    <w:rsid w:val="004F69B5"/>
    <w:rsid w:val="004F6F09"/>
    <w:rsid w:val="004F70CE"/>
    <w:rsid w:val="004F722A"/>
    <w:rsid w:val="004F773E"/>
    <w:rsid w:val="004F7CAC"/>
    <w:rsid w:val="00500D78"/>
    <w:rsid w:val="00500DFC"/>
    <w:rsid w:val="00500F23"/>
    <w:rsid w:val="005010AD"/>
    <w:rsid w:val="0050133D"/>
    <w:rsid w:val="0050175A"/>
    <w:rsid w:val="00501C55"/>
    <w:rsid w:val="00501CC3"/>
    <w:rsid w:val="00501E31"/>
    <w:rsid w:val="00502229"/>
    <w:rsid w:val="005026AC"/>
    <w:rsid w:val="00502E6D"/>
    <w:rsid w:val="00503C86"/>
    <w:rsid w:val="00503E77"/>
    <w:rsid w:val="00504174"/>
    <w:rsid w:val="0050428B"/>
    <w:rsid w:val="00504328"/>
    <w:rsid w:val="00504814"/>
    <w:rsid w:val="00504DA3"/>
    <w:rsid w:val="005053DE"/>
    <w:rsid w:val="00505903"/>
    <w:rsid w:val="00505D9A"/>
    <w:rsid w:val="005064A8"/>
    <w:rsid w:val="005066B9"/>
    <w:rsid w:val="005067D9"/>
    <w:rsid w:val="005068E2"/>
    <w:rsid w:val="00506D0A"/>
    <w:rsid w:val="00506E50"/>
    <w:rsid w:val="00507208"/>
    <w:rsid w:val="005072DF"/>
    <w:rsid w:val="0050764E"/>
    <w:rsid w:val="0050780E"/>
    <w:rsid w:val="0050784C"/>
    <w:rsid w:val="00507E6C"/>
    <w:rsid w:val="0051007D"/>
    <w:rsid w:val="0051021C"/>
    <w:rsid w:val="0051052C"/>
    <w:rsid w:val="00511320"/>
    <w:rsid w:val="005113C2"/>
    <w:rsid w:val="005119C9"/>
    <w:rsid w:val="00512B63"/>
    <w:rsid w:val="00512B93"/>
    <w:rsid w:val="00512BB2"/>
    <w:rsid w:val="00513692"/>
    <w:rsid w:val="00513A5E"/>
    <w:rsid w:val="005143F9"/>
    <w:rsid w:val="00514DDE"/>
    <w:rsid w:val="00514E56"/>
    <w:rsid w:val="0051583C"/>
    <w:rsid w:val="005159FC"/>
    <w:rsid w:val="00516566"/>
    <w:rsid w:val="005166BE"/>
    <w:rsid w:val="00516DD6"/>
    <w:rsid w:val="005170B8"/>
    <w:rsid w:val="005171EB"/>
    <w:rsid w:val="00517B35"/>
    <w:rsid w:val="00517B41"/>
    <w:rsid w:val="005204DB"/>
    <w:rsid w:val="005207E3"/>
    <w:rsid w:val="00520D5D"/>
    <w:rsid w:val="00520D7A"/>
    <w:rsid w:val="00520FC2"/>
    <w:rsid w:val="005212E6"/>
    <w:rsid w:val="005215F4"/>
    <w:rsid w:val="005218C3"/>
    <w:rsid w:val="00522557"/>
    <w:rsid w:val="005229B4"/>
    <w:rsid w:val="00523610"/>
    <w:rsid w:val="00523818"/>
    <w:rsid w:val="00523EA9"/>
    <w:rsid w:val="005243AA"/>
    <w:rsid w:val="00524A2C"/>
    <w:rsid w:val="00524B34"/>
    <w:rsid w:val="0052500F"/>
    <w:rsid w:val="00525D47"/>
    <w:rsid w:val="00526059"/>
    <w:rsid w:val="005262D8"/>
    <w:rsid w:val="005267A1"/>
    <w:rsid w:val="00526922"/>
    <w:rsid w:val="00526B10"/>
    <w:rsid w:val="00526C25"/>
    <w:rsid w:val="00526D09"/>
    <w:rsid w:val="00526F9C"/>
    <w:rsid w:val="0052758B"/>
    <w:rsid w:val="0052783B"/>
    <w:rsid w:val="0053020A"/>
    <w:rsid w:val="00530225"/>
    <w:rsid w:val="00530543"/>
    <w:rsid w:val="0053057D"/>
    <w:rsid w:val="00531776"/>
    <w:rsid w:val="0053182C"/>
    <w:rsid w:val="0053193D"/>
    <w:rsid w:val="00531C11"/>
    <w:rsid w:val="00531D47"/>
    <w:rsid w:val="0053211C"/>
    <w:rsid w:val="005324A3"/>
    <w:rsid w:val="0053350B"/>
    <w:rsid w:val="005336F5"/>
    <w:rsid w:val="005343A7"/>
    <w:rsid w:val="0053458A"/>
    <w:rsid w:val="00534865"/>
    <w:rsid w:val="00534C75"/>
    <w:rsid w:val="00535128"/>
    <w:rsid w:val="0053570C"/>
    <w:rsid w:val="00535BEA"/>
    <w:rsid w:val="00535C74"/>
    <w:rsid w:val="005361AB"/>
    <w:rsid w:val="005363A8"/>
    <w:rsid w:val="005365BB"/>
    <w:rsid w:val="005368B9"/>
    <w:rsid w:val="005368DF"/>
    <w:rsid w:val="00536FCA"/>
    <w:rsid w:val="00537B4A"/>
    <w:rsid w:val="00540187"/>
    <w:rsid w:val="0054057E"/>
    <w:rsid w:val="005406C0"/>
    <w:rsid w:val="005407F4"/>
    <w:rsid w:val="00540EE8"/>
    <w:rsid w:val="005410CB"/>
    <w:rsid w:val="005410EB"/>
    <w:rsid w:val="005414A9"/>
    <w:rsid w:val="005416CF"/>
    <w:rsid w:val="005418F2"/>
    <w:rsid w:val="00541D43"/>
    <w:rsid w:val="00541E11"/>
    <w:rsid w:val="00542068"/>
    <w:rsid w:val="005421E3"/>
    <w:rsid w:val="00542388"/>
    <w:rsid w:val="00542553"/>
    <w:rsid w:val="00542CF5"/>
    <w:rsid w:val="00543835"/>
    <w:rsid w:val="005439E5"/>
    <w:rsid w:val="00543AF9"/>
    <w:rsid w:val="00544134"/>
    <w:rsid w:val="005441F0"/>
    <w:rsid w:val="0054447C"/>
    <w:rsid w:val="0054480C"/>
    <w:rsid w:val="005448B1"/>
    <w:rsid w:val="00544A9C"/>
    <w:rsid w:val="00544B7B"/>
    <w:rsid w:val="00544C74"/>
    <w:rsid w:val="00544CB6"/>
    <w:rsid w:val="00544DE1"/>
    <w:rsid w:val="0054503D"/>
    <w:rsid w:val="00545141"/>
    <w:rsid w:val="005456AD"/>
    <w:rsid w:val="00545978"/>
    <w:rsid w:val="00545BA8"/>
    <w:rsid w:val="00545C33"/>
    <w:rsid w:val="00545D27"/>
    <w:rsid w:val="0054600A"/>
    <w:rsid w:val="00546168"/>
    <w:rsid w:val="00546701"/>
    <w:rsid w:val="00546F85"/>
    <w:rsid w:val="00547079"/>
    <w:rsid w:val="0054788A"/>
    <w:rsid w:val="00547CD2"/>
    <w:rsid w:val="00547FC0"/>
    <w:rsid w:val="0055072B"/>
    <w:rsid w:val="0055088C"/>
    <w:rsid w:val="005508D9"/>
    <w:rsid w:val="00551608"/>
    <w:rsid w:val="00551D45"/>
    <w:rsid w:val="00551DCF"/>
    <w:rsid w:val="00552033"/>
    <w:rsid w:val="0055220F"/>
    <w:rsid w:val="0055252F"/>
    <w:rsid w:val="00552AD5"/>
    <w:rsid w:val="00552D17"/>
    <w:rsid w:val="00552D1E"/>
    <w:rsid w:val="00552E87"/>
    <w:rsid w:val="0055323C"/>
    <w:rsid w:val="005532FE"/>
    <w:rsid w:val="00553303"/>
    <w:rsid w:val="00553446"/>
    <w:rsid w:val="0055359F"/>
    <w:rsid w:val="005535A0"/>
    <w:rsid w:val="005536D4"/>
    <w:rsid w:val="005541F2"/>
    <w:rsid w:val="00555049"/>
    <w:rsid w:val="0055532F"/>
    <w:rsid w:val="00555370"/>
    <w:rsid w:val="005555D8"/>
    <w:rsid w:val="0055573D"/>
    <w:rsid w:val="005558A9"/>
    <w:rsid w:val="00555ACB"/>
    <w:rsid w:val="00555C1F"/>
    <w:rsid w:val="00555C35"/>
    <w:rsid w:val="00555E72"/>
    <w:rsid w:val="00556913"/>
    <w:rsid w:val="00556AB4"/>
    <w:rsid w:val="00557628"/>
    <w:rsid w:val="005576F3"/>
    <w:rsid w:val="0055780A"/>
    <w:rsid w:val="00557C24"/>
    <w:rsid w:val="00557E45"/>
    <w:rsid w:val="00558584"/>
    <w:rsid w:val="00560033"/>
    <w:rsid w:val="005601D1"/>
    <w:rsid w:val="00560B28"/>
    <w:rsid w:val="00560B4A"/>
    <w:rsid w:val="00560BC3"/>
    <w:rsid w:val="00560D73"/>
    <w:rsid w:val="00560E4E"/>
    <w:rsid w:val="00561311"/>
    <w:rsid w:val="00561362"/>
    <w:rsid w:val="00561535"/>
    <w:rsid w:val="005617DF"/>
    <w:rsid w:val="00561A2E"/>
    <w:rsid w:val="00561B10"/>
    <w:rsid w:val="00561D24"/>
    <w:rsid w:val="00561DFC"/>
    <w:rsid w:val="00561E9B"/>
    <w:rsid w:val="0056269D"/>
    <w:rsid w:val="005627B5"/>
    <w:rsid w:val="00562837"/>
    <w:rsid w:val="005628C7"/>
    <w:rsid w:val="0056348D"/>
    <w:rsid w:val="005636DC"/>
    <w:rsid w:val="0056428C"/>
    <w:rsid w:val="0056429D"/>
    <w:rsid w:val="00564574"/>
    <w:rsid w:val="00564718"/>
    <w:rsid w:val="00564C6F"/>
    <w:rsid w:val="00564CD7"/>
    <w:rsid w:val="00564E6F"/>
    <w:rsid w:val="005654BD"/>
    <w:rsid w:val="00565685"/>
    <w:rsid w:val="005657AE"/>
    <w:rsid w:val="00565A06"/>
    <w:rsid w:val="005662B5"/>
    <w:rsid w:val="00566926"/>
    <w:rsid w:val="00566A2D"/>
    <w:rsid w:val="00566AA7"/>
    <w:rsid w:val="00566BB4"/>
    <w:rsid w:val="00567043"/>
    <w:rsid w:val="00567D53"/>
    <w:rsid w:val="00570A57"/>
    <w:rsid w:val="00570CC9"/>
    <w:rsid w:val="005715A6"/>
    <w:rsid w:val="005715AF"/>
    <w:rsid w:val="00571D72"/>
    <w:rsid w:val="005727B6"/>
    <w:rsid w:val="00572EA5"/>
    <w:rsid w:val="0057324A"/>
    <w:rsid w:val="0057373B"/>
    <w:rsid w:val="005737C9"/>
    <w:rsid w:val="005738A6"/>
    <w:rsid w:val="00573A43"/>
    <w:rsid w:val="00573CAC"/>
    <w:rsid w:val="00574E95"/>
    <w:rsid w:val="00575267"/>
    <w:rsid w:val="00575488"/>
    <w:rsid w:val="00575587"/>
    <w:rsid w:val="005758AF"/>
    <w:rsid w:val="00575CAD"/>
    <w:rsid w:val="00576790"/>
    <w:rsid w:val="00576880"/>
    <w:rsid w:val="00576ADE"/>
    <w:rsid w:val="00576C04"/>
    <w:rsid w:val="00576C0D"/>
    <w:rsid w:val="005770BA"/>
    <w:rsid w:val="00577153"/>
    <w:rsid w:val="005773D6"/>
    <w:rsid w:val="00577726"/>
    <w:rsid w:val="00577796"/>
    <w:rsid w:val="005777D8"/>
    <w:rsid w:val="00577CFD"/>
    <w:rsid w:val="00577DEF"/>
    <w:rsid w:val="00577EA2"/>
    <w:rsid w:val="00580550"/>
    <w:rsid w:val="00580818"/>
    <w:rsid w:val="00580A92"/>
    <w:rsid w:val="00580D24"/>
    <w:rsid w:val="005816FD"/>
    <w:rsid w:val="0058289B"/>
    <w:rsid w:val="005829E5"/>
    <w:rsid w:val="0058355B"/>
    <w:rsid w:val="0058358A"/>
    <w:rsid w:val="005842D8"/>
    <w:rsid w:val="00584E71"/>
    <w:rsid w:val="00584F3A"/>
    <w:rsid w:val="00584FA5"/>
    <w:rsid w:val="00585047"/>
    <w:rsid w:val="005859D1"/>
    <w:rsid w:val="00585C09"/>
    <w:rsid w:val="00585D51"/>
    <w:rsid w:val="005864EE"/>
    <w:rsid w:val="00586ACA"/>
    <w:rsid w:val="00586EE2"/>
    <w:rsid w:val="00587810"/>
    <w:rsid w:val="00587922"/>
    <w:rsid w:val="00590694"/>
    <w:rsid w:val="00590781"/>
    <w:rsid w:val="00590AA8"/>
    <w:rsid w:val="00590B1F"/>
    <w:rsid w:val="00590BE3"/>
    <w:rsid w:val="005910B5"/>
    <w:rsid w:val="005926AC"/>
    <w:rsid w:val="00592964"/>
    <w:rsid w:val="00592FC3"/>
    <w:rsid w:val="00593995"/>
    <w:rsid w:val="00593A46"/>
    <w:rsid w:val="00594536"/>
    <w:rsid w:val="005945AA"/>
    <w:rsid w:val="0059485E"/>
    <w:rsid w:val="00594967"/>
    <w:rsid w:val="00594C68"/>
    <w:rsid w:val="005953AA"/>
    <w:rsid w:val="00595502"/>
    <w:rsid w:val="00595861"/>
    <w:rsid w:val="00596335"/>
    <w:rsid w:val="00596704"/>
    <w:rsid w:val="00596BB4"/>
    <w:rsid w:val="00596E6B"/>
    <w:rsid w:val="00597092"/>
    <w:rsid w:val="005970AB"/>
    <w:rsid w:val="00597654"/>
    <w:rsid w:val="00597972"/>
    <w:rsid w:val="00597FAB"/>
    <w:rsid w:val="005A019C"/>
    <w:rsid w:val="005A0543"/>
    <w:rsid w:val="005A09B6"/>
    <w:rsid w:val="005A0B41"/>
    <w:rsid w:val="005A0BEB"/>
    <w:rsid w:val="005A200C"/>
    <w:rsid w:val="005A2468"/>
    <w:rsid w:val="005A3268"/>
    <w:rsid w:val="005A3281"/>
    <w:rsid w:val="005A33F8"/>
    <w:rsid w:val="005A4A3F"/>
    <w:rsid w:val="005A4C43"/>
    <w:rsid w:val="005A50CF"/>
    <w:rsid w:val="005A5926"/>
    <w:rsid w:val="005A5960"/>
    <w:rsid w:val="005A59B8"/>
    <w:rsid w:val="005A64BC"/>
    <w:rsid w:val="005A6A4A"/>
    <w:rsid w:val="005A74BD"/>
    <w:rsid w:val="005A7987"/>
    <w:rsid w:val="005A7BF6"/>
    <w:rsid w:val="005A7E9F"/>
    <w:rsid w:val="005B04CD"/>
    <w:rsid w:val="005B0C07"/>
    <w:rsid w:val="005B0E14"/>
    <w:rsid w:val="005B0E98"/>
    <w:rsid w:val="005B104C"/>
    <w:rsid w:val="005B11D0"/>
    <w:rsid w:val="005B1219"/>
    <w:rsid w:val="005B13AD"/>
    <w:rsid w:val="005B1451"/>
    <w:rsid w:val="005B15B7"/>
    <w:rsid w:val="005B27CB"/>
    <w:rsid w:val="005B29A3"/>
    <w:rsid w:val="005B2C5A"/>
    <w:rsid w:val="005B2E4E"/>
    <w:rsid w:val="005B31B7"/>
    <w:rsid w:val="005B3EA1"/>
    <w:rsid w:val="005B404A"/>
    <w:rsid w:val="005B44D7"/>
    <w:rsid w:val="005B46FD"/>
    <w:rsid w:val="005B470C"/>
    <w:rsid w:val="005B48E9"/>
    <w:rsid w:val="005B4A77"/>
    <w:rsid w:val="005B5528"/>
    <w:rsid w:val="005B5C73"/>
    <w:rsid w:val="005B5DCD"/>
    <w:rsid w:val="005B5DED"/>
    <w:rsid w:val="005B61EA"/>
    <w:rsid w:val="005B6462"/>
    <w:rsid w:val="005B69C5"/>
    <w:rsid w:val="005B6BA7"/>
    <w:rsid w:val="005B6CB7"/>
    <w:rsid w:val="005B7274"/>
    <w:rsid w:val="005B745B"/>
    <w:rsid w:val="005B7758"/>
    <w:rsid w:val="005B7C3A"/>
    <w:rsid w:val="005C0269"/>
    <w:rsid w:val="005C03C8"/>
    <w:rsid w:val="005C0BF1"/>
    <w:rsid w:val="005C0C29"/>
    <w:rsid w:val="005C1223"/>
    <w:rsid w:val="005C1698"/>
    <w:rsid w:val="005C1B1D"/>
    <w:rsid w:val="005C1D85"/>
    <w:rsid w:val="005C2085"/>
    <w:rsid w:val="005C21BD"/>
    <w:rsid w:val="005C2935"/>
    <w:rsid w:val="005C2ADF"/>
    <w:rsid w:val="005C2FDB"/>
    <w:rsid w:val="005C3258"/>
    <w:rsid w:val="005C3265"/>
    <w:rsid w:val="005C336B"/>
    <w:rsid w:val="005C369B"/>
    <w:rsid w:val="005C38DF"/>
    <w:rsid w:val="005C3A10"/>
    <w:rsid w:val="005C3B73"/>
    <w:rsid w:val="005C3CC9"/>
    <w:rsid w:val="005C407E"/>
    <w:rsid w:val="005C457E"/>
    <w:rsid w:val="005C4817"/>
    <w:rsid w:val="005C4C6C"/>
    <w:rsid w:val="005C5122"/>
    <w:rsid w:val="005C5760"/>
    <w:rsid w:val="005C5915"/>
    <w:rsid w:val="005C59AB"/>
    <w:rsid w:val="005C5ADB"/>
    <w:rsid w:val="005C5E86"/>
    <w:rsid w:val="005C6A66"/>
    <w:rsid w:val="005C6C23"/>
    <w:rsid w:val="005C6EE3"/>
    <w:rsid w:val="005C720B"/>
    <w:rsid w:val="005C735A"/>
    <w:rsid w:val="005C793C"/>
    <w:rsid w:val="005C7FA5"/>
    <w:rsid w:val="005D0BC0"/>
    <w:rsid w:val="005D180B"/>
    <w:rsid w:val="005D1D9B"/>
    <w:rsid w:val="005D2271"/>
    <w:rsid w:val="005D3179"/>
    <w:rsid w:val="005D34AC"/>
    <w:rsid w:val="005D34AE"/>
    <w:rsid w:val="005D3CEE"/>
    <w:rsid w:val="005D3EB9"/>
    <w:rsid w:val="005D4164"/>
    <w:rsid w:val="005D41EC"/>
    <w:rsid w:val="005D46BC"/>
    <w:rsid w:val="005D48DB"/>
    <w:rsid w:val="005D49E7"/>
    <w:rsid w:val="005D544C"/>
    <w:rsid w:val="005D575B"/>
    <w:rsid w:val="005D5BA1"/>
    <w:rsid w:val="005D5C71"/>
    <w:rsid w:val="005D674A"/>
    <w:rsid w:val="005D67D8"/>
    <w:rsid w:val="005D697E"/>
    <w:rsid w:val="005D751B"/>
    <w:rsid w:val="005E05B9"/>
    <w:rsid w:val="005E0E8D"/>
    <w:rsid w:val="005E0FB2"/>
    <w:rsid w:val="005E126E"/>
    <w:rsid w:val="005E2B9E"/>
    <w:rsid w:val="005E3CEF"/>
    <w:rsid w:val="005E3FD7"/>
    <w:rsid w:val="005E41A7"/>
    <w:rsid w:val="005E430B"/>
    <w:rsid w:val="005E43C4"/>
    <w:rsid w:val="005E4464"/>
    <w:rsid w:val="005E49B2"/>
    <w:rsid w:val="005E4B08"/>
    <w:rsid w:val="005E4CB2"/>
    <w:rsid w:val="005E4D26"/>
    <w:rsid w:val="005E4F1A"/>
    <w:rsid w:val="005E54A6"/>
    <w:rsid w:val="005E5943"/>
    <w:rsid w:val="005E5EA2"/>
    <w:rsid w:val="005E60B8"/>
    <w:rsid w:val="005E6128"/>
    <w:rsid w:val="005E6358"/>
    <w:rsid w:val="005E637A"/>
    <w:rsid w:val="005E6605"/>
    <w:rsid w:val="005E727F"/>
    <w:rsid w:val="005E7822"/>
    <w:rsid w:val="005F02D8"/>
    <w:rsid w:val="005F0AE8"/>
    <w:rsid w:val="005F188B"/>
    <w:rsid w:val="005F1907"/>
    <w:rsid w:val="005F1AE7"/>
    <w:rsid w:val="005F1FD6"/>
    <w:rsid w:val="005F2515"/>
    <w:rsid w:val="005F27A0"/>
    <w:rsid w:val="005F2A6B"/>
    <w:rsid w:val="005F319B"/>
    <w:rsid w:val="005F3366"/>
    <w:rsid w:val="005F395F"/>
    <w:rsid w:val="005F3F4D"/>
    <w:rsid w:val="005F40C1"/>
    <w:rsid w:val="005F4586"/>
    <w:rsid w:val="005F47D8"/>
    <w:rsid w:val="005F4C19"/>
    <w:rsid w:val="005F4C24"/>
    <w:rsid w:val="005F4D01"/>
    <w:rsid w:val="005F57D7"/>
    <w:rsid w:val="005F5951"/>
    <w:rsid w:val="005F59B5"/>
    <w:rsid w:val="005F5AFA"/>
    <w:rsid w:val="005F5FA4"/>
    <w:rsid w:val="005F60DB"/>
    <w:rsid w:val="005F6237"/>
    <w:rsid w:val="005F668D"/>
    <w:rsid w:val="005F7109"/>
    <w:rsid w:val="005F71E3"/>
    <w:rsid w:val="005F7227"/>
    <w:rsid w:val="005F74BD"/>
    <w:rsid w:val="005F7A76"/>
    <w:rsid w:val="005F7F20"/>
    <w:rsid w:val="00600844"/>
    <w:rsid w:val="006008E0"/>
    <w:rsid w:val="00600A39"/>
    <w:rsid w:val="00601BA2"/>
    <w:rsid w:val="00601D12"/>
    <w:rsid w:val="00601E77"/>
    <w:rsid w:val="00601F9C"/>
    <w:rsid w:val="006024D3"/>
    <w:rsid w:val="0060275F"/>
    <w:rsid w:val="0060286D"/>
    <w:rsid w:val="00602F01"/>
    <w:rsid w:val="006033B2"/>
    <w:rsid w:val="00603582"/>
    <w:rsid w:val="00603B6F"/>
    <w:rsid w:val="00603F37"/>
    <w:rsid w:val="00604840"/>
    <w:rsid w:val="006049C5"/>
    <w:rsid w:val="00604D0F"/>
    <w:rsid w:val="00604E4E"/>
    <w:rsid w:val="006051B8"/>
    <w:rsid w:val="006058D8"/>
    <w:rsid w:val="006061C7"/>
    <w:rsid w:val="0060640E"/>
    <w:rsid w:val="00606BA0"/>
    <w:rsid w:val="00606CF0"/>
    <w:rsid w:val="00606EF9"/>
    <w:rsid w:val="0060700A"/>
    <w:rsid w:val="0060706A"/>
    <w:rsid w:val="00607146"/>
    <w:rsid w:val="0060718A"/>
    <w:rsid w:val="006075B7"/>
    <w:rsid w:val="00607758"/>
    <w:rsid w:val="00607C01"/>
    <w:rsid w:val="00607C81"/>
    <w:rsid w:val="00610123"/>
    <w:rsid w:val="00610582"/>
    <w:rsid w:val="00610602"/>
    <w:rsid w:val="00610674"/>
    <w:rsid w:val="0061082C"/>
    <w:rsid w:val="00610D5E"/>
    <w:rsid w:val="006110E8"/>
    <w:rsid w:val="00611156"/>
    <w:rsid w:val="006112E3"/>
    <w:rsid w:val="00611368"/>
    <w:rsid w:val="0061146B"/>
    <w:rsid w:val="006115DA"/>
    <w:rsid w:val="0061218F"/>
    <w:rsid w:val="006124F8"/>
    <w:rsid w:val="00613467"/>
    <w:rsid w:val="0061350E"/>
    <w:rsid w:val="00613512"/>
    <w:rsid w:val="00613909"/>
    <w:rsid w:val="00613BEF"/>
    <w:rsid w:val="00613DC5"/>
    <w:rsid w:val="00614BAE"/>
    <w:rsid w:val="00614CB9"/>
    <w:rsid w:val="00614CCD"/>
    <w:rsid w:val="006150A4"/>
    <w:rsid w:val="006152AE"/>
    <w:rsid w:val="006153CE"/>
    <w:rsid w:val="006157B0"/>
    <w:rsid w:val="00615950"/>
    <w:rsid w:val="00615E5F"/>
    <w:rsid w:val="00615FB0"/>
    <w:rsid w:val="00616726"/>
    <w:rsid w:val="00616C56"/>
    <w:rsid w:val="006177C4"/>
    <w:rsid w:val="00617BB5"/>
    <w:rsid w:val="0062027A"/>
    <w:rsid w:val="006204BC"/>
    <w:rsid w:val="0062059E"/>
    <w:rsid w:val="006209CB"/>
    <w:rsid w:val="006213B3"/>
    <w:rsid w:val="00621B7E"/>
    <w:rsid w:val="00621FC5"/>
    <w:rsid w:val="00622555"/>
    <w:rsid w:val="00623092"/>
    <w:rsid w:val="006233FE"/>
    <w:rsid w:val="00623454"/>
    <w:rsid w:val="006235DC"/>
    <w:rsid w:val="00623766"/>
    <w:rsid w:val="0062398E"/>
    <w:rsid w:val="00623B3C"/>
    <w:rsid w:val="00623C4F"/>
    <w:rsid w:val="00624315"/>
    <w:rsid w:val="00624407"/>
    <w:rsid w:val="00624428"/>
    <w:rsid w:val="006244B2"/>
    <w:rsid w:val="006245AB"/>
    <w:rsid w:val="00624778"/>
    <w:rsid w:val="00624DC3"/>
    <w:rsid w:val="00624EC4"/>
    <w:rsid w:val="00625098"/>
    <w:rsid w:val="00625386"/>
    <w:rsid w:val="0062545B"/>
    <w:rsid w:val="0062552A"/>
    <w:rsid w:val="0062584E"/>
    <w:rsid w:val="00626525"/>
    <w:rsid w:val="00626A1B"/>
    <w:rsid w:val="00627226"/>
    <w:rsid w:val="0062726F"/>
    <w:rsid w:val="00627A86"/>
    <w:rsid w:val="00627CBD"/>
    <w:rsid w:val="00630311"/>
    <w:rsid w:val="00630496"/>
    <w:rsid w:val="0063092B"/>
    <w:rsid w:val="006310F9"/>
    <w:rsid w:val="00631909"/>
    <w:rsid w:val="00632206"/>
    <w:rsid w:val="00632337"/>
    <w:rsid w:val="00632685"/>
    <w:rsid w:val="00632909"/>
    <w:rsid w:val="006330C2"/>
    <w:rsid w:val="006332BE"/>
    <w:rsid w:val="00633377"/>
    <w:rsid w:val="006333C5"/>
    <w:rsid w:val="0063425A"/>
    <w:rsid w:val="00634458"/>
    <w:rsid w:val="00634555"/>
    <w:rsid w:val="00634FAA"/>
    <w:rsid w:val="006352FE"/>
    <w:rsid w:val="0063554C"/>
    <w:rsid w:val="00635BDC"/>
    <w:rsid w:val="00636499"/>
    <w:rsid w:val="006367D5"/>
    <w:rsid w:val="006368F9"/>
    <w:rsid w:val="00636D93"/>
    <w:rsid w:val="00636FA7"/>
    <w:rsid w:val="0063751F"/>
    <w:rsid w:val="00637C5B"/>
    <w:rsid w:val="006408C3"/>
    <w:rsid w:val="00640E65"/>
    <w:rsid w:val="00641980"/>
    <w:rsid w:val="006419AE"/>
    <w:rsid w:val="00641B40"/>
    <w:rsid w:val="00641F9D"/>
    <w:rsid w:val="006423C7"/>
    <w:rsid w:val="00642823"/>
    <w:rsid w:val="006428AF"/>
    <w:rsid w:val="0064290C"/>
    <w:rsid w:val="00642C46"/>
    <w:rsid w:val="0064335E"/>
    <w:rsid w:val="0064344A"/>
    <w:rsid w:val="006436B7"/>
    <w:rsid w:val="00643D40"/>
    <w:rsid w:val="00643FF8"/>
    <w:rsid w:val="0064475F"/>
    <w:rsid w:val="006448C0"/>
    <w:rsid w:val="00644B1E"/>
    <w:rsid w:val="006450E2"/>
    <w:rsid w:val="006454BB"/>
    <w:rsid w:val="006454BE"/>
    <w:rsid w:val="00645710"/>
    <w:rsid w:val="00645AB3"/>
    <w:rsid w:val="00645D80"/>
    <w:rsid w:val="00646052"/>
    <w:rsid w:val="006460DC"/>
    <w:rsid w:val="0064620D"/>
    <w:rsid w:val="006462DD"/>
    <w:rsid w:val="0064658E"/>
    <w:rsid w:val="00646605"/>
    <w:rsid w:val="00646765"/>
    <w:rsid w:val="00646AFF"/>
    <w:rsid w:val="00646F6D"/>
    <w:rsid w:val="0064719A"/>
    <w:rsid w:val="0064794A"/>
    <w:rsid w:val="00647FEE"/>
    <w:rsid w:val="00650A21"/>
    <w:rsid w:val="00650FEC"/>
    <w:rsid w:val="006519DF"/>
    <w:rsid w:val="006519FF"/>
    <w:rsid w:val="00651DED"/>
    <w:rsid w:val="0065202D"/>
    <w:rsid w:val="0065226B"/>
    <w:rsid w:val="00652294"/>
    <w:rsid w:val="00652AF2"/>
    <w:rsid w:val="00652E93"/>
    <w:rsid w:val="00652F35"/>
    <w:rsid w:val="006537E7"/>
    <w:rsid w:val="00653871"/>
    <w:rsid w:val="00653973"/>
    <w:rsid w:val="00653B25"/>
    <w:rsid w:val="00653C23"/>
    <w:rsid w:val="00653E56"/>
    <w:rsid w:val="00653F57"/>
    <w:rsid w:val="00654009"/>
    <w:rsid w:val="0065434B"/>
    <w:rsid w:val="0065455C"/>
    <w:rsid w:val="006545E6"/>
    <w:rsid w:val="006546A7"/>
    <w:rsid w:val="00654709"/>
    <w:rsid w:val="00654B74"/>
    <w:rsid w:val="00654CE4"/>
    <w:rsid w:val="00654D1E"/>
    <w:rsid w:val="00655158"/>
    <w:rsid w:val="006556D1"/>
    <w:rsid w:val="006558BD"/>
    <w:rsid w:val="00655BA3"/>
    <w:rsid w:val="00655C76"/>
    <w:rsid w:val="00655D36"/>
    <w:rsid w:val="006562AA"/>
    <w:rsid w:val="00656679"/>
    <w:rsid w:val="006568AF"/>
    <w:rsid w:val="00656A27"/>
    <w:rsid w:val="00656E6E"/>
    <w:rsid w:val="00657124"/>
    <w:rsid w:val="00657412"/>
    <w:rsid w:val="00657754"/>
    <w:rsid w:val="00657FA2"/>
    <w:rsid w:val="0066087C"/>
    <w:rsid w:val="006608E5"/>
    <w:rsid w:val="00661505"/>
    <w:rsid w:val="0066151B"/>
    <w:rsid w:val="00661836"/>
    <w:rsid w:val="006618AA"/>
    <w:rsid w:val="00661FE1"/>
    <w:rsid w:val="00662DFF"/>
    <w:rsid w:val="00663296"/>
    <w:rsid w:val="00663CEF"/>
    <w:rsid w:val="00663F6D"/>
    <w:rsid w:val="00664290"/>
    <w:rsid w:val="00664356"/>
    <w:rsid w:val="00664C6F"/>
    <w:rsid w:val="00664FA0"/>
    <w:rsid w:val="006652C8"/>
    <w:rsid w:val="0066533E"/>
    <w:rsid w:val="006657B7"/>
    <w:rsid w:val="00665A4E"/>
    <w:rsid w:val="00665CCD"/>
    <w:rsid w:val="00665FC6"/>
    <w:rsid w:val="006663C2"/>
    <w:rsid w:val="00667104"/>
    <w:rsid w:val="006672D0"/>
    <w:rsid w:val="00667532"/>
    <w:rsid w:val="006675C2"/>
    <w:rsid w:val="00667B00"/>
    <w:rsid w:val="00667CBF"/>
    <w:rsid w:val="006700B2"/>
    <w:rsid w:val="006701F6"/>
    <w:rsid w:val="006704F3"/>
    <w:rsid w:val="00671405"/>
    <w:rsid w:val="0067168D"/>
    <w:rsid w:val="006717FC"/>
    <w:rsid w:val="006718A3"/>
    <w:rsid w:val="00671D15"/>
    <w:rsid w:val="00671E27"/>
    <w:rsid w:val="00672120"/>
    <w:rsid w:val="00672285"/>
    <w:rsid w:val="0067327D"/>
    <w:rsid w:val="00673352"/>
    <w:rsid w:val="00673575"/>
    <w:rsid w:val="00673843"/>
    <w:rsid w:val="006739BB"/>
    <w:rsid w:val="00673B9F"/>
    <w:rsid w:val="00673E6C"/>
    <w:rsid w:val="00673EF4"/>
    <w:rsid w:val="006740AA"/>
    <w:rsid w:val="00674865"/>
    <w:rsid w:val="0067513B"/>
    <w:rsid w:val="0067575B"/>
    <w:rsid w:val="00675B74"/>
    <w:rsid w:val="00676A04"/>
    <w:rsid w:val="00676E15"/>
    <w:rsid w:val="006770D5"/>
    <w:rsid w:val="0067716F"/>
    <w:rsid w:val="006777BD"/>
    <w:rsid w:val="00680168"/>
    <w:rsid w:val="0068078B"/>
    <w:rsid w:val="00681BCF"/>
    <w:rsid w:val="00681C5B"/>
    <w:rsid w:val="00682309"/>
    <w:rsid w:val="006823B6"/>
    <w:rsid w:val="006825F0"/>
    <w:rsid w:val="00682D62"/>
    <w:rsid w:val="00682E65"/>
    <w:rsid w:val="00682E69"/>
    <w:rsid w:val="00682EB2"/>
    <w:rsid w:val="00683158"/>
    <w:rsid w:val="00683185"/>
    <w:rsid w:val="00683405"/>
    <w:rsid w:val="00683468"/>
    <w:rsid w:val="006834CF"/>
    <w:rsid w:val="0068368C"/>
    <w:rsid w:val="00683955"/>
    <w:rsid w:val="00683F83"/>
    <w:rsid w:val="0068414F"/>
    <w:rsid w:val="00684194"/>
    <w:rsid w:val="0068446B"/>
    <w:rsid w:val="006850B1"/>
    <w:rsid w:val="00685568"/>
    <w:rsid w:val="006856EA"/>
    <w:rsid w:val="006857B0"/>
    <w:rsid w:val="00685953"/>
    <w:rsid w:val="0068650C"/>
    <w:rsid w:val="006869F5"/>
    <w:rsid w:val="00686A71"/>
    <w:rsid w:val="00686B66"/>
    <w:rsid w:val="00686E09"/>
    <w:rsid w:val="00686ECA"/>
    <w:rsid w:val="006871A1"/>
    <w:rsid w:val="00687C51"/>
    <w:rsid w:val="00687D83"/>
    <w:rsid w:val="00687DEB"/>
    <w:rsid w:val="006909B7"/>
    <w:rsid w:val="00690BE3"/>
    <w:rsid w:val="0069123E"/>
    <w:rsid w:val="00691913"/>
    <w:rsid w:val="006919AF"/>
    <w:rsid w:val="00691A73"/>
    <w:rsid w:val="00692612"/>
    <w:rsid w:val="0069269A"/>
    <w:rsid w:val="00692C27"/>
    <w:rsid w:val="00693399"/>
    <w:rsid w:val="006936AF"/>
    <w:rsid w:val="00694083"/>
    <w:rsid w:val="00694434"/>
    <w:rsid w:val="0069459C"/>
    <w:rsid w:val="00694BDA"/>
    <w:rsid w:val="00694D15"/>
    <w:rsid w:val="00694E75"/>
    <w:rsid w:val="006953FF"/>
    <w:rsid w:val="006964AD"/>
    <w:rsid w:val="0069681D"/>
    <w:rsid w:val="00696C08"/>
    <w:rsid w:val="00696F95"/>
    <w:rsid w:val="00697688"/>
    <w:rsid w:val="006978CE"/>
    <w:rsid w:val="00697C25"/>
    <w:rsid w:val="00697DC4"/>
    <w:rsid w:val="00697FED"/>
    <w:rsid w:val="006A0DD1"/>
    <w:rsid w:val="006A12BA"/>
    <w:rsid w:val="006A138B"/>
    <w:rsid w:val="006A1569"/>
    <w:rsid w:val="006A15B9"/>
    <w:rsid w:val="006A1684"/>
    <w:rsid w:val="006A239A"/>
    <w:rsid w:val="006A23E5"/>
    <w:rsid w:val="006A2795"/>
    <w:rsid w:val="006A311A"/>
    <w:rsid w:val="006A3756"/>
    <w:rsid w:val="006A4612"/>
    <w:rsid w:val="006A4DBD"/>
    <w:rsid w:val="006A501E"/>
    <w:rsid w:val="006A5526"/>
    <w:rsid w:val="006A560A"/>
    <w:rsid w:val="006A565C"/>
    <w:rsid w:val="006A57A4"/>
    <w:rsid w:val="006A6030"/>
    <w:rsid w:val="006A6380"/>
    <w:rsid w:val="006A6997"/>
    <w:rsid w:val="006A69D8"/>
    <w:rsid w:val="006A72E1"/>
    <w:rsid w:val="006A74FD"/>
    <w:rsid w:val="006A7879"/>
    <w:rsid w:val="006A7DE6"/>
    <w:rsid w:val="006A7F51"/>
    <w:rsid w:val="006B01D1"/>
    <w:rsid w:val="006B0322"/>
    <w:rsid w:val="006B0480"/>
    <w:rsid w:val="006B0DBB"/>
    <w:rsid w:val="006B1029"/>
    <w:rsid w:val="006B140A"/>
    <w:rsid w:val="006B14B4"/>
    <w:rsid w:val="006B15B4"/>
    <w:rsid w:val="006B1D17"/>
    <w:rsid w:val="006B1FAF"/>
    <w:rsid w:val="006B2ADD"/>
    <w:rsid w:val="006B2BEF"/>
    <w:rsid w:val="006B32AD"/>
    <w:rsid w:val="006B3435"/>
    <w:rsid w:val="006B3644"/>
    <w:rsid w:val="006B3C9D"/>
    <w:rsid w:val="006B3E2B"/>
    <w:rsid w:val="006B3F21"/>
    <w:rsid w:val="006B4323"/>
    <w:rsid w:val="006B4812"/>
    <w:rsid w:val="006B53A7"/>
    <w:rsid w:val="006B5C0E"/>
    <w:rsid w:val="006B5D29"/>
    <w:rsid w:val="006B6044"/>
    <w:rsid w:val="006B60D0"/>
    <w:rsid w:val="006B6424"/>
    <w:rsid w:val="006B658D"/>
    <w:rsid w:val="006B66F9"/>
    <w:rsid w:val="006B6847"/>
    <w:rsid w:val="006B69D3"/>
    <w:rsid w:val="006B6D8C"/>
    <w:rsid w:val="006B6DD8"/>
    <w:rsid w:val="006B6DE4"/>
    <w:rsid w:val="006B6DF1"/>
    <w:rsid w:val="006B6EBA"/>
    <w:rsid w:val="006B7CA1"/>
    <w:rsid w:val="006B7D34"/>
    <w:rsid w:val="006B7FCF"/>
    <w:rsid w:val="006C014A"/>
    <w:rsid w:val="006C0504"/>
    <w:rsid w:val="006C0574"/>
    <w:rsid w:val="006C0974"/>
    <w:rsid w:val="006C098C"/>
    <w:rsid w:val="006C1FCA"/>
    <w:rsid w:val="006C2191"/>
    <w:rsid w:val="006C2309"/>
    <w:rsid w:val="006C2E38"/>
    <w:rsid w:val="006C3222"/>
    <w:rsid w:val="006C32B8"/>
    <w:rsid w:val="006C356C"/>
    <w:rsid w:val="006C363E"/>
    <w:rsid w:val="006C3C9E"/>
    <w:rsid w:val="006C3D0A"/>
    <w:rsid w:val="006C45A0"/>
    <w:rsid w:val="006C4906"/>
    <w:rsid w:val="006C4945"/>
    <w:rsid w:val="006C4965"/>
    <w:rsid w:val="006C4B9E"/>
    <w:rsid w:val="006C4CC5"/>
    <w:rsid w:val="006C4FE6"/>
    <w:rsid w:val="006C504B"/>
    <w:rsid w:val="006C51D9"/>
    <w:rsid w:val="006C5E7C"/>
    <w:rsid w:val="006C5F03"/>
    <w:rsid w:val="006C6510"/>
    <w:rsid w:val="006C6863"/>
    <w:rsid w:val="006C6AA6"/>
    <w:rsid w:val="006C6B73"/>
    <w:rsid w:val="006C7021"/>
    <w:rsid w:val="006C72A7"/>
    <w:rsid w:val="006C73B7"/>
    <w:rsid w:val="006C766A"/>
    <w:rsid w:val="006D0082"/>
    <w:rsid w:val="006D0107"/>
    <w:rsid w:val="006D077E"/>
    <w:rsid w:val="006D08E7"/>
    <w:rsid w:val="006D0A30"/>
    <w:rsid w:val="006D0D25"/>
    <w:rsid w:val="006D1234"/>
    <w:rsid w:val="006D19BF"/>
    <w:rsid w:val="006D1C89"/>
    <w:rsid w:val="006D1F0D"/>
    <w:rsid w:val="006D2337"/>
    <w:rsid w:val="006D28B0"/>
    <w:rsid w:val="006D296F"/>
    <w:rsid w:val="006D2F57"/>
    <w:rsid w:val="006D3271"/>
    <w:rsid w:val="006D33C5"/>
    <w:rsid w:val="006D36DE"/>
    <w:rsid w:val="006D38C1"/>
    <w:rsid w:val="006D39B6"/>
    <w:rsid w:val="006D3B12"/>
    <w:rsid w:val="006D3D7E"/>
    <w:rsid w:val="006D426C"/>
    <w:rsid w:val="006D4357"/>
    <w:rsid w:val="006D491D"/>
    <w:rsid w:val="006D4D67"/>
    <w:rsid w:val="006D4E1F"/>
    <w:rsid w:val="006D5542"/>
    <w:rsid w:val="006D5682"/>
    <w:rsid w:val="006D5767"/>
    <w:rsid w:val="006D5B03"/>
    <w:rsid w:val="006D5D03"/>
    <w:rsid w:val="006D5F43"/>
    <w:rsid w:val="006D6023"/>
    <w:rsid w:val="006D695A"/>
    <w:rsid w:val="006D69E7"/>
    <w:rsid w:val="006D7011"/>
    <w:rsid w:val="006D75DF"/>
    <w:rsid w:val="006D7853"/>
    <w:rsid w:val="006D7AE1"/>
    <w:rsid w:val="006D7B8E"/>
    <w:rsid w:val="006D7D25"/>
    <w:rsid w:val="006E0073"/>
    <w:rsid w:val="006E0489"/>
    <w:rsid w:val="006E053D"/>
    <w:rsid w:val="006E0661"/>
    <w:rsid w:val="006E0CD5"/>
    <w:rsid w:val="006E1723"/>
    <w:rsid w:val="006E1895"/>
    <w:rsid w:val="006E21A4"/>
    <w:rsid w:val="006E2309"/>
    <w:rsid w:val="006E28A1"/>
    <w:rsid w:val="006E30B3"/>
    <w:rsid w:val="006E3EA4"/>
    <w:rsid w:val="006E543E"/>
    <w:rsid w:val="006E54FC"/>
    <w:rsid w:val="006E613D"/>
    <w:rsid w:val="006E6814"/>
    <w:rsid w:val="006E7166"/>
    <w:rsid w:val="006E7302"/>
    <w:rsid w:val="006E7BE2"/>
    <w:rsid w:val="006E7D56"/>
    <w:rsid w:val="006E7E92"/>
    <w:rsid w:val="006F035E"/>
    <w:rsid w:val="006F067D"/>
    <w:rsid w:val="006F09E4"/>
    <w:rsid w:val="006F0D4F"/>
    <w:rsid w:val="006F1125"/>
    <w:rsid w:val="006F161E"/>
    <w:rsid w:val="006F195D"/>
    <w:rsid w:val="006F19AB"/>
    <w:rsid w:val="006F1A2E"/>
    <w:rsid w:val="006F1BB3"/>
    <w:rsid w:val="006F1D04"/>
    <w:rsid w:val="006F20BA"/>
    <w:rsid w:val="006F21CC"/>
    <w:rsid w:val="006F2B9A"/>
    <w:rsid w:val="006F2FC5"/>
    <w:rsid w:val="006F350A"/>
    <w:rsid w:val="006F401E"/>
    <w:rsid w:val="006F47C7"/>
    <w:rsid w:val="006F4DE3"/>
    <w:rsid w:val="006F5136"/>
    <w:rsid w:val="006F5566"/>
    <w:rsid w:val="006F5AA1"/>
    <w:rsid w:val="006F7112"/>
    <w:rsid w:val="007000F3"/>
    <w:rsid w:val="00700459"/>
    <w:rsid w:val="00700467"/>
    <w:rsid w:val="00700AAE"/>
    <w:rsid w:val="00700BFE"/>
    <w:rsid w:val="00700DCD"/>
    <w:rsid w:val="00700FE7"/>
    <w:rsid w:val="00701035"/>
    <w:rsid w:val="0070112E"/>
    <w:rsid w:val="00701832"/>
    <w:rsid w:val="0070210E"/>
    <w:rsid w:val="00703418"/>
    <w:rsid w:val="00703746"/>
    <w:rsid w:val="00703859"/>
    <w:rsid w:val="00703B4F"/>
    <w:rsid w:val="0070412A"/>
    <w:rsid w:val="00704332"/>
    <w:rsid w:val="0070459F"/>
    <w:rsid w:val="00704D19"/>
    <w:rsid w:val="0070500B"/>
    <w:rsid w:val="00705685"/>
    <w:rsid w:val="00705B5E"/>
    <w:rsid w:val="007061AA"/>
    <w:rsid w:val="007062CD"/>
    <w:rsid w:val="007063D3"/>
    <w:rsid w:val="007065BF"/>
    <w:rsid w:val="007065CA"/>
    <w:rsid w:val="00706CB5"/>
    <w:rsid w:val="00707A13"/>
    <w:rsid w:val="00707B52"/>
    <w:rsid w:val="00710366"/>
    <w:rsid w:val="00710485"/>
    <w:rsid w:val="007104F8"/>
    <w:rsid w:val="00710553"/>
    <w:rsid w:val="007109D8"/>
    <w:rsid w:val="00710FDD"/>
    <w:rsid w:val="007115E8"/>
    <w:rsid w:val="00711834"/>
    <w:rsid w:val="00711B5B"/>
    <w:rsid w:val="00711E18"/>
    <w:rsid w:val="007121DC"/>
    <w:rsid w:val="007122FB"/>
    <w:rsid w:val="00712C73"/>
    <w:rsid w:val="00712DA4"/>
    <w:rsid w:val="00712EE3"/>
    <w:rsid w:val="007130FB"/>
    <w:rsid w:val="0071362E"/>
    <w:rsid w:val="00714072"/>
    <w:rsid w:val="0071407D"/>
    <w:rsid w:val="00714E0D"/>
    <w:rsid w:val="00715033"/>
    <w:rsid w:val="0071514A"/>
    <w:rsid w:val="007151DA"/>
    <w:rsid w:val="00715245"/>
    <w:rsid w:val="007157E7"/>
    <w:rsid w:val="00715961"/>
    <w:rsid w:val="00715D8C"/>
    <w:rsid w:val="00716AF0"/>
    <w:rsid w:val="00717855"/>
    <w:rsid w:val="00717980"/>
    <w:rsid w:val="00717C8E"/>
    <w:rsid w:val="00717D27"/>
    <w:rsid w:val="00717D63"/>
    <w:rsid w:val="00720200"/>
    <w:rsid w:val="007202A3"/>
    <w:rsid w:val="0072045B"/>
    <w:rsid w:val="00720823"/>
    <w:rsid w:val="007209BA"/>
    <w:rsid w:val="00720C66"/>
    <w:rsid w:val="00720D51"/>
    <w:rsid w:val="00720E59"/>
    <w:rsid w:val="00721418"/>
    <w:rsid w:val="00721551"/>
    <w:rsid w:val="00721B08"/>
    <w:rsid w:val="00721E63"/>
    <w:rsid w:val="00722107"/>
    <w:rsid w:val="00722446"/>
    <w:rsid w:val="00722B3C"/>
    <w:rsid w:val="0072376F"/>
    <w:rsid w:val="00723937"/>
    <w:rsid w:val="0072398A"/>
    <w:rsid w:val="00723E1E"/>
    <w:rsid w:val="007242C9"/>
    <w:rsid w:val="00724963"/>
    <w:rsid w:val="00724AC2"/>
    <w:rsid w:val="00724DA0"/>
    <w:rsid w:val="007250A1"/>
    <w:rsid w:val="007251B6"/>
    <w:rsid w:val="007252ED"/>
    <w:rsid w:val="007255E2"/>
    <w:rsid w:val="00725B65"/>
    <w:rsid w:val="0072667A"/>
    <w:rsid w:val="00726742"/>
    <w:rsid w:val="0072685C"/>
    <w:rsid w:val="00726A03"/>
    <w:rsid w:val="00726DBD"/>
    <w:rsid w:val="00727834"/>
    <w:rsid w:val="0073013F"/>
    <w:rsid w:val="00730472"/>
    <w:rsid w:val="00730D7F"/>
    <w:rsid w:val="007315DD"/>
    <w:rsid w:val="007315F0"/>
    <w:rsid w:val="0073199D"/>
    <w:rsid w:val="0073232B"/>
    <w:rsid w:val="00732605"/>
    <w:rsid w:val="00732654"/>
    <w:rsid w:val="00732B32"/>
    <w:rsid w:val="00733222"/>
    <w:rsid w:val="007333C0"/>
    <w:rsid w:val="00733480"/>
    <w:rsid w:val="007335B2"/>
    <w:rsid w:val="00733833"/>
    <w:rsid w:val="0073395E"/>
    <w:rsid w:val="00734036"/>
    <w:rsid w:val="007344F6"/>
    <w:rsid w:val="00734C56"/>
    <w:rsid w:val="007350B9"/>
    <w:rsid w:val="00735846"/>
    <w:rsid w:val="0073593C"/>
    <w:rsid w:val="00735A8B"/>
    <w:rsid w:val="00735AF8"/>
    <w:rsid w:val="00735BB5"/>
    <w:rsid w:val="00735C1F"/>
    <w:rsid w:val="007366D4"/>
    <w:rsid w:val="00736883"/>
    <w:rsid w:val="00736B84"/>
    <w:rsid w:val="00736C72"/>
    <w:rsid w:val="0073768F"/>
    <w:rsid w:val="00737AC2"/>
    <w:rsid w:val="0074029C"/>
    <w:rsid w:val="007408F2"/>
    <w:rsid w:val="00740AB7"/>
    <w:rsid w:val="00741B14"/>
    <w:rsid w:val="00741C7D"/>
    <w:rsid w:val="00742062"/>
    <w:rsid w:val="007427C2"/>
    <w:rsid w:val="007429D0"/>
    <w:rsid w:val="00742D9B"/>
    <w:rsid w:val="00743040"/>
    <w:rsid w:val="007431E2"/>
    <w:rsid w:val="00743368"/>
    <w:rsid w:val="007437D6"/>
    <w:rsid w:val="00743B80"/>
    <w:rsid w:val="00743F72"/>
    <w:rsid w:val="00744331"/>
    <w:rsid w:val="0074483B"/>
    <w:rsid w:val="00745348"/>
    <w:rsid w:val="00745D67"/>
    <w:rsid w:val="00746046"/>
    <w:rsid w:val="0074646B"/>
    <w:rsid w:val="007464E7"/>
    <w:rsid w:val="00747028"/>
    <w:rsid w:val="0074719F"/>
    <w:rsid w:val="00747205"/>
    <w:rsid w:val="00747380"/>
    <w:rsid w:val="007473FA"/>
    <w:rsid w:val="00747C78"/>
    <w:rsid w:val="00747C80"/>
    <w:rsid w:val="0074BE0C"/>
    <w:rsid w:val="007503C5"/>
    <w:rsid w:val="00750420"/>
    <w:rsid w:val="00750704"/>
    <w:rsid w:val="0075082C"/>
    <w:rsid w:val="007509A6"/>
    <w:rsid w:val="00750B5A"/>
    <w:rsid w:val="00750DEB"/>
    <w:rsid w:val="00750EA8"/>
    <w:rsid w:val="007512D8"/>
    <w:rsid w:val="00751710"/>
    <w:rsid w:val="00751C6B"/>
    <w:rsid w:val="00751ED7"/>
    <w:rsid w:val="00751F15"/>
    <w:rsid w:val="007521CA"/>
    <w:rsid w:val="0075241D"/>
    <w:rsid w:val="00752879"/>
    <w:rsid w:val="00752D9E"/>
    <w:rsid w:val="00752E97"/>
    <w:rsid w:val="00753F52"/>
    <w:rsid w:val="00754410"/>
    <w:rsid w:val="00754475"/>
    <w:rsid w:val="007544AE"/>
    <w:rsid w:val="00754E85"/>
    <w:rsid w:val="0075506E"/>
    <w:rsid w:val="007558FA"/>
    <w:rsid w:val="00756285"/>
    <w:rsid w:val="00756AD4"/>
    <w:rsid w:val="00756C5B"/>
    <w:rsid w:val="0075714A"/>
    <w:rsid w:val="007571CC"/>
    <w:rsid w:val="007574CC"/>
    <w:rsid w:val="00760253"/>
    <w:rsid w:val="007602A5"/>
    <w:rsid w:val="00760494"/>
    <w:rsid w:val="007604D6"/>
    <w:rsid w:val="00760D90"/>
    <w:rsid w:val="00761241"/>
    <w:rsid w:val="0076136F"/>
    <w:rsid w:val="00761BBF"/>
    <w:rsid w:val="00762373"/>
    <w:rsid w:val="00763689"/>
    <w:rsid w:val="00763EF4"/>
    <w:rsid w:val="007642A4"/>
    <w:rsid w:val="0076446C"/>
    <w:rsid w:val="00764A97"/>
    <w:rsid w:val="00764BF4"/>
    <w:rsid w:val="00765026"/>
    <w:rsid w:val="007658E5"/>
    <w:rsid w:val="00765EDC"/>
    <w:rsid w:val="00765FD1"/>
    <w:rsid w:val="007666A4"/>
    <w:rsid w:val="007668B5"/>
    <w:rsid w:val="00766A00"/>
    <w:rsid w:val="00766D14"/>
    <w:rsid w:val="00767317"/>
    <w:rsid w:val="00770279"/>
    <w:rsid w:val="00770290"/>
    <w:rsid w:val="00770925"/>
    <w:rsid w:val="00770966"/>
    <w:rsid w:val="007709CD"/>
    <w:rsid w:val="00770B8E"/>
    <w:rsid w:val="00770EA7"/>
    <w:rsid w:val="00771B0C"/>
    <w:rsid w:val="00771F25"/>
    <w:rsid w:val="00772119"/>
    <w:rsid w:val="0077227A"/>
    <w:rsid w:val="00772C70"/>
    <w:rsid w:val="00772D45"/>
    <w:rsid w:val="00774000"/>
    <w:rsid w:val="0077416A"/>
    <w:rsid w:val="007743CA"/>
    <w:rsid w:val="0077467A"/>
    <w:rsid w:val="0077479F"/>
    <w:rsid w:val="00774D2E"/>
    <w:rsid w:val="00774F57"/>
    <w:rsid w:val="0077548D"/>
    <w:rsid w:val="00775CA7"/>
    <w:rsid w:val="00775F18"/>
    <w:rsid w:val="00775F2A"/>
    <w:rsid w:val="007765FC"/>
    <w:rsid w:val="00776B95"/>
    <w:rsid w:val="00776CB2"/>
    <w:rsid w:val="0077759C"/>
    <w:rsid w:val="00777ED5"/>
    <w:rsid w:val="0078029E"/>
    <w:rsid w:val="00780842"/>
    <w:rsid w:val="00780DDB"/>
    <w:rsid w:val="00781467"/>
    <w:rsid w:val="00781606"/>
    <w:rsid w:val="00781777"/>
    <w:rsid w:val="00781A06"/>
    <w:rsid w:val="00781B2B"/>
    <w:rsid w:val="00781EC7"/>
    <w:rsid w:val="00781F4B"/>
    <w:rsid w:val="0078218C"/>
    <w:rsid w:val="007823FA"/>
    <w:rsid w:val="00782654"/>
    <w:rsid w:val="007826BC"/>
    <w:rsid w:val="00782A0E"/>
    <w:rsid w:val="00782E7E"/>
    <w:rsid w:val="0078332F"/>
    <w:rsid w:val="00783878"/>
    <w:rsid w:val="00783F0A"/>
    <w:rsid w:val="007844FE"/>
    <w:rsid w:val="007847FA"/>
    <w:rsid w:val="0078498D"/>
    <w:rsid w:val="007850F9"/>
    <w:rsid w:val="00785631"/>
    <w:rsid w:val="00785B1C"/>
    <w:rsid w:val="00786243"/>
    <w:rsid w:val="007865D8"/>
    <w:rsid w:val="00786879"/>
    <w:rsid w:val="00786896"/>
    <w:rsid w:val="00786F43"/>
    <w:rsid w:val="00787332"/>
    <w:rsid w:val="007873DC"/>
    <w:rsid w:val="007877B0"/>
    <w:rsid w:val="00787B3D"/>
    <w:rsid w:val="0079039F"/>
    <w:rsid w:val="00790910"/>
    <w:rsid w:val="00790B84"/>
    <w:rsid w:val="00790C20"/>
    <w:rsid w:val="0079107D"/>
    <w:rsid w:val="007916EC"/>
    <w:rsid w:val="0079170B"/>
    <w:rsid w:val="00791C96"/>
    <w:rsid w:val="00791C98"/>
    <w:rsid w:val="00791DE1"/>
    <w:rsid w:val="00792007"/>
    <w:rsid w:val="00792FD5"/>
    <w:rsid w:val="0079316A"/>
    <w:rsid w:val="007934EC"/>
    <w:rsid w:val="0079364A"/>
    <w:rsid w:val="0079375E"/>
    <w:rsid w:val="00793963"/>
    <w:rsid w:val="00794169"/>
    <w:rsid w:val="007941D1"/>
    <w:rsid w:val="0079473D"/>
    <w:rsid w:val="00794BF1"/>
    <w:rsid w:val="00794F7D"/>
    <w:rsid w:val="0079515E"/>
    <w:rsid w:val="007959EF"/>
    <w:rsid w:val="00795E10"/>
    <w:rsid w:val="00796241"/>
    <w:rsid w:val="00796869"/>
    <w:rsid w:val="007969D2"/>
    <w:rsid w:val="00796CFA"/>
    <w:rsid w:val="00797156"/>
    <w:rsid w:val="0079781B"/>
    <w:rsid w:val="007978B0"/>
    <w:rsid w:val="00797BB2"/>
    <w:rsid w:val="00797C09"/>
    <w:rsid w:val="00797D36"/>
    <w:rsid w:val="00797E7A"/>
    <w:rsid w:val="007A0010"/>
    <w:rsid w:val="007A02B9"/>
    <w:rsid w:val="007A05BD"/>
    <w:rsid w:val="007A0667"/>
    <w:rsid w:val="007A0C94"/>
    <w:rsid w:val="007A128D"/>
    <w:rsid w:val="007A15B8"/>
    <w:rsid w:val="007A1AEB"/>
    <w:rsid w:val="007A2041"/>
    <w:rsid w:val="007A2961"/>
    <w:rsid w:val="007A2D93"/>
    <w:rsid w:val="007A321D"/>
    <w:rsid w:val="007A377C"/>
    <w:rsid w:val="007A37EA"/>
    <w:rsid w:val="007A3A5D"/>
    <w:rsid w:val="007A3A8C"/>
    <w:rsid w:val="007A40C1"/>
    <w:rsid w:val="007A4410"/>
    <w:rsid w:val="007A44BB"/>
    <w:rsid w:val="007A4500"/>
    <w:rsid w:val="007A4EC3"/>
    <w:rsid w:val="007A5420"/>
    <w:rsid w:val="007A554E"/>
    <w:rsid w:val="007A56B8"/>
    <w:rsid w:val="007A56ED"/>
    <w:rsid w:val="007A583E"/>
    <w:rsid w:val="007A599D"/>
    <w:rsid w:val="007A5FB6"/>
    <w:rsid w:val="007A6254"/>
    <w:rsid w:val="007A70F6"/>
    <w:rsid w:val="007A7406"/>
    <w:rsid w:val="007A7732"/>
    <w:rsid w:val="007A7CE9"/>
    <w:rsid w:val="007A7DD6"/>
    <w:rsid w:val="007B0CE4"/>
    <w:rsid w:val="007B0E0C"/>
    <w:rsid w:val="007B0FBB"/>
    <w:rsid w:val="007B1720"/>
    <w:rsid w:val="007B17E5"/>
    <w:rsid w:val="007B1906"/>
    <w:rsid w:val="007B2055"/>
    <w:rsid w:val="007B20D7"/>
    <w:rsid w:val="007B23AF"/>
    <w:rsid w:val="007B23FF"/>
    <w:rsid w:val="007B2721"/>
    <w:rsid w:val="007B2AF8"/>
    <w:rsid w:val="007B312D"/>
    <w:rsid w:val="007B3E32"/>
    <w:rsid w:val="007B41C9"/>
    <w:rsid w:val="007B48D3"/>
    <w:rsid w:val="007B4FE6"/>
    <w:rsid w:val="007B5136"/>
    <w:rsid w:val="007B5463"/>
    <w:rsid w:val="007B57FA"/>
    <w:rsid w:val="007B5C69"/>
    <w:rsid w:val="007B5EBD"/>
    <w:rsid w:val="007B6B37"/>
    <w:rsid w:val="007B6B6F"/>
    <w:rsid w:val="007B6E55"/>
    <w:rsid w:val="007B7677"/>
    <w:rsid w:val="007B76C5"/>
    <w:rsid w:val="007B76D9"/>
    <w:rsid w:val="007B7FAB"/>
    <w:rsid w:val="007C099D"/>
    <w:rsid w:val="007C0D0E"/>
    <w:rsid w:val="007C125C"/>
    <w:rsid w:val="007C1C87"/>
    <w:rsid w:val="007C26E5"/>
    <w:rsid w:val="007C2E19"/>
    <w:rsid w:val="007C3001"/>
    <w:rsid w:val="007C302F"/>
    <w:rsid w:val="007C3143"/>
    <w:rsid w:val="007C31DF"/>
    <w:rsid w:val="007C361B"/>
    <w:rsid w:val="007C3625"/>
    <w:rsid w:val="007C39BE"/>
    <w:rsid w:val="007C3C3A"/>
    <w:rsid w:val="007C4144"/>
    <w:rsid w:val="007C4240"/>
    <w:rsid w:val="007C446B"/>
    <w:rsid w:val="007C4B7A"/>
    <w:rsid w:val="007C5313"/>
    <w:rsid w:val="007C5ADE"/>
    <w:rsid w:val="007C5B38"/>
    <w:rsid w:val="007C60AE"/>
    <w:rsid w:val="007C641D"/>
    <w:rsid w:val="007C6467"/>
    <w:rsid w:val="007C65C8"/>
    <w:rsid w:val="007C6B1D"/>
    <w:rsid w:val="007C6E9B"/>
    <w:rsid w:val="007C700D"/>
    <w:rsid w:val="007C720A"/>
    <w:rsid w:val="007C724C"/>
    <w:rsid w:val="007C7499"/>
    <w:rsid w:val="007C79C3"/>
    <w:rsid w:val="007C7C7A"/>
    <w:rsid w:val="007C7D50"/>
    <w:rsid w:val="007C7E91"/>
    <w:rsid w:val="007D09B0"/>
    <w:rsid w:val="007D0C61"/>
    <w:rsid w:val="007D0EE1"/>
    <w:rsid w:val="007D1092"/>
    <w:rsid w:val="007D118C"/>
    <w:rsid w:val="007D12D3"/>
    <w:rsid w:val="007D1924"/>
    <w:rsid w:val="007D1AB3"/>
    <w:rsid w:val="007D1AF5"/>
    <w:rsid w:val="007D1C55"/>
    <w:rsid w:val="007D2621"/>
    <w:rsid w:val="007D2737"/>
    <w:rsid w:val="007D2C1A"/>
    <w:rsid w:val="007D2D4A"/>
    <w:rsid w:val="007D3110"/>
    <w:rsid w:val="007D3BFB"/>
    <w:rsid w:val="007D3FE1"/>
    <w:rsid w:val="007D42F8"/>
    <w:rsid w:val="007D4525"/>
    <w:rsid w:val="007D4E3A"/>
    <w:rsid w:val="007D4ED7"/>
    <w:rsid w:val="007D511B"/>
    <w:rsid w:val="007D5CA8"/>
    <w:rsid w:val="007D6696"/>
    <w:rsid w:val="007D6B12"/>
    <w:rsid w:val="007D6B9E"/>
    <w:rsid w:val="007D6EF9"/>
    <w:rsid w:val="007D701C"/>
    <w:rsid w:val="007D7560"/>
    <w:rsid w:val="007D7C1D"/>
    <w:rsid w:val="007E0AD9"/>
    <w:rsid w:val="007E0CAF"/>
    <w:rsid w:val="007E10FD"/>
    <w:rsid w:val="007E1D18"/>
    <w:rsid w:val="007E1D64"/>
    <w:rsid w:val="007E2A09"/>
    <w:rsid w:val="007E2F09"/>
    <w:rsid w:val="007E3A9A"/>
    <w:rsid w:val="007E3DD7"/>
    <w:rsid w:val="007E4124"/>
    <w:rsid w:val="007E5596"/>
    <w:rsid w:val="007E58EB"/>
    <w:rsid w:val="007E5C93"/>
    <w:rsid w:val="007E5DA8"/>
    <w:rsid w:val="007E60BC"/>
    <w:rsid w:val="007E61D5"/>
    <w:rsid w:val="007E69AF"/>
    <w:rsid w:val="007E6D79"/>
    <w:rsid w:val="007E6E05"/>
    <w:rsid w:val="007F0136"/>
    <w:rsid w:val="007F01F8"/>
    <w:rsid w:val="007F0450"/>
    <w:rsid w:val="007F08CA"/>
    <w:rsid w:val="007F08CF"/>
    <w:rsid w:val="007F0C03"/>
    <w:rsid w:val="007F0CE5"/>
    <w:rsid w:val="007F0D36"/>
    <w:rsid w:val="007F2146"/>
    <w:rsid w:val="007F2557"/>
    <w:rsid w:val="007F2762"/>
    <w:rsid w:val="007F2BC8"/>
    <w:rsid w:val="007F2E2A"/>
    <w:rsid w:val="007F2F2B"/>
    <w:rsid w:val="007F32BB"/>
    <w:rsid w:val="007F3B6E"/>
    <w:rsid w:val="007F3C8E"/>
    <w:rsid w:val="007F40E8"/>
    <w:rsid w:val="007F495C"/>
    <w:rsid w:val="007F4B87"/>
    <w:rsid w:val="007F5988"/>
    <w:rsid w:val="007F5D51"/>
    <w:rsid w:val="007F606C"/>
    <w:rsid w:val="007F62D8"/>
    <w:rsid w:val="007F6493"/>
    <w:rsid w:val="007F7158"/>
    <w:rsid w:val="007F74BC"/>
    <w:rsid w:val="007F7AC2"/>
    <w:rsid w:val="007F7D1C"/>
    <w:rsid w:val="007F7D2A"/>
    <w:rsid w:val="007F7D35"/>
    <w:rsid w:val="007F7DE3"/>
    <w:rsid w:val="0080029B"/>
    <w:rsid w:val="00800669"/>
    <w:rsid w:val="00800EB9"/>
    <w:rsid w:val="00800F23"/>
    <w:rsid w:val="00800F38"/>
    <w:rsid w:val="008012AA"/>
    <w:rsid w:val="00801397"/>
    <w:rsid w:val="008019AD"/>
    <w:rsid w:val="008019EF"/>
    <w:rsid w:val="00801DC1"/>
    <w:rsid w:val="00801FE1"/>
    <w:rsid w:val="008023F2"/>
    <w:rsid w:val="00802B63"/>
    <w:rsid w:val="00802D61"/>
    <w:rsid w:val="008030A3"/>
    <w:rsid w:val="008033CE"/>
    <w:rsid w:val="0080356F"/>
    <w:rsid w:val="008035A9"/>
    <w:rsid w:val="00803B7F"/>
    <w:rsid w:val="00804099"/>
    <w:rsid w:val="008042AB"/>
    <w:rsid w:val="00804320"/>
    <w:rsid w:val="00804499"/>
    <w:rsid w:val="00804A57"/>
    <w:rsid w:val="00804CCC"/>
    <w:rsid w:val="00804E91"/>
    <w:rsid w:val="008055C4"/>
    <w:rsid w:val="008057F5"/>
    <w:rsid w:val="00805805"/>
    <w:rsid w:val="008058C8"/>
    <w:rsid w:val="00805F3A"/>
    <w:rsid w:val="00806152"/>
    <w:rsid w:val="00806424"/>
    <w:rsid w:val="00806434"/>
    <w:rsid w:val="0080682D"/>
    <w:rsid w:val="00807046"/>
    <w:rsid w:val="00807559"/>
    <w:rsid w:val="00807E35"/>
    <w:rsid w:val="0081048E"/>
    <w:rsid w:val="008104CA"/>
    <w:rsid w:val="00810B68"/>
    <w:rsid w:val="00811028"/>
    <w:rsid w:val="008115C2"/>
    <w:rsid w:val="008117BF"/>
    <w:rsid w:val="00811D37"/>
    <w:rsid w:val="00811DF9"/>
    <w:rsid w:val="00812256"/>
    <w:rsid w:val="008127AA"/>
    <w:rsid w:val="00813288"/>
    <w:rsid w:val="008133C9"/>
    <w:rsid w:val="00813A9B"/>
    <w:rsid w:val="0081402E"/>
    <w:rsid w:val="0081410C"/>
    <w:rsid w:val="008143A3"/>
    <w:rsid w:val="0081466B"/>
    <w:rsid w:val="00814AB5"/>
    <w:rsid w:val="00814C25"/>
    <w:rsid w:val="00815583"/>
    <w:rsid w:val="00815A98"/>
    <w:rsid w:val="00815CF8"/>
    <w:rsid w:val="00815E43"/>
    <w:rsid w:val="008164EF"/>
    <w:rsid w:val="008166BF"/>
    <w:rsid w:val="00817447"/>
    <w:rsid w:val="00817CC0"/>
    <w:rsid w:val="00820369"/>
    <w:rsid w:val="008207F8"/>
    <w:rsid w:val="008209AE"/>
    <w:rsid w:val="00821206"/>
    <w:rsid w:val="00821A29"/>
    <w:rsid w:val="00821E0C"/>
    <w:rsid w:val="008221B3"/>
    <w:rsid w:val="0082223B"/>
    <w:rsid w:val="00822353"/>
    <w:rsid w:val="00822496"/>
    <w:rsid w:val="00822AE8"/>
    <w:rsid w:val="00822BED"/>
    <w:rsid w:val="008230C7"/>
    <w:rsid w:val="00823106"/>
    <w:rsid w:val="00823233"/>
    <w:rsid w:val="00823383"/>
    <w:rsid w:val="00823A59"/>
    <w:rsid w:val="00823D32"/>
    <w:rsid w:val="00824426"/>
    <w:rsid w:val="00824681"/>
    <w:rsid w:val="00824B0E"/>
    <w:rsid w:val="00824C9D"/>
    <w:rsid w:val="00825A48"/>
    <w:rsid w:val="00825BA7"/>
    <w:rsid w:val="008260B8"/>
    <w:rsid w:val="00826105"/>
    <w:rsid w:val="0082656C"/>
    <w:rsid w:val="00826580"/>
    <w:rsid w:val="00826A82"/>
    <w:rsid w:val="00826D48"/>
    <w:rsid w:val="00827126"/>
    <w:rsid w:val="00827391"/>
    <w:rsid w:val="00827A43"/>
    <w:rsid w:val="0083050A"/>
    <w:rsid w:val="00830597"/>
    <w:rsid w:val="00830B78"/>
    <w:rsid w:val="00830E42"/>
    <w:rsid w:val="00830E52"/>
    <w:rsid w:val="00830F7C"/>
    <w:rsid w:val="0083105F"/>
    <w:rsid w:val="008310F8"/>
    <w:rsid w:val="008317A6"/>
    <w:rsid w:val="00831FCC"/>
    <w:rsid w:val="00832299"/>
    <w:rsid w:val="0083233F"/>
    <w:rsid w:val="008324E3"/>
    <w:rsid w:val="00832FD9"/>
    <w:rsid w:val="0083318C"/>
    <w:rsid w:val="0083339F"/>
    <w:rsid w:val="008334A2"/>
    <w:rsid w:val="00833AF0"/>
    <w:rsid w:val="00833B3C"/>
    <w:rsid w:val="00833B9F"/>
    <w:rsid w:val="00833E59"/>
    <w:rsid w:val="00833F23"/>
    <w:rsid w:val="008345AB"/>
    <w:rsid w:val="00834768"/>
    <w:rsid w:val="008349F5"/>
    <w:rsid w:val="00834FDC"/>
    <w:rsid w:val="0083580C"/>
    <w:rsid w:val="00835E00"/>
    <w:rsid w:val="00836B85"/>
    <w:rsid w:val="00836C0E"/>
    <w:rsid w:val="00836D04"/>
    <w:rsid w:val="00836E8D"/>
    <w:rsid w:val="00836F16"/>
    <w:rsid w:val="008371EC"/>
    <w:rsid w:val="0083744B"/>
    <w:rsid w:val="0083762F"/>
    <w:rsid w:val="008378F0"/>
    <w:rsid w:val="0084001C"/>
    <w:rsid w:val="0084001E"/>
    <w:rsid w:val="0084046B"/>
    <w:rsid w:val="008408D3"/>
    <w:rsid w:val="008409BE"/>
    <w:rsid w:val="00841ED4"/>
    <w:rsid w:val="008420A8"/>
    <w:rsid w:val="008425E9"/>
    <w:rsid w:val="00842C0C"/>
    <w:rsid w:val="00842D8D"/>
    <w:rsid w:val="008435B7"/>
    <w:rsid w:val="008436E9"/>
    <w:rsid w:val="00843A33"/>
    <w:rsid w:val="00843AAD"/>
    <w:rsid w:val="00843F73"/>
    <w:rsid w:val="00843F80"/>
    <w:rsid w:val="00844347"/>
    <w:rsid w:val="0084437F"/>
    <w:rsid w:val="008444E1"/>
    <w:rsid w:val="0084459E"/>
    <w:rsid w:val="00844895"/>
    <w:rsid w:val="008449A2"/>
    <w:rsid w:val="00844A9D"/>
    <w:rsid w:val="008450F3"/>
    <w:rsid w:val="00845946"/>
    <w:rsid w:val="00845D7E"/>
    <w:rsid w:val="00845FE4"/>
    <w:rsid w:val="008463A6"/>
    <w:rsid w:val="008464E1"/>
    <w:rsid w:val="00846CA4"/>
    <w:rsid w:val="008473C1"/>
    <w:rsid w:val="00847469"/>
    <w:rsid w:val="008476A0"/>
    <w:rsid w:val="00847D5D"/>
    <w:rsid w:val="00847ECF"/>
    <w:rsid w:val="0085031A"/>
    <w:rsid w:val="0085041B"/>
    <w:rsid w:val="0085053E"/>
    <w:rsid w:val="008509E0"/>
    <w:rsid w:val="00850AAE"/>
    <w:rsid w:val="00850F03"/>
    <w:rsid w:val="0085127A"/>
    <w:rsid w:val="00851C5E"/>
    <w:rsid w:val="00852434"/>
    <w:rsid w:val="00852472"/>
    <w:rsid w:val="00852C49"/>
    <w:rsid w:val="00852F38"/>
    <w:rsid w:val="0085310A"/>
    <w:rsid w:val="00853126"/>
    <w:rsid w:val="00853201"/>
    <w:rsid w:val="00853C70"/>
    <w:rsid w:val="00854553"/>
    <w:rsid w:val="008545CF"/>
    <w:rsid w:val="008549F9"/>
    <w:rsid w:val="00854EF0"/>
    <w:rsid w:val="0085588B"/>
    <w:rsid w:val="00855BB0"/>
    <w:rsid w:val="00855E26"/>
    <w:rsid w:val="0085636A"/>
    <w:rsid w:val="00856470"/>
    <w:rsid w:val="0085653A"/>
    <w:rsid w:val="00856BD5"/>
    <w:rsid w:val="00856C34"/>
    <w:rsid w:val="00857A78"/>
    <w:rsid w:val="00860019"/>
    <w:rsid w:val="008601EE"/>
    <w:rsid w:val="008607E9"/>
    <w:rsid w:val="00860DA3"/>
    <w:rsid w:val="00860E9A"/>
    <w:rsid w:val="00860F79"/>
    <w:rsid w:val="0086103B"/>
    <w:rsid w:val="00861ED4"/>
    <w:rsid w:val="008621C6"/>
    <w:rsid w:val="0086263A"/>
    <w:rsid w:val="00862B69"/>
    <w:rsid w:val="00862D02"/>
    <w:rsid w:val="00862E3E"/>
    <w:rsid w:val="00863065"/>
    <w:rsid w:val="008631B5"/>
    <w:rsid w:val="00863759"/>
    <w:rsid w:val="00863CB9"/>
    <w:rsid w:val="00863E95"/>
    <w:rsid w:val="0086483E"/>
    <w:rsid w:val="00864B2F"/>
    <w:rsid w:val="00864EC1"/>
    <w:rsid w:val="008654AB"/>
    <w:rsid w:val="00865546"/>
    <w:rsid w:val="008657C6"/>
    <w:rsid w:val="00865DC1"/>
    <w:rsid w:val="00865E2D"/>
    <w:rsid w:val="008660CE"/>
    <w:rsid w:val="008669EB"/>
    <w:rsid w:val="00866BA2"/>
    <w:rsid w:val="00867264"/>
    <w:rsid w:val="00867851"/>
    <w:rsid w:val="00867D54"/>
    <w:rsid w:val="00867E67"/>
    <w:rsid w:val="0087005A"/>
    <w:rsid w:val="00870112"/>
    <w:rsid w:val="00870154"/>
    <w:rsid w:val="00870600"/>
    <w:rsid w:val="008708E9"/>
    <w:rsid w:val="00870C8E"/>
    <w:rsid w:val="00871102"/>
    <w:rsid w:val="00871BB7"/>
    <w:rsid w:val="00872AA4"/>
    <w:rsid w:val="00872F14"/>
    <w:rsid w:val="0087365A"/>
    <w:rsid w:val="008736D3"/>
    <w:rsid w:val="00873940"/>
    <w:rsid w:val="00873C0B"/>
    <w:rsid w:val="008741F0"/>
    <w:rsid w:val="008743C7"/>
    <w:rsid w:val="008750F9"/>
    <w:rsid w:val="00875341"/>
    <w:rsid w:val="0087536F"/>
    <w:rsid w:val="008754AF"/>
    <w:rsid w:val="00875A8E"/>
    <w:rsid w:val="00875CEF"/>
    <w:rsid w:val="00875D04"/>
    <w:rsid w:val="00875FFB"/>
    <w:rsid w:val="008762A4"/>
    <w:rsid w:val="0087653E"/>
    <w:rsid w:val="008770B7"/>
    <w:rsid w:val="008773CC"/>
    <w:rsid w:val="00877838"/>
    <w:rsid w:val="00877A02"/>
    <w:rsid w:val="00880155"/>
    <w:rsid w:val="008802AE"/>
    <w:rsid w:val="00880452"/>
    <w:rsid w:val="00880A40"/>
    <w:rsid w:val="00880D1F"/>
    <w:rsid w:val="00881070"/>
    <w:rsid w:val="008810DB"/>
    <w:rsid w:val="008818ED"/>
    <w:rsid w:val="00881B21"/>
    <w:rsid w:val="00881C81"/>
    <w:rsid w:val="00882042"/>
    <w:rsid w:val="0088204F"/>
    <w:rsid w:val="00882923"/>
    <w:rsid w:val="00882C06"/>
    <w:rsid w:val="00882CC7"/>
    <w:rsid w:val="00882D79"/>
    <w:rsid w:val="00882DE0"/>
    <w:rsid w:val="00883358"/>
    <w:rsid w:val="00883362"/>
    <w:rsid w:val="008833F8"/>
    <w:rsid w:val="00883CC3"/>
    <w:rsid w:val="00883D20"/>
    <w:rsid w:val="0088473E"/>
    <w:rsid w:val="00884E1A"/>
    <w:rsid w:val="00885576"/>
    <w:rsid w:val="00885D3E"/>
    <w:rsid w:val="0088697E"/>
    <w:rsid w:val="008869F4"/>
    <w:rsid w:val="00886C07"/>
    <w:rsid w:val="00886DED"/>
    <w:rsid w:val="00887572"/>
    <w:rsid w:val="008877E7"/>
    <w:rsid w:val="0089060A"/>
    <w:rsid w:val="0089084F"/>
    <w:rsid w:val="00890869"/>
    <w:rsid w:val="008909E7"/>
    <w:rsid w:val="008911CB"/>
    <w:rsid w:val="00891804"/>
    <w:rsid w:val="00891DAA"/>
    <w:rsid w:val="00892B2E"/>
    <w:rsid w:val="008933AD"/>
    <w:rsid w:val="00893418"/>
    <w:rsid w:val="00893661"/>
    <w:rsid w:val="00893B9F"/>
    <w:rsid w:val="00893EEF"/>
    <w:rsid w:val="00894105"/>
    <w:rsid w:val="00894BAB"/>
    <w:rsid w:val="0089514E"/>
    <w:rsid w:val="00895217"/>
    <w:rsid w:val="00895A9B"/>
    <w:rsid w:val="00895F69"/>
    <w:rsid w:val="00896360"/>
    <w:rsid w:val="00896567"/>
    <w:rsid w:val="00896827"/>
    <w:rsid w:val="00896BFF"/>
    <w:rsid w:val="008975A2"/>
    <w:rsid w:val="00897AA7"/>
    <w:rsid w:val="00897B51"/>
    <w:rsid w:val="00897D94"/>
    <w:rsid w:val="008A03B7"/>
    <w:rsid w:val="008A0638"/>
    <w:rsid w:val="008A0C41"/>
    <w:rsid w:val="008A115A"/>
    <w:rsid w:val="008A12B3"/>
    <w:rsid w:val="008A14CB"/>
    <w:rsid w:val="008A184F"/>
    <w:rsid w:val="008A1B06"/>
    <w:rsid w:val="008A1F6A"/>
    <w:rsid w:val="008A2038"/>
    <w:rsid w:val="008A218D"/>
    <w:rsid w:val="008A2618"/>
    <w:rsid w:val="008A2C72"/>
    <w:rsid w:val="008A3425"/>
    <w:rsid w:val="008A35E6"/>
    <w:rsid w:val="008A36EA"/>
    <w:rsid w:val="008A38FC"/>
    <w:rsid w:val="008A3ADD"/>
    <w:rsid w:val="008A3FA3"/>
    <w:rsid w:val="008A3FB0"/>
    <w:rsid w:val="008A40BC"/>
    <w:rsid w:val="008A40DD"/>
    <w:rsid w:val="008A4174"/>
    <w:rsid w:val="008A41CD"/>
    <w:rsid w:val="008A41E4"/>
    <w:rsid w:val="008A42A1"/>
    <w:rsid w:val="008A43CA"/>
    <w:rsid w:val="008A4880"/>
    <w:rsid w:val="008A4D99"/>
    <w:rsid w:val="008A4F07"/>
    <w:rsid w:val="008A512F"/>
    <w:rsid w:val="008A52B1"/>
    <w:rsid w:val="008A5754"/>
    <w:rsid w:val="008A5E0E"/>
    <w:rsid w:val="008A5EB3"/>
    <w:rsid w:val="008A5F60"/>
    <w:rsid w:val="008A61AB"/>
    <w:rsid w:val="008A6568"/>
    <w:rsid w:val="008A6DAF"/>
    <w:rsid w:val="008A7695"/>
    <w:rsid w:val="008A77CF"/>
    <w:rsid w:val="008B04A0"/>
    <w:rsid w:val="008B0B2A"/>
    <w:rsid w:val="008B0C53"/>
    <w:rsid w:val="008B0FFD"/>
    <w:rsid w:val="008B130F"/>
    <w:rsid w:val="008B1708"/>
    <w:rsid w:val="008B1A6F"/>
    <w:rsid w:val="008B1A95"/>
    <w:rsid w:val="008B1B0B"/>
    <w:rsid w:val="008B1F35"/>
    <w:rsid w:val="008B1FFD"/>
    <w:rsid w:val="008B2287"/>
    <w:rsid w:val="008B251A"/>
    <w:rsid w:val="008B2C31"/>
    <w:rsid w:val="008B2E71"/>
    <w:rsid w:val="008B306E"/>
    <w:rsid w:val="008B327D"/>
    <w:rsid w:val="008B32A1"/>
    <w:rsid w:val="008B346A"/>
    <w:rsid w:val="008B37D4"/>
    <w:rsid w:val="008B3976"/>
    <w:rsid w:val="008B3E59"/>
    <w:rsid w:val="008B41B0"/>
    <w:rsid w:val="008B425F"/>
    <w:rsid w:val="008B45A1"/>
    <w:rsid w:val="008B4797"/>
    <w:rsid w:val="008B4C74"/>
    <w:rsid w:val="008B4CFE"/>
    <w:rsid w:val="008B4D82"/>
    <w:rsid w:val="008B4EA4"/>
    <w:rsid w:val="008B5B32"/>
    <w:rsid w:val="008B63E2"/>
    <w:rsid w:val="008B69D3"/>
    <w:rsid w:val="008B6A9E"/>
    <w:rsid w:val="008B6AA7"/>
    <w:rsid w:val="008B6F55"/>
    <w:rsid w:val="008B6FD3"/>
    <w:rsid w:val="008B7484"/>
    <w:rsid w:val="008B7AC3"/>
    <w:rsid w:val="008C023E"/>
    <w:rsid w:val="008C0C0C"/>
    <w:rsid w:val="008C13AE"/>
    <w:rsid w:val="008C14BA"/>
    <w:rsid w:val="008C1614"/>
    <w:rsid w:val="008C169B"/>
    <w:rsid w:val="008C1BF4"/>
    <w:rsid w:val="008C1DD6"/>
    <w:rsid w:val="008C1E3D"/>
    <w:rsid w:val="008C2563"/>
    <w:rsid w:val="008C28A4"/>
    <w:rsid w:val="008C296D"/>
    <w:rsid w:val="008C2974"/>
    <w:rsid w:val="008C2989"/>
    <w:rsid w:val="008C3447"/>
    <w:rsid w:val="008C34E0"/>
    <w:rsid w:val="008C3548"/>
    <w:rsid w:val="008C3552"/>
    <w:rsid w:val="008C3995"/>
    <w:rsid w:val="008C3D0F"/>
    <w:rsid w:val="008C460D"/>
    <w:rsid w:val="008C4F59"/>
    <w:rsid w:val="008C5077"/>
    <w:rsid w:val="008C5719"/>
    <w:rsid w:val="008C57A2"/>
    <w:rsid w:val="008C5DB8"/>
    <w:rsid w:val="008C5EA2"/>
    <w:rsid w:val="008C5F33"/>
    <w:rsid w:val="008C6339"/>
    <w:rsid w:val="008C67E8"/>
    <w:rsid w:val="008C69C5"/>
    <w:rsid w:val="008C6E2C"/>
    <w:rsid w:val="008C72E6"/>
    <w:rsid w:val="008C7456"/>
    <w:rsid w:val="008D0104"/>
    <w:rsid w:val="008D09DD"/>
    <w:rsid w:val="008D1587"/>
    <w:rsid w:val="008D1725"/>
    <w:rsid w:val="008D1784"/>
    <w:rsid w:val="008D1A45"/>
    <w:rsid w:val="008D1DC9"/>
    <w:rsid w:val="008D1EE9"/>
    <w:rsid w:val="008D1F8A"/>
    <w:rsid w:val="008D20CE"/>
    <w:rsid w:val="008D2273"/>
    <w:rsid w:val="008D269A"/>
    <w:rsid w:val="008D28DB"/>
    <w:rsid w:val="008D3168"/>
    <w:rsid w:val="008D32E3"/>
    <w:rsid w:val="008D32F6"/>
    <w:rsid w:val="008D34DB"/>
    <w:rsid w:val="008D3527"/>
    <w:rsid w:val="008D365E"/>
    <w:rsid w:val="008D3805"/>
    <w:rsid w:val="008D4340"/>
    <w:rsid w:val="008D4519"/>
    <w:rsid w:val="008D4744"/>
    <w:rsid w:val="008D475B"/>
    <w:rsid w:val="008D5434"/>
    <w:rsid w:val="008D54D2"/>
    <w:rsid w:val="008D5575"/>
    <w:rsid w:val="008D6067"/>
    <w:rsid w:val="008D69E2"/>
    <w:rsid w:val="008D6FCB"/>
    <w:rsid w:val="008D7881"/>
    <w:rsid w:val="008D78FF"/>
    <w:rsid w:val="008D7BF5"/>
    <w:rsid w:val="008D7E51"/>
    <w:rsid w:val="008D7FC2"/>
    <w:rsid w:val="008E0327"/>
    <w:rsid w:val="008E0FAC"/>
    <w:rsid w:val="008E0FBE"/>
    <w:rsid w:val="008E108E"/>
    <w:rsid w:val="008E10AB"/>
    <w:rsid w:val="008E16F3"/>
    <w:rsid w:val="008E1C2F"/>
    <w:rsid w:val="008E257F"/>
    <w:rsid w:val="008E31E1"/>
    <w:rsid w:val="008E35FB"/>
    <w:rsid w:val="008E3669"/>
    <w:rsid w:val="008E3A6E"/>
    <w:rsid w:val="008E3CAF"/>
    <w:rsid w:val="008E4CAF"/>
    <w:rsid w:val="008E552B"/>
    <w:rsid w:val="008E559A"/>
    <w:rsid w:val="008E5D85"/>
    <w:rsid w:val="008E5E9F"/>
    <w:rsid w:val="008E679B"/>
    <w:rsid w:val="008E6885"/>
    <w:rsid w:val="008E6CE2"/>
    <w:rsid w:val="008E7492"/>
    <w:rsid w:val="008E7763"/>
    <w:rsid w:val="008E7B7E"/>
    <w:rsid w:val="008E7C7F"/>
    <w:rsid w:val="008E7D0F"/>
    <w:rsid w:val="008F0583"/>
    <w:rsid w:val="008F07FC"/>
    <w:rsid w:val="008F0DA6"/>
    <w:rsid w:val="008F2F66"/>
    <w:rsid w:val="008F3519"/>
    <w:rsid w:val="008F35B4"/>
    <w:rsid w:val="008F3AC7"/>
    <w:rsid w:val="008F42C1"/>
    <w:rsid w:val="008F4320"/>
    <w:rsid w:val="008F4663"/>
    <w:rsid w:val="008F46A6"/>
    <w:rsid w:val="008F47CD"/>
    <w:rsid w:val="008F4A7E"/>
    <w:rsid w:val="008F5299"/>
    <w:rsid w:val="008F56C7"/>
    <w:rsid w:val="008F573F"/>
    <w:rsid w:val="008F5CA9"/>
    <w:rsid w:val="008F5E79"/>
    <w:rsid w:val="008F703E"/>
    <w:rsid w:val="008F74AA"/>
    <w:rsid w:val="008F7759"/>
    <w:rsid w:val="008F780E"/>
    <w:rsid w:val="008F7BDC"/>
    <w:rsid w:val="008F7D18"/>
    <w:rsid w:val="008F7EE3"/>
    <w:rsid w:val="00900174"/>
    <w:rsid w:val="009003BE"/>
    <w:rsid w:val="00900ACC"/>
    <w:rsid w:val="0090131D"/>
    <w:rsid w:val="00901A63"/>
    <w:rsid w:val="00901C26"/>
    <w:rsid w:val="009023B3"/>
    <w:rsid w:val="00903E55"/>
    <w:rsid w:val="00903F33"/>
    <w:rsid w:val="0090414B"/>
    <w:rsid w:val="00904E63"/>
    <w:rsid w:val="00904E8B"/>
    <w:rsid w:val="009052F8"/>
    <w:rsid w:val="00905589"/>
    <w:rsid w:val="0090595D"/>
    <w:rsid w:val="0090596D"/>
    <w:rsid w:val="009067E3"/>
    <w:rsid w:val="00906C2F"/>
    <w:rsid w:val="0090734D"/>
    <w:rsid w:val="00907724"/>
    <w:rsid w:val="00907899"/>
    <w:rsid w:val="00907C3A"/>
    <w:rsid w:val="00907E77"/>
    <w:rsid w:val="009088D6"/>
    <w:rsid w:val="00910A55"/>
    <w:rsid w:val="00910E44"/>
    <w:rsid w:val="009110BE"/>
    <w:rsid w:val="00911357"/>
    <w:rsid w:val="00911801"/>
    <w:rsid w:val="00911C07"/>
    <w:rsid w:val="0091238F"/>
    <w:rsid w:val="009124ED"/>
    <w:rsid w:val="0091285B"/>
    <w:rsid w:val="009132E7"/>
    <w:rsid w:val="00913779"/>
    <w:rsid w:val="009140E2"/>
    <w:rsid w:val="00914B8C"/>
    <w:rsid w:val="00914DA7"/>
    <w:rsid w:val="00915079"/>
    <w:rsid w:val="00915386"/>
    <w:rsid w:val="00915D03"/>
    <w:rsid w:val="00915F63"/>
    <w:rsid w:val="00916348"/>
    <w:rsid w:val="00916AFA"/>
    <w:rsid w:val="00916FD0"/>
    <w:rsid w:val="009170BE"/>
    <w:rsid w:val="009177E9"/>
    <w:rsid w:val="0091790B"/>
    <w:rsid w:val="009204E9"/>
    <w:rsid w:val="009206D2"/>
    <w:rsid w:val="00920D32"/>
    <w:rsid w:val="0092112A"/>
    <w:rsid w:val="009219DB"/>
    <w:rsid w:val="00921BD3"/>
    <w:rsid w:val="00921BF1"/>
    <w:rsid w:val="009221AD"/>
    <w:rsid w:val="00922430"/>
    <w:rsid w:val="00922DCB"/>
    <w:rsid w:val="00923073"/>
    <w:rsid w:val="00923116"/>
    <w:rsid w:val="00923366"/>
    <w:rsid w:val="0092364C"/>
    <w:rsid w:val="00923948"/>
    <w:rsid w:val="00923E88"/>
    <w:rsid w:val="009240B7"/>
    <w:rsid w:val="00924C76"/>
    <w:rsid w:val="00925063"/>
    <w:rsid w:val="0092506E"/>
    <w:rsid w:val="009251E1"/>
    <w:rsid w:val="0092524B"/>
    <w:rsid w:val="009255A9"/>
    <w:rsid w:val="009255D0"/>
    <w:rsid w:val="00925D3B"/>
    <w:rsid w:val="0092600B"/>
    <w:rsid w:val="00926370"/>
    <w:rsid w:val="009265C7"/>
    <w:rsid w:val="00926C7A"/>
    <w:rsid w:val="00926E25"/>
    <w:rsid w:val="00926F2A"/>
    <w:rsid w:val="00927176"/>
    <w:rsid w:val="009273F8"/>
    <w:rsid w:val="00927852"/>
    <w:rsid w:val="00930404"/>
    <w:rsid w:val="009305E9"/>
    <w:rsid w:val="0093064B"/>
    <w:rsid w:val="00930971"/>
    <w:rsid w:val="00930D09"/>
    <w:rsid w:val="00930F40"/>
    <w:rsid w:val="0093156C"/>
    <w:rsid w:val="00931B87"/>
    <w:rsid w:val="009320C9"/>
    <w:rsid w:val="00932673"/>
    <w:rsid w:val="009328C9"/>
    <w:rsid w:val="00932A64"/>
    <w:rsid w:val="00933193"/>
    <w:rsid w:val="009331CF"/>
    <w:rsid w:val="009332CD"/>
    <w:rsid w:val="00933403"/>
    <w:rsid w:val="009334AC"/>
    <w:rsid w:val="009337FF"/>
    <w:rsid w:val="00933AB1"/>
    <w:rsid w:val="00933F92"/>
    <w:rsid w:val="00934060"/>
    <w:rsid w:val="00934238"/>
    <w:rsid w:val="009342CA"/>
    <w:rsid w:val="00934564"/>
    <w:rsid w:val="009349AA"/>
    <w:rsid w:val="009349F1"/>
    <w:rsid w:val="00934EFE"/>
    <w:rsid w:val="009352DB"/>
    <w:rsid w:val="0093569D"/>
    <w:rsid w:val="009359E4"/>
    <w:rsid w:val="00935E03"/>
    <w:rsid w:val="0093664E"/>
    <w:rsid w:val="0093691D"/>
    <w:rsid w:val="00936DFD"/>
    <w:rsid w:val="009371E9"/>
    <w:rsid w:val="00937943"/>
    <w:rsid w:val="00937AC0"/>
    <w:rsid w:val="00937E53"/>
    <w:rsid w:val="0094008E"/>
    <w:rsid w:val="009405D4"/>
    <w:rsid w:val="009408FA"/>
    <w:rsid w:val="00940A73"/>
    <w:rsid w:val="0094146D"/>
    <w:rsid w:val="0094167F"/>
    <w:rsid w:val="00941A22"/>
    <w:rsid w:val="00941C1E"/>
    <w:rsid w:val="00941ED9"/>
    <w:rsid w:val="00942010"/>
    <w:rsid w:val="009422E6"/>
    <w:rsid w:val="00942700"/>
    <w:rsid w:val="00942922"/>
    <w:rsid w:val="0094320A"/>
    <w:rsid w:val="00943368"/>
    <w:rsid w:val="00943592"/>
    <w:rsid w:val="009437C9"/>
    <w:rsid w:val="00944136"/>
    <w:rsid w:val="00944CA8"/>
    <w:rsid w:val="00944D11"/>
    <w:rsid w:val="00945117"/>
    <w:rsid w:val="00945552"/>
    <w:rsid w:val="00945912"/>
    <w:rsid w:val="00945A89"/>
    <w:rsid w:val="0094685D"/>
    <w:rsid w:val="00946A62"/>
    <w:rsid w:val="00946CF6"/>
    <w:rsid w:val="0094774B"/>
    <w:rsid w:val="00947F53"/>
    <w:rsid w:val="009502CD"/>
    <w:rsid w:val="009503A1"/>
    <w:rsid w:val="00950531"/>
    <w:rsid w:val="009506C7"/>
    <w:rsid w:val="009508B5"/>
    <w:rsid w:val="009508E2"/>
    <w:rsid w:val="009509C7"/>
    <w:rsid w:val="009515FB"/>
    <w:rsid w:val="0095170D"/>
    <w:rsid w:val="00951B59"/>
    <w:rsid w:val="00952632"/>
    <w:rsid w:val="0095277C"/>
    <w:rsid w:val="00952DE1"/>
    <w:rsid w:val="0095306A"/>
    <w:rsid w:val="0095307F"/>
    <w:rsid w:val="00953D56"/>
    <w:rsid w:val="009541F3"/>
    <w:rsid w:val="0095442C"/>
    <w:rsid w:val="009548FF"/>
    <w:rsid w:val="00954A91"/>
    <w:rsid w:val="00954F01"/>
    <w:rsid w:val="0095513C"/>
    <w:rsid w:val="00955526"/>
    <w:rsid w:val="009556B2"/>
    <w:rsid w:val="00956120"/>
    <w:rsid w:val="009566DD"/>
    <w:rsid w:val="00956943"/>
    <w:rsid w:val="00956A7B"/>
    <w:rsid w:val="00957FD5"/>
    <w:rsid w:val="009602A7"/>
    <w:rsid w:val="00960309"/>
    <w:rsid w:val="0096136A"/>
    <w:rsid w:val="009618CC"/>
    <w:rsid w:val="00961A72"/>
    <w:rsid w:val="00961EED"/>
    <w:rsid w:val="00962185"/>
    <w:rsid w:val="009624F6"/>
    <w:rsid w:val="00962538"/>
    <w:rsid w:val="00962E46"/>
    <w:rsid w:val="00963038"/>
    <w:rsid w:val="00963427"/>
    <w:rsid w:val="00963511"/>
    <w:rsid w:val="009637DA"/>
    <w:rsid w:val="00963CB9"/>
    <w:rsid w:val="00964012"/>
    <w:rsid w:val="009640F2"/>
    <w:rsid w:val="0096423B"/>
    <w:rsid w:val="00964332"/>
    <w:rsid w:val="009650E3"/>
    <w:rsid w:val="00965269"/>
    <w:rsid w:val="009652E8"/>
    <w:rsid w:val="0096553C"/>
    <w:rsid w:val="009658CC"/>
    <w:rsid w:val="00965D66"/>
    <w:rsid w:val="00965E85"/>
    <w:rsid w:val="00965F15"/>
    <w:rsid w:val="00966A83"/>
    <w:rsid w:val="00966A9C"/>
    <w:rsid w:val="00966C09"/>
    <w:rsid w:val="0096706D"/>
    <w:rsid w:val="00967CE3"/>
    <w:rsid w:val="009703E8"/>
    <w:rsid w:val="0097061E"/>
    <w:rsid w:val="00970CFF"/>
    <w:rsid w:val="00970D2E"/>
    <w:rsid w:val="0097123B"/>
    <w:rsid w:val="00971476"/>
    <w:rsid w:val="00971511"/>
    <w:rsid w:val="009718C2"/>
    <w:rsid w:val="0097304E"/>
    <w:rsid w:val="009732E6"/>
    <w:rsid w:val="00973559"/>
    <w:rsid w:val="009737AF"/>
    <w:rsid w:val="009737CE"/>
    <w:rsid w:val="00973E9B"/>
    <w:rsid w:val="00973E9C"/>
    <w:rsid w:val="00974042"/>
    <w:rsid w:val="0097409E"/>
    <w:rsid w:val="00974104"/>
    <w:rsid w:val="00974785"/>
    <w:rsid w:val="00974BF7"/>
    <w:rsid w:val="00974EF6"/>
    <w:rsid w:val="009753A7"/>
    <w:rsid w:val="00975897"/>
    <w:rsid w:val="00975A73"/>
    <w:rsid w:val="00975CB5"/>
    <w:rsid w:val="0097604F"/>
    <w:rsid w:val="00976078"/>
    <w:rsid w:val="0097670E"/>
    <w:rsid w:val="009772D7"/>
    <w:rsid w:val="009775C7"/>
    <w:rsid w:val="00977CB4"/>
    <w:rsid w:val="00977E1A"/>
    <w:rsid w:val="00980CC2"/>
    <w:rsid w:val="00980F87"/>
    <w:rsid w:val="009810BB"/>
    <w:rsid w:val="00981310"/>
    <w:rsid w:val="00981390"/>
    <w:rsid w:val="00981427"/>
    <w:rsid w:val="00981467"/>
    <w:rsid w:val="0098152A"/>
    <w:rsid w:val="00981E35"/>
    <w:rsid w:val="009828DA"/>
    <w:rsid w:val="00982991"/>
    <w:rsid w:val="00982C84"/>
    <w:rsid w:val="00982FC4"/>
    <w:rsid w:val="009831DE"/>
    <w:rsid w:val="00983213"/>
    <w:rsid w:val="00983763"/>
    <w:rsid w:val="00984441"/>
    <w:rsid w:val="00984493"/>
    <w:rsid w:val="009844CF"/>
    <w:rsid w:val="009846AE"/>
    <w:rsid w:val="00984A6A"/>
    <w:rsid w:val="00984B94"/>
    <w:rsid w:val="00984DD8"/>
    <w:rsid w:val="009850A1"/>
    <w:rsid w:val="009856E9"/>
    <w:rsid w:val="009864A1"/>
    <w:rsid w:val="00986AAD"/>
    <w:rsid w:val="009871BC"/>
    <w:rsid w:val="009871BE"/>
    <w:rsid w:val="00987AFF"/>
    <w:rsid w:val="0099009E"/>
    <w:rsid w:val="00990485"/>
    <w:rsid w:val="0099081E"/>
    <w:rsid w:val="0099085F"/>
    <w:rsid w:val="00990AC8"/>
    <w:rsid w:val="0099123A"/>
    <w:rsid w:val="00991B02"/>
    <w:rsid w:val="00991BB5"/>
    <w:rsid w:val="00991F76"/>
    <w:rsid w:val="009925DB"/>
    <w:rsid w:val="00992CDA"/>
    <w:rsid w:val="00992E7C"/>
    <w:rsid w:val="00992ED9"/>
    <w:rsid w:val="00993114"/>
    <w:rsid w:val="0099348A"/>
    <w:rsid w:val="00993787"/>
    <w:rsid w:val="00993A4F"/>
    <w:rsid w:val="00993B72"/>
    <w:rsid w:val="00993CC9"/>
    <w:rsid w:val="009940A4"/>
    <w:rsid w:val="00994563"/>
    <w:rsid w:val="0099486F"/>
    <w:rsid w:val="00994C05"/>
    <w:rsid w:val="00994DE6"/>
    <w:rsid w:val="00994E4E"/>
    <w:rsid w:val="00994EDA"/>
    <w:rsid w:val="00995386"/>
    <w:rsid w:val="009953D5"/>
    <w:rsid w:val="00995AD7"/>
    <w:rsid w:val="00995EA6"/>
    <w:rsid w:val="00996017"/>
    <w:rsid w:val="009961FC"/>
    <w:rsid w:val="00996236"/>
    <w:rsid w:val="009962F2"/>
    <w:rsid w:val="00996A64"/>
    <w:rsid w:val="00996E77"/>
    <w:rsid w:val="0099701C"/>
    <w:rsid w:val="00997AC5"/>
    <w:rsid w:val="00997B2E"/>
    <w:rsid w:val="00997D1B"/>
    <w:rsid w:val="00997F24"/>
    <w:rsid w:val="009A0098"/>
    <w:rsid w:val="009A038B"/>
    <w:rsid w:val="009A0D27"/>
    <w:rsid w:val="009A1166"/>
    <w:rsid w:val="009A11FE"/>
    <w:rsid w:val="009A1740"/>
    <w:rsid w:val="009A2132"/>
    <w:rsid w:val="009A27C3"/>
    <w:rsid w:val="009A31A3"/>
    <w:rsid w:val="009A3DFA"/>
    <w:rsid w:val="009A3E7C"/>
    <w:rsid w:val="009A3F3A"/>
    <w:rsid w:val="009A4305"/>
    <w:rsid w:val="009A47FE"/>
    <w:rsid w:val="009A5269"/>
    <w:rsid w:val="009A55AD"/>
    <w:rsid w:val="009A580E"/>
    <w:rsid w:val="009A5903"/>
    <w:rsid w:val="009A5979"/>
    <w:rsid w:val="009A5A42"/>
    <w:rsid w:val="009A5C58"/>
    <w:rsid w:val="009A5DB0"/>
    <w:rsid w:val="009A6599"/>
    <w:rsid w:val="009A65C2"/>
    <w:rsid w:val="009A6A4D"/>
    <w:rsid w:val="009A6F74"/>
    <w:rsid w:val="009A7174"/>
    <w:rsid w:val="009A7807"/>
    <w:rsid w:val="009A7851"/>
    <w:rsid w:val="009A79CC"/>
    <w:rsid w:val="009B04F3"/>
    <w:rsid w:val="009B06C2"/>
    <w:rsid w:val="009B0768"/>
    <w:rsid w:val="009B09FB"/>
    <w:rsid w:val="009B0B9B"/>
    <w:rsid w:val="009B0CA8"/>
    <w:rsid w:val="009B14B6"/>
    <w:rsid w:val="009B1BA3"/>
    <w:rsid w:val="009B1E07"/>
    <w:rsid w:val="009B2138"/>
    <w:rsid w:val="009B25C4"/>
    <w:rsid w:val="009B2876"/>
    <w:rsid w:val="009B2B87"/>
    <w:rsid w:val="009B3895"/>
    <w:rsid w:val="009B3CA5"/>
    <w:rsid w:val="009B3F81"/>
    <w:rsid w:val="009B49DD"/>
    <w:rsid w:val="009B4C16"/>
    <w:rsid w:val="009B5591"/>
    <w:rsid w:val="009B56F6"/>
    <w:rsid w:val="009B5AC4"/>
    <w:rsid w:val="009B5E59"/>
    <w:rsid w:val="009B62CD"/>
    <w:rsid w:val="009B69B7"/>
    <w:rsid w:val="009B6CCF"/>
    <w:rsid w:val="009B732A"/>
    <w:rsid w:val="009B77AC"/>
    <w:rsid w:val="009B791D"/>
    <w:rsid w:val="009B7B48"/>
    <w:rsid w:val="009B7C59"/>
    <w:rsid w:val="009B7DD0"/>
    <w:rsid w:val="009B7E4C"/>
    <w:rsid w:val="009C00F0"/>
    <w:rsid w:val="009C0435"/>
    <w:rsid w:val="009C0633"/>
    <w:rsid w:val="009C088A"/>
    <w:rsid w:val="009C0CC4"/>
    <w:rsid w:val="009C0F03"/>
    <w:rsid w:val="009C1665"/>
    <w:rsid w:val="009C1BC1"/>
    <w:rsid w:val="009C293A"/>
    <w:rsid w:val="009C37D7"/>
    <w:rsid w:val="009C37FC"/>
    <w:rsid w:val="009C3D4A"/>
    <w:rsid w:val="009C3D4D"/>
    <w:rsid w:val="009C3EEE"/>
    <w:rsid w:val="009C448D"/>
    <w:rsid w:val="009C48D2"/>
    <w:rsid w:val="009C49A6"/>
    <w:rsid w:val="009C4D08"/>
    <w:rsid w:val="009C4F22"/>
    <w:rsid w:val="009C508F"/>
    <w:rsid w:val="009C54F5"/>
    <w:rsid w:val="009C55EC"/>
    <w:rsid w:val="009C5623"/>
    <w:rsid w:val="009C56DC"/>
    <w:rsid w:val="009C5AFA"/>
    <w:rsid w:val="009C5D95"/>
    <w:rsid w:val="009C5F54"/>
    <w:rsid w:val="009C6BFD"/>
    <w:rsid w:val="009C6C8E"/>
    <w:rsid w:val="009C790E"/>
    <w:rsid w:val="009C7955"/>
    <w:rsid w:val="009D0A54"/>
    <w:rsid w:val="009D0CBF"/>
    <w:rsid w:val="009D0F1E"/>
    <w:rsid w:val="009D1564"/>
    <w:rsid w:val="009D166F"/>
    <w:rsid w:val="009D170D"/>
    <w:rsid w:val="009D1A8A"/>
    <w:rsid w:val="009D1E17"/>
    <w:rsid w:val="009D2647"/>
    <w:rsid w:val="009D2770"/>
    <w:rsid w:val="009D2BBD"/>
    <w:rsid w:val="009D2E00"/>
    <w:rsid w:val="009D3237"/>
    <w:rsid w:val="009D360C"/>
    <w:rsid w:val="009D3628"/>
    <w:rsid w:val="009D37F1"/>
    <w:rsid w:val="009D3AE6"/>
    <w:rsid w:val="009D3F1C"/>
    <w:rsid w:val="009D44A2"/>
    <w:rsid w:val="009D4567"/>
    <w:rsid w:val="009D4776"/>
    <w:rsid w:val="009D4C2A"/>
    <w:rsid w:val="009D587D"/>
    <w:rsid w:val="009D5CD3"/>
    <w:rsid w:val="009D629D"/>
    <w:rsid w:val="009D6914"/>
    <w:rsid w:val="009D7095"/>
    <w:rsid w:val="009E0341"/>
    <w:rsid w:val="009E0B8B"/>
    <w:rsid w:val="009E129F"/>
    <w:rsid w:val="009E1A3C"/>
    <w:rsid w:val="009E1C21"/>
    <w:rsid w:val="009E1C22"/>
    <w:rsid w:val="009E21E9"/>
    <w:rsid w:val="009E23E6"/>
    <w:rsid w:val="009E2481"/>
    <w:rsid w:val="009E25F8"/>
    <w:rsid w:val="009E2636"/>
    <w:rsid w:val="009E2D72"/>
    <w:rsid w:val="009E3432"/>
    <w:rsid w:val="009E3721"/>
    <w:rsid w:val="009E37E4"/>
    <w:rsid w:val="009E3C7E"/>
    <w:rsid w:val="009E3EC3"/>
    <w:rsid w:val="009E3ECC"/>
    <w:rsid w:val="009E40BA"/>
    <w:rsid w:val="009E413E"/>
    <w:rsid w:val="009E43E8"/>
    <w:rsid w:val="009E4670"/>
    <w:rsid w:val="009E48B2"/>
    <w:rsid w:val="009E4B33"/>
    <w:rsid w:val="009E4C70"/>
    <w:rsid w:val="009E5304"/>
    <w:rsid w:val="009E53C8"/>
    <w:rsid w:val="009E5503"/>
    <w:rsid w:val="009E5AF0"/>
    <w:rsid w:val="009E5E5E"/>
    <w:rsid w:val="009E6560"/>
    <w:rsid w:val="009E6BB9"/>
    <w:rsid w:val="009E6E04"/>
    <w:rsid w:val="009E722B"/>
    <w:rsid w:val="009E7696"/>
    <w:rsid w:val="009E77B5"/>
    <w:rsid w:val="009E7A04"/>
    <w:rsid w:val="009F0102"/>
    <w:rsid w:val="009F0381"/>
    <w:rsid w:val="009F05D8"/>
    <w:rsid w:val="009F07C1"/>
    <w:rsid w:val="009F1326"/>
    <w:rsid w:val="009F1396"/>
    <w:rsid w:val="009F1763"/>
    <w:rsid w:val="009F193A"/>
    <w:rsid w:val="009F2552"/>
    <w:rsid w:val="009F279B"/>
    <w:rsid w:val="009F2EFD"/>
    <w:rsid w:val="009F331A"/>
    <w:rsid w:val="009F3631"/>
    <w:rsid w:val="009F363C"/>
    <w:rsid w:val="009F3754"/>
    <w:rsid w:val="009F3790"/>
    <w:rsid w:val="009F37FC"/>
    <w:rsid w:val="009F3CF2"/>
    <w:rsid w:val="009F4516"/>
    <w:rsid w:val="009F476C"/>
    <w:rsid w:val="009F47B7"/>
    <w:rsid w:val="009F4A0A"/>
    <w:rsid w:val="009F5534"/>
    <w:rsid w:val="009F586C"/>
    <w:rsid w:val="009F5D30"/>
    <w:rsid w:val="009F5FB7"/>
    <w:rsid w:val="009F6115"/>
    <w:rsid w:val="009F6290"/>
    <w:rsid w:val="009F6796"/>
    <w:rsid w:val="009F6C53"/>
    <w:rsid w:val="009F7851"/>
    <w:rsid w:val="009F7A90"/>
    <w:rsid w:val="009F7BB7"/>
    <w:rsid w:val="009F7CEB"/>
    <w:rsid w:val="00A00214"/>
    <w:rsid w:val="00A00298"/>
    <w:rsid w:val="00A00407"/>
    <w:rsid w:val="00A0116B"/>
    <w:rsid w:val="00A01B58"/>
    <w:rsid w:val="00A0218E"/>
    <w:rsid w:val="00A02878"/>
    <w:rsid w:val="00A02B25"/>
    <w:rsid w:val="00A03256"/>
    <w:rsid w:val="00A03258"/>
    <w:rsid w:val="00A03D2F"/>
    <w:rsid w:val="00A03E73"/>
    <w:rsid w:val="00A040FD"/>
    <w:rsid w:val="00A0426A"/>
    <w:rsid w:val="00A04C0D"/>
    <w:rsid w:val="00A04DAC"/>
    <w:rsid w:val="00A04E11"/>
    <w:rsid w:val="00A05160"/>
    <w:rsid w:val="00A056C1"/>
    <w:rsid w:val="00A057DB"/>
    <w:rsid w:val="00A058A4"/>
    <w:rsid w:val="00A058FE"/>
    <w:rsid w:val="00A06651"/>
    <w:rsid w:val="00A06B78"/>
    <w:rsid w:val="00A06EA1"/>
    <w:rsid w:val="00A07327"/>
    <w:rsid w:val="00A075F5"/>
    <w:rsid w:val="00A07660"/>
    <w:rsid w:val="00A077E8"/>
    <w:rsid w:val="00A07C16"/>
    <w:rsid w:val="00A10FBF"/>
    <w:rsid w:val="00A113C1"/>
    <w:rsid w:val="00A116F3"/>
    <w:rsid w:val="00A12A44"/>
    <w:rsid w:val="00A13615"/>
    <w:rsid w:val="00A13642"/>
    <w:rsid w:val="00A136D8"/>
    <w:rsid w:val="00A137E9"/>
    <w:rsid w:val="00A138D7"/>
    <w:rsid w:val="00A13CC6"/>
    <w:rsid w:val="00A13E49"/>
    <w:rsid w:val="00A13E5F"/>
    <w:rsid w:val="00A144A2"/>
    <w:rsid w:val="00A14524"/>
    <w:rsid w:val="00A14C85"/>
    <w:rsid w:val="00A14CB9"/>
    <w:rsid w:val="00A1604A"/>
    <w:rsid w:val="00A16638"/>
    <w:rsid w:val="00A166E8"/>
    <w:rsid w:val="00A16930"/>
    <w:rsid w:val="00A16C9B"/>
    <w:rsid w:val="00A1714C"/>
    <w:rsid w:val="00A1738A"/>
    <w:rsid w:val="00A17490"/>
    <w:rsid w:val="00A17675"/>
    <w:rsid w:val="00A179C8"/>
    <w:rsid w:val="00A179E7"/>
    <w:rsid w:val="00A17EB5"/>
    <w:rsid w:val="00A20260"/>
    <w:rsid w:val="00A2052F"/>
    <w:rsid w:val="00A20B1A"/>
    <w:rsid w:val="00A20CB1"/>
    <w:rsid w:val="00A21048"/>
    <w:rsid w:val="00A2109E"/>
    <w:rsid w:val="00A210AC"/>
    <w:rsid w:val="00A213A3"/>
    <w:rsid w:val="00A21656"/>
    <w:rsid w:val="00A216A3"/>
    <w:rsid w:val="00A216F9"/>
    <w:rsid w:val="00A21BE4"/>
    <w:rsid w:val="00A22A39"/>
    <w:rsid w:val="00A22B09"/>
    <w:rsid w:val="00A2315A"/>
    <w:rsid w:val="00A23D9C"/>
    <w:rsid w:val="00A243BD"/>
    <w:rsid w:val="00A246E5"/>
    <w:rsid w:val="00A24AFF"/>
    <w:rsid w:val="00A24ED4"/>
    <w:rsid w:val="00A25704"/>
    <w:rsid w:val="00A2582D"/>
    <w:rsid w:val="00A25898"/>
    <w:rsid w:val="00A259BE"/>
    <w:rsid w:val="00A265EE"/>
    <w:rsid w:val="00A2672F"/>
    <w:rsid w:val="00A26A3A"/>
    <w:rsid w:val="00A26E4A"/>
    <w:rsid w:val="00A26F33"/>
    <w:rsid w:val="00A27515"/>
    <w:rsid w:val="00A276BC"/>
    <w:rsid w:val="00A2774B"/>
    <w:rsid w:val="00A30115"/>
    <w:rsid w:val="00A30617"/>
    <w:rsid w:val="00A3078B"/>
    <w:rsid w:val="00A3185B"/>
    <w:rsid w:val="00A31B05"/>
    <w:rsid w:val="00A31B76"/>
    <w:rsid w:val="00A32600"/>
    <w:rsid w:val="00A3381D"/>
    <w:rsid w:val="00A33A11"/>
    <w:rsid w:val="00A33A35"/>
    <w:rsid w:val="00A34181"/>
    <w:rsid w:val="00A34222"/>
    <w:rsid w:val="00A34436"/>
    <w:rsid w:val="00A345E7"/>
    <w:rsid w:val="00A346FA"/>
    <w:rsid w:val="00A34F26"/>
    <w:rsid w:val="00A34F67"/>
    <w:rsid w:val="00A3560F"/>
    <w:rsid w:val="00A36003"/>
    <w:rsid w:val="00A36065"/>
    <w:rsid w:val="00A361F3"/>
    <w:rsid w:val="00A36324"/>
    <w:rsid w:val="00A36977"/>
    <w:rsid w:val="00A370F3"/>
    <w:rsid w:val="00A3773A"/>
    <w:rsid w:val="00A37856"/>
    <w:rsid w:val="00A40403"/>
    <w:rsid w:val="00A40461"/>
    <w:rsid w:val="00A40599"/>
    <w:rsid w:val="00A40AC6"/>
    <w:rsid w:val="00A41141"/>
    <w:rsid w:val="00A41161"/>
    <w:rsid w:val="00A41682"/>
    <w:rsid w:val="00A41BB9"/>
    <w:rsid w:val="00A41DA7"/>
    <w:rsid w:val="00A41E5D"/>
    <w:rsid w:val="00A41EB1"/>
    <w:rsid w:val="00A4239E"/>
    <w:rsid w:val="00A42651"/>
    <w:rsid w:val="00A4289E"/>
    <w:rsid w:val="00A42AF5"/>
    <w:rsid w:val="00A430B8"/>
    <w:rsid w:val="00A43598"/>
    <w:rsid w:val="00A4371E"/>
    <w:rsid w:val="00A4386F"/>
    <w:rsid w:val="00A440A5"/>
    <w:rsid w:val="00A44157"/>
    <w:rsid w:val="00A4453A"/>
    <w:rsid w:val="00A445AE"/>
    <w:rsid w:val="00A44D99"/>
    <w:rsid w:val="00A44F40"/>
    <w:rsid w:val="00A45200"/>
    <w:rsid w:val="00A45378"/>
    <w:rsid w:val="00A456B2"/>
    <w:rsid w:val="00A459CE"/>
    <w:rsid w:val="00A45C0E"/>
    <w:rsid w:val="00A46139"/>
    <w:rsid w:val="00A46185"/>
    <w:rsid w:val="00A5039F"/>
    <w:rsid w:val="00A5043A"/>
    <w:rsid w:val="00A507E4"/>
    <w:rsid w:val="00A50B6B"/>
    <w:rsid w:val="00A50BE7"/>
    <w:rsid w:val="00A51D0A"/>
    <w:rsid w:val="00A51E04"/>
    <w:rsid w:val="00A51F57"/>
    <w:rsid w:val="00A529E8"/>
    <w:rsid w:val="00A5304D"/>
    <w:rsid w:val="00A530CA"/>
    <w:rsid w:val="00A535FB"/>
    <w:rsid w:val="00A53692"/>
    <w:rsid w:val="00A53844"/>
    <w:rsid w:val="00A53AC7"/>
    <w:rsid w:val="00A53BFC"/>
    <w:rsid w:val="00A53FA8"/>
    <w:rsid w:val="00A543C2"/>
    <w:rsid w:val="00A5453C"/>
    <w:rsid w:val="00A5468B"/>
    <w:rsid w:val="00A54F3B"/>
    <w:rsid w:val="00A550AE"/>
    <w:rsid w:val="00A557F7"/>
    <w:rsid w:val="00A55A79"/>
    <w:rsid w:val="00A55EC0"/>
    <w:rsid w:val="00A577CC"/>
    <w:rsid w:val="00A57C66"/>
    <w:rsid w:val="00A57CB5"/>
    <w:rsid w:val="00A57DD6"/>
    <w:rsid w:val="00A57FB4"/>
    <w:rsid w:val="00A60AF6"/>
    <w:rsid w:val="00A61289"/>
    <w:rsid w:val="00A61B06"/>
    <w:rsid w:val="00A62942"/>
    <w:rsid w:val="00A62E60"/>
    <w:rsid w:val="00A62EA2"/>
    <w:rsid w:val="00A63630"/>
    <w:rsid w:val="00A6374D"/>
    <w:rsid w:val="00A6394C"/>
    <w:rsid w:val="00A63B60"/>
    <w:rsid w:val="00A63C66"/>
    <w:rsid w:val="00A63E78"/>
    <w:rsid w:val="00A645AE"/>
    <w:rsid w:val="00A64B06"/>
    <w:rsid w:val="00A65055"/>
    <w:rsid w:val="00A6517D"/>
    <w:rsid w:val="00A65211"/>
    <w:rsid w:val="00A65448"/>
    <w:rsid w:val="00A65460"/>
    <w:rsid w:val="00A6565A"/>
    <w:rsid w:val="00A65C1F"/>
    <w:rsid w:val="00A660C1"/>
    <w:rsid w:val="00A668BB"/>
    <w:rsid w:val="00A66FAB"/>
    <w:rsid w:val="00A67EE3"/>
    <w:rsid w:val="00A70343"/>
    <w:rsid w:val="00A70B4E"/>
    <w:rsid w:val="00A71918"/>
    <w:rsid w:val="00A721D5"/>
    <w:rsid w:val="00A72B9B"/>
    <w:rsid w:val="00A73058"/>
    <w:rsid w:val="00A733C9"/>
    <w:rsid w:val="00A73827"/>
    <w:rsid w:val="00A73A9C"/>
    <w:rsid w:val="00A73FC6"/>
    <w:rsid w:val="00A7445C"/>
    <w:rsid w:val="00A74C03"/>
    <w:rsid w:val="00A75112"/>
    <w:rsid w:val="00A7521C"/>
    <w:rsid w:val="00A757DC"/>
    <w:rsid w:val="00A75A91"/>
    <w:rsid w:val="00A75AD4"/>
    <w:rsid w:val="00A75CE9"/>
    <w:rsid w:val="00A75DA1"/>
    <w:rsid w:val="00A75DD6"/>
    <w:rsid w:val="00A763CE"/>
    <w:rsid w:val="00A7640F"/>
    <w:rsid w:val="00A76D63"/>
    <w:rsid w:val="00A76EA4"/>
    <w:rsid w:val="00A76EE9"/>
    <w:rsid w:val="00A7775F"/>
    <w:rsid w:val="00A7783D"/>
    <w:rsid w:val="00A77BDE"/>
    <w:rsid w:val="00A77CBB"/>
    <w:rsid w:val="00A77F64"/>
    <w:rsid w:val="00A80562"/>
    <w:rsid w:val="00A80653"/>
    <w:rsid w:val="00A807EA"/>
    <w:rsid w:val="00A80EA7"/>
    <w:rsid w:val="00A80FCD"/>
    <w:rsid w:val="00A81045"/>
    <w:rsid w:val="00A810CE"/>
    <w:rsid w:val="00A81266"/>
    <w:rsid w:val="00A81E5E"/>
    <w:rsid w:val="00A81F82"/>
    <w:rsid w:val="00A82437"/>
    <w:rsid w:val="00A82DD1"/>
    <w:rsid w:val="00A83253"/>
    <w:rsid w:val="00A835D7"/>
    <w:rsid w:val="00A841B0"/>
    <w:rsid w:val="00A84499"/>
    <w:rsid w:val="00A844A8"/>
    <w:rsid w:val="00A844FE"/>
    <w:rsid w:val="00A84786"/>
    <w:rsid w:val="00A848CA"/>
    <w:rsid w:val="00A84C50"/>
    <w:rsid w:val="00A84EAA"/>
    <w:rsid w:val="00A85098"/>
    <w:rsid w:val="00A85A2B"/>
    <w:rsid w:val="00A85E5D"/>
    <w:rsid w:val="00A860EB"/>
    <w:rsid w:val="00A86148"/>
    <w:rsid w:val="00A866CD"/>
    <w:rsid w:val="00A875B4"/>
    <w:rsid w:val="00A87647"/>
    <w:rsid w:val="00A8771C"/>
    <w:rsid w:val="00A87764"/>
    <w:rsid w:val="00A879A3"/>
    <w:rsid w:val="00A87CEE"/>
    <w:rsid w:val="00A87F66"/>
    <w:rsid w:val="00A901D1"/>
    <w:rsid w:val="00A907C8"/>
    <w:rsid w:val="00A91A9F"/>
    <w:rsid w:val="00A91B67"/>
    <w:rsid w:val="00A91D51"/>
    <w:rsid w:val="00A91EF2"/>
    <w:rsid w:val="00A92129"/>
    <w:rsid w:val="00A925EA"/>
    <w:rsid w:val="00A92988"/>
    <w:rsid w:val="00A9332E"/>
    <w:rsid w:val="00A93543"/>
    <w:rsid w:val="00A9392C"/>
    <w:rsid w:val="00A93F16"/>
    <w:rsid w:val="00A93F3B"/>
    <w:rsid w:val="00A93F6B"/>
    <w:rsid w:val="00A9456B"/>
    <w:rsid w:val="00A946CC"/>
    <w:rsid w:val="00A947CC"/>
    <w:rsid w:val="00A94840"/>
    <w:rsid w:val="00A9487A"/>
    <w:rsid w:val="00A9487F"/>
    <w:rsid w:val="00A94A13"/>
    <w:rsid w:val="00A94EC9"/>
    <w:rsid w:val="00A94EFC"/>
    <w:rsid w:val="00A94F67"/>
    <w:rsid w:val="00A95033"/>
    <w:rsid w:val="00A95C2A"/>
    <w:rsid w:val="00A95CC8"/>
    <w:rsid w:val="00A961AA"/>
    <w:rsid w:val="00A963DD"/>
    <w:rsid w:val="00A9644D"/>
    <w:rsid w:val="00A96C56"/>
    <w:rsid w:val="00AA0694"/>
    <w:rsid w:val="00AA07C1"/>
    <w:rsid w:val="00AA0ADB"/>
    <w:rsid w:val="00AA0BF7"/>
    <w:rsid w:val="00AA0E12"/>
    <w:rsid w:val="00AA1044"/>
    <w:rsid w:val="00AA10A2"/>
    <w:rsid w:val="00AA1463"/>
    <w:rsid w:val="00AA1681"/>
    <w:rsid w:val="00AA1AC1"/>
    <w:rsid w:val="00AA1CC3"/>
    <w:rsid w:val="00AA1CEE"/>
    <w:rsid w:val="00AA1D73"/>
    <w:rsid w:val="00AA1E9F"/>
    <w:rsid w:val="00AA211D"/>
    <w:rsid w:val="00AA2226"/>
    <w:rsid w:val="00AA2749"/>
    <w:rsid w:val="00AA2819"/>
    <w:rsid w:val="00AA2FA1"/>
    <w:rsid w:val="00AA3C16"/>
    <w:rsid w:val="00AA400B"/>
    <w:rsid w:val="00AA455F"/>
    <w:rsid w:val="00AA51C1"/>
    <w:rsid w:val="00AA55E9"/>
    <w:rsid w:val="00AA5A33"/>
    <w:rsid w:val="00AA5DD3"/>
    <w:rsid w:val="00AA5FCE"/>
    <w:rsid w:val="00AA6156"/>
    <w:rsid w:val="00AA61FA"/>
    <w:rsid w:val="00AA62BA"/>
    <w:rsid w:val="00AA6578"/>
    <w:rsid w:val="00AA6B2B"/>
    <w:rsid w:val="00AA6F0F"/>
    <w:rsid w:val="00AA6F8E"/>
    <w:rsid w:val="00AA73AC"/>
    <w:rsid w:val="00AA7B77"/>
    <w:rsid w:val="00AB00EC"/>
    <w:rsid w:val="00AB074C"/>
    <w:rsid w:val="00AB0AFE"/>
    <w:rsid w:val="00AB0E24"/>
    <w:rsid w:val="00AB0FE1"/>
    <w:rsid w:val="00AB1837"/>
    <w:rsid w:val="00AB187A"/>
    <w:rsid w:val="00AB1E56"/>
    <w:rsid w:val="00AB1EF5"/>
    <w:rsid w:val="00AB2195"/>
    <w:rsid w:val="00AB28F2"/>
    <w:rsid w:val="00AB3535"/>
    <w:rsid w:val="00AB36EC"/>
    <w:rsid w:val="00AB37E9"/>
    <w:rsid w:val="00AB3CE7"/>
    <w:rsid w:val="00AB4037"/>
    <w:rsid w:val="00AB4B9D"/>
    <w:rsid w:val="00AB4EB7"/>
    <w:rsid w:val="00AB514A"/>
    <w:rsid w:val="00AB56FE"/>
    <w:rsid w:val="00AB5FD7"/>
    <w:rsid w:val="00AB668A"/>
    <w:rsid w:val="00AB669D"/>
    <w:rsid w:val="00AB699D"/>
    <w:rsid w:val="00AB6E06"/>
    <w:rsid w:val="00AB6EEF"/>
    <w:rsid w:val="00AB7169"/>
    <w:rsid w:val="00AB7555"/>
    <w:rsid w:val="00AB75B3"/>
    <w:rsid w:val="00AB7951"/>
    <w:rsid w:val="00AB7DE9"/>
    <w:rsid w:val="00AB7F5B"/>
    <w:rsid w:val="00AC0E71"/>
    <w:rsid w:val="00AC17B2"/>
    <w:rsid w:val="00AC19CD"/>
    <w:rsid w:val="00AC1B00"/>
    <w:rsid w:val="00AC1B36"/>
    <w:rsid w:val="00AC1E12"/>
    <w:rsid w:val="00AC1E32"/>
    <w:rsid w:val="00AC23A7"/>
    <w:rsid w:val="00AC29E2"/>
    <w:rsid w:val="00AC2D2E"/>
    <w:rsid w:val="00AC338F"/>
    <w:rsid w:val="00AC3518"/>
    <w:rsid w:val="00AC3763"/>
    <w:rsid w:val="00AC3BE0"/>
    <w:rsid w:val="00AC3D0F"/>
    <w:rsid w:val="00AC434D"/>
    <w:rsid w:val="00AC441C"/>
    <w:rsid w:val="00AC4675"/>
    <w:rsid w:val="00AC50E3"/>
    <w:rsid w:val="00AC512D"/>
    <w:rsid w:val="00AC5131"/>
    <w:rsid w:val="00AC59CF"/>
    <w:rsid w:val="00AC5DB0"/>
    <w:rsid w:val="00AC6C8F"/>
    <w:rsid w:val="00AC6E3B"/>
    <w:rsid w:val="00AC7ADB"/>
    <w:rsid w:val="00AD0113"/>
    <w:rsid w:val="00AD01D0"/>
    <w:rsid w:val="00AD01E9"/>
    <w:rsid w:val="00AD01FA"/>
    <w:rsid w:val="00AD02ED"/>
    <w:rsid w:val="00AD09B3"/>
    <w:rsid w:val="00AD0C11"/>
    <w:rsid w:val="00AD18BA"/>
    <w:rsid w:val="00AD1B5D"/>
    <w:rsid w:val="00AD1D44"/>
    <w:rsid w:val="00AD1E12"/>
    <w:rsid w:val="00AD2A9F"/>
    <w:rsid w:val="00AD357F"/>
    <w:rsid w:val="00AD35BC"/>
    <w:rsid w:val="00AD3A72"/>
    <w:rsid w:val="00AD4259"/>
    <w:rsid w:val="00AD4613"/>
    <w:rsid w:val="00AD463F"/>
    <w:rsid w:val="00AD4AFD"/>
    <w:rsid w:val="00AD4BE1"/>
    <w:rsid w:val="00AD4D18"/>
    <w:rsid w:val="00AD51C9"/>
    <w:rsid w:val="00AD5237"/>
    <w:rsid w:val="00AD542F"/>
    <w:rsid w:val="00AD5B98"/>
    <w:rsid w:val="00AD6312"/>
    <w:rsid w:val="00AD64CD"/>
    <w:rsid w:val="00AD654D"/>
    <w:rsid w:val="00AD65FF"/>
    <w:rsid w:val="00AD69CA"/>
    <w:rsid w:val="00AD6B81"/>
    <w:rsid w:val="00AD7092"/>
    <w:rsid w:val="00AD7744"/>
    <w:rsid w:val="00AD7A3B"/>
    <w:rsid w:val="00AD7C1F"/>
    <w:rsid w:val="00AD7FFD"/>
    <w:rsid w:val="00AE002E"/>
    <w:rsid w:val="00AE02A8"/>
    <w:rsid w:val="00AE02DC"/>
    <w:rsid w:val="00AE129F"/>
    <w:rsid w:val="00AE13A1"/>
    <w:rsid w:val="00AE152E"/>
    <w:rsid w:val="00AE18E5"/>
    <w:rsid w:val="00AE1B0D"/>
    <w:rsid w:val="00AE1B9C"/>
    <w:rsid w:val="00AE2A68"/>
    <w:rsid w:val="00AE2A9F"/>
    <w:rsid w:val="00AE2B65"/>
    <w:rsid w:val="00AE2CB2"/>
    <w:rsid w:val="00AE333D"/>
    <w:rsid w:val="00AE34F2"/>
    <w:rsid w:val="00AE36AC"/>
    <w:rsid w:val="00AE3A5A"/>
    <w:rsid w:val="00AE3ED7"/>
    <w:rsid w:val="00AE46EE"/>
    <w:rsid w:val="00AE49FA"/>
    <w:rsid w:val="00AE51DC"/>
    <w:rsid w:val="00AE520E"/>
    <w:rsid w:val="00AE5B50"/>
    <w:rsid w:val="00AE5D19"/>
    <w:rsid w:val="00AE645B"/>
    <w:rsid w:val="00AE669C"/>
    <w:rsid w:val="00AE675B"/>
    <w:rsid w:val="00AE686B"/>
    <w:rsid w:val="00AE6DBF"/>
    <w:rsid w:val="00AE772D"/>
    <w:rsid w:val="00AE795C"/>
    <w:rsid w:val="00AE7AA1"/>
    <w:rsid w:val="00AE7D28"/>
    <w:rsid w:val="00AE7D9D"/>
    <w:rsid w:val="00AF04E2"/>
    <w:rsid w:val="00AF070F"/>
    <w:rsid w:val="00AF0A03"/>
    <w:rsid w:val="00AF0C0C"/>
    <w:rsid w:val="00AF0DF1"/>
    <w:rsid w:val="00AF0DF9"/>
    <w:rsid w:val="00AF0ED8"/>
    <w:rsid w:val="00AF1733"/>
    <w:rsid w:val="00AF1811"/>
    <w:rsid w:val="00AF1976"/>
    <w:rsid w:val="00AF1A88"/>
    <w:rsid w:val="00AF1F79"/>
    <w:rsid w:val="00AF211B"/>
    <w:rsid w:val="00AF2BD1"/>
    <w:rsid w:val="00AF2F37"/>
    <w:rsid w:val="00AF3866"/>
    <w:rsid w:val="00AF3E41"/>
    <w:rsid w:val="00AF3E9E"/>
    <w:rsid w:val="00AF47D1"/>
    <w:rsid w:val="00AF49F9"/>
    <w:rsid w:val="00AF4BE4"/>
    <w:rsid w:val="00AF4C16"/>
    <w:rsid w:val="00AF4DD9"/>
    <w:rsid w:val="00AF4E53"/>
    <w:rsid w:val="00AF531B"/>
    <w:rsid w:val="00AF5FDF"/>
    <w:rsid w:val="00AF620B"/>
    <w:rsid w:val="00AF6D5D"/>
    <w:rsid w:val="00AF7178"/>
    <w:rsid w:val="00AF7254"/>
    <w:rsid w:val="00AF72E6"/>
    <w:rsid w:val="00AF7515"/>
    <w:rsid w:val="00AF7793"/>
    <w:rsid w:val="00AF7E0F"/>
    <w:rsid w:val="00B00227"/>
    <w:rsid w:val="00B00955"/>
    <w:rsid w:val="00B00DC9"/>
    <w:rsid w:val="00B00E58"/>
    <w:rsid w:val="00B00F0C"/>
    <w:rsid w:val="00B01166"/>
    <w:rsid w:val="00B01203"/>
    <w:rsid w:val="00B01229"/>
    <w:rsid w:val="00B017F8"/>
    <w:rsid w:val="00B01949"/>
    <w:rsid w:val="00B01ADC"/>
    <w:rsid w:val="00B01D89"/>
    <w:rsid w:val="00B022AC"/>
    <w:rsid w:val="00B0230D"/>
    <w:rsid w:val="00B0295F"/>
    <w:rsid w:val="00B02AA2"/>
    <w:rsid w:val="00B036FC"/>
    <w:rsid w:val="00B037F8"/>
    <w:rsid w:val="00B04512"/>
    <w:rsid w:val="00B04711"/>
    <w:rsid w:val="00B04835"/>
    <w:rsid w:val="00B0484E"/>
    <w:rsid w:val="00B0529B"/>
    <w:rsid w:val="00B05A6C"/>
    <w:rsid w:val="00B05CD6"/>
    <w:rsid w:val="00B05E21"/>
    <w:rsid w:val="00B05FD4"/>
    <w:rsid w:val="00B0606C"/>
    <w:rsid w:val="00B06502"/>
    <w:rsid w:val="00B07271"/>
    <w:rsid w:val="00B0744C"/>
    <w:rsid w:val="00B07553"/>
    <w:rsid w:val="00B0759E"/>
    <w:rsid w:val="00B0771E"/>
    <w:rsid w:val="00B078BA"/>
    <w:rsid w:val="00B07F38"/>
    <w:rsid w:val="00B07FE3"/>
    <w:rsid w:val="00B101EA"/>
    <w:rsid w:val="00B10316"/>
    <w:rsid w:val="00B1036F"/>
    <w:rsid w:val="00B10E55"/>
    <w:rsid w:val="00B1134A"/>
    <w:rsid w:val="00B11639"/>
    <w:rsid w:val="00B118D3"/>
    <w:rsid w:val="00B11EA0"/>
    <w:rsid w:val="00B1200E"/>
    <w:rsid w:val="00B1270B"/>
    <w:rsid w:val="00B127D2"/>
    <w:rsid w:val="00B12F55"/>
    <w:rsid w:val="00B13338"/>
    <w:rsid w:val="00B1373B"/>
    <w:rsid w:val="00B138E0"/>
    <w:rsid w:val="00B139BC"/>
    <w:rsid w:val="00B13A0D"/>
    <w:rsid w:val="00B141B9"/>
    <w:rsid w:val="00B142EE"/>
    <w:rsid w:val="00B149CD"/>
    <w:rsid w:val="00B14D91"/>
    <w:rsid w:val="00B1532A"/>
    <w:rsid w:val="00B1542E"/>
    <w:rsid w:val="00B15564"/>
    <w:rsid w:val="00B16848"/>
    <w:rsid w:val="00B1684C"/>
    <w:rsid w:val="00B16A62"/>
    <w:rsid w:val="00B16D37"/>
    <w:rsid w:val="00B16F72"/>
    <w:rsid w:val="00B171C7"/>
    <w:rsid w:val="00B173CD"/>
    <w:rsid w:val="00B173E5"/>
    <w:rsid w:val="00B1788C"/>
    <w:rsid w:val="00B178E4"/>
    <w:rsid w:val="00B17EF6"/>
    <w:rsid w:val="00B17F96"/>
    <w:rsid w:val="00B17FDB"/>
    <w:rsid w:val="00B20141"/>
    <w:rsid w:val="00B206A0"/>
    <w:rsid w:val="00B2138A"/>
    <w:rsid w:val="00B21BB1"/>
    <w:rsid w:val="00B21C42"/>
    <w:rsid w:val="00B2237C"/>
    <w:rsid w:val="00B2259F"/>
    <w:rsid w:val="00B225D0"/>
    <w:rsid w:val="00B230EC"/>
    <w:rsid w:val="00B23298"/>
    <w:rsid w:val="00B2342C"/>
    <w:rsid w:val="00B235C9"/>
    <w:rsid w:val="00B23AF6"/>
    <w:rsid w:val="00B24135"/>
    <w:rsid w:val="00B244E9"/>
    <w:rsid w:val="00B24A6C"/>
    <w:rsid w:val="00B24AA3"/>
    <w:rsid w:val="00B24FCA"/>
    <w:rsid w:val="00B2518D"/>
    <w:rsid w:val="00B252D6"/>
    <w:rsid w:val="00B25393"/>
    <w:rsid w:val="00B25704"/>
    <w:rsid w:val="00B257A8"/>
    <w:rsid w:val="00B259DF"/>
    <w:rsid w:val="00B259EB"/>
    <w:rsid w:val="00B25C35"/>
    <w:rsid w:val="00B25D68"/>
    <w:rsid w:val="00B25DBE"/>
    <w:rsid w:val="00B26026"/>
    <w:rsid w:val="00B26715"/>
    <w:rsid w:val="00B26AF7"/>
    <w:rsid w:val="00B26C36"/>
    <w:rsid w:val="00B2757D"/>
    <w:rsid w:val="00B2777B"/>
    <w:rsid w:val="00B30093"/>
    <w:rsid w:val="00B30120"/>
    <w:rsid w:val="00B30713"/>
    <w:rsid w:val="00B30D73"/>
    <w:rsid w:val="00B30F51"/>
    <w:rsid w:val="00B317E1"/>
    <w:rsid w:val="00B31939"/>
    <w:rsid w:val="00B31F4D"/>
    <w:rsid w:val="00B32F2C"/>
    <w:rsid w:val="00B33101"/>
    <w:rsid w:val="00B33693"/>
    <w:rsid w:val="00B33914"/>
    <w:rsid w:val="00B33EC6"/>
    <w:rsid w:val="00B34F0E"/>
    <w:rsid w:val="00B3506B"/>
    <w:rsid w:val="00B352FE"/>
    <w:rsid w:val="00B35593"/>
    <w:rsid w:val="00B35CC7"/>
    <w:rsid w:val="00B3663B"/>
    <w:rsid w:val="00B367E2"/>
    <w:rsid w:val="00B37E6F"/>
    <w:rsid w:val="00B4040D"/>
    <w:rsid w:val="00B40A99"/>
    <w:rsid w:val="00B40B0B"/>
    <w:rsid w:val="00B41795"/>
    <w:rsid w:val="00B41C33"/>
    <w:rsid w:val="00B41C97"/>
    <w:rsid w:val="00B420ED"/>
    <w:rsid w:val="00B4220C"/>
    <w:rsid w:val="00B4249A"/>
    <w:rsid w:val="00B42513"/>
    <w:rsid w:val="00B42E12"/>
    <w:rsid w:val="00B434D4"/>
    <w:rsid w:val="00B43A35"/>
    <w:rsid w:val="00B43CF6"/>
    <w:rsid w:val="00B446C2"/>
    <w:rsid w:val="00B454EA"/>
    <w:rsid w:val="00B455F6"/>
    <w:rsid w:val="00B4562C"/>
    <w:rsid w:val="00B45F6F"/>
    <w:rsid w:val="00B4656A"/>
    <w:rsid w:val="00B46609"/>
    <w:rsid w:val="00B470ED"/>
    <w:rsid w:val="00B50179"/>
    <w:rsid w:val="00B5038B"/>
    <w:rsid w:val="00B50833"/>
    <w:rsid w:val="00B50D9F"/>
    <w:rsid w:val="00B513C4"/>
    <w:rsid w:val="00B51BA4"/>
    <w:rsid w:val="00B51C11"/>
    <w:rsid w:val="00B5205B"/>
    <w:rsid w:val="00B520C6"/>
    <w:rsid w:val="00B522A4"/>
    <w:rsid w:val="00B528C0"/>
    <w:rsid w:val="00B52912"/>
    <w:rsid w:val="00B52D40"/>
    <w:rsid w:val="00B5329A"/>
    <w:rsid w:val="00B534A4"/>
    <w:rsid w:val="00B53A68"/>
    <w:rsid w:val="00B54719"/>
    <w:rsid w:val="00B548B9"/>
    <w:rsid w:val="00B5583E"/>
    <w:rsid w:val="00B55CAC"/>
    <w:rsid w:val="00B5605C"/>
    <w:rsid w:val="00B560D6"/>
    <w:rsid w:val="00B56195"/>
    <w:rsid w:val="00B5619A"/>
    <w:rsid w:val="00B564E6"/>
    <w:rsid w:val="00B56B78"/>
    <w:rsid w:val="00B56D65"/>
    <w:rsid w:val="00B56D6A"/>
    <w:rsid w:val="00B5718B"/>
    <w:rsid w:val="00B601A7"/>
    <w:rsid w:val="00B606C5"/>
    <w:rsid w:val="00B60793"/>
    <w:rsid w:val="00B60834"/>
    <w:rsid w:val="00B60AC9"/>
    <w:rsid w:val="00B60E31"/>
    <w:rsid w:val="00B61267"/>
    <w:rsid w:val="00B61F61"/>
    <w:rsid w:val="00B62369"/>
    <w:rsid w:val="00B62686"/>
    <w:rsid w:val="00B62E3E"/>
    <w:rsid w:val="00B62FAE"/>
    <w:rsid w:val="00B632A4"/>
    <w:rsid w:val="00B63460"/>
    <w:rsid w:val="00B63E02"/>
    <w:rsid w:val="00B643A2"/>
    <w:rsid w:val="00B64420"/>
    <w:rsid w:val="00B648B6"/>
    <w:rsid w:val="00B64FAD"/>
    <w:rsid w:val="00B6547E"/>
    <w:rsid w:val="00B65D84"/>
    <w:rsid w:val="00B66870"/>
    <w:rsid w:val="00B66A3F"/>
    <w:rsid w:val="00B66C04"/>
    <w:rsid w:val="00B66C37"/>
    <w:rsid w:val="00B66D09"/>
    <w:rsid w:val="00B67119"/>
    <w:rsid w:val="00B67178"/>
    <w:rsid w:val="00B674D8"/>
    <w:rsid w:val="00B67CB3"/>
    <w:rsid w:val="00B67DBB"/>
    <w:rsid w:val="00B70522"/>
    <w:rsid w:val="00B7065D"/>
    <w:rsid w:val="00B7067C"/>
    <w:rsid w:val="00B7076F"/>
    <w:rsid w:val="00B70AA8"/>
    <w:rsid w:val="00B70EC9"/>
    <w:rsid w:val="00B70F1B"/>
    <w:rsid w:val="00B71675"/>
    <w:rsid w:val="00B71AC2"/>
    <w:rsid w:val="00B71B62"/>
    <w:rsid w:val="00B721CA"/>
    <w:rsid w:val="00B7247C"/>
    <w:rsid w:val="00B7256E"/>
    <w:rsid w:val="00B7286C"/>
    <w:rsid w:val="00B73031"/>
    <w:rsid w:val="00B7340D"/>
    <w:rsid w:val="00B73675"/>
    <w:rsid w:val="00B73B68"/>
    <w:rsid w:val="00B73E06"/>
    <w:rsid w:val="00B73E76"/>
    <w:rsid w:val="00B74702"/>
    <w:rsid w:val="00B74B88"/>
    <w:rsid w:val="00B74EB6"/>
    <w:rsid w:val="00B75034"/>
    <w:rsid w:val="00B75338"/>
    <w:rsid w:val="00B753B5"/>
    <w:rsid w:val="00B75BC0"/>
    <w:rsid w:val="00B7636B"/>
    <w:rsid w:val="00B76492"/>
    <w:rsid w:val="00B7687A"/>
    <w:rsid w:val="00B769A2"/>
    <w:rsid w:val="00B772DF"/>
    <w:rsid w:val="00B776AA"/>
    <w:rsid w:val="00B7796D"/>
    <w:rsid w:val="00B80B83"/>
    <w:rsid w:val="00B8141E"/>
    <w:rsid w:val="00B815D8"/>
    <w:rsid w:val="00B819A7"/>
    <w:rsid w:val="00B81B09"/>
    <w:rsid w:val="00B82171"/>
    <w:rsid w:val="00B823FE"/>
    <w:rsid w:val="00B8254D"/>
    <w:rsid w:val="00B83300"/>
    <w:rsid w:val="00B83DE2"/>
    <w:rsid w:val="00B84096"/>
    <w:rsid w:val="00B84C0B"/>
    <w:rsid w:val="00B84F47"/>
    <w:rsid w:val="00B8560C"/>
    <w:rsid w:val="00B8587E"/>
    <w:rsid w:val="00B85AE5"/>
    <w:rsid w:val="00B863A0"/>
    <w:rsid w:val="00B8700D"/>
    <w:rsid w:val="00B87FB5"/>
    <w:rsid w:val="00B903EB"/>
    <w:rsid w:val="00B9071C"/>
    <w:rsid w:val="00B90907"/>
    <w:rsid w:val="00B90AA6"/>
    <w:rsid w:val="00B90CAF"/>
    <w:rsid w:val="00B91247"/>
    <w:rsid w:val="00B9139F"/>
    <w:rsid w:val="00B91510"/>
    <w:rsid w:val="00B91687"/>
    <w:rsid w:val="00B917D5"/>
    <w:rsid w:val="00B91CC5"/>
    <w:rsid w:val="00B91FB6"/>
    <w:rsid w:val="00B921AB"/>
    <w:rsid w:val="00B925FA"/>
    <w:rsid w:val="00B92795"/>
    <w:rsid w:val="00B92AE4"/>
    <w:rsid w:val="00B92DE1"/>
    <w:rsid w:val="00B92DF2"/>
    <w:rsid w:val="00B93393"/>
    <w:rsid w:val="00B93660"/>
    <w:rsid w:val="00B9388F"/>
    <w:rsid w:val="00B93B6F"/>
    <w:rsid w:val="00B93CCD"/>
    <w:rsid w:val="00B94598"/>
    <w:rsid w:val="00B950CD"/>
    <w:rsid w:val="00B95119"/>
    <w:rsid w:val="00B952F2"/>
    <w:rsid w:val="00B96B0D"/>
    <w:rsid w:val="00B9709B"/>
    <w:rsid w:val="00B970E2"/>
    <w:rsid w:val="00BA01AB"/>
    <w:rsid w:val="00BA1702"/>
    <w:rsid w:val="00BA2515"/>
    <w:rsid w:val="00BA2827"/>
    <w:rsid w:val="00BA2FC7"/>
    <w:rsid w:val="00BA3306"/>
    <w:rsid w:val="00BA38E0"/>
    <w:rsid w:val="00BA3B1E"/>
    <w:rsid w:val="00BA3D70"/>
    <w:rsid w:val="00BA4834"/>
    <w:rsid w:val="00BA48CD"/>
    <w:rsid w:val="00BA4A65"/>
    <w:rsid w:val="00BA4B56"/>
    <w:rsid w:val="00BA4CC9"/>
    <w:rsid w:val="00BA4CF0"/>
    <w:rsid w:val="00BA5553"/>
    <w:rsid w:val="00BA5570"/>
    <w:rsid w:val="00BA5724"/>
    <w:rsid w:val="00BA623D"/>
    <w:rsid w:val="00BA6B11"/>
    <w:rsid w:val="00BA6B3F"/>
    <w:rsid w:val="00BA6C9A"/>
    <w:rsid w:val="00BA6FA3"/>
    <w:rsid w:val="00BA700E"/>
    <w:rsid w:val="00BA7073"/>
    <w:rsid w:val="00BA72DD"/>
    <w:rsid w:val="00BA73EE"/>
    <w:rsid w:val="00BA77EB"/>
    <w:rsid w:val="00BA7AA6"/>
    <w:rsid w:val="00BA7B87"/>
    <w:rsid w:val="00BB09C5"/>
    <w:rsid w:val="00BB0E85"/>
    <w:rsid w:val="00BB1C62"/>
    <w:rsid w:val="00BB1F0C"/>
    <w:rsid w:val="00BB2329"/>
    <w:rsid w:val="00BB3110"/>
    <w:rsid w:val="00BB34EE"/>
    <w:rsid w:val="00BB3A51"/>
    <w:rsid w:val="00BB3E55"/>
    <w:rsid w:val="00BB4C2B"/>
    <w:rsid w:val="00BB4DF8"/>
    <w:rsid w:val="00BB5469"/>
    <w:rsid w:val="00BB54A6"/>
    <w:rsid w:val="00BB56DA"/>
    <w:rsid w:val="00BB582E"/>
    <w:rsid w:val="00BB59D0"/>
    <w:rsid w:val="00BB5B93"/>
    <w:rsid w:val="00BB5FF9"/>
    <w:rsid w:val="00BB6143"/>
    <w:rsid w:val="00BB616A"/>
    <w:rsid w:val="00BB62BB"/>
    <w:rsid w:val="00BB67D9"/>
    <w:rsid w:val="00BB6866"/>
    <w:rsid w:val="00BB6875"/>
    <w:rsid w:val="00BB6A83"/>
    <w:rsid w:val="00BB6BB7"/>
    <w:rsid w:val="00BB6F3A"/>
    <w:rsid w:val="00BB704F"/>
    <w:rsid w:val="00BB76D6"/>
    <w:rsid w:val="00BB7711"/>
    <w:rsid w:val="00BB782D"/>
    <w:rsid w:val="00BC115D"/>
    <w:rsid w:val="00BC19B1"/>
    <w:rsid w:val="00BC1A92"/>
    <w:rsid w:val="00BC1B67"/>
    <w:rsid w:val="00BC1CAF"/>
    <w:rsid w:val="00BC1ECD"/>
    <w:rsid w:val="00BC251C"/>
    <w:rsid w:val="00BC26F3"/>
    <w:rsid w:val="00BC2F1F"/>
    <w:rsid w:val="00BC3791"/>
    <w:rsid w:val="00BC3EEA"/>
    <w:rsid w:val="00BC4150"/>
    <w:rsid w:val="00BC429E"/>
    <w:rsid w:val="00BC43E2"/>
    <w:rsid w:val="00BC44D6"/>
    <w:rsid w:val="00BC4731"/>
    <w:rsid w:val="00BC48A6"/>
    <w:rsid w:val="00BC4F2D"/>
    <w:rsid w:val="00BC4F46"/>
    <w:rsid w:val="00BC52EB"/>
    <w:rsid w:val="00BC5608"/>
    <w:rsid w:val="00BC5965"/>
    <w:rsid w:val="00BC5B17"/>
    <w:rsid w:val="00BC617F"/>
    <w:rsid w:val="00BC69E6"/>
    <w:rsid w:val="00BC6A40"/>
    <w:rsid w:val="00BC75E7"/>
    <w:rsid w:val="00BD03EC"/>
    <w:rsid w:val="00BD0631"/>
    <w:rsid w:val="00BD1350"/>
    <w:rsid w:val="00BD1540"/>
    <w:rsid w:val="00BD1DBB"/>
    <w:rsid w:val="00BD1EDE"/>
    <w:rsid w:val="00BD2341"/>
    <w:rsid w:val="00BD26B4"/>
    <w:rsid w:val="00BD26CD"/>
    <w:rsid w:val="00BD26EF"/>
    <w:rsid w:val="00BD2A33"/>
    <w:rsid w:val="00BD35F7"/>
    <w:rsid w:val="00BD3A5E"/>
    <w:rsid w:val="00BD3DFE"/>
    <w:rsid w:val="00BD42BB"/>
    <w:rsid w:val="00BD4852"/>
    <w:rsid w:val="00BD4A8B"/>
    <w:rsid w:val="00BD5821"/>
    <w:rsid w:val="00BD590A"/>
    <w:rsid w:val="00BD5FB8"/>
    <w:rsid w:val="00BD686D"/>
    <w:rsid w:val="00BD696E"/>
    <w:rsid w:val="00BD6CA9"/>
    <w:rsid w:val="00BD76CE"/>
    <w:rsid w:val="00BD79AD"/>
    <w:rsid w:val="00BE07C5"/>
    <w:rsid w:val="00BE0B29"/>
    <w:rsid w:val="00BE0C91"/>
    <w:rsid w:val="00BE0EC6"/>
    <w:rsid w:val="00BE0F61"/>
    <w:rsid w:val="00BE15C8"/>
    <w:rsid w:val="00BE18EE"/>
    <w:rsid w:val="00BE1C07"/>
    <w:rsid w:val="00BE1C7D"/>
    <w:rsid w:val="00BE2BB3"/>
    <w:rsid w:val="00BE30C5"/>
    <w:rsid w:val="00BE3316"/>
    <w:rsid w:val="00BE36BF"/>
    <w:rsid w:val="00BE37E9"/>
    <w:rsid w:val="00BE3B9A"/>
    <w:rsid w:val="00BE3CAA"/>
    <w:rsid w:val="00BE3D49"/>
    <w:rsid w:val="00BE3E5F"/>
    <w:rsid w:val="00BE4567"/>
    <w:rsid w:val="00BE483E"/>
    <w:rsid w:val="00BE4A65"/>
    <w:rsid w:val="00BE5071"/>
    <w:rsid w:val="00BE5293"/>
    <w:rsid w:val="00BE5332"/>
    <w:rsid w:val="00BE567F"/>
    <w:rsid w:val="00BE583A"/>
    <w:rsid w:val="00BE5C9A"/>
    <w:rsid w:val="00BE5FD5"/>
    <w:rsid w:val="00BE64D4"/>
    <w:rsid w:val="00BE67FF"/>
    <w:rsid w:val="00BF07CD"/>
    <w:rsid w:val="00BF09C9"/>
    <w:rsid w:val="00BF0A42"/>
    <w:rsid w:val="00BF0E33"/>
    <w:rsid w:val="00BF10F5"/>
    <w:rsid w:val="00BF137F"/>
    <w:rsid w:val="00BF22BE"/>
    <w:rsid w:val="00BF2553"/>
    <w:rsid w:val="00BF2D48"/>
    <w:rsid w:val="00BF2FF5"/>
    <w:rsid w:val="00BF3538"/>
    <w:rsid w:val="00BF3B60"/>
    <w:rsid w:val="00BF3C5D"/>
    <w:rsid w:val="00BF3F44"/>
    <w:rsid w:val="00BF440A"/>
    <w:rsid w:val="00BF49B5"/>
    <w:rsid w:val="00BF5023"/>
    <w:rsid w:val="00BF51B2"/>
    <w:rsid w:val="00BF5218"/>
    <w:rsid w:val="00BF5482"/>
    <w:rsid w:val="00BF5791"/>
    <w:rsid w:val="00BF6446"/>
    <w:rsid w:val="00BF6F81"/>
    <w:rsid w:val="00BF7A17"/>
    <w:rsid w:val="00BF7E30"/>
    <w:rsid w:val="00C00745"/>
    <w:rsid w:val="00C00E8E"/>
    <w:rsid w:val="00C00F38"/>
    <w:rsid w:val="00C011BF"/>
    <w:rsid w:val="00C016C6"/>
    <w:rsid w:val="00C0212F"/>
    <w:rsid w:val="00C0214F"/>
    <w:rsid w:val="00C02503"/>
    <w:rsid w:val="00C025B2"/>
    <w:rsid w:val="00C02AF7"/>
    <w:rsid w:val="00C031FA"/>
    <w:rsid w:val="00C03295"/>
    <w:rsid w:val="00C036B6"/>
    <w:rsid w:val="00C0377A"/>
    <w:rsid w:val="00C03861"/>
    <w:rsid w:val="00C03CA5"/>
    <w:rsid w:val="00C04000"/>
    <w:rsid w:val="00C0408D"/>
    <w:rsid w:val="00C04906"/>
    <w:rsid w:val="00C04E34"/>
    <w:rsid w:val="00C053BC"/>
    <w:rsid w:val="00C05EB4"/>
    <w:rsid w:val="00C06459"/>
    <w:rsid w:val="00C06D76"/>
    <w:rsid w:val="00C07114"/>
    <w:rsid w:val="00C07417"/>
    <w:rsid w:val="00C074BF"/>
    <w:rsid w:val="00C07703"/>
    <w:rsid w:val="00C077A4"/>
    <w:rsid w:val="00C07900"/>
    <w:rsid w:val="00C07BBA"/>
    <w:rsid w:val="00C10130"/>
    <w:rsid w:val="00C10407"/>
    <w:rsid w:val="00C10956"/>
    <w:rsid w:val="00C10B20"/>
    <w:rsid w:val="00C10B79"/>
    <w:rsid w:val="00C10E40"/>
    <w:rsid w:val="00C115F0"/>
    <w:rsid w:val="00C11676"/>
    <w:rsid w:val="00C117AB"/>
    <w:rsid w:val="00C118CA"/>
    <w:rsid w:val="00C11A01"/>
    <w:rsid w:val="00C11EBF"/>
    <w:rsid w:val="00C11FCC"/>
    <w:rsid w:val="00C12E76"/>
    <w:rsid w:val="00C13731"/>
    <w:rsid w:val="00C13837"/>
    <w:rsid w:val="00C13A33"/>
    <w:rsid w:val="00C13C17"/>
    <w:rsid w:val="00C13DA1"/>
    <w:rsid w:val="00C1451B"/>
    <w:rsid w:val="00C1471B"/>
    <w:rsid w:val="00C14C37"/>
    <w:rsid w:val="00C15EDC"/>
    <w:rsid w:val="00C160EB"/>
    <w:rsid w:val="00C162EE"/>
    <w:rsid w:val="00C164A4"/>
    <w:rsid w:val="00C16ACC"/>
    <w:rsid w:val="00C16CAE"/>
    <w:rsid w:val="00C17105"/>
    <w:rsid w:val="00C1772B"/>
    <w:rsid w:val="00C17E2D"/>
    <w:rsid w:val="00C201B7"/>
    <w:rsid w:val="00C2076A"/>
    <w:rsid w:val="00C20A16"/>
    <w:rsid w:val="00C212C3"/>
    <w:rsid w:val="00C2162A"/>
    <w:rsid w:val="00C216AD"/>
    <w:rsid w:val="00C21C49"/>
    <w:rsid w:val="00C21FE2"/>
    <w:rsid w:val="00C22117"/>
    <w:rsid w:val="00C221BF"/>
    <w:rsid w:val="00C225B4"/>
    <w:rsid w:val="00C22850"/>
    <w:rsid w:val="00C22E39"/>
    <w:rsid w:val="00C233D3"/>
    <w:rsid w:val="00C237AE"/>
    <w:rsid w:val="00C23954"/>
    <w:rsid w:val="00C23FEA"/>
    <w:rsid w:val="00C2415E"/>
    <w:rsid w:val="00C24F18"/>
    <w:rsid w:val="00C25139"/>
    <w:rsid w:val="00C253F3"/>
    <w:rsid w:val="00C255E7"/>
    <w:rsid w:val="00C2582D"/>
    <w:rsid w:val="00C25C3C"/>
    <w:rsid w:val="00C25D9B"/>
    <w:rsid w:val="00C261D1"/>
    <w:rsid w:val="00C262DC"/>
    <w:rsid w:val="00C2640F"/>
    <w:rsid w:val="00C268CF"/>
    <w:rsid w:val="00C26D45"/>
    <w:rsid w:val="00C26DA2"/>
    <w:rsid w:val="00C26E01"/>
    <w:rsid w:val="00C27700"/>
    <w:rsid w:val="00C277F3"/>
    <w:rsid w:val="00C27812"/>
    <w:rsid w:val="00C27CB2"/>
    <w:rsid w:val="00C27E62"/>
    <w:rsid w:val="00C301E2"/>
    <w:rsid w:val="00C302C1"/>
    <w:rsid w:val="00C30625"/>
    <w:rsid w:val="00C306D9"/>
    <w:rsid w:val="00C30D55"/>
    <w:rsid w:val="00C30EFE"/>
    <w:rsid w:val="00C3113C"/>
    <w:rsid w:val="00C313F3"/>
    <w:rsid w:val="00C314A3"/>
    <w:rsid w:val="00C317F3"/>
    <w:rsid w:val="00C31C38"/>
    <w:rsid w:val="00C31E77"/>
    <w:rsid w:val="00C32097"/>
    <w:rsid w:val="00C32157"/>
    <w:rsid w:val="00C3236F"/>
    <w:rsid w:val="00C326A9"/>
    <w:rsid w:val="00C32F05"/>
    <w:rsid w:val="00C33085"/>
    <w:rsid w:val="00C330FB"/>
    <w:rsid w:val="00C3324E"/>
    <w:rsid w:val="00C33297"/>
    <w:rsid w:val="00C332BE"/>
    <w:rsid w:val="00C339CC"/>
    <w:rsid w:val="00C33CD3"/>
    <w:rsid w:val="00C341E1"/>
    <w:rsid w:val="00C3446C"/>
    <w:rsid w:val="00C34879"/>
    <w:rsid w:val="00C349C2"/>
    <w:rsid w:val="00C349F5"/>
    <w:rsid w:val="00C35116"/>
    <w:rsid w:val="00C35747"/>
    <w:rsid w:val="00C35A39"/>
    <w:rsid w:val="00C35ADB"/>
    <w:rsid w:val="00C35FB4"/>
    <w:rsid w:val="00C361F4"/>
    <w:rsid w:val="00C367A9"/>
    <w:rsid w:val="00C36944"/>
    <w:rsid w:val="00C36B81"/>
    <w:rsid w:val="00C36E03"/>
    <w:rsid w:val="00C36E1A"/>
    <w:rsid w:val="00C3726A"/>
    <w:rsid w:val="00C37584"/>
    <w:rsid w:val="00C379AA"/>
    <w:rsid w:val="00C37B13"/>
    <w:rsid w:val="00C40544"/>
    <w:rsid w:val="00C40660"/>
    <w:rsid w:val="00C407D1"/>
    <w:rsid w:val="00C40A6D"/>
    <w:rsid w:val="00C40C3A"/>
    <w:rsid w:val="00C40EC7"/>
    <w:rsid w:val="00C4136D"/>
    <w:rsid w:val="00C420CF"/>
    <w:rsid w:val="00C420D7"/>
    <w:rsid w:val="00C4215F"/>
    <w:rsid w:val="00C42422"/>
    <w:rsid w:val="00C42A5D"/>
    <w:rsid w:val="00C42FC5"/>
    <w:rsid w:val="00C43223"/>
    <w:rsid w:val="00C4322D"/>
    <w:rsid w:val="00C433F2"/>
    <w:rsid w:val="00C43C07"/>
    <w:rsid w:val="00C43D01"/>
    <w:rsid w:val="00C43DF0"/>
    <w:rsid w:val="00C4490B"/>
    <w:rsid w:val="00C44C37"/>
    <w:rsid w:val="00C44E39"/>
    <w:rsid w:val="00C44EB5"/>
    <w:rsid w:val="00C452D3"/>
    <w:rsid w:val="00C453B3"/>
    <w:rsid w:val="00C4554F"/>
    <w:rsid w:val="00C4597D"/>
    <w:rsid w:val="00C45A22"/>
    <w:rsid w:val="00C45D6E"/>
    <w:rsid w:val="00C45FAE"/>
    <w:rsid w:val="00C4658A"/>
    <w:rsid w:val="00C465C4"/>
    <w:rsid w:val="00C46AE5"/>
    <w:rsid w:val="00C46BF7"/>
    <w:rsid w:val="00C47654"/>
    <w:rsid w:val="00C47E70"/>
    <w:rsid w:val="00C50509"/>
    <w:rsid w:val="00C50E2A"/>
    <w:rsid w:val="00C5182B"/>
    <w:rsid w:val="00C51847"/>
    <w:rsid w:val="00C51954"/>
    <w:rsid w:val="00C51E38"/>
    <w:rsid w:val="00C51EB3"/>
    <w:rsid w:val="00C51EF4"/>
    <w:rsid w:val="00C52580"/>
    <w:rsid w:val="00C52BE0"/>
    <w:rsid w:val="00C52C0D"/>
    <w:rsid w:val="00C52C71"/>
    <w:rsid w:val="00C52FA5"/>
    <w:rsid w:val="00C53347"/>
    <w:rsid w:val="00C53C50"/>
    <w:rsid w:val="00C53D23"/>
    <w:rsid w:val="00C541DC"/>
    <w:rsid w:val="00C5448C"/>
    <w:rsid w:val="00C54AF4"/>
    <w:rsid w:val="00C5593E"/>
    <w:rsid w:val="00C55B76"/>
    <w:rsid w:val="00C55C0A"/>
    <w:rsid w:val="00C55C13"/>
    <w:rsid w:val="00C56093"/>
    <w:rsid w:val="00C568DE"/>
    <w:rsid w:val="00C56B0B"/>
    <w:rsid w:val="00C56B4F"/>
    <w:rsid w:val="00C56B59"/>
    <w:rsid w:val="00C56C72"/>
    <w:rsid w:val="00C56D34"/>
    <w:rsid w:val="00C572EB"/>
    <w:rsid w:val="00C57CC6"/>
    <w:rsid w:val="00C57E4D"/>
    <w:rsid w:val="00C57F08"/>
    <w:rsid w:val="00C60181"/>
    <w:rsid w:val="00C6082E"/>
    <w:rsid w:val="00C60A16"/>
    <w:rsid w:val="00C60A97"/>
    <w:rsid w:val="00C60D47"/>
    <w:rsid w:val="00C60F4F"/>
    <w:rsid w:val="00C61054"/>
    <w:rsid w:val="00C6128F"/>
    <w:rsid w:val="00C614C5"/>
    <w:rsid w:val="00C61DCD"/>
    <w:rsid w:val="00C61DFE"/>
    <w:rsid w:val="00C61E65"/>
    <w:rsid w:val="00C622A3"/>
    <w:rsid w:val="00C626CD"/>
    <w:rsid w:val="00C626E2"/>
    <w:rsid w:val="00C628C8"/>
    <w:rsid w:val="00C62C40"/>
    <w:rsid w:val="00C6349A"/>
    <w:rsid w:val="00C63567"/>
    <w:rsid w:val="00C63DC0"/>
    <w:rsid w:val="00C63F62"/>
    <w:rsid w:val="00C63FFA"/>
    <w:rsid w:val="00C643BA"/>
    <w:rsid w:val="00C6499E"/>
    <w:rsid w:val="00C65773"/>
    <w:rsid w:val="00C6609F"/>
    <w:rsid w:val="00C663C4"/>
    <w:rsid w:val="00C66417"/>
    <w:rsid w:val="00C66AFC"/>
    <w:rsid w:val="00C673F8"/>
    <w:rsid w:val="00C679DC"/>
    <w:rsid w:val="00C67CA8"/>
    <w:rsid w:val="00C702A3"/>
    <w:rsid w:val="00C703AE"/>
    <w:rsid w:val="00C703F9"/>
    <w:rsid w:val="00C70894"/>
    <w:rsid w:val="00C70942"/>
    <w:rsid w:val="00C70AD4"/>
    <w:rsid w:val="00C70C65"/>
    <w:rsid w:val="00C70D8C"/>
    <w:rsid w:val="00C70E94"/>
    <w:rsid w:val="00C71191"/>
    <w:rsid w:val="00C71864"/>
    <w:rsid w:val="00C71A5D"/>
    <w:rsid w:val="00C721CC"/>
    <w:rsid w:val="00C721D4"/>
    <w:rsid w:val="00C723B8"/>
    <w:rsid w:val="00C726D3"/>
    <w:rsid w:val="00C727EE"/>
    <w:rsid w:val="00C72B20"/>
    <w:rsid w:val="00C73193"/>
    <w:rsid w:val="00C73340"/>
    <w:rsid w:val="00C734BF"/>
    <w:rsid w:val="00C735FA"/>
    <w:rsid w:val="00C736E7"/>
    <w:rsid w:val="00C73915"/>
    <w:rsid w:val="00C745F3"/>
    <w:rsid w:val="00C74A35"/>
    <w:rsid w:val="00C74DA3"/>
    <w:rsid w:val="00C7519E"/>
    <w:rsid w:val="00C7555F"/>
    <w:rsid w:val="00C75656"/>
    <w:rsid w:val="00C75FB1"/>
    <w:rsid w:val="00C76750"/>
    <w:rsid w:val="00C76757"/>
    <w:rsid w:val="00C767E9"/>
    <w:rsid w:val="00C77BF4"/>
    <w:rsid w:val="00C77C4D"/>
    <w:rsid w:val="00C803A6"/>
    <w:rsid w:val="00C8069B"/>
    <w:rsid w:val="00C80B67"/>
    <w:rsid w:val="00C81465"/>
    <w:rsid w:val="00C81674"/>
    <w:rsid w:val="00C816F7"/>
    <w:rsid w:val="00C8176D"/>
    <w:rsid w:val="00C81A12"/>
    <w:rsid w:val="00C81CFC"/>
    <w:rsid w:val="00C82116"/>
    <w:rsid w:val="00C82130"/>
    <w:rsid w:val="00C82261"/>
    <w:rsid w:val="00C82368"/>
    <w:rsid w:val="00C824E4"/>
    <w:rsid w:val="00C8294E"/>
    <w:rsid w:val="00C8296F"/>
    <w:rsid w:val="00C82975"/>
    <w:rsid w:val="00C8369D"/>
    <w:rsid w:val="00C83F8B"/>
    <w:rsid w:val="00C8401D"/>
    <w:rsid w:val="00C8421B"/>
    <w:rsid w:val="00C844AB"/>
    <w:rsid w:val="00C846BE"/>
    <w:rsid w:val="00C84C02"/>
    <w:rsid w:val="00C84E16"/>
    <w:rsid w:val="00C84E52"/>
    <w:rsid w:val="00C86069"/>
    <w:rsid w:val="00C87006"/>
    <w:rsid w:val="00C87120"/>
    <w:rsid w:val="00C87485"/>
    <w:rsid w:val="00C8758D"/>
    <w:rsid w:val="00C87F5E"/>
    <w:rsid w:val="00C90294"/>
    <w:rsid w:val="00C908B3"/>
    <w:rsid w:val="00C90B93"/>
    <w:rsid w:val="00C90E7C"/>
    <w:rsid w:val="00C913C9"/>
    <w:rsid w:val="00C9161F"/>
    <w:rsid w:val="00C918A6"/>
    <w:rsid w:val="00C91E73"/>
    <w:rsid w:val="00C920A1"/>
    <w:rsid w:val="00C92332"/>
    <w:rsid w:val="00C927FF"/>
    <w:rsid w:val="00C9286B"/>
    <w:rsid w:val="00C92BDF"/>
    <w:rsid w:val="00C931DE"/>
    <w:rsid w:val="00C934DC"/>
    <w:rsid w:val="00C9352C"/>
    <w:rsid w:val="00C93787"/>
    <w:rsid w:val="00C93972"/>
    <w:rsid w:val="00C94595"/>
    <w:rsid w:val="00C9560D"/>
    <w:rsid w:val="00C95656"/>
    <w:rsid w:val="00C959AF"/>
    <w:rsid w:val="00C963DE"/>
    <w:rsid w:val="00C96FE2"/>
    <w:rsid w:val="00C972AF"/>
    <w:rsid w:val="00C972D0"/>
    <w:rsid w:val="00C977DA"/>
    <w:rsid w:val="00C97905"/>
    <w:rsid w:val="00CA06E7"/>
    <w:rsid w:val="00CA0AED"/>
    <w:rsid w:val="00CA0C26"/>
    <w:rsid w:val="00CA0E43"/>
    <w:rsid w:val="00CA1441"/>
    <w:rsid w:val="00CA14C4"/>
    <w:rsid w:val="00CA1590"/>
    <w:rsid w:val="00CA2278"/>
    <w:rsid w:val="00CA22B4"/>
    <w:rsid w:val="00CA2AD8"/>
    <w:rsid w:val="00CA2B9F"/>
    <w:rsid w:val="00CA2CFF"/>
    <w:rsid w:val="00CA2EF1"/>
    <w:rsid w:val="00CA2F4C"/>
    <w:rsid w:val="00CA34CF"/>
    <w:rsid w:val="00CA3888"/>
    <w:rsid w:val="00CA410E"/>
    <w:rsid w:val="00CA41A3"/>
    <w:rsid w:val="00CA486E"/>
    <w:rsid w:val="00CA4EB4"/>
    <w:rsid w:val="00CA5748"/>
    <w:rsid w:val="00CA5AD3"/>
    <w:rsid w:val="00CA63CB"/>
    <w:rsid w:val="00CA69AC"/>
    <w:rsid w:val="00CA69CC"/>
    <w:rsid w:val="00CA75B3"/>
    <w:rsid w:val="00CA7884"/>
    <w:rsid w:val="00CA7FBC"/>
    <w:rsid w:val="00CB0001"/>
    <w:rsid w:val="00CB040A"/>
    <w:rsid w:val="00CB051B"/>
    <w:rsid w:val="00CB07A8"/>
    <w:rsid w:val="00CB098E"/>
    <w:rsid w:val="00CB0A6C"/>
    <w:rsid w:val="00CB12B4"/>
    <w:rsid w:val="00CB182D"/>
    <w:rsid w:val="00CB2072"/>
    <w:rsid w:val="00CB214A"/>
    <w:rsid w:val="00CB2152"/>
    <w:rsid w:val="00CB21F1"/>
    <w:rsid w:val="00CB2202"/>
    <w:rsid w:val="00CB231F"/>
    <w:rsid w:val="00CB2610"/>
    <w:rsid w:val="00CB2672"/>
    <w:rsid w:val="00CB2A61"/>
    <w:rsid w:val="00CB36C1"/>
    <w:rsid w:val="00CB3888"/>
    <w:rsid w:val="00CB3984"/>
    <w:rsid w:val="00CB3BBD"/>
    <w:rsid w:val="00CB3C14"/>
    <w:rsid w:val="00CB3D71"/>
    <w:rsid w:val="00CB3DB1"/>
    <w:rsid w:val="00CB3EA9"/>
    <w:rsid w:val="00CB4751"/>
    <w:rsid w:val="00CB4843"/>
    <w:rsid w:val="00CB4B34"/>
    <w:rsid w:val="00CB4D95"/>
    <w:rsid w:val="00CB5024"/>
    <w:rsid w:val="00CB5389"/>
    <w:rsid w:val="00CB54AB"/>
    <w:rsid w:val="00CB59DD"/>
    <w:rsid w:val="00CB5CBD"/>
    <w:rsid w:val="00CB5E82"/>
    <w:rsid w:val="00CB6108"/>
    <w:rsid w:val="00CB63AA"/>
    <w:rsid w:val="00CB6720"/>
    <w:rsid w:val="00CB699D"/>
    <w:rsid w:val="00CB6A9A"/>
    <w:rsid w:val="00CB6F60"/>
    <w:rsid w:val="00CB7697"/>
    <w:rsid w:val="00CB7BDA"/>
    <w:rsid w:val="00CC021C"/>
    <w:rsid w:val="00CC08DE"/>
    <w:rsid w:val="00CC092F"/>
    <w:rsid w:val="00CC09CE"/>
    <w:rsid w:val="00CC0B0D"/>
    <w:rsid w:val="00CC0B3B"/>
    <w:rsid w:val="00CC102D"/>
    <w:rsid w:val="00CC10B6"/>
    <w:rsid w:val="00CC10E1"/>
    <w:rsid w:val="00CC12EC"/>
    <w:rsid w:val="00CC1458"/>
    <w:rsid w:val="00CC1645"/>
    <w:rsid w:val="00CC178D"/>
    <w:rsid w:val="00CC1A3C"/>
    <w:rsid w:val="00CC1D6A"/>
    <w:rsid w:val="00CC1DFA"/>
    <w:rsid w:val="00CC1F22"/>
    <w:rsid w:val="00CC2257"/>
    <w:rsid w:val="00CC2A89"/>
    <w:rsid w:val="00CC3143"/>
    <w:rsid w:val="00CC3326"/>
    <w:rsid w:val="00CC3543"/>
    <w:rsid w:val="00CC388C"/>
    <w:rsid w:val="00CC3BA9"/>
    <w:rsid w:val="00CC46CA"/>
    <w:rsid w:val="00CC4905"/>
    <w:rsid w:val="00CC495C"/>
    <w:rsid w:val="00CC4EF5"/>
    <w:rsid w:val="00CC5983"/>
    <w:rsid w:val="00CC59D8"/>
    <w:rsid w:val="00CC6079"/>
    <w:rsid w:val="00CC60C6"/>
    <w:rsid w:val="00CC63E0"/>
    <w:rsid w:val="00CC69E4"/>
    <w:rsid w:val="00CC70CC"/>
    <w:rsid w:val="00CC79A7"/>
    <w:rsid w:val="00CC7B54"/>
    <w:rsid w:val="00CC7C46"/>
    <w:rsid w:val="00CC7EBC"/>
    <w:rsid w:val="00CC7F7F"/>
    <w:rsid w:val="00CD0417"/>
    <w:rsid w:val="00CD0805"/>
    <w:rsid w:val="00CD0841"/>
    <w:rsid w:val="00CD11AC"/>
    <w:rsid w:val="00CD12E3"/>
    <w:rsid w:val="00CD1A08"/>
    <w:rsid w:val="00CD1B6F"/>
    <w:rsid w:val="00CD1FB2"/>
    <w:rsid w:val="00CD2790"/>
    <w:rsid w:val="00CD287F"/>
    <w:rsid w:val="00CD2C95"/>
    <w:rsid w:val="00CD2DDB"/>
    <w:rsid w:val="00CD3934"/>
    <w:rsid w:val="00CD48A2"/>
    <w:rsid w:val="00CD555B"/>
    <w:rsid w:val="00CD5BEE"/>
    <w:rsid w:val="00CD6327"/>
    <w:rsid w:val="00CD64A3"/>
    <w:rsid w:val="00CD6AFE"/>
    <w:rsid w:val="00CD7067"/>
    <w:rsid w:val="00CD7445"/>
    <w:rsid w:val="00CD759F"/>
    <w:rsid w:val="00CD77C9"/>
    <w:rsid w:val="00CD78EA"/>
    <w:rsid w:val="00CD7A48"/>
    <w:rsid w:val="00CE0225"/>
    <w:rsid w:val="00CE03B7"/>
    <w:rsid w:val="00CE0CDC"/>
    <w:rsid w:val="00CE0D88"/>
    <w:rsid w:val="00CE0F6C"/>
    <w:rsid w:val="00CE0FBE"/>
    <w:rsid w:val="00CE119E"/>
    <w:rsid w:val="00CE1840"/>
    <w:rsid w:val="00CE261E"/>
    <w:rsid w:val="00CE2B72"/>
    <w:rsid w:val="00CE2B78"/>
    <w:rsid w:val="00CE2E5A"/>
    <w:rsid w:val="00CE31EA"/>
    <w:rsid w:val="00CE353B"/>
    <w:rsid w:val="00CE3B08"/>
    <w:rsid w:val="00CE3D0D"/>
    <w:rsid w:val="00CE47CD"/>
    <w:rsid w:val="00CE4842"/>
    <w:rsid w:val="00CE4885"/>
    <w:rsid w:val="00CE4EF5"/>
    <w:rsid w:val="00CE4FEA"/>
    <w:rsid w:val="00CE50AE"/>
    <w:rsid w:val="00CE512D"/>
    <w:rsid w:val="00CE56A7"/>
    <w:rsid w:val="00CE5702"/>
    <w:rsid w:val="00CE57A0"/>
    <w:rsid w:val="00CE57E9"/>
    <w:rsid w:val="00CE5848"/>
    <w:rsid w:val="00CE59DF"/>
    <w:rsid w:val="00CE5E52"/>
    <w:rsid w:val="00CE6699"/>
    <w:rsid w:val="00CE6925"/>
    <w:rsid w:val="00CE692A"/>
    <w:rsid w:val="00CE702F"/>
    <w:rsid w:val="00CE74A3"/>
    <w:rsid w:val="00CE7501"/>
    <w:rsid w:val="00CE76B9"/>
    <w:rsid w:val="00CE7A3F"/>
    <w:rsid w:val="00CE7B1B"/>
    <w:rsid w:val="00CE7CBA"/>
    <w:rsid w:val="00CE7E8D"/>
    <w:rsid w:val="00CE7EC1"/>
    <w:rsid w:val="00CF0085"/>
    <w:rsid w:val="00CF008C"/>
    <w:rsid w:val="00CF056F"/>
    <w:rsid w:val="00CF1126"/>
    <w:rsid w:val="00CF17A5"/>
    <w:rsid w:val="00CF1BB1"/>
    <w:rsid w:val="00CF1E6F"/>
    <w:rsid w:val="00CF1F2D"/>
    <w:rsid w:val="00CF23E4"/>
    <w:rsid w:val="00CF2B76"/>
    <w:rsid w:val="00CF300A"/>
    <w:rsid w:val="00CF380E"/>
    <w:rsid w:val="00CF3E42"/>
    <w:rsid w:val="00CF4240"/>
    <w:rsid w:val="00CF437B"/>
    <w:rsid w:val="00CF4745"/>
    <w:rsid w:val="00CF4E0D"/>
    <w:rsid w:val="00CF4E2F"/>
    <w:rsid w:val="00CF5467"/>
    <w:rsid w:val="00CF56DC"/>
    <w:rsid w:val="00CF58D0"/>
    <w:rsid w:val="00CF6745"/>
    <w:rsid w:val="00CF6F0F"/>
    <w:rsid w:val="00CF764E"/>
    <w:rsid w:val="00CF76B7"/>
    <w:rsid w:val="00CF7D9F"/>
    <w:rsid w:val="00D00053"/>
    <w:rsid w:val="00D004B6"/>
    <w:rsid w:val="00D00658"/>
    <w:rsid w:val="00D0081A"/>
    <w:rsid w:val="00D014AA"/>
    <w:rsid w:val="00D01646"/>
    <w:rsid w:val="00D019CB"/>
    <w:rsid w:val="00D01D21"/>
    <w:rsid w:val="00D01F3E"/>
    <w:rsid w:val="00D021FD"/>
    <w:rsid w:val="00D026F7"/>
    <w:rsid w:val="00D02807"/>
    <w:rsid w:val="00D02F9E"/>
    <w:rsid w:val="00D034DD"/>
    <w:rsid w:val="00D03CEE"/>
    <w:rsid w:val="00D03D72"/>
    <w:rsid w:val="00D04952"/>
    <w:rsid w:val="00D052C2"/>
    <w:rsid w:val="00D05BB9"/>
    <w:rsid w:val="00D0651D"/>
    <w:rsid w:val="00D06A16"/>
    <w:rsid w:val="00D06D9E"/>
    <w:rsid w:val="00D07162"/>
    <w:rsid w:val="00D074DA"/>
    <w:rsid w:val="00D07706"/>
    <w:rsid w:val="00D1078F"/>
    <w:rsid w:val="00D10A34"/>
    <w:rsid w:val="00D10E60"/>
    <w:rsid w:val="00D11045"/>
    <w:rsid w:val="00D112AC"/>
    <w:rsid w:val="00D1141A"/>
    <w:rsid w:val="00D11B7D"/>
    <w:rsid w:val="00D1237F"/>
    <w:rsid w:val="00D12550"/>
    <w:rsid w:val="00D12970"/>
    <w:rsid w:val="00D12CD2"/>
    <w:rsid w:val="00D12E29"/>
    <w:rsid w:val="00D12E2C"/>
    <w:rsid w:val="00D13039"/>
    <w:rsid w:val="00D136A4"/>
    <w:rsid w:val="00D1373F"/>
    <w:rsid w:val="00D13D0D"/>
    <w:rsid w:val="00D14164"/>
    <w:rsid w:val="00D1416E"/>
    <w:rsid w:val="00D143DD"/>
    <w:rsid w:val="00D14577"/>
    <w:rsid w:val="00D14630"/>
    <w:rsid w:val="00D14894"/>
    <w:rsid w:val="00D14C9D"/>
    <w:rsid w:val="00D14D23"/>
    <w:rsid w:val="00D15755"/>
    <w:rsid w:val="00D1576B"/>
    <w:rsid w:val="00D157F1"/>
    <w:rsid w:val="00D15D8B"/>
    <w:rsid w:val="00D16B9B"/>
    <w:rsid w:val="00D16BAE"/>
    <w:rsid w:val="00D17984"/>
    <w:rsid w:val="00D17B4E"/>
    <w:rsid w:val="00D17D4C"/>
    <w:rsid w:val="00D20BAE"/>
    <w:rsid w:val="00D213F1"/>
    <w:rsid w:val="00D2155F"/>
    <w:rsid w:val="00D21569"/>
    <w:rsid w:val="00D216C8"/>
    <w:rsid w:val="00D21FEA"/>
    <w:rsid w:val="00D222AA"/>
    <w:rsid w:val="00D2272E"/>
    <w:rsid w:val="00D22789"/>
    <w:rsid w:val="00D22A1D"/>
    <w:rsid w:val="00D22DB2"/>
    <w:rsid w:val="00D22DE4"/>
    <w:rsid w:val="00D22F94"/>
    <w:rsid w:val="00D22FDA"/>
    <w:rsid w:val="00D23207"/>
    <w:rsid w:val="00D23810"/>
    <w:rsid w:val="00D23ADA"/>
    <w:rsid w:val="00D24058"/>
    <w:rsid w:val="00D242F1"/>
    <w:rsid w:val="00D244C2"/>
    <w:rsid w:val="00D24D4B"/>
    <w:rsid w:val="00D24DAD"/>
    <w:rsid w:val="00D25401"/>
    <w:rsid w:val="00D2584E"/>
    <w:rsid w:val="00D25916"/>
    <w:rsid w:val="00D259FC"/>
    <w:rsid w:val="00D26139"/>
    <w:rsid w:val="00D266D3"/>
    <w:rsid w:val="00D26D97"/>
    <w:rsid w:val="00D272AC"/>
    <w:rsid w:val="00D27F13"/>
    <w:rsid w:val="00D303CA"/>
    <w:rsid w:val="00D30654"/>
    <w:rsid w:val="00D30AA5"/>
    <w:rsid w:val="00D30CC3"/>
    <w:rsid w:val="00D30F85"/>
    <w:rsid w:val="00D3167B"/>
    <w:rsid w:val="00D31ECE"/>
    <w:rsid w:val="00D3222F"/>
    <w:rsid w:val="00D329E6"/>
    <w:rsid w:val="00D32A2E"/>
    <w:rsid w:val="00D32A89"/>
    <w:rsid w:val="00D32E83"/>
    <w:rsid w:val="00D33941"/>
    <w:rsid w:val="00D33A95"/>
    <w:rsid w:val="00D33C86"/>
    <w:rsid w:val="00D340C0"/>
    <w:rsid w:val="00D3442C"/>
    <w:rsid w:val="00D34EF2"/>
    <w:rsid w:val="00D356C9"/>
    <w:rsid w:val="00D35A9D"/>
    <w:rsid w:val="00D36029"/>
    <w:rsid w:val="00D365B3"/>
    <w:rsid w:val="00D365F1"/>
    <w:rsid w:val="00D3667E"/>
    <w:rsid w:val="00D368AA"/>
    <w:rsid w:val="00D3696A"/>
    <w:rsid w:val="00D36983"/>
    <w:rsid w:val="00D36D5D"/>
    <w:rsid w:val="00D36FF1"/>
    <w:rsid w:val="00D3707B"/>
    <w:rsid w:val="00D37177"/>
    <w:rsid w:val="00D37557"/>
    <w:rsid w:val="00D37972"/>
    <w:rsid w:val="00D4086A"/>
    <w:rsid w:val="00D40896"/>
    <w:rsid w:val="00D40985"/>
    <w:rsid w:val="00D40995"/>
    <w:rsid w:val="00D40A99"/>
    <w:rsid w:val="00D40BB1"/>
    <w:rsid w:val="00D40EEC"/>
    <w:rsid w:val="00D40F35"/>
    <w:rsid w:val="00D411DA"/>
    <w:rsid w:val="00D41534"/>
    <w:rsid w:val="00D4155F"/>
    <w:rsid w:val="00D4177A"/>
    <w:rsid w:val="00D41933"/>
    <w:rsid w:val="00D41E83"/>
    <w:rsid w:val="00D42CE3"/>
    <w:rsid w:val="00D42E9A"/>
    <w:rsid w:val="00D432D5"/>
    <w:rsid w:val="00D43CF8"/>
    <w:rsid w:val="00D44C57"/>
    <w:rsid w:val="00D44F07"/>
    <w:rsid w:val="00D44F9D"/>
    <w:rsid w:val="00D45019"/>
    <w:rsid w:val="00D451FC"/>
    <w:rsid w:val="00D45922"/>
    <w:rsid w:val="00D45BB9"/>
    <w:rsid w:val="00D4614E"/>
    <w:rsid w:val="00D46245"/>
    <w:rsid w:val="00D467F7"/>
    <w:rsid w:val="00D46C2B"/>
    <w:rsid w:val="00D47793"/>
    <w:rsid w:val="00D47845"/>
    <w:rsid w:val="00D47E7A"/>
    <w:rsid w:val="00D50216"/>
    <w:rsid w:val="00D50816"/>
    <w:rsid w:val="00D50A65"/>
    <w:rsid w:val="00D50EBF"/>
    <w:rsid w:val="00D50F47"/>
    <w:rsid w:val="00D513A9"/>
    <w:rsid w:val="00D51418"/>
    <w:rsid w:val="00D5141F"/>
    <w:rsid w:val="00D514E8"/>
    <w:rsid w:val="00D519A4"/>
    <w:rsid w:val="00D51D59"/>
    <w:rsid w:val="00D522BC"/>
    <w:rsid w:val="00D5238F"/>
    <w:rsid w:val="00D526CE"/>
    <w:rsid w:val="00D52BF4"/>
    <w:rsid w:val="00D52CEB"/>
    <w:rsid w:val="00D52FD9"/>
    <w:rsid w:val="00D5361D"/>
    <w:rsid w:val="00D53791"/>
    <w:rsid w:val="00D53BF6"/>
    <w:rsid w:val="00D53D77"/>
    <w:rsid w:val="00D53F67"/>
    <w:rsid w:val="00D53F99"/>
    <w:rsid w:val="00D541CB"/>
    <w:rsid w:val="00D5477A"/>
    <w:rsid w:val="00D54971"/>
    <w:rsid w:val="00D54E6D"/>
    <w:rsid w:val="00D54F16"/>
    <w:rsid w:val="00D553AC"/>
    <w:rsid w:val="00D55D3C"/>
    <w:rsid w:val="00D55E0F"/>
    <w:rsid w:val="00D55EDD"/>
    <w:rsid w:val="00D56004"/>
    <w:rsid w:val="00D5628C"/>
    <w:rsid w:val="00D56395"/>
    <w:rsid w:val="00D579FE"/>
    <w:rsid w:val="00D57C7E"/>
    <w:rsid w:val="00D6016B"/>
    <w:rsid w:val="00D6060D"/>
    <w:rsid w:val="00D6079E"/>
    <w:rsid w:val="00D61239"/>
    <w:rsid w:val="00D6155F"/>
    <w:rsid w:val="00D61945"/>
    <w:rsid w:val="00D61E22"/>
    <w:rsid w:val="00D61E77"/>
    <w:rsid w:val="00D61F15"/>
    <w:rsid w:val="00D61FAC"/>
    <w:rsid w:val="00D625C9"/>
    <w:rsid w:val="00D629A6"/>
    <w:rsid w:val="00D6347E"/>
    <w:rsid w:val="00D63489"/>
    <w:rsid w:val="00D63A32"/>
    <w:rsid w:val="00D63C48"/>
    <w:rsid w:val="00D64289"/>
    <w:rsid w:val="00D642C3"/>
    <w:rsid w:val="00D644E7"/>
    <w:rsid w:val="00D646A1"/>
    <w:rsid w:val="00D64830"/>
    <w:rsid w:val="00D65178"/>
    <w:rsid w:val="00D65258"/>
    <w:rsid w:val="00D652FF"/>
    <w:rsid w:val="00D65BFB"/>
    <w:rsid w:val="00D65CBA"/>
    <w:rsid w:val="00D66038"/>
    <w:rsid w:val="00D6604A"/>
    <w:rsid w:val="00D663B5"/>
    <w:rsid w:val="00D6667B"/>
    <w:rsid w:val="00D666E8"/>
    <w:rsid w:val="00D67545"/>
    <w:rsid w:val="00D675D3"/>
    <w:rsid w:val="00D677E6"/>
    <w:rsid w:val="00D6785B"/>
    <w:rsid w:val="00D70497"/>
    <w:rsid w:val="00D705C9"/>
    <w:rsid w:val="00D706CE"/>
    <w:rsid w:val="00D70DD2"/>
    <w:rsid w:val="00D70DE1"/>
    <w:rsid w:val="00D71194"/>
    <w:rsid w:val="00D71262"/>
    <w:rsid w:val="00D71400"/>
    <w:rsid w:val="00D7174E"/>
    <w:rsid w:val="00D71E85"/>
    <w:rsid w:val="00D7280D"/>
    <w:rsid w:val="00D7296B"/>
    <w:rsid w:val="00D72D64"/>
    <w:rsid w:val="00D733BB"/>
    <w:rsid w:val="00D73C60"/>
    <w:rsid w:val="00D73D08"/>
    <w:rsid w:val="00D742BE"/>
    <w:rsid w:val="00D74347"/>
    <w:rsid w:val="00D748C6"/>
    <w:rsid w:val="00D74A49"/>
    <w:rsid w:val="00D74E23"/>
    <w:rsid w:val="00D7516C"/>
    <w:rsid w:val="00D75FFA"/>
    <w:rsid w:val="00D76507"/>
    <w:rsid w:val="00D766C1"/>
    <w:rsid w:val="00D77210"/>
    <w:rsid w:val="00D776F5"/>
    <w:rsid w:val="00D77B52"/>
    <w:rsid w:val="00D77F58"/>
    <w:rsid w:val="00D8003A"/>
    <w:rsid w:val="00D805C9"/>
    <w:rsid w:val="00D80D09"/>
    <w:rsid w:val="00D81210"/>
    <w:rsid w:val="00D81497"/>
    <w:rsid w:val="00D818F3"/>
    <w:rsid w:val="00D81DBB"/>
    <w:rsid w:val="00D8257C"/>
    <w:rsid w:val="00D82888"/>
    <w:rsid w:val="00D82D12"/>
    <w:rsid w:val="00D82E2A"/>
    <w:rsid w:val="00D82E8F"/>
    <w:rsid w:val="00D82F80"/>
    <w:rsid w:val="00D83633"/>
    <w:rsid w:val="00D8366C"/>
    <w:rsid w:val="00D83B6D"/>
    <w:rsid w:val="00D83CE3"/>
    <w:rsid w:val="00D842B5"/>
    <w:rsid w:val="00D8441F"/>
    <w:rsid w:val="00D845F7"/>
    <w:rsid w:val="00D846AC"/>
    <w:rsid w:val="00D84AB1"/>
    <w:rsid w:val="00D84B6C"/>
    <w:rsid w:val="00D84DC9"/>
    <w:rsid w:val="00D84E54"/>
    <w:rsid w:val="00D850F3"/>
    <w:rsid w:val="00D85CCC"/>
    <w:rsid w:val="00D85EFC"/>
    <w:rsid w:val="00D86D0C"/>
    <w:rsid w:val="00D8759C"/>
    <w:rsid w:val="00D8781B"/>
    <w:rsid w:val="00D87C72"/>
    <w:rsid w:val="00D87D6D"/>
    <w:rsid w:val="00D904FB"/>
    <w:rsid w:val="00D90815"/>
    <w:rsid w:val="00D90D1F"/>
    <w:rsid w:val="00D9163C"/>
    <w:rsid w:val="00D91848"/>
    <w:rsid w:val="00D91A42"/>
    <w:rsid w:val="00D91C77"/>
    <w:rsid w:val="00D91CDF"/>
    <w:rsid w:val="00D91F4D"/>
    <w:rsid w:val="00D929E7"/>
    <w:rsid w:val="00D933F1"/>
    <w:rsid w:val="00D936F9"/>
    <w:rsid w:val="00D938CE"/>
    <w:rsid w:val="00D93937"/>
    <w:rsid w:val="00D93C01"/>
    <w:rsid w:val="00D93D75"/>
    <w:rsid w:val="00D944D2"/>
    <w:rsid w:val="00D94597"/>
    <w:rsid w:val="00D94C3E"/>
    <w:rsid w:val="00D94CDF"/>
    <w:rsid w:val="00D95394"/>
    <w:rsid w:val="00D953D9"/>
    <w:rsid w:val="00D96110"/>
    <w:rsid w:val="00D962AB"/>
    <w:rsid w:val="00D96F86"/>
    <w:rsid w:val="00D970E7"/>
    <w:rsid w:val="00D970E8"/>
    <w:rsid w:val="00DA01E5"/>
    <w:rsid w:val="00DA032B"/>
    <w:rsid w:val="00DA0456"/>
    <w:rsid w:val="00DA0595"/>
    <w:rsid w:val="00DA05A4"/>
    <w:rsid w:val="00DA07BA"/>
    <w:rsid w:val="00DA0905"/>
    <w:rsid w:val="00DA11BE"/>
    <w:rsid w:val="00DA1BD6"/>
    <w:rsid w:val="00DA1C32"/>
    <w:rsid w:val="00DA1CE5"/>
    <w:rsid w:val="00DA1DE8"/>
    <w:rsid w:val="00DA2C6F"/>
    <w:rsid w:val="00DA2D20"/>
    <w:rsid w:val="00DA2FBD"/>
    <w:rsid w:val="00DA4AAC"/>
    <w:rsid w:val="00DA52F3"/>
    <w:rsid w:val="00DA55BB"/>
    <w:rsid w:val="00DA56AB"/>
    <w:rsid w:val="00DA59E8"/>
    <w:rsid w:val="00DA6185"/>
    <w:rsid w:val="00DA6396"/>
    <w:rsid w:val="00DA6399"/>
    <w:rsid w:val="00DA67F6"/>
    <w:rsid w:val="00DA683D"/>
    <w:rsid w:val="00DA73EE"/>
    <w:rsid w:val="00DA7E63"/>
    <w:rsid w:val="00DB06FF"/>
    <w:rsid w:val="00DB0B2D"/>
    <w:rsid w:val="00DB0DF1"/>
    <w:rsid w:val="00DB14E8"/>
    <w:rsid w:val="00DB1881"/>
    <w:rsid w:val="00DB1937"/>
    <w:rsid w:val="00DB1F75"/>
    <w:rsid w:val="00DB21F7"/>
    <w:rsid w:val="00DB26F0"/>
    <w:rsid w:val="00DB289D"/>
    <w:rsid w:val="00DB2C4E"/>
    <w:rsid w:val="00DB2D31"/>
    <w:rsid w:val="00DB3C62"/>
    <w:rsid w:val="00DB3D2D"/>
    <w:rsid w:val="00DB40DB"/>
    <w:rsid w:val="00DB4CFB"/>
    <w:rsid w:val="00DB4E4A"/>
    <w:rsid w:val="00DB55CE"/>
    <w:rsid w:val="00DB6065"/>
    <w:rsid w:val="00DB61B2"/>
    <w:rsid w:val="00DB64BA"/>
    <w:rsid w:val="00DB65F4"/>
    <w:rsid w:val="00DB68A1"/>
    <w:rsid w:val="00DB6A66"/>
    <w:rsid w:val="00DB6AC3"/>
    <w:rsid w:val="00DB6B01"/>
    <w:rsid w:val="00DB724F"/>
    <w:rsid w:val="00DB740E"/>
    <w:rsid w:val="00DB74FA"/>
    <w:rsid w:val="00DB786E"/>
    <w:rsid w:val="00DB7BA1"/>
    <w:rsid w:val="00DB7BF6"/>
    <w:rsid w:val="00DB7F14"/>
    <w:rsid w:val="00DB7F65"/>
    <w:rsid w:val="00DC06BD"/>
    <w:rsid w:val="00DC09BB"/>
    <w:rsid w:val="00DC126D"/>
    <w:rsid w:val="00DC1743"/>
    <w:rsid w:val="00DC178D"/>
    <w:rsid w:val="00DC18B7"/>
    <w:rsid w:val="00DC1929"/>
    <w:rsid w:val="00DC1B75"/>
    <w:rsid w:val="00DC1EA2"/>
    <w:rsid w:val="00DC1EE0"/>
    <w:rsid w:val="00DC2355"/>
    <w:rsid w:val="00DC273B"/>
    <w:rsid w:val="00DC2B65"/>
    <w:rsid w:val="00DC326F"/>
    <w:rsid w:val="00DC3784"/>
    <w:rsid w:val="00DC3872"/>
    <w:rsid w:val="00DC3C1D"/>
    <w:rsid w:val="00DC3D36"/>
    <w:rsid w:val="00DC44EF"/>
    <w:rsid w:val="00DC45CE"/>
    <w:rsid w:val="00DC46BD"/>
    <w:rsid w:val="00DC48C5"/>
    <w:rsid w:val="00DC4CC9"/>
    <w:rsid w:val="00DC4DCF"/>
    <w:rsid w:val="00DC509A"/>
    <w:rsid w:val="00DC51F6"/>
    <w:rsid w:val="00DC565A"/>
    <w:rsid w:val="00DC5C61"/>
    <w:rsid w:val="00DC66D5"/>
    <w:rsid w:val="00DC6B38"/>
    <w:rsid w:val="00DC6F32"/>
    <w:rsid w:val="00DC6FC8"/>
    <w:rsid w:val="00DC7599"/>
    <w:rsid w:val="00DC75E8"/>
    <w:rsid w:val="00DC7746"/>
    <w:rsid w:val="00DD04B0"/>
    <w:rsid w:val="00DD054A"/>
    <w:rsid w:val="00DD0559"/>
    <w:rsid w:val="00DD0A68"/>
    <w:rsid w:val="00DD1591"/>
    <w:rsid w:val="00DD16C4"/>
    <w:rsid w:val="00DD1803"/>
    <w:rsid w:val="00DD1F36"/>
    <w:rsid w:val="00DD2365"/>
    <w:rsid w:val="00DD2409"/>
    <w:rsid w:val="00DD25B9"/>
    <w:rsid w:val="00DD2872"/>
    <w:rsid w:val="00DD295B"/>
    <w:rsid w:val="00DD2E5B"/>
    <w:rsid w:val="00DD2F7C"/>
    <w:rsid w:val="00DD2F9B"/>
    <w:rsid w:val="00DD3049"/>
    <w:rsid w:val="00DD30CC"/>
    <w:rsid w:val="00DD3578"/>
    <w:rsid w:val="00DD373C"/>
    <w:rsid w:val="00DD3771"/>
    <w:rsid w:val="00DD3992"/>
    <w:rsid w:val="00DD3B77"/>
    <w:rsid w:val="00DD415A"/>
    <w:rsid w:val="00DD4907"/>
    <w:rsid w:val="00DD4AB8"/>
    <w:rsid w:val="00DD5044"/>
    <w:rsid w:val="00DD51D3"/>
    <w:rsid w:val="00DD563B"/>
    <w:rsid w:val="00DD5714"/>
    <w:rsid w:val="00DD5770"/>
    <w:rsid w:val="00DD60BB"/>
    <w:rsid w:val="00DD624A"/>
    <w:rsid w:val="00DD6405"/>
    <w:rsid w:val="00DD6A4D"/>
    <w:rsid w:val="00DD7079"/>
    <w:rsid w:val="00DD75EE"/>
    <w:rsid w:val="00DD7640"/>
    <w:rsid w:val="00DD77D1"/>
    <w:rsid w:val="00DD7812"/>
    <w:rsid w:val="00DD7C48"/>
    <w:rsid w:val="00DE0C3F"/>
    <w:rsid w:val="00DE11A4"/>
    <w:rsid w:val="00DE12BF"/>
    <w:rsid w:val="00DE1EDC"/>
    <w:rsid w:val="00DE1F52"/>
    <w:rsid w:val="00DE21DE"/>
    <w:rsid w:val="00DE28FD"/>
    <w:rsid w:val="00DE2CE1"/>
    <w:rsid w:val="00DE2EEC"/>
    <w:rsid w:val="00DE30E2"/>
    <w:rsid w:val="00DE3158"/>
    <w:rsid w:val="00DE33AF"/>
    <w:rsid w:val="00DE348B"/>
    <w:rsid w:val="00DE3678"/>
    <w:rsid w:val="00DE38EF"/>
    <w:rsid w:val="00DE3907"/>
    <w:rsid w:val="00DE3A9A"/>
    <w:rsid w:val="00DE4B03"/>
    <w:rsid w:val="00DE54AE"/>
    <w:rsid w:val="00DE5809"/>
    <w:rsid w:val="00DE5853"/>
    <w:rsid w:val="00DE5D65"/>
    <w:rsid w:val="00DE62AC"/>
    <w:rsid w:val="00DE6421"/>
    <w:rsid w:val="00DE670A"/>
    <w:rsid w:val="00DE6D5C"/>
    <w:rsid w:val="00DE706B"/>
    <w:rsid w:val="00DE74A7"/>
    <w:rsid w:val="00DE752F"/>
    <w:rsid w:val="00DE7EF2"/>
    <w:rsid w:val="00DE7F7C"/>
    <w:rsid w:val="00DE7FC9"/>
    <w:rsid w:val="00DF0689"/>
    <w:rsid w:val="00DF0723"/>
    <w:rsid w:val="00DF0A90"/>
    <w:rsid w:val="00DF0EFA"/>
    <w:rsid w:val="00DF0F10"/>
    <w:rsid w:val="00DF11FA"/>
    <w:rsid w:val="00DF14E9"/>
    <w:rsid w:val="00DF16C0"/>
    <w:rsid w:val="00DF1878"/>
    <w:rsid w:val="00DF1A90"/>
    <w:rsid w:val="00DF1E49"/>
    <w:rsid w:val="00DF1E6B"/>
    <w:rsid w:val="00DF1F6C"/>
    <w:rsid w:val="00DF2596"/>
    <w:rsid w:val="00DF2D1A"/>
    <w:rsid w:val="00DF2D46"/>
    <w:rsid w:val="00DF2EC7"/>
    <w:rsid w:val="00DF3294"/>
    <w:rsid w:val="00DF3317"/>
    <w:rsid w:val="00DF3642"/>
    <w:rsid w:val="00DF3900"/>
    <w:rsid w:val="00DF3A42"/>
    <w:rsid w:val="00DF3AB2"/>
    <w:rsid w:val="00DF3B71"/>
    <w:rsid w:val="00DF3DF7"/>
    <w:rsid w:val="00DF4287"/>
    <w:rsid w:val="00DF4696"/>
    <w:rsid w:val="00DF4862"/>
    <w:rsid w:val="00DF4CBE"/>
    <w:rsid w:val="00DF548B"/>
    <w:rsid w:val="00DF56DB"/>
    <w:rsid w:val="00DF6188"/>
    <w:rsid w:val="00DF6A67"/>
    <w:rsid w:val="00DF6B9E"/>
    <w:rsid w:val="00DF6D35"/>
    <w:rsid w:val="00DF70CC"/>
    <w:rsid w:val="00DF7626"/>
    <w:rsid w:val="00DF7A2F"/>
    <w:rsid w:val="00DF7A83"/>
    <w:rsid w:val="00DF7C3C"/>
    <w:rsid w:val="00E00054"/>
    <w:rsid w:val="00E001E9"/>
    <w:rsid w:val="00E00A07"/>
    <w:rsid w:val="00E0145F"/>
    <w:rsid w:val="00E01465"/>
    <w:rsid w:val="00E01B95"/>
    <w:rsid w:val="00E01D22"/>
    <w:rsid w:val="00E021A6"/>
    <w:rsid w:val="00E021DE"/>
    <w:rsid w:val="00E024E8"/>
    <w:rsid w:val="00E029B2"/>
    <w:rsid w:val="00E02AE6"/>
    <w:rsid w:val="00E02BE7"/>
    <w:rsid w:val="00E0309F"/>
    <w:rsid w:val="00E03258"/>
    <w:rsid w:val="00E0390A"/>
    <w:rsid w:val="00E04150"/>
    <w:rsid w:val="00E04157"/>
    <w:rsid w:val="00E041E4"/>
    <w:rsid w:val="00E04542"/>
    <w:rsid w:val="00E048C3"/>
    <w:rsid w:val="00E05A55"/>
    <w:rsid w:val="00E05C87"/>
    <w:rsid w:val="00E05FBC"/>
    <w:rsid w:val="00E05FDE"/>
    <w:rsid w:val="00E061E1"/>
    <w:rsid w:val="00E0696D"/>
    <w:rsid w:val="00E06E66"/>
    <w:rsid w:val="00E06EBA"/>
    <w:rsid w:val="00E0744D"/>
    <w:rsid w:val="00E079DB"/>
    <w:rsid w:val="00E07AF5"/>
    <w:rsid w:val="00E07F91"/>
    <w:rsid w:val="00E10496"/>
    <w:rsid w:val="00E104B1"/>
    <w:rsid w:val="00E10742"/>
    <w:rsid w:val="00E10B7D"/>
    <w:rsid w:val="00E11AC5"/>
    <w:rsid w:val="00E12064"/>
    <w:rsid w:val="00E12069"/>
    <w:rsid w:val="00E1220C"/>
    <w:rsid w:val="00E1250E"/>
    <w:rsid w:val="00E12977"/>
    <w:rsid w:val="00E13CA7"/>
    <w:rsid w:val="00E13F81"/>
    <w:rsid w:val="00E1414A"/>
    <w:rsid w:val="00E147EC"/>
    <w:rsid w:val="00E14A59"/>
    <w:rsid w:val="00E14C07"/>
    <w:rsid w:val="00E1603D"/>
    <w:rsid w:val="00E16501"/>
    <w:rsid w:val="00E16543"/>
    <w:rsid w:val="00E17453"/>
    <w:rsid w:val="00E17476"/>
    <w:rsid w:val="00E200D2"/>
    <w:rsid w:val="00E2050D"/>
    <w:rsid w:val="00E20558"/>
    <w:rsid w:val="00E20612"/>
    <w:rsid w:val="00E20683"/>
    <w:rsid w:val="00E20705"/>
    <w:rsid w:val="00E20D15"/>
    <w:rsid w:val="00E214A4"/>
    <w:rsid w:val="00E217A4"/>
    <w:rsid w:val="00E218B1"/>
    <w:rsid w:val="00E21A22"/>
    <w:rsid w:val="00E21EC5"/>
    <w:rsid w:val="00E22568"/>
    <w:rsid w:val="00E2267B"/>
    <w:rsid w:val="00E227EA"/>
    <w:rsid w:val="00E22E1F"/>
    <w:rsid w:val="00E23341"/>
    <w:rsid w:val="00E23426"/>
    <w:rsid w:val="00E2349F"/>
    <w:rsid w:val="00E23660"/>
    <w:rsid w:val="00E236E3"/>
    <w:rsid w:val="00E24311"/>
    <w:rsid w:val="00E2444C"/>
    <w:rsid w:val="00E24565"/>
    <w:rsid w:val="00E245FC"/>
    <w:rsid w:val="00E25E3A"/>
    <w:rsid w:val="00E25F60"/>
    <w:rsid w:val="00E2621A"/>
    <w:rsid w:val="00E26292"/>
    <w:rsid w:val="00E264A6"/>
    <w:rsid w:val="00E269E9"/>
    <w:rsid w:val="00E26A54"/>
    <w:rsid w:val="00E26B46"/>
    <w:rsid w:val="00E26BE6"/>
    <w:rsid w:val="00E27532"/>
    <w:rsid w:val="00E2761D"/>
    <w:rsid w:val="00E276C1"/>
    <w:rsid w:val="00E279D5"/>
    <w:rsid w:val="00E27C0E"/>
    <w:rsid w:val="00E27F69"/>
    <w:rsid w:val="00E308CF"/>
    <w:rsid w:val="00E31326"/>
    <w:rsid w:val="00E31635"/>
    <w:rsid w:val="00E3179F"/>
    <w:rsid w:val="00E31A1E"/>
    <w:rsid w:val="00E31B9C"/>
    <w:rsid w:val="00E31EE9"/>
    <w:rsid w:val="00E32406"/>
    <w:rsid w:val="00E32690"/>
    <w:rsid w:val="00E32926"/>
    <w:rsid w:val="00E32AD7"/>
    <w:rsid w:val="00E32C18"/>
    <w:rsid w:val="00E3335B"/>
    <w:rsid w:val="00E3345C"/>
    <w:rsid w:val="00E335CB"/>
    <w:rsid w:val="00E338BC"/>
    <w:rsid w:val="00E33A97"/>
    <w:rsid w:val="00E33B19"/>
    <w:rsid w:val="00E33C16"/>
    <w:rsid w:val="00E34484"/>
    <w:rsid w:val="00E34A0C"/>
    <w:rsid w:val="00E35183"/>
    <w:rsid w:val="00E3520A"/>
    <w:rsid w:val="00E354FA"/>
    <w:rsid w:val="00E35D06"/>
    <w:rsid w:val="00E35EE5"/>
    <w:rsid w:val="00E35F83"/>
    <w:rsid w:val="00E36165"/>
    <w:rsid w:val="00E36373"/>
    <w:rsid w:val="00E36A72"/>
    <w:rsid w:val="00E3709A"/>
    <w:rsid w:val="00E3716D"/>
    <w:rsid w:val="00E37424"/>
    <w:rsid w:val="00E37670"/>
    <w:rsid w:val="00E37A3C"/>
    <w:rsid w:val="00E37B0C"/>
    <w:rsid w:val="00E40541"/>
    <w:rsid w:val="00E41BD4"/>
    <w:rsid w:val="00E426C2"/>
    <w:rsid w:val="00E42939"/>
    <w:rsid w:val="00E42D50"/>
    <w:rsid w:val="00E42E27"/>
    <w:rsid w:val="00E42F35"/>
    <w:rsid w:val="00E435DD"/>
    <w:rsid w:val="00E436A2"/>
    <w:rsid w:val="00E44615"/>
    <w:rsid w:val="00E448EC"/>
    <w:rsid w:val="00E44C0B"/>
    <w:rsid w:val="00E45180"/>
    <w:rsid w:val="00E45305"/>
    <w:rsid w:val="00E45E7E"/>
    <w:rsid w:val="00E460D2"/>
    <w:rsid w:val="00E4624A"/>
    <w:rsid w:val="00E465B2"/>
    <w:rsid w:val="00E46A86"/>
    <w:rsid w:val="00E46AC9"/>
    <w:rsid w:val="00E46DAD"/>
    <w:rsid w:val="00E46F24"/>
    <w:rsid w:val="00E47834"/>
    <w:rsid w:val="00E5002A"/>
    <w:rsid w:val="00E5055B"/>
    <w:rsid w:val="00E50628"/>
    <w:rsid w:val="00E5068A"/>
    <w:rsid w:val="00E507AE"/>
    <w:rsid w:val="00E50D29"/>
    <w:rsid w:val="00E512BF"/>
    <w:rsid w:val="00E514B8"/>
    <w:rsid w:val="00E51FB1"/>
    <w:rsid w:val="00E52060"/>
    <w:rsid w:val="00E52246"/>
    <w:rsid w:val="00E5289B"/>
    <w:rsid w:val="00E52F13"/>
    <w:rsid w:val="00E533EF"/>
    <w:rsid w:val="00E53407"/>
    <w:rsid w:val="00E53651"/>
    <w:rsid w:val="00E53C6D"/>
    <w:rsid w:val="00E53DB6"/>
    <w:rsid w:val="00E53E47"/>
    <w:rsid w:val="00E54069"/>
    <w:rsid w:val="00E54070"/>
    <w:rsid w:val="00E5484D"/>
    <w:rsid w:val="00E54ACA"/>
    <w:rsid w:val="00E54B2D"/>
    <w:rsid w:val="00E54C83"/>
    <w:rsid w:val="00E54FB3"/>
    <w:rsid w:val="00E55904"/>
    <w:rsid w:val="00E55988"/>
    <w:rsid w:val="00E55D45"/>
    <w:rsid w:val="00E55E72"/>
    <w:rsid w:val="00E569BD"/>
    <w:rsid w:val="00E56FA9"/>
    <w:rsid w:val="00E5703F"/>
    <w:rsid w:val="00E57521"/>
    <w:rsid w:val="00E57710"/>
    <w:rsid w:val="00E57C32"/>
    <w:rsid w:val="00E57DD8"/>
    <w:rsid w:val="00E57E67"/>
    <w:rsid w:val="00E60005"/>
    <w:rsid w:val="00E6034E"/>
    <w:rsid w:val="00E60567"/>
    <w:rsid w:val="00E60616"/>
    <w:rsid w:val="00E606C9"/>
    <w:rsid w:val="00E6157A"/>
    <w:rsid w:val="00E615E1"/>
    <w:rsid w:val="00E61616"/>
    <w:rsid w:val="00E628DC"/>
    <w:rsid w:val="00E62C23"/>
    <w:rsid w:val="00E62F52"/>
    <w:rsid w:val="00E6346D"/>
    <w:rsid w:val="00E63949"/>
    <w:rsid w:val="00E63C0F"/>
    <w:rsid w:val="00E64002"/>
    <w:rsid w:val="00E6502C"/>
    <w:rsid w:val="00E650CB"/>
    <w:rsid w:val="00E65186"/>
    <w:rsid w:val="00E65400"/>
    <w:rsid w:val="00E65E4D"/>
    <w:rsid w:val="00E66614"/>
    <w:rsid w:val="00E668A7"/>
    <w:rsid w:val="00E66924"/>
    <w:rsid w:val="00E66A15"/>
    <w:rsid w:val="00E66B40"/>
    <w:rsid w:val="00E67D65"/>
    <w:rsid w:val="00E7007D"/>
    <w:rsid w:val="00E708DE"/>
    <w:rsid w:val="00E71744"/>
    <w:rsid w:val="00E7176C"/>
    <w:rsid w:val="00E71CEB"/>
    <w:rsid w:val="00E7287D"/>
    <w:rsid w:val="00E72BC4"/>
    <w:rsid w:val="00E72E86"/>
    <w:rsid w:val="00E73330"/>
    <w:rsid w:val="00E7334E"/>
    <w:rsid w:val="00E7338F"/>
    <w:rsid w:val="00E7395B"/>
    <w:rsid w:val="00E7398B"/>
    <w:rsid w:val="00E74154"/>
    <w:rsid w:val="00E745D4"/>
    <w:rsid w:val="00E74D9B"/>
    <w:rsid w:val="00E74E00"/>
    <w:rsid w:val="00E755FF"/>
    <w:rsid w:val="00E75A87"/>
    <w:rsid w:val="00E75B96"/>
    <w:rsid w:val="00E75FEF"/>
    <w:rsid w:val="00E76155"/>
    <w:rsid w:val="00E76349"/>
    <w:rsid w:val="00E7666C"/>
    <w:rsid w:val="00E76A74"/>
    <w:rsid w:val="00E77256"/>
    <w:rsid w:val="00E77958"/>
    <w:rsid w:val="00E77A02"/>
    <w:rsid w:val="00E77F4C"/>
    <w:rsid w:val="00E80035"/>
    <w:rsid w:val="00E80112"/>
    <w:rsid w:val="00E8098A"/>
    <w:rsid w:val="00E80B55"/>
    <w:rsid w:val="00E819C8"/>
    <w:rsid w:val="00E81BA4"/>
    <w:rsid w:val="00E8269B"/>
    <w:rsid w:val="00E827E6"/>
    <w:rsid w:val="00E83264"/>
    <w:rsid w:val="00E84331"/>
    <w:rsid w:val="00E855C5"/>
    <w:rsid w:val="00E855C9"/>
    <w:rsid w:val="00E85847"/>
    <w:rsid w:val="00E85860"/>
    <w:rsid w:val="00E859BA"/>
    <w:rsid w:val="00E85EAF"/>
    <w:rsid w:val="00E868DA"/>
    <w:rsid w:val="00E86A0D"/>
    <w:rsid w:val="00E87290"/>
    <w:rsid w:val="00E872DB"/>
    <w:rsid w:val="00E875FA"/>
    <w:rsid w:val="00E87A9A"/>
    <w:rsid w:val="00E87BBB"/>
    <w:rsid w:val="00E87C26"/>
    <w:rsid w:val="00E87C9A"/>
    <w:rsid w:val="00E87ED2"/>
    <w:rsid w:val="00E904EE"/>
    <w:rsid w:val="00E90FE1"/>
    <w:rsid w:val="00E912B0"/>
    <w:rsid w:val="00E917D3"/>
    <w:rsid w:val="00E921D7"/>
    <w:rsid w:val="00E92B30"/>
    <w:rsid w:val="00E930FA"/>
    <w:rsid w:val="00E93125"/>
    <w:rsid w:val="00E93202"/>
    <w:rsid w:val="00E93A06"/>
    <w:rsid w:val="00E93A24"/>
    <w:rsid w:val="00E93C47"/>
    <w:rsid w:val="00E9446C"/>
    <w:rsid w:val="00E94708"/>
    <w:rsid w:val="00E94A5C"/>
    <w:rsid w:val="00E94AA5"/>
    <w:rsid w:val="00E961EF"/>
    <w:rsid w:val="00E9673F"/>
    <w:rsid w:val="00E96B67"/>
    <w:rsid w:val="00E96EDE"/>
    <w:rsid w:val="00E96F74"/>
    <w:rsid w:val="00E971D4"/>
    <w:rsid w:val="00E972E4"/>
    <w:rsid w:val="00E9737B"/>
    <w:rsid w:val="00E976DF"/>
    <w:rsid w:val="00E978DC"/>
    <w:rsid w:val="00E9798F"/>
    <w:rsid w:val="00EA00CE"/>
    <w:rsid w:val="00EA0353"/>
    <w:rsid w:val="00EA0405"/>
    <w:rsid w:val="00EA0831"/>
    <w:rsid w:val="00EA0D94"/>
    <w:rsid w:val="00EA12C2"/>
    <w:rsid w:val="00EA1417"/>
    <w:rsid w:val="00EA1580"/>
    <w:rsid w:val="00EA1B29"/>
    <w:rsid w:val="00EA1EBE"/>
    <w:rsid w:val="00EA203F"/>
    <w:rsid w:val="00EA2321"/>
    <w:rsid w:val="00EA237F"/>
    <w:rsid w:val="00EA2443"/>
    <w:rsid w:val="00EA28B0"/>
    <w:rsid w:val="00EA2B07"/>
    <w:rsid w:val="00EA2CF7"/>
    <w:rsid w:val="00EA2FC5"/>
    <w:rsid w:val="00EA344A"/>
    <w:rsid w:val="00EA449D"/>
    <w:rsid w:val="00EA4502"/>
    <w:rsid w:val="00EA4992"/>
    <w:rsid w:val="00EA4CAB"/>
    <w:rsid w:val="00EA4ECE"/>
    <w:rsid w:val="00EA5552"/>
    <w:rsid w:val="00EA5F73"/>
    <w:rsid w:val="00EA62B0"/>
    <w:rsid w:val="00EA655D"/>
    <w:rsid w:val="00EA66E6"/>
    <w:rsid w:val="00EA6C3C"/>
    <w:rsid w:val="00EA6C49"/>
    <w:rsid w:val="00EA701D"/>
    <w:rsid w:val="00EA73A8"/>
    <w:rsid w:val="00EA743C"/>
    <w:rsid w:val="00EA7636"/>
    <w:rsid w:val="00EA76F7"/>
    <w:rsid w:val="00EB0233"/>
    <w:rsid w:val="00EB07AD"/>
    <w:rsid w:val="00EB08FA"/>
    <w:rsid w:val="00EB1204"/>
    <w:rsid w:val="00EB132F"/>
    <w:rsid w:val="00EB19A2"/>
    <w:rsid w:val="00EB1A99"/>
    <w:rsid w:val="00EB1DE1"/>
    <w:rsid w:val="00EB22A4"/>
    <w:rsid w:val="00EB23F9"/>
    <w:rsid w:val="00EB25CF"/>
    <w:rsid w:val="00EB279B"/>
    <w:rsid w:val="00EB295A"/>
    <w:rsid w:val="00EB2EC0"/>
    <w:rsid w:val="00EB360C"/>
    <w:rsid w:val="00EB418B"/>
    <w:rsid w:val="00EB426B"/>
    <w:rsid w:val="00EB4419"/>
    <w:rsid w:val="00EB479B"/>
    <w:rsid w:val="00EB47B0"/>
    <w:rsid w:val="00EB4896"/>
    <w:rsid w:val="00EB4A12"/>
    <w:rsid w:val="00EB4C85"/>
    <w:rsid w:val="00EB4E02"/>
    <w:rsid w:val="00EB4F9F"/>
    <w:rsid w:val="00EB5242"/>
    <w:rsid w:val="00EB552D"/>
    <w:rsid w:val="00EB555F"/>
    <w:rsid w:val="00EB578F"/>
    <w:rsid w:val="00EB58FF"/>
    <w:rsid w:val="00EB5E6D"/>
    <w:rsid w:val="00EB65F0"/>
    <w:rsid w:val="00EB6606"/>
    <w:rsid w:val="00EB68A8"/>
    <w:rsid w:val="00EB6D08"/>
    <w:rsid w:val="00EB6E8A"/>
    <w:rsid w:val="00EB7AA4"/>
    <w:rsid w:val="00EB7B0A"/>
    <w:rsid w:val="00EB7B95"/>
    <w:rsid w:val="00EB7D95"/>
    <w:rsid w:val="00EC0CE4"/>
    <w:rsid w:val="00EC0D6C"/>
    <w:rsid w:val="00EC102D"/>
    <w:rsid w:val="00EC1810"/>
    <w:rsid w:val="00EC1AFD"/>
    <w:rsid w:val="00EC1B02"/>
    <w:rsid w:val="00EC1E56"/>
    <w:rsid w:val="00EC25CC"/>
    <w:rsid w:val="00EC2940"/>
    <w:rsid w:val="00EC2A67"/>
    <w:rsid w:val="00EC2B93"/>
    <w:rsid w:val="00EC2BB2"/>
    <w:rsid w:val="00EC2F14"/>
    <w:rsid w:val="00EC300D"/>
    <w:rsid w:val="00EC3225"/>
    <w:rsid w:val="00EC32A5"/>
    <w:rsid w:val="00EC3319"/>
    <w:rsid w:val="00EC4268"/>
    <w:rsid w:val="00EC42F6"/>
    <w:rsid w:val="00EC442D"/>
    <w:rsid w:val="00EC4664"/>
    <w:rsid w:val="00EC4732"/>
    <w:rsid w:val="00EC4758"/>
    <w:rsid w:val="00EC48F0"/>
    <w:rsid w:val="00EC4A55"/>
    <w:rsid w:val="00EC52DB"/>
    <w:rsid w:val="00EC57D3"/>
    <w:rsid w:val="00EC587E"/>
    <w:rsid w:val="00EC5EB6"/>
    <w:rsid w:val="00EC6011"/>
    <w:rsid w:val="00EC62FA"/>
    <w:rsid w:val="00EC6741"/>
    <w:rsid w:val="00EC6BF1"/>
    <w:rsid w:val="00EC6EDB"/>
    <w:rsid w:val="00EC757D"/>
    <w:rsid w:val="00EC7E75"/>
    <w:rsid w:val="00EC7E7E"/>
    <w:rsid w:val="00ED0195"/>
    <w:rsid w:val="00ED0585"/>
    <w:rsid w:val="00ED0721"/>
    <w:rsid w:val="00ED0DCB"/>
    <w:rsid w:val="00ED0EF9"/>
    <w:rsid w:val="00ED0F1B"/>
    <w:rsid w:val="00ED13F4"/>
    <w:rsid w:val="00ED16D4"/>
    <w:rsid w:val="00ED1F0D"/>
    <w:rsid w:val="00ED2615"/>
    <w:rsid w:val="00ED29A2"/>
    <w:rsid w:val="00ED34E5"/>
    <w:rsid w:val="00ED3600"/>
    <w:rsid w:val="00ED4131"/>
    <w:rsid w:val="00ED4133"/>
    <w:rsid w:val="00ED41EB"/>
    <w:rsid w:val="00ED4460"/>
    <w:rsid w:val="00ED491A"/>
    <w:rsid w:val="00ED4A79"/>
    <w:rsid w:val="00ED4A9E"/>
    <w:rsid w:val="00ED4D64"/>
    <w:rsid w:val="00ED5042"/>
    <w:rsid w:val="00ED50F3"/>
    <w:rsid w:val="00ED5BB3"/>
    <w:rsid w:val="00ED6284"/>
    <w:rsid w:val="00ED630B"/>
    <w:rsid w:val="00ED639C"/>
    <w:rsid w:val="00ED7356"/>
    <w:rsid w:val="00ED7437"/>
    <w:rsid w:val="00ED7509"/>
    <w:rsid w:val="00ED76C7"/>
    <w:rsid w:val="00ED7997"/>
    <w:rsid w:val="00ED7BBB"/>
    <w:rsid w:val="00ED7D53"/>
    <w:rsid w:val="00ED7F30"/>
    <w:rsid w:val="00ED7F97"/>
    <w:rsid w:val="00EE038D"/>
    <w:rsid w:val="00EE0F74"/>
    <w:rsid w:val="00EE1069"/>
    <w:rsid w:val="00EE162D"/>
    <w:rsid w:val="00EE1BEE"/>
    <w:rsid w:val="00EE1C72"/>
    <w:rsid w:val="00EE22C9"/>
    <w:rsid w:val="00EE2609"/>
    <w:rsid w:val="00EE2852"/>
    <w:rsid w:val="00EE2955"/>
    <w:rsid w:val="00EE2ED0"/>
    <w:rsid w:val="00EE37CC"/>
    <w:rsid w:val="00EE3C50"/>
    <w:rsid w:val="00EE4230"/>
    <w:rsid w:val="00EE4A72"/>
    <w:rsid w:val="00EE4C95"/>
    <w:rsid w:val="00EE4D2A"/>
    <w:rsid w:val="00EE5014"/>
    <w:rsid w:val="00EE5B66"/>
    <w:rsid w:val="00EE5EFE"/>
    <w:rsid w:val="00EE616D"/>
    <w:rsid w:val="00EE61F9"/>
    <w:rsid w:val="00EE65F2"/>
    <w:rsid w:val="00EE7208"/>
    <w:rsid w:val="00EE7429"/>
    <w:rsid w:val="00EE74C5"/>
    <w:rsid w:val="00EE7AD2"/>
    <w:rsid w:val="00EE7B49"/>
    <w:rsid w:val="00EE7C24"/>
    <w:rsid w:val="00EF0454"/>
    <w:rsid w:val="00EF0820"/>
    <w:rsid w:val="00EF13FD"/>
    <w:rsid w:val="00EF14B2"/>
    <w:rsid w:val="00EF2813"/>
    <w:rsid w:val="00EF28FE"/>
    <w:rsid w:val="00EF2E47"/>
    <w:rsid w:val="00EF2E78"/>
    <w:rsid w:val="00EF2F1C"/>
    <w:rsid w:val="00EF31A0"/>
    <w:rsid w:val="00EF3278"/>
    <w:rsid w:val="00EF3556"/>
    <w:rsid w:val="00EF3730"/>
    <w:rsid w:val="00EF37F5"/>
    <w:rsid w:val="00EF3957"/>
    <w:rsid w:val="00EF3C67"/>
    <w:rsid w:val="00EF3E8B"/>
    <w:rsid w:val="00EF4178"/>
    <w:rsid w:val="00EF462F"/>
    <w:rsid w:val="00EF568A"/>
    <w:rsid w:val="00EF57D1"/>
    <w:rsid w:val="00EF5D80"/>
    <w:rsid w:val="00EF5F70"/>
    <w:rsid w:val="00EF619B"/>
    <w:rsid w:val="00EF7BB3"/>
    <w:rsid w:val="00EF7EA5"/>
    <w:rsid w:val="00EF7FBA"/>
    <w:rsid w:val="00F0043A"/>
    <w:rsid w:val="00F00678"/>
    <w:rsid w:val="00F00695"/>
    <w:rsid w:val="00F01090"/>
    <w:rsid w:val="00F01311"/>
    <w:rsid w:val="00F0152D"/>
    <w:rsid w:val="00F01723"/>
    <w:rsid w:val="00F01772"/>
    <w:rsid w:val="00F01B45"/>
    <w:rsid w:val="00F02701"/>
    <w:rsid w:val="00F02ACB"/>
    <w:rsid w:val="00F02D70"/>
    <w:rsid w:val="00F02E7D"/>
    <w:rsid w:val="00F049EC"/>
    <w:rsid w:val="00F04F1F"/>
    <w:rsid w:val="00F052DF"/>
    <w:rsid w:val="00F0542E"/>
    <w:rsid w:val="00F05E96"/>
    <w:rsid w:val="00F0639D"/>
    <w:rsid w:val="00F0645B"/>
    <w:rsid w:val="00F06B51"/>
    <w:rsid w:val="00F070A8"/>
    <w:rsid w:val="00F0749C"/>
    <w:rsid w:val="00F07BDB"/>
    <w:rsid w:val="00F100CE"/>
    <w:rsid w:val="00F10EAA"/>
    <w:rsid w:val="00F111E8"/>
    <w:rsid w:val="00F1131A"/>
    <w:rsid w:val="00F11384"/>
    <w:rsid w:val="00F1145E"/>
    <w:rsid w:val="00F11C11"/>
    <w:rsid w:val="00F12386"/>
    <w:rsid w:val="00F12512"/>
    <w:rsid w:val="00F12545"/>
    <w:rsid w:val="00F12686"/>
    <w:rsid w:val="00F12B3C"/>
    <w:rsid w:val="00F12ED0"/>
    <w:rsid w:val="00F13B74"/>
    <w:rsid w:val="00F13CFE"/>
    <w:rsid w:val="00F142E3"/>
    <w:rsid w:val="00F145A6"/>
    <w:rsid w:val="00F1467A"/>
    <w:rsid w:val="00F149EB"/>
    <w:rsid w:val="00F14D96"/>
    <w:rsid w:val="00F1546C"/>
    <w:rsid w:val="00F15A89"/>
    <w:rsid w:val="00F15D09"/>
    <w:rsid w:val="00F16853"/>
    <w:rsid w:val="00F16AFB"/>
    <w:rsid w:val="00F16C08"/>
    <w:rsid w:val="00F174C1"/>
    <w:rsid w:val="00F1758C"/>
    <w:rsid w:val="00F1759B"/>
    <w:rsid w:val="00F17A3F"/>
    <w:rsid w:val="00F206E9"/>
    <w:rsid w:val="00F20F4D"/>
    <w:rsid w:val="00F2150B"/>
    <w:rsid w:val="00F226A1"/>
    <w:rsid w:val="00F226A4"/>
    <w:rsid w:val="00F226D9"/>
    <w:rsid w:val="00F22C87"/>
    <w:rsid w:val="00F23024"/>
    <w:rsid w:val="00F230AD"/>
    <w:rsid w:val="00F234B1"/>
    <w:rsid w:val="00F23AC2"/>
    <w:rsid w:val="00F23DA1"/>
    <w:rsid w:val="00F23E64"/>
    <w:rsid w:val="00F24341"/>
    <w:rsid w:val="00F2471F"/>
    <w:rsid w:val="00F24D94"/>
    <w:rsid w:val="00F25212"/>
    <w:rsid w:val="00F25483"/>
    <w:rsid w:val="00F258EC"/>
    <w:rsid w:val="00F25BDB"/>
    <w:rsid w:val="00F25EA8"/>
    <w:rsid w:val="00F25F69"/>
    <w:rsid w:val="00F26024"/>
    <w:rsid w:val="00F26A7A"/>
    <w:rsid w:val="00F26B4B"/>
    <w:rsid w:val="00F26DFE"/>
    <w:rsid w:val="00F2706C"/>
    <w:rsid w:val="00F27438"/>
    <w:rsid w:val="00F276C7"/>
    <w:rsid w:val="00F277A6"/>
    <w:rsid w:val="00F27907"/>
    <w:rsid w:val="00F27B28"/>
    <w:rsid w:val="00F30020"/>
    <w:rsid w:val="00F3026B"/>
    <w:rsid w:val="00F30372"/>
    <w:rsid w:val="00F30749"/>
    <w:rsid w:val="00F3094A"/>
    <w:rsid w:val="00F30983"/>
    <w:rsid w:val="00F30E80"/>
    <w:rsid w:val="00F30EA3"/>
    <w:rsid w:val="00F31594"/>
    <w:rsid w:val="00F315E7"/>
    <w:rsid w:val="00F31CA9"/>
    <w:rsid w:val="00F31FEB"/>
    <w:rsid w:val="00F3226E"/>
    <w:rsid w:val="00F324CB"/>
    <w:rsid w:val="00F32564"/>
    <w:rsid w:val="00F32786"/>
    <w:rsid w:val="00F32832"/>
    <w:rsid w:val="00F32C2D"/>
    <w:rsid w:val="00F32F1F"/>
    <w:rsid w:val="00F33221"/>
    <w:rsid w:val="00F33F75"/>
    <w:rsid w:val="00F340DC"/>
    <w:rsid w:val="00F3419E"/>
    <w:rsid w:val="00F34938"/>
    <w:rsid w:val="00F34DF3"/>
    <w:rsid w:val="00F35380"/>
    <w:rsid w:val="00F3550F"/>
    <w:rsid w:val="00F362BD"/>
    <w:rsid w:val="00F36331"/>
    <w:rsid w:val="00F370DD"/>
    <w:rsid w:val="00F371C6"/>
    <w:rsid w:val="00F37436"/>
    <w:rsid w:val="00F3781F"/>
    <w:rsid w:val="00F37864"/>
    <w:rsid w:val="00F37935"/>
    <w:rsid w:val="00F37A01"/>
    <w:rsid w:val="00F400B9"/>
    <w:rsid w:val="00F403CA"/>
    <w:rsid w:val="00F40A81"/>
    <w:rsid w:val="00F40CC3"/>
    <w:rsid w:val="00F40FFE"/>
    <w:rsid w:val="00F41579"/>
    <w:rsid w:val="00F41882"/>
    <w:rsid w:val="00F42095"/>
    <w:rsid w:val="00F42717"/>
    <w:rsid w:val="00F428FC"/>
    <w:rsid w:val="00F42CF9"/>
    <w:rsid w:val="00F432FC"/>
    <w:rsid w:val="00F43814"/>
    <w:rsid w:val="00F43DA9"/>
    <w:rsid w:val="00F440C9"/>
    <w:rsid w:val="00F4445A"/>
    <w:rsid w:val="00F44656"/>
    <w:rsid w:val="00F447BD"/>
    <w:rsid w:val="00F44B53"/>
    <w:rsid w:val="00F44C95"/>
    <w:rsid w:val="00F44DA3"/>
    <w:rsid w:val="00F45433"/>
    <w:rsid w:val="00F455A6"/>
    <w:rsid w:val="00F45776"/>
    <w:rsid w:val="00F457EE"/>
    <w:rsid w:val="00F46127"/>
    <w:rsid w:val="00F4622D"/>
    <w:rsid w:val="00F463FD"/>
    <w:rsid w:val="00F465BE"/>
    <w:rsid w:val="00F46733"/>
    <w:rsid w:val="00F4691D"/>
    <w:rsid w:val="00F4699F"/>
    <w:rsid w:val="00F46FCD"/>
    <w:rsid w:val="00F474FD"/>
    <w:rsid w:val="00F47B0C"/>
    <w:rsid w:val="00F47FCB"/>
    <w:rsid w:val="00F50F92"/>
    <w:rsid w:val="00F512F7"/>
    <w:rsid w:val="00F51597"/>
    <w:rsid w:val="00F51C24"/>
    <w:rsid w:val="00F51C79"/>
    <w:rsid w:val="00F51D61"/>
    <w:rsid w:val="00F51E84"/>
    <w:rsid w:val="00F52E09"/>
    <w:rsid w:val="00F52FAD"/>
    <w:rsid w:val="00F531BE"/>
    <w:rsid w:val="00F53486"/>
    <w:rsid w:val="00F53505"/>
    <w:rsid w:val="00F535A8"/>
    <w:rsid w:val="00F53686"/>
    <w:rsid w:val="00F540C0"/>
    <w:rsid w:val="00F54758"/>
    <w:rsid w:val="00F5479B"/>
    <w:rsid w:val="00F54C2D"/>
    <w:rsid w:val="00F553D1"/>
    <w:rsid w:val="00F5576D"/>
    <w:rsid w:val="00F5608A"/>
    <w:rsid w:val="00F5623D"/>
    <w:rsid w:val="00F56314"/>
    <w:rsid w:val="00F565D1"/>
    <w:rsid w:val="00F566E0"/>
    <w:rsid w:val="00F56A71"/>
    <w:rsid w:val="00F56B9C"/>
    <w:rsid w:val="00F573E3"/>
    <w:rsid w:val="00F57464"/>
    <w:rsid w:val="00F57469"/>
    <w:rsid w:val="00F6059B"/>
    <w:rsid w:val="00F60600"/>
    <w:rsid w:val="00F60B83"/>
    <w:rsid w:val="00F6165C"/>
    <w:rsid w:val="00F616F3"/>
    <w:rsid w:val="00F6177B"/>
    <w:rsid w:val="00F61E38"/>
    <w:rsid w:val="00F622A5"/>
    <w:rsid w:val="00F625F2"/>
    <w:rsid w:val="00F630C9"/>
    <w:rsid w:val="00F63922"/>
    <w:rsid w:val="00F639FE"/>
    <w:rsid w:val="00F63B2B"/>
    <w:rsid w:val="00F640CE"/>
    <w:rsid w:val="00F64253"/>
    <w:rsid w:val="00F64343"/>
    <w:rsid w:val="00F643E4"/>
    <w:rsid w:val="00F643F6"/>
    <w:rsid w:val="00F649C1"/>
    <w:rsid w:val="00F64D63"/>
    <w:rsid w:val="00F650D0"/>
    <w:rsid w:val="00F65238"/>
    <w:rsid w:val="00F6523C"/>
    <w:rsid w:val="00F658FD"/>
    <w:rsid w:val="00F65F4E"/>
    <w:rsid w:val="00F6601E"/>
    <w:rsid w:val="00F660B6"/>
    <w:rsid w:val="00F6619F"/>
    <w:rsid w:val="00F662EF"/>
    <w:rsid w:val="00F66305"/>
    <w:rsid w:val="00F663F9"/>
    <w:rsid w:val="00F6689A"/>
    <w:rsid w:val="00F66A09"/>
    <w:rsid w:val="00F66C71"/>
    <w:rsid w:val="00F66FA8"/>
    <w:rsid w:val="00F671F0"/>
    <w:rsid w:val="00F67782"/>
    <w:rsid w:val="00F67794"/>
    <w:rsid w:val="00F7046D"/>
    <w:rsid w:val="00F70538"/>
    <w:rsid w:val="00F70B5D"/>
    <w:rsid w:val="00F70EF3"/>
    <w:rsid w:val="00F7162E"/>
    <w:rsid w:val="00F7213B"/>
    <w:rsid w:val="00F7244C"/>
    <w:rsid w:val="00F727B6"/>
    <w:rsid w:val="00F72808"/>
    <w:rsid w:val="00F72B42"/>
    <w:rsid w:val="00F72BB2"/>
    <w:rsid w:val="00F72BD8"/>
    <w:rsid w:val="00F72BF2"/>
    <w:rsid w:val="00F72C6E"/>
    <w:rsid w:val="00F72E8C"/>
    <w:rsid w:val="00F730C9"/>
    <w:rsid w:val="00F733F3"/>
    <w:rsid w:val="00F737FF"/>
    <w:rsid w:val="00F73A39"/>
    <w:rsid w:val="00F73E47"/>
    <w:rsid w:val="00F73F68"/>
    <w:rsid w:val="00F74107"/>
    <w:rsid w:val="00F74145"/>
    <w:rsid w:val="00F745EC"/>
    <w:rsid w:val="00F75100"/>
    <w:rsid w:val="00F752DD"/>
    <w:rsid w:val="00F7572B"/>
    <w:rsid w:val="00F758FF"/>
    <w:rsid w:val="00F75928"/>
    <w:rsid w:val="00F75930"/>
    <w:rsid w:val="00F75D3A"/>
    <w:rsid w:val="00F7610D"/>
    <w:rsid w:val="00F76151"/>
    <w:rsid w:val="00F76663"/>
    <w:rsid w:val="00F76C22"/>
    <w:rsid w:val="00F76FE9"/>
    <w:rsid w:val="00F77043"/>
    <w:rsid w:val="00F77196"/>
    <w:rsid w:val="00F771AB"/>
    <w:rsid w:val="00F77843"/>
    <w:rsid w:val="00F7787C"/>
    <w:rsid w:val="00F778C2"/>
    <w:rsid w:val="00F77A46"/>
    <w:rsid w:val="00F80139"/>
    <w:rsid w:val="00F802C5"/>
    <w:rsid w:val="00F8084D"/>
    <w:rsid w:val="00F80EEE"/>
    <w:rsid w:val="00F816EE"/>
    <w:rsid w:val="00F82249"/>
    <w:rsid w:val="00F825B5"/>
    <w:rsid w:val="00F827ED"/>
    <w:rsid w:val="00F82B11"/>
    <w:rsid w:val="00F82EA5"/>
    <w:rsid w:val="00F83F5C"/>
    <w:rsid w:val="00F841CA"/>
    <w:rsid w:val="00F8427C"/>
    <w:rsid w:val="00F843F8"/>
    <w:rsid w:val="00F8481C"/>
    <w:rsid w:val="00F84983"/>
    <w:rsid w:val="00F855F3"/>
    <w:rsid w:val="00F85D14"/>
    <w:rsid w:val="00F85E97"/>
    <w:rsid w:val="00F86495"/>
    <w:rsid w:val="00F86594"/>
    <w:rsid w:val="00F86619"/>
    <w:rsid w:val="00F86F6C"/>
    <w:rsid w:val="00F8774A"/>
    <w:rsid w:val="00F87C31"/>
    <w:rsid w:val="00F87D17"/>
    <w:rsid w:val="00F902B7"/>
    <w:rsid w:val="00F90790"/>
    <w:rsid w:val="00F90A5B"/>
    <w:rsid w:val="00F90ADA"/>
    <w:rsid w:val="00F90CDF"/>
    <w:rsid w:val="00F90FDD"/>
    <w:rsid w:val="00F910BB"/>
    <w:rsid w:val="00F91494"/>
    <w:rsid w:val="00F91808"/>
    <w:rsid w:val="00F9181E"/>
    <w:rsid w:val="00F918B9"/>
    <w:rsid w:val="00F91917"/>
    <w:rsid w:val="00F9212E"/>
    <w:rsid w:val="00F92AFB"/>
    <w:rsid w:val="00F92E58"/>
    <w:rsid w:val="00F93140"/>
    <w:rsid w:val="00F935BB"/>
    <w:rsid w:val="00F93742"/>
    <w:rsid w:val="00F937F0"/>
    <w:rsid w:val="00F93DC0"/>
    <w:rsid w:val="00F94252"/>
    <w:rsid w:val="00F9445F"/>
    <w:rsid w:val="00F94579"/>
    <w:rsid w:val="00F94A31"/>
    <w:rsid w:val="00F94D79"/>
    <w:rsid w:val="00F950D9"/>
    <w:rsid w:val="00F95519"/>
    <w:rsid w:val="00F955C7"/>
    <w:rsid w:val="00F959EA"/>
    <w:rsid w:val="00F95A3C"/>
    <w:rsid w:val="00F95F0A"/>
    <w:rsid w:val="00F95FC6"/>
    <w:rsid w:val="00F966EA"/>
    <w:rsid w:val="00F96AC6"/>
    <w:rsid w:val="00F96E21"/>
    <w:rsid w:val="00F96F4B"/>
    <w:rsid w:val="00F9786F"/>
    <w:rsid w:val="00F97CEB"/>
    <w:rsid w:val="00FA0329"/>
    <w:rsid w:val="00FA0376"/>
    <w:rsid w:val="00FA1095"/>
    <w:rsid w:val="00FA1106"/>
    <w:rsid w:val="00FA13E0"/>
    <w:rsid w:val="00FA1630"/>
    <w:rsid w:val="00FA17FA"/>
    <w:rsid w:val="00FA19B8"/>
    <w:rsid w:val="00FA1A77"/>
    <w:rsid w:val="00FA2A6E"/>
    <w:rsid w:val="00FA2C10"/>
    <w:rsid w:val="00FA3738"/>
    <w:rsid w:val="00FA37A2"/>
    <w:rsid w:val="00FA39F2"/>
    <w:rsid w:val="00FA3A60"/>
    <w:rsid w:val="00FA3EB3"/>
    <w:rsid w:val="00FA4105"/>
    <w:rsid w:val="00FA416C"/>
    <w:rsid w:val="00FA42E1"/>
    <w:rsid w:val="00FA494C"/>
    <w:rsid w:val="00FA4D3D"/>
    <w:rsid w:val="00FA5173"/>
    <w:rsid w:val="00FA51EA"/>
    <w:rsid w:val="00FA5504"/>
    <w:rsid w:val="00FA5E62"/>
    <w:rsid w:val="00FA5FDE"/>
    <w:rsid w:val="00FA632A"/>
    <w:rsid w:val="00FA6778"/>
    <w:rsid w:val="00FA67D0"/>
    <w:rsid w:val="00FA6803"/>
    <w:rsid w:val="00FA69BB"/>
    <w:rsid w:val="00FA6B7E"/>
    <w:rsid w:val="00FA6C24"/>
    <w:rsid w:val="00FA715A"/>
    <w:rsid w:val="00FA7560"/>
    <w:rsid w:val="00FA7743"/>
    <w:rsid w:val="00FA7F2A"/>
    <w:rsid w:val="00FB05A4"/>
    <w:rsid w:val="00FB0713"/>
    <w:rsid w:val="00FB0C75"/>
    <w:rsid w:val="00FB1149"/>
    <w:rsid w:val="00FB1E81"/>
    <w:rsid w:val="00FB294D"/>
    <w:rsid w:val="00FB2AE3"/>
    <w:rsid w:val="00FB2B47"/>
    <w:rsid w:val="00FB2B81"/>
    <w:rsid w:val="00FB2CE5"/>
    <w:rsid w:val="00FB2D12"/>
    <w:rsid w:val="00FB3574"/>
    <w:rsid w:val="00FB39D0"/>
    <w:rsid w:val="00FB3B2F"/>
    <w:rsid w:val="00FB3B74"/>
    <w:rsid w:val="00FB3C4C"/>
    <w:rsid w:val="00FB43AB"/>
    <w:rsid w:val="00FB495B"/>
    <w:rsid w:val="00FB4C48"/>
    <w:rsid w:val="00FB5372"/>
    <w:rsid w:val="00FB57DB"/>
    <w:rsid w:val="00FB5B5F"/>
    <w:rsid w:val="00FB6437"/>
    <w:rsid w:val="00FB6669"/>
    <w:rsid w:val="00FB6829"/>
    <w:rsid w:val="00FB6EC0"/>
    <w:rsid w:val="00FB6FCA"/>
    <w:rsid w:val="00FB70DC"/>
    <w:rsid w:val="00FB71C7"/>
    <w:rsid w:val="00FB7435"/>
    <w:rsid w:val="00FB7864"/>
    <w:rsid w:val="00FB7A12"/>
    <w:rsid w:val="00FB7A2F"/>
    <w:rsid w:val="00FB7A6B"/>
    <w:rsid w:val="00FB7AB7"/>
    <w:rsid w:val="00FB7B28"/>
    <w:rsid w:val="00FC02D1"/>
    <w:rsid w:val="00FC04B7"/>
    <w:rsid w:val="00FC04D4"/>
    <w:rsid w:val="00FC06E3"/>
    <w:rsid w:val="00FC0C9E"/>
    <w:rsid w:val="00FC0E5A"/>
    <w:rsid w:val="00FC154C"/>
    <w:rsid w:val="00FC1B80"/>
    <w:rsid w:val="00FC1C7F"/>
    <w:rsid w:val="00FC1CDF"/>
    <w:rsid w:val="00FC22AB"/>
    <w:rsid w:val="00FC2610"/>
    <w:rsid w:val="00FC272E"/>
    <w:rsid w:val="00FC286D"/>
    <w:rsid w:val="00FC294A"/>
    <w:rsid w:val="00FC2FA9"/>
    <w:rsid w:val="00FC3045"/>
    <w:rsid w:val="00FC30BC"/>
    <w:rsid w:val="00FC30F3"/>
    <w:rsid w:val="00FC3289"/>
    <w:rsid w:val="00FC329C"/>
    <w:rsid w:val="00FC35CB"/>
    <w:rsid w:val="00FC3ADC"/>
    <w:rsid w:val="00FC3FD9"/>
    <w:rsid w:val="00FC40B3"/>
    <w:rsid w:val="00FC4700"/>
    <w:rsid w:val="00FC49C4"/>
    <w:rsid w:val="00FC4D17"/>
    <w:rsid w:val="00FC4DBD"/>
    <w:rsid w:val="00FC594B"/>
    <w:rsid w:val="00FC6117"/>
    <w:rsid w:val="00FC6AED"/>
    <w:rsid w:val="00FC764B"/>
    <w:rsid w:val="00FC7A4D"/>
    <w:rsid w:val="00FC7DDB"/>
    <w:rsid w:val="00FC7EF4"/>
    <w:rsid w:val="00FD0062"/>
    <w:rsid w:val="00FD07C6"/>
    <w:rsid w:val="00FD0D91"/>
    <w:rsid w:val="00FD0DA5"/>
    <w:rsid w:val="00FD1088"/>
    <w:rsid w:val="00FD15C6"/>
    <w:rsid w:val="00FD16CE"/>
    <w:rsid w:val="00FD1859"/>
    <w:rsid w:val="00FD1F0F"/>
    <w:rsid w:val="00FD22CE"/>
    <w:rsid w:val="00FD2394"/>
    <w:rsid w:val="00FD2CF9"/>
    <w:rsid w:val="00FD2E62"/>
    <w:rsid w:val="00FD33BB"/>
    <w:rsid w:val="00FD394E"/>
    <w:rsid w:val="00FD3E82"/>
    <w:rsid w:val="00FD4211"/>
    <w:rsid w:val="00FD4325"/>
    <w:rsid w:val="00FD46A3"/>
    <w:rsid w:val="00FD4902"/>
    <w:rsid w:val="00FD4CBD"/>
    <w:rsid w:val="00FD51F6"/>
    <w:rsid w:val="00FD54CA"/>
    <w:rsid w:val="00FD5726"/>
    <w:rsid w:val="00FD59EF"/>
    <w:rsid w:val="00FD5FAA"/>
    <w:rsid w:val="00FD645D"/>
    <w:rsid w:val="00FD67F7"/>
    <w:rsid w:val="00FD6BD1"/>
    <w:rsid w:val="00FD6DF3"/>
    <w:rsid w:val="00FD7003"/>
    <w:rsid w:val="00FD7066"/>
    <w:rsid w:val="00FD70DE"/>
    <w:rsid w:val="00FD721C"/>
    <w:rsid w:val="00FD7841"/>
    <w:rsid w:val="00FD7B8C"/>
    <w:rsid w:val="00FD7E8D"/>
    <w:rsid w:val="00FE09F5"/>
    <w:rsid w:val="00FE0D05"/>
    <w:rsid w:val="00FE102B"/>
    <w:rsid w:val="00FE104B"/>
    <w:rsid w:val="00FE13EF"/>
    <w:rsid w:val="00FE1B08"/>
    <w:rsid w:val="00FE1C5B"/>
    <w:rsid w:val="00FE1CD6"/>
    <w:rsid w:val="00FE2431"/>
    <w:rsid w:val="00FE24DA"/>
    <w:rsid w:val="00FE2636"/>
    <w:rsid w:val="00FE2B4F"/>
    <w:rsid w:val="00FE3026"/>
    <w:rsid w:val="00FE3226"/>
    <w:rsid w:val="00FE33BB"/>
    <w:rsid w:val="00FE3C56"/>
    <w:rsid w:val="00FE3CE7"/>
    <w:rsid w:val="00FE3DCB"/>
    <w:rsid w:val="00FE40D4"/>
    <w:rsid w:val="00FE42F5"/>
    <w:rsid w:val="00FE47AC"/>
    <w:rsid w:val="00FE490B"/>
    <w:rsid w:val="00FE4A77"/>
    <w:rsid w:val="00FE4C58"/>
    <w:rsid w:val="00FE4F2F"/>
    <w:rsid w:val="00FE5BCF"/>
    <w:rsid w:val="00FE6746"/>
    <w:rsid w:val="00FE6A64"/>
    <w:rsid w:val="00FE6CAC"/>
    <w:rsid w:val="00FE7456"/>
    <w:rsid w:val="00FE7EE9"/>
    <w:rsid w:val="00FF01F4"/>
    <w:rsid w:val="00FF091C"/>
    <w:rsid w:val="00FF0B31"/>
    <w:rsid w:val="00FF0DA7"/>
    <w:rsid w:val="00FF0DE2"/>
    <w:rsid w:val="00FF1C65"/>
    <w:rsid w:val="00FF1E29"/>
    <w:rsid w:val="00FF1F0C"/>
    <w:rsid w:val="00FF2293"/>
    <w:rsid w:val="00FF2550"/>
    <w:rsid w:val="00FF292B"/>
    <w:rsid w:val="00FF2D71"/>
    <w:rsid w:val="00FF2DCE"/>
    <w:rsid w:val="00FF2FE7"/>
    <w:rsid w:val="00FF321A"/>
    <w:rsid w:val="00FF3288"/>
    <w:rsid w:val="00FF3536"/>
    <w:rsid w:val="00FF3592"/>
    <w:rsid w:val="00FF3A65"/>
    <w:rsid w:val="00FF3CB1"/>
    <w:rsid w:val="00FF4196"/>
    <w:rsid w:val="00FF45DB"/>
    <w:rsid w:val="00FF4ADD"/>
    <w:rsid w:val="00FF4AEC"/>
    <w:rsid w:val="00FF4C8A"/>
    <w:rsid w:val="00FF5299"/>
    <w:rsid w:val="00FF5D0B"/>
    <w:rsid w:val="00FF610D"/>
    <w:rsid w:val="00FF6B15"/>
    <w:rsid w:val="00FF6D90"/>
    <w:rsid w:val="00FF6E57"/>
    <w:rsid w:val="00FF6EB5"/>
    <w:rsid w:val="00FF6F8B"/>
    <w:rsid w:val="00FF714C"/>
    <w:rsid w:val="0101B4FF"/>
    <w:rsid w:val="010C39C2"/>
    <w:rsid w:val="012C9B51"/>
    <w:rsid w:val="0157BE4B"/>
    <w:rsid w:val="015943C1"/>
    <w:rsid w:val="016AE16D"/>
    <w:rsid w:val="01947215"/>
    <w:rsid w:val="019DE255"/>
    <w:rsid w:val="019EA3C1"/>
    <w:rsid w:val="01A25BE0"/>
    <w:rsid w:val="01ACBA46"/>
    <w:rsid w:val="01B94071"/>
    <w:rsid w:val="01B9A029"/>
    <w:rsid w:val="01CBF05D"/>
    <w:rsid w:val="01D62249"/>
    <w:rsid w:val="01E9CAD0"/>
    <w:rsid w:val="0205677E"/>
    <w:rsid w:val="0219066C"/>
    <w:rsid w:val="0221C55A"/>
    <w:rsid w:val="0243D7EC"/>
    <w:rsid w:val="0249C0D2"/>
    <w:rsid w:val="02566701"/>
    <w:rsid w:val="0258D3CA"/>
    <w:rsid w:val="025F4A07"/>
    <w:rsid w:val="02696C5E"/>
    <w:rsid w:val="026CF9B2"/>
    <w:rsid w:val="02771A24"/>
    <w:rsid w:val="0280272F"/>
    <w:rsid w:val="02850BF2"/>
    <w:rsid w:val="02A0295D"/>
    <w:rsid w:val="02AB9CCD"/>
    <w:rsid w:val="02B51100"/>
    <w:rsid w:val="02BB73DC"/>
    <w:rsid w:val="02C520DF"/>
    <w:rsid w:val="02C7B11C"/>
    <w:rsid w:val="02CA36A6"/>
    <w:rsid w:val="02D48039"/>
    <w:rsid w:val="02EA473B"/>
    <w:rsid w:val="02EC5300"/>
    <w:rsid w:val="02F63E7D"/>
    <w:rsid w:val="0300D809"/>
    <w:rsid w:val="03322EDE"/>
    <w:rsid w:val="033B9D43"/>
    <w:rsid w:val="0344381D"/>
    <w:rsid w:val="038C1AD1"/>
    <w:rsid w:val="038E9176"/>
    <w:rsid w:val="03AB4A4A"/>
    <w:rsid w:val="03AD6EBA"/>
    <w:rsid w:val="03B1135F"/>
    <w:rsid w:val="03DF6D5A"/>
    <w:rsid w:val="041EF4D5"/>
    <w:rsid w:val="042EC8FA"/>
    <w:rsid w:val="04351901"/>
    <w:rsid w:val="04393444"/>
    <w:rsid w:val="043B2F42"/>
    <w:rsid w:val="044F2C42"/>
    <w:rsid w:val="0474716A"/>
    <w:rsid w:val="047DEF0B"/>
    <w:rsid w:val="04A1F8C4"/>
    <w:rsid w:val="04A4B2DB"/>
    <w:rsid w:val="04B36063"/>
    <w:rsid w:val="04D712E2"/>
    <w:rsid w:val="04DCE808"/>
    <w:rsid w:val="0511A910"/>
    <w:rsid w:val="051CAD3C"/>
    <w:rsid w:val="053D6787"/>
    <w:rsid w:val="0547394E"/>
    <w:rsid w:val="054920F6"/>
    <w:rsid w:val="0549F088"/>
    <w:rsid w:val="054AC02A"/>
    <w:rsid w:val="054BC01D"/>
    <w:rsid w:val="0558F9C9"/>
    <w:rsid w:val="056D158C"/>
    <w:rsid w:val="057B414E"/>
    <w:rsid w:val="05923187"/>
    <w:rsid w:val="059CFA51"/>
    <w:rsid w:val="05A07219"/>
    <w:rsid w:val="05A49795"/>
    <w:rsid w:val="05A85153"/>
    <w:rsid w:val="05A99FFE"/>
    <w:rsid w:val="05B8A64C"/>
    <w:rsid w:val="05C1ADBE"/>
    <w:rsid w:val="05D62649"/>
    <w:rsid w:val="05E37F66"/>
    <w:rsid w:val="05E77547"/>
    <w:rsid w:val="05EC62F3"/>
    <w:rsid w:val="05ED418B"/>
    <w:rsid w:val="0603667B"/>
    <w:rsid w:val="0609519C"/>
    <w:rsid w:val="06167035"/>
    <w:rsid w:val="06444290"/>
    <w:rsid w:val="0648F28F"/>
    <w:rsid w:val="0659896D"/>
    <w:rsid w:val="065AB82C"/>
    <w:rsid w:val="06671D8F"/>
    <w:rsid w:val="06734E66"/>
    <w:rsid w:val="06756FA1"/>
    <w:rsid w:val="067EC732"/>
    <w:rsid w:val="06930D71"/>
    <w:rsid w:val="0693434F"/>
    <w:rsid w:val="0696D6D9"/>
    <w:rsid w:val="06A5B33F"/>
    <w:rsid w:val="06B48133"/>
    <w:rsid w:val="06B5D500"/>
    <w:rsid w:val="06BC2A9C"/>
    <w:rsid w:val="06C63BEF"/>
    <w:rsid w:val="06F91137"/>
    <w:rsid w:val="06FAE5A1"/>
    <w:rsid w:val="070309A4"/>
    <w:rsid w:val="070FC826"/>
    <w:rsid w:val="071214D4"/>
    <w:rsid w:val="0713C31B"/>
    <w:rsid w:val="07168428"/>
    <w:rsid w:val="07169386"/>
    <w:rsid w:val="0725F3F6"/>
    <w:rsid w:val="072CCE86"/>
    <w:rsid w:val="07307938"/>
    <w:rsid w:val="0740769C"/>
    <w:rsid w:val="07494A0C"/>
    <w:rsid w:val="07650992"/>
    <w:rsid w:val="07762521"/>
    <w:rsid w:val="07791AB6"/>
    <w:rsid w:val="078052CC"/>
    <w:rsid w:val="07811F9F"/>
    <w:rsid w:val="079C8389"/>
    <w:rsid w:val="07A2D9FB"/>
    <w:rsid w:val="07B1A2E0"/>
    <w:rsid w:val="07B3BE85"/>
    <w:rsid w:val="07B9E702"/>
    <w:rsid w:val="07DC13DE"/>
    <w:rsid w:val="07E54B80"/>
    <w:rsid w:val="07E691F9"/>
    <w:rsid w:val="07EA8E11"/>
    <w:rsid w:val="07F8110C"/>
    <w:rsid w:val="08136E42"/>
    <w:rsid w:val="081A2937"/>
    <w:rsid w:val="08241F5D"/>
    <w:rsid w:val="082AEA4D"/>
    <w:rsid w:val="083A5A93"/>
    <w:rsid w:val="084CA3A7"/>
    <w:rsid w:val="084CACC6"/>
    <w:rsid w:val="087BEFBC"/>
    <w:rsid w:val="0887BB6C"/>
    <w:rsid w:val="0899F1A3"/>
    <w:rsid w:val="08AE0CD9"/>
    <w:rsid w:val="08BEFB5B"/>
    <w:rsid w:val="08F911C0"/>
    <w:rsid w:val="091582D6"/>
    <w:rsid w:val="09233F5F"/>
    <w:rsid w:val="09448A47"/>
    <w:rsid w:val="094CBD7F"/>
    <w:rsid w:val="0954A1D8"/>
    <w:rsid w:val="098EC47A"/>
    <w:rsid w:val="0997A003"/>
    <w:rsid w:val="099CEB72"/>
    <w:rsid w:val="09B4F7EA"/>
    <w:rsid w:val="09B70150"/>
    <w:rsid w:val="09BBAEE9"/>
    <w:rsid w:val="09C66C09"/>
    <w:rsid w:val="09DADD12"/>
    <w:rsid w:val="09F31419"/>
    <w:rsid w:val="0A3274EC"/>
    <w:rsid w:val="0A3A78EC"/>
    <w:rsid w:val="0A3AD649"/>
    <w:rsid w:val="0A53B1D6"/>
    <w:rsid w:val="0A61D2B9"/>
    <w:rsid w:val="0A65D6E8"/>
    <w:rsid w:val="0A6F941B"/>
    <w:rsid w:val="0A8AB95D"/>
    <w:rsid w:val="0A8E5877"/>
    <w:rsid w:val="0A8E693F"/>
    <w:rsid w:val="0A97F11F"/>
    <w:rsid w:val="0A9BDC56"/>
    <w:rsid w:val="0AB70547"/>
    <w:rsid w:val="0AB8E7E9"/>
    <w:rsid w:val="0ABA4D76"/>
    <w:rsid w:val="0ACD1AAD"/>
    <w:rsid w:val="0AE7ACEE"/>
    <w:rsid w:val="0AEECFEB"/>
    <w:rsid w:val="0B0463B9"/>
    <w:rsid w:val="0B0F8F79"/>
    <w:rsid w:val="0B1CDE59"/>
    <w:rsid w:val="0B1E1F61"/>
    <w:rsid w:val="0B208A05"/>
    <w:rsid w:val="0B230B8D"/>
    <w:rsid w:val="0B2DB788"/>
    <w:rsid w:val="0B2F73D9"/>
    <w:rsid w:val="0B3D5FC4"/>
    <w:rsid w:val="0B47FC1A"/>
    <w:rsid w:val="0B52C54D"/>
    <w:rsid w:val="0B5714AB"/>
    <w:rsid w:val="0B61FB02"/>
    <w:rsid w:val="0B7FC1CF"/>
    <w:rsid w:val="0B93C741"/>
    <w:rsid w:val="0B95395F"/>
    <w:rsid w:val="0BBFC815"/>
    <w:rsid w:val="0BCD5D0E"/>
    <w:rsid w:val="0BDA390D"/>
    <w:rsid w:val="0BE4A0F7"/>
    <w:rsid w:val="0C0A4FC6"/>
    <w:rsid w:val="0C0F60D7"/>
    <w:rsid w:val="0C148232"/>
    <w:rsid w:val="0C2AD6E4"/>
    <w:rsid w:val="0C41E66E"/>
    <w:rsid w:val="0C61A79E"/>
    <w:rsid w:val="0C7B4B8B"/>
    <w:rsid w:val="0C7E1C13"/>
    <w:rsid w:val="0C82D192"/>
    <w:rsid w:val="0C84426E"/>
    <w:rsid w:val="0CA24351"/>
    <w:rsid w:val="0CAFA64C"/>
    <w:rsid w:val="0CB46F03"/>
    <w:rsid w:val="0CB657B3"/>
    <w:rsid w:val="0CB97DC7"/>
    <w:rsid w:val="0CCE8FF2"/>
    <w:rsid w:val="0CDF3B01"/>
    <w:rsid w:val="0CDFE3F3"/>
    <w:rsid w:val="0CF9F287"/>
    <w:rsid w:val="0CFE945F"/>
    <w:rsid w:val="0D1D7293"/>
    <w:rsid w:val="0D3B7FB1"/>
    <w:rsid w:val="0D7776D6"/>
    <w:rsid w:val="0D8B15A3"/>
    <w:rsid w:val="0D947B33"/>
    <w:rsid w:val="0D9D120B"/>
    <w:rsid w:val="0DA678DA"/>
    <w:rsid w:val="0DC20CE3"/>
    <w:rsid w:val="0DE4CDF4"/>
    <w:rsid w:val="0DEB3D0D"/>
    <w:rsid w:val="0DEDC41B"/>
    <w:rsid w:val="0DF1C292"/>
    <w:rsid w:val="0E0927CD"/>
    <w:rsid w:val="0E1D3F31"/>
    <w:rsid w:val="0E26387D"/>
    <w:rsid w:val="0E43F874"/>
    <w:rsid w:val="0E4896AB"/>
    <w:rsid w:val="0E49A325"/>
    <w:rsid w:val="0E4DB5B6"/>
    <w:rsid w:val="0E94465A"/>
    <w:rsid w:val="0E979AFF"/>
    <w:rsid w:val="0EC63F90"/>
    <w:rsid w:val="0EC8A1BC"/>
    <w:rsid w:val="0EFD326E"/>
    <w:rsid w:val="0EFDD1CE"/>
    <w:rsid w:val="0F1541FD"/>
    <w:rsid w:val="0F17AAA8"/>
    <w:rsid w:val="0F256258"/>
    <w:rsid w:val="0F3267CA"/>
    <w:rsid w:val="0F451221"/>
    <w:rsid w:val="0F48659A"/>
    <w:rsid w:val="0F6FF44D"/>
    <w:rsid w:val="0F724EC1"/>
    <w:rsid w:val="0F887FE4"/>
    <w:rsid w:val="0F9C17CF"/>
    <w:rsid w:val="0FBDBFD8"/>
    <w:rsid w:val="0FC14C3C"/>
    <w:rsid w:val="0FE34CD5"/>
    <w:rsid w:val="0FE84D08"/>
    <w:rsid w:val="0FEF812E"/>
    <w:rsid w:val="0FFDD527"/>
    <w:rsid w:val="101DC095"/>
    <w:rsid w:val="1024A868"/>
    <w:rsid w:val="102A8E51"/>
    <w:rsid w:val="102D0389"/>
    <w:rsid w:val="10318B34"/>
    <w:rsid w:val="103976BF"/>
    <w:rsid w:val="103B5007"/>
    <w:rsid w:val="10447796"/>
    <w:rsid w:val="1069EA75"/>
    <w:rsid w:val="107B74D1"/>
    <w:rsid w:val="107FC87C"/>
    <w:rsid w:val="1089063C"/>
    <w:rsid w:val="108A2AA7"/>
    <w:rsid w:val="108F8CE7"/>
    <w:rsid w:val="1097E4A3"/>
    <w:rsid w:val="10B31C91"/>
    <w:rsid w:val="10C60981"/>
    <w:rsid w:val="10D881F0"/>
    <w:rsid w:val="10DE4ECD"/>
    <w:rsid w:val="10F3ED14"/>
    <w:rsid w:val="10FC53D3"/>
    <w:rsid w:val="110D72AD"/>
    <w:rsid w:val="111C2373"/>
    <w:rsid w:val="111D10A3"/>
    <w:rsid w:val="1122E770"/>
    <w:rsid w:val="112C5B39"/>
    <w:rsid w:val="114AADEE"/>
    <w:rsid w:val="116DC21B"/>
    <w:rsid w:val="116DC906"/>
    <w:rsid w:val="1170E176"/>
    <w:rsid w:val="11844CCF"/>
    <w:rsid w:val="119E03FF"/>
    <w:rsid w:val="11BB9267"/>
    <w:rsid w:val="11C4B686"/>
    <w:rsid w:val="11C6E8FF"/>
    <w:rsid w:val="11C995AA"/>
    <w:rsid w:val="11D08986"/>
    <w:rsid w:val="11E70BA9"/>
    <w:rsid w:val="11F21239"/>
    <w:rsid w:val="12135250"/>
    <w:rsid w:val="12383FA7"/>
    <w:rsid w:val="123C9755"/>
    <w:rsid w:val="12574543"/>
    <w:rsid w:val="127D9FEF"/>
    <w:rsid w:val="1283D30F"/>
    <w:rsid w:val="129C9DE0"/>
    <w:rsid w:val="12A2AE95"/>
    <w:rsid w:val="12C622BC"/>
    <w:rsid w:val="12EA1281"/>
    <w:rsid w:val="12F0C017"/>
    <w:rsid w:val="12F68DB2"/>
    <w:rsid w:val="131DC4DF"/>
    <w:rsid w:val="1335C5EC"/>
    <w:rsid w:val="1339C27C"/>
    <w:rsid w:val="134A6EC6"/>
    <w:rsid w:val="1358E728"/>
    <w:rsid w:val="13594BE0"/>
    <w:rsid w:val="137C1FBC"/>
    <w:rsid w:val="1389722F"/>
    <w:rsid w:val="13985BFA"/>
    <w:rsid w:val="13A134B2"/>
    <w:rsid w:val="13AD0D71"/>
    <w:rsid w:val="13C2598C"/>
    <w:rsid w:val="13D256DA"/>
    <w:rsid w:val="13E82240"/>
    <w:rsid w:val="13F6AE9C"/>
    <w:rsid w:val="13F9DC53"/>
    <w:rsid w:val="14018B4E"/>
    <w:rsid w:val="142067FA"/>
    <w:rsid w:val="1429D201"/>
    <w:rsid w:val="1430EF9D"/>
    <w:rsid w:val="145BD11D"/>
    <w:rsid w:val="146B6E58"/>
    <w:rsid w:val="1477C4AE"/>
    <w:rsid w:val="1486BE0C"/>
    <w:rsid w:val="14972154"/>
    <w:rsid w:val="14B1CCFE"/>
    <w:rsid w:val="14B674B1"/>
    <w:rsid w:val="14CF0FB3"/>
    <w:rsid w:val="14D8B0F2"/>
    <w:rsid w:val="14E2D521"/>
    <w:rsid w:val="14E460E8"/>
    <w:rsid w:val="14F07DA6"/>
    <w:rsid w:val="1503A18F"/>
    <w:rsid w:val="1503E67E"/>
    <w:rsid w:val="150D8553"/>
    <w:rsid w:val="1510ED3D"/>
    <w:rsid w:val="1514ED0B"/>
    <w:rsid w:val="152711B4"/>
    <w:rsid w:val="152BE874"/>
    <w:rsid w:val="1536A88D"/>
    <w:rsid w:val="1548A93D"/>
    <w:rsid w:val="15882D0B"/>
    <w:rsid w:val="158C0493"/>
    <w:rsid w:val="159621D6"/>
    <w:rsid w:val="15A04A4C"/>
    <w:rsid w:val="15A36F91"/>
    <w:rsid w:val="15BAA638"/>
    <w:rsid w:val="15C12081"/>
    <w:rsid w:val="15C1BCFB"/>
    <w:rsid w:val="15CB42FE"/>
    <w:rsid w:val="15D117A1"/>
    <w:rsid w:val="15E065B4"/>
    <w:rsid w:val="15F0935F"/>
    <w:rsid w:val="160A52DE"/>
    <w:rsid w:val="1613E02F"/>
    <w:rsid w:val="161AC9FF"/>
    <w:rsid w:val="16301B73"/>
    <w:rsid w:val="163CF2F7"/>
    <w:rsid w:val="16542CFD"/>
    <w:rsid w:val="1656F434"/>
    <w:rsid w:val="16598264"/>
    <w:rsid w:val="168A97AE"/>
    <w:rsid w:val="16940BB4"/>
    <w:rsid w:val="169643BF"/>
    <w:rsid w:val="16A14BBA"/>
    <w:rsid w:val="16CECEEC"/>
    <w:rsid w:val="16D0BE79"/>
    <w:rsid w:val="16D61E72"/>
    <w:rsid w:val="16D9C805"/>
    <w:rsid w:val="16DC70D9"/>
    <w:rsid w:val="16F335E1"/>
    <w:rsid w:val="1706ECA0"/>
    <w:rsid w:val="170F2B6D"/>
    <w:rsid w:val="172A689D"/>
    <w:rsid w:val="1760A9C7"/>
    <w:rsid w:val="176559ED"/>
    <w:rsid w:val="17752B64"/>
    <w:rsid w:val="17856A63"/>
    <w:rsid w:val="17942259"/>
    <w:rsid w:val="17A8A50D"/>
    <w:rsid w:val="17C09E7E"/>
    <w:rsid w:val="17C64203"/>
    <w:rsid w:val="17C78485"/>
    <w:rsid w:val="17DF32DC"/>
    <w:rsid w:val="17E7D69E"/>
    <w:rsid w:val="17E874DA"/>
    <w:rsid w:val="18035C18"/>
    <w:rsid w:val="181A8BBD"/>
    <w:rsid w:val="181C00B5"/>
    <w:rsid w:val="182C2C4E"/>
    <w:rsid w:val="184910B7"/>
    <w:rsid w:val="184C5B50"/>
    <w:rsid w:val="187D1DE7"/>
    <w:rsid w:val="1888EDF3"/>
    <w:rsid w:val="188A27EB"/>
    <w:rsid w:val="189CD9EB"/>
    <w:rsid w:val="18A63D08"/>
    <w:rsid w:val="18AFF307"/>
    <w:rsid w:val="18B8E68E"/>
    <w:rsid w:val="18C9624E"/>
    <w:rsid w:val="18D5BC40"/>
    <w:rsid w:val="18D950C7"/>
    <w:rsid w:val="18DE873C"/>
    <w:rsid w:val="18F2BEB0"/>
    <w:rsid w:val="190407CC"/>
    <w:rsid w:val="1946882D"/>
    <w:rsid w:val="19808216"/>
    <w:rsid w:val="198839B3"/>
    <w:rsid w:val="199E472B"/>
    <w:rsid w:val="19AF6E3B"/>
    <w:rsid w:val="19BE9B3E"/>
    <w:rsid w:val="19E0FEFC"/>
    <w:rsid w:val="19EBB5B8"/>
    <w:rsid w:val="19F533D8"/>
    <w:rsid w:val="19FC1AE2"/>
    <w:rsid w:val="1A00DF7C"/>
    <w:rsid w:val="1A0A51A6"/>
    <w:rsid w:val="1A0F3A48"/>
    <w:rsid w:val="1A41D9F5"/>
    <w:rsid w:val="1A5D07E0"/>
    <w:rsid w:val="1A681C6B"/>
    <w:rsid w:val="1A9763F0"/>
    <w:rsid w:val="1AA56CC8"/>
    <w:rsid w:val="1AA58709"/>
    <w:rsid w:val="1ABCD581"/>
    <w:rsid w:val="1AC3F78D"/>
    <w:rsid w:val="1AC5241B"/>
    <w:rsid w:val="1ACBDFE2"/>
    <w:rsid w:val="1AD33F23"/>
    <w:rsid w:val="1AD4D1A0"/>
    <w:rsid w:val="1AD673A7"/>
    <w:rsid w:val="1AE04C1E"/>
    <w:rsid w:val="1AF34B3B"/>
    <w:rsid w:val="1AF9C36C"/>
    <w:rsid w:val="1B2EFB06"/>
    <w:rsid w:val="1B2F2248"/>
    <w:rsid w:val="1B411A3C"/>
    <w:rsid w:val="1B4C28CE"/>
    <w:rsid w:val="1B4C839A"/>
    <w:rsid w:val="1B55E88D"/>
    <w:rsid w:val="1B5A05D3"/>
    <w:rsid w:val="1B60C76D"/>
    <w:rsid w:val="1B67712D"/>
    <w:rsid w:val="1B73925A"/>
    <w:rsid w:val="1B7E86B3"/>
    <w:rsid w:val="1BA006E9"/>
    <w:rsid w:val="1BBCC2A0"/>
    <w:rsid w:val="1BC367B2"/>
    <w:rsid w:val="1BE8818B"/>
    <w:rsid w:val="1BF26328"/>
    <w:rsid w:val="1C0BB6DA"/>
    <w:rsid w:val="1C0D066D"/>
    <w:rsid w:val="1C0EAA47"/>
    <w:rsid w:val="1C12864E"/>
    <w:rsid w:val="1C1D86A3"/>
    <w:rsid w:val="1C22C187"/>
    <w:rsid w:val="1C2DC4E9"/>
    <w:rsid w:val="1C3EAD79"/>
    <w:rsid w:val="1C40A9DD"/>
    <w:rsid w:val="1C4FC1D4"/>
    <w:rsid w:val="1C56B8B4"/>
    <w:rsid w:val="1C57EE6F"/>
    <w:rsid w:val="1C8A311A"/>
    <w:rsid w:val="1C933377"/>
    <w:rsid w:val="1C9446D7"/>
    <w:rsid w:val="1C97FA1F"/>
    <w:rsid w:val="1CA4D620"/>
    <w:rsid w:val="1CADD069"/>
    <w:rsid w:val="1CB10716"/>
    <w:rsid w:val="1CB7ADA3"/>
    <w:rsid w:val="1CC596F3"/>
    <w:rsid w:val="1CD474D8"/>
    <w:rsid w:val="1CEC4260"/>
    <w:rsid w:val="1CF96EA7"/>
    <w:rsid w:val="1D0122EF"/>
    <w:rsid w:val="1D19B68F"/>
    <w:rsid w:val="1D1E82AB"/>
    <w:rsid w:val="1D355DAC"/>
    <w:rsid w:val="1D51D208"/>
    <w:rsid w:val="1D58B8D4"/>
    <w:rsid w:val="1D6D2AA7"/>
    <w:rsid w:val="1D713262"/>
    <w:rsid w:val="1D813065"/>
    <w:rsid w:val="1D9477D7"/>
    <w:rsid w:val="1DAF1FAB"/>
    <w:rsid w:val="1DB6A74E"/>
    <w:rsid w:val="1DC8D820"/>
    <w:rsid w:val="1DCC6357"/>
    <w:rsid w:val="1DE0756E"/>
    <w:rsid w:val="1DFEA220"/>
    <w:rsid w:val="1E0AA107"/>
    <w:rsid w:val="1E1830D4"/>
    <w:rsid w:val="1E1AB869"/>
    <w:rsid w:val="1E2DC38F"/>
    <w:rsid w:val="1E3FB703"/>
    <w:rsid w:val="1E4612C5"/>
    <w:rsid w:val="1E601347"/>
    <w:rsid w:val="1E612210"/>
    <w:rsid w:val="1E68EB35"/>
    <w:rsid w:val="1E6E52AF"/>
    <w:rsid w:val="1E763F27"/>
    <w:rsid w:val="1E985079"/>
    <w:rsid w:val="1E9B6991"/>
    <w:rsid w:val="1EAFC2FF"/>
    <w:rsid w:val="1EB61696"/>
    <w:rsid w:val="1EB62ACE"/>
    <w:rsid w:val="1EBDC89E"/>
    <w:rsid w:val="1ED61312"/>
    <w:rsid w:val="1ED9BE23"/>
    <w:rsid w:val="1EE882D2"/>
    <w:rsid w:val="1EEC3A21"/>
    <w:rsid w:val="1EEF1053"/>
    <w:rsid w:val="1EF92FB7"/>
    <w:rsid w:val="1EFB74A0"/>
    <w:rsid w:val="1F157543"/>
    <w:rsid w:val="1F1A9241"/>
    <w:rsid w:val="1F1D336B"/>
    <w:rsid w:val="1F213027"/>
    <w:rsid w:val="1F3B3BFB"/>
    <w:rsid w:val="1F4D628B"/>
    <w:rsid w:val="1F55D5D5"/>
    <w:rsid w:val="1F5B6C8C"/>
    <w:rsid w:val="1F8B68DC"/>
    <w:rsid w:val="1F968CAA"/>
    <w:rsid w:val="1F9BBD11"/>
    <w:rsid w:val="1F9BEE15"/>
    <w:rsid w:val="1FAC52EC"/>
    <w:rsid w:val="1FBFCAE8"/>
    <w:rsid w:val="1FC55D79"/>
    <w:rsid w:val="1FCE9CB3"/>
    <w:rsid w:val="1FCF7404"/>
    <w:rsid w:val="1FDAC94F"/>
    <w:rsid w:val="1FDDF702"/>
    <w:rsid w:val="1FEA2E2A"/>
    <w:rsid w:val="1FED2B0E"/>
    <w:rsid w:val="1FF493E5"/>
    <w:rsid w:val="1FF4D62B"/>
    <w:rsid w:val="2011E685"/>
    <w:rsid w:val="2013BA3D"/>
    <w:rsid w:val="2022CE30"/>
    <w:rsid w:val="2038FB04"/>
    <w:rsid w:val="20402135"/>
    <w:rsid w:val="2043EEC1"/>
    <w:rsid w:val="20810A71"/>
    <w:rsid w:val="20829240"/>
    <w:rsid w:val="208AD2FF"/>
    <w:rsid w:val="209B5DCC"/>
    <w:rsid w:val="20A4E501"/>
    <w:rsid w:val="20BE5D5A"/>
    <w:rsid w:val="20D16239"/>
    <w:rsid w:val="20E5C2FB"/>
    <w:rsid w:val="20E888BA"/>
    <w:rsid w:val="20F3B819"/>
    <w:rsid w:val="21031FF5"/>
    <w:rsid w:val="21075CD4"/>
    <w:rsid w:val="213BC17F"/>
    <w:rsid w:val="214EEEFD"/>
    <w:rsid w:val="21656CB5"/>
    <w:rsid w:val="216655D6"/>
    <w:rsid w:val="21759EAF"/>
    <w:rsid w:val="2179827D"/>
    <w:rsid w:val="217DF8FA"/>
    <w:rsid w:val="219959C1"/>
    <w:rsid w:val="219E9C96"/>
    <w:rsid w:val="21AD34E6"/>
    <w:rsid w:val="21BAA900"/>
    <w:rsid w:val="21CF9DE0"/>
    <w:rsid w:val="21E304BE"/>
    <w:rsid w:val="21F7769E"/>
    <w:rsid w:val="21F931A4"/>
    <w:rsid w:val="220544B6"/>
    <w:rsid w:val="22076F23"/>
    <w:rsid w:val="220C0BF0"/>
    <w:rsid w:val="221BD1D3"/>
    <w:rsid w:val="221EA452"/>
    <w:rsid w:val="2236E0DD"/>
    <w:rsid w:val="223A49CD"/>
    <w:rsid w:val="2242A140"/>
    <w:rsid w:val="224B7028"/>
    <w:rsid w:val="226A9734"/>
    <w:rsid w:val="228299DE"/>
    <w:rsid w:val="2283FBBE"/>
    <w:rsid w:val="22BBB084"/>
    <w:rsid w:val="22BDA2F7"/>
    <w:rsid w:val="22C51EAE"/>
    <w:rsid w:val="22CE60B2"/>
    <w:rsid w:val="22D4F371"/>
    <w:rsid w:val="22EFC512"/>
    <w:rsid w:val="22F34FA7"/>
    <w:rsid w:val="2315A544"/>
    <w:rsid w:val="23661E99"/>
    <w:rsid w:val="236E51B9"/>
    <w:rsid w:val="23E8A99F"/>
    <w:rsid w:val="23E97184"/>
    <w:rsid w:val="23EA95B6"/>
    <w:rsid w:val="23F54A86"/>
    <w:rsid w:val="23FDF363"/>
    <w:rsid w:val="24195ED2"/>
    <w:rsid w:val="24384781"/>
    <w:rsid w:val="2446CB55"/>
    <w:rsid w:val="2457BAB6"/>
    <w:rsid w:val="2469E5D5"/>
    <w:rsid w:val="248F16F7"/>
    <w:rsid w:val="249F69AF"/>
    <w:rsid w:val="24B484FE"/>
    <w:rsid w:val="24D84A3D"/>
    <w:rsid w:val="24E4FE55"/>
    <w:rsid w:val="24F1FC7E"/>
    <w:rsid w:val="24F4397A"/>
    <w:rsid w:val="25052426"/>
    <w:rsid w:val="251A94CC"/>
    <w:rsid w:val="252C6CBA"/>
    <w:rsid w:val="253338A5"/>
    <w:rsid w:val="253549B7"/>
    <w:rsid w:val="254F41CB"/>
    <w:rsid w:val="255B7421"/>
    <w:rsid w:val="256D8D1E"/>
    <w:rsid w:val="256E1926"/>
    <w:rsid w:val="25751991"/>
    <w:rsid w:val="258C5066"/>
    <w:rsid w:val="25AF303B"/>
    <w:rsid w:val="25B088BD"/>
    <w:rsid w:val="25C54FC7"/>
    <w:rsid w:val="25CF3D25"/>
    <w:rsid w:val="25D0EBBD"/>
    <w:rsid w:val="25EFCBFD"/>
    <w:rsid w:val="2615DEE3"/>
    <w:rsid w:val="263839B3"/>
    <w:rsid w:val="2639A9A0"/>
    <w:rsid w:val="26591E6B"/>
    <w:rsid w:val="26667E36"/>
    <w:rsid w:val="26736A9A"/>
    <w:rsid w:val="267D95B8"/>
    <w:rsid w:val="268C1DFF"/>
    <w:rsid w:val="269FB7BB"/>
    <w:rsid w:val="26A5E5A6"/>
    <w:rsid w:val="26C56FE6"/>
    <w:rsid w:val="26CA4B1C"/>
    <w:rsid w:val="26EF55D1"/>
    <w:rsid w:val="26EF8E62"/>
    <w:rsid w:val="26FBDB5D"/>
    <w:rsid w:val="271E33BD"/>
    <w:rsid w:val="271F405C"/>
    <w:rsid w:val="272B4D89"/>
    <w:rsid w:val="2769960E"/>
    <w:rsid w:val="276D7FC1"/>
    <w:rsid w:val="276F7186"/>
    <w:rsid w:val="2780D9FD"/>
    <w:rsid w:val="27880736"/>
    <w:rsid w:val="27A50542"/>
    <w:rsid w:val="27BD5847"/>
    <w:rsid w:val="27BEA35F"/>
    <w:rsid w:val="27BEAE4C"/>
    <w:rsid w:val="27CF8656"/>
    <w:rsid w:val="27D1EECF"/>
    <w:rsid w:val="27FCA2B8"/>
    <w:rsid w:val="280DA725"/>
    <w:rsid w:val="28158F10"/>
    <w:rsid w:val="2828C953"/>
    <w:rsid w:val="2828EC53"/>
    <w:rsid w:val="283746D5"/>
    <w:rsid w:val="2857A0A3"/>
    <w:rsid w:val="285926EB"/>
    <w:rsid w:val="2867EE9D"/>
    <w:rsid w:val="287F1660"/>
    <w:rsid w:val="287F27E2"/>
    <w:rsid w:val="2887DEE7"/>
    <w:rsid w:val="289D65E9"/>
    <w:rsid w:val="28A91E09"/>
    <w:rsid w:val="28B8AD1C"/>
    <w:rsid w:val="28BBA9FA"/>
    <w:rsid w:val="28BE24E7"/>
    <w:rsid w:val="28D713FB"/>
    <w:rsid w:val="28E9FC2D"/>
    <w:rsid w:val="28EE72D2"/>
    <w:rsid w:val="28F1F5E5"/>
    <w:rsid w:val="28FAA35F"/>
    <w:rsid w:val="29209F5F"/>
    <w:rsid w:val="292D4E0A"/>
    <w:rsid w:val="292D57CB"/>
    <w:rsid w:val="29493E38"/>
    <w:rsid w:val="294B3A18"/>
    <w:rsid w:val="294F28B7"/>
    <w:rsid w:val="295A4433"/>
    <w:rsid w:val="296C405C"/>
    <w:rsid w:val="296E79BE"/>
    <w:rsid w:val="2980C80B"/>
    <w:rsid w:val="29A142BF"/>
    <w:rsid w:val="29A99019"/>
    <w:rsid w:val="29B1EE5E"/>
    <w:rsid w:val="29B52EA9"/>
    <w:rsid w:val="29B7C99D"/>
    <w:rsid w:val="29C3B813"/>
    <w:rsid w:val="29DF3D75"/>
    <w:rsid w:val="29E76DAF"/>
    <w:rsid w:val="2A1BD9DB"/>
    <w:rsid w:val="2A35B79B"/>
    <w:rsid w:val="2A3B833C"/>
    <w:rsid w:val="2A3DE187"/>
    <w:rsid w:val="2A52C935"/>
    <w:rsid w:val="2A5FA906"/>
    <w:rsid w:val="2A748BAF"/>
    <w:rsid w:val="2A9FC420"/>
    <w:rsid w:val="2AA160D9"/>
    <w:rsid w:val="2AA41D39"/>
    <w:rsid w:val="2AB9C83D"/>
    <w:rsid w:val="2AD608B5"/>
    <w:rsid w:val="2AD9F50C"/>
    <w:rsid w:val="2ADD6711"/>
    <w:rsid w:val="2AE44FA9"/>
    <w:rsid w:val="2AFEA7F0"/>
    <w:rsid w:val="2AFFDA12"/>
    <w:rsid w:val="2B03BDB4"/>
    <w:rsid w:val="2B095EF0"/>
    <w:rsid w:val="2B1FF114"/>
    <w:rsid w:val="2B21E3F4"/>
    <w:rsid w:val="2B339645"/>
    <w:rsid w:val="2B6CE679"/>
    <w:rsid w:val="2B772FF9"/>
    <w:rsid w:val="2B9A1715"/>
    <w:rsid w:val="2BB8F4E5"/>
    <w:rsid w:val="2BDAC4A5"/>
    <w:rsid w:val="2BEA5FE5"/>
    <w:rsid w:val="2BFF0B85"/>
    <w:rsid w:val="2C0DC7F6"/>
    <w:rsid w:val="2C0F9E28"/>
    <w:rsid w:val="2C1C7DBA"/>
    <w:rsid w:val="2C1F514A"/>
    <w:rsid w:val="2C250D98"/>
    <w:rsid w:val="2C3E4EE6"/>
    <w:rsid w:val="2C3EF17C"/>
    <w:rsid w:val="2C511236"/>
    <w:rsid w:val="2C6618D3"/>
    <w:rsid w:val="2C6CDE65"/>
    <w:rsid w:val="2C73F649"/>
    <w:rsid w:val="2C7B7FE9"/>
    <w:rsid w:val="2C95D365"/>
    <w:rsid w:val="2C99845A"/>
    <w:rsid w:val="2C9BCF27"/>
    <w:rsid w:val="2CC3B069"/>
    <w:rsid w:val="2CC5508C"/>
    <w:rsid w:val="2CC70BA1"/>
    <w:rsid w:val="2CDD2799"/>
    <w:rsid w:val="2CE0804C"/>
    <w:rsid w:val="2CE8FC62"/>
    <w:rsid w:val="2CFA6172"/>
    <w:rsid w:val="2D1D65B3"/>
    <w:rsid w:val="2D2CA4F1"/>
    <w:rsid w:val="2D31AA6B"/>
    <w:rsid w:val="2D51027F"/>
    <w:rsid w:val="2D5D30B5"/>
    <w:rsid w:val="2D6E7C5C"/>
    <w:rsid w:val="2D8C86E6"/>
    <w:rsid w:val="2DA8FF49"/>
    <w:rsid w:val="2DB99D6C"/>
    <w:rsid w:val="2DBF480E"/>
    <w:rsid w:val="2DCA817F"/>
    <w:rsid w:val="2DCFE6A8"/>
    <w:rsid w:val="2DD4E9D8"/>
    <w:rsid w:val="2DD6D70A"/>
    <w:rsid w:val="2DD9B1F5"/>
    <w:rsid w:val="2DE49FDE"/>
    <w:rsid w:val="2DFA7F77"/>
    <w:rsid w:val="2DFBA74E"/>
    <w:rsid w:val="2DFF42CA"/>
    <w:rsid w:val="2E302F78"/>
    <w:rsid w:val="2E3059D7"/>
    <w:rsid w:val="2E376E83"/>
    <w:rsid w:val="2E387E7D"/>
    <w:rsid w:val="2E38DB6E"/>
    <w:rsid w:val="2E40934B"/>
    <w:rsid w:val="2E4F131C"/>
    <w:rsid w:val="2E637694"/>
    <w:rsid w:val="2E6BA69B"/>
    <w:rsid w:val="2E7E599C"/>
    <w:rsid w:val="2E8D0F2E"/>
    <w:rsid w:val="2E94033D"/>
    <w:rsid w:val="2E97A8BF"/>
    <w:rsid w:val="2E99A728"/>
    <w:rsid w:val="2EA21FD4"/>
    <w:rsid w:val="2EB5EF17"/>
    <w:rsid w:val="2EBEDB78"/>
    <w:rsid w:val="2EC82559"/>
    <w:rsid w:val="2F0899EE"/>
    <w:rsid w:val="2F2AFDE8"/>
    <w:rsid w:val="2F300531"/>
    <w:rsid w:val="2F3A8775"/>
    <w:rsid w:val="2F6FB823"/>
    <w:rsid w:val="2F7A556F"/>
    <w:rsid w:val="2F83B524"/>
    <w:rsid w:val="2FA583BF"/>
    <w:rsid w:val="2FAB1FAB"/>
    <w:rsid w:val="2FC2CFEF"/>
    <w:rsid w:val="2FC8DF9F"/>
    <w:rsid w:val="2FDE58BD"/>
    <w:rsid w:val="2FEAE114"/>
    <w:rsid w:val="2FF62314"/>
    <w:rsid w:val="3000DB1E"/>
    <w:rsid w:val="30105155"/>
    <w:rsid w:val="3012CC09"/>
    <w:rsid w:val="30297744"/>
    <w:rsid w:val="30387A9B"/>
    <w:rsid w:val="303C175E"/>
    <w:rsid w:val="3069B906"/>
    <w:rsid w:val="3076F9B0"/>
    <w:rsid w:val="309EA65A"/>
    <w:rsid w:val="30A67687"/>
    <w:rsid w:val="30B6283E"/>
    <w:rsid w:val="30B65986"/>
    <w:rsid w:val="30BB9D89"/>
    <w:rsid w:val="30C5BF2C"/>
    <w:rsid w:val="30CADD70"/>
    <w:rsid w:val="30D33E4D"/>
    <w:rsid w:val="30D8CE61"/>
    <w:rsid w:val="30E12707"/>
    <w:rsid w:val="30E57C48"/>
    <w:rsid w:val="30EAE3A6"/>
    <w:rsid w:val="3109E12C"/>
    <w:rsid w:val="311230DB"/>
    <w:rsid w:val="31214E0E"/>
    <w:rsid w:val="314501CD"/>
    <w:rsid w:val="31496791"/>
    <w:rsid w:val="31634F41"/>
    <w:rsid w:val="317F9C1F"/>
    <w:rsid w:val="31994334"/>
    <w:rsid w:val="31A61AE0"/>
    <w:rsid w:val="31AA308C"/>
    <w:rsid w:val="31BDBF42"/>
    <w:rsid w:val="31C3501C"/>
    <w:rsid w:val="31C41469"/>
    <w:rsid w:val="31C751EC"/>
    <w:rsid w:val="31D3324A"/>
    <w:rsid w:val="31D81E14"/>
    <w:rsid w:val="31D9A931"/>
    <w:rsid w:val="31DE5221"/>
    <w:rsid w:val="31FB9DCF"/>
    <w:rsid w:val="32084996"/>
    <w:rsid w:val="32110DC5"/>
    <w:rsid w:val="3223E901"/>
    <w:rsid w:val="322DFA6F"/>
    <w:rsid w:val="322F6C84"/>
    <w:rsid w:val="3238C0FF"/>
    <w:rsid w:val="32403B5B"/>
    <w:rsid w:val="3243199E"/>
    <w:rsid w:val="324BCD5E"/>
    <w:rsid w:val="3254EC32"/>
    <w:rsid w:val="32575EFB"/>
    <w:rsid w:val="325BABE8"/>
    <w:rsid w:val="325D33D4"/>
    <w:rsid w:val="325D3980"/>
    <w:rsid w:val="325FF667"/>
    <w:rsid w:val="326491A7"/>
    <w:rsid w:val="328508E8"/>
    <w:rsid w:val="32921C4D"/>
    <w:rsid w:val="329A5E36"/>
    <w:rsid w:val="329A96E9"/>
    <w:rsid w:val="32A1C136"/>
    <w:rsid w:val="32A8F955"/>
    <w:rsid w:val="32BD42BB"/>
    <w:rsid w:val="32CEEF39"/>
    <w:rsid w:val="32D4DDFA"/>
    <w:rsid w:val="32EBF36F"/>
    <w:rsid w:val="32F10A30"/>
    <w:rsid w:val="32F52F0D"/>
    <w:rsid w:val="334DD1F2"/>
    <w:rsid w:val="335A6A41"/>
    <w:rsid w:val="335FD1FD"/>
    <w:rsid w:val="33706399"/>
    <w:rsid w:val="33783D7B"/>
    <w:rsid w:val="338266BF"/>
    <w:rsid w:val="33A52BAB"/>
    <w:rsid w:val="33A8D9ED"/>
    <w:rsid w:val="33BA5E01"/>
    <w:rsid w:val="33BB9A22"/>
    <w:rsid w:val="33D31B6C"/>
    <w:rsid w:val="33D52374"/>
    <w:rsid w:val="33FACE70"/>
    <w:rsid w:val="342B84DE"/>
    <w:rsid w:val="343C6B47"/>
    <w:rsid w:val="3465F1CB"/>
    <w:rsid w:val="3468B089"/>
    <w:rsid w:val="3496B446"/>
    <w:rsid w:val="349EF913"/>
    <w:rsid w:val="34A82DC2"/>
    <w:rsid w:val="34BCE957"/>
    <w:rsid w:val="34C7D0F5"/>
    <w:rsid w:val="34D03B36"/>
    <w:rsid w:val="34D0B464"/>
    <w:rsid w:val="34D9579E"/>
    <w:rsid w:val="34EC57D7"/>
    <w:rsid w:val="34F6B962"/>
    <w:rsid w:val="34FA419E"/>
    <w:rsid w:val="35042CDC"/>
    <w:rsid w:val="350B9FE8"/>
    <w:rsid w:val="3511724A"/>
    <w:rsid w:val="35290875"/>
    <w:rsid w:val="354C7DA2"/>
    <w:rsid w:val="3550255C"/>
    <w:rsid w:val="355828C4"/>
    <w:rsid w:val="35699978"/>
    <w:rsid w:val="3578EB33"/>
    <w:rsid w:val="3578FF0D"/>
    <w:rsid w:val="357B5779"/>
    <w:rsid w:val="357F5A88"/>
    <w:rsid w:val="359484E9"/>
    <w:rsid w:val="35B3A501"/>
    <w:rsid w:val="35B98C3D"/>
    <w:rsid w:val="35D13664"/>
    <w:rsid w:val="35DA67A6"/>
    <w:rsid w:val="35E9B529"/>
    <w:rsid w:val="35F26811"/>
    <w:rsid w:val="35F54B44"/>
    <w:rsid w:val="35FD9943"/>
    <w:rsid w:val="361A8DBD"/>
    <w:rsid w:val="3636C952"/>
    <w:rsid w:val="3646F5A8"/>
    <w:rsid w:val="364A2CFD"/>
    <w:rsid w:val="3675684A"/>
    <w:rsid w:val="3685CB59"/>
    <w:rsid w:val="368C5AFB"/>
    <w:rsid w:val="369313A8"/>
    <w:rsid w:val="369B8C38"/>
    <w:rsid w:val="369C12A2"/>
    <w:rsid w:val="36AF25A6"/>
    <w:rsid w:val="36B0B1F4"/>
    <w:rsid w:val="36C4073D"/>
    <w:rsid w:val="36E947B0"/>
    <w:rsid w:val="36EBAC37"/>
    <w:rsid w:val="36FE3667"/>
    <w:rsid w:val="36FEBE5C"/>
    <w:rsid w:val="37011350"/>
    <w:rsid w:val="372EF9E0"/>
    <w:rsid w:val="37343FBD"/>
    <w:rsid w:val="374DE358"/>
    <w:rsid w:val="3796E5D8"/>
    <w:rsid w:val="37A96DC6"/>
    <w:rsid w:val="37C20EEE"/>
    <w:rsid w:val="37C457C1"/>
    <w:rsid w:val="37D13183"/>
    <w:rsid w:val="37D3C861"/>
    <w:rsid w:val="37D8F3AE"/>
    <w:rsid w:val="37DA243E"/>
    <w:rsid w:val="37E9720D"/>
    <w:rsid w:val="37EEC4C2"/>
    <w:rsid w:val="380B8AD5"/>
    <w:rsid w:val="381D4B0A"/>
    <w:rsid w:val="382F5BA7"/>
    <w:rsid w:val="383C4E2F"/>
    <w:rsid w:val="383E1C35"/>
    <w:rsid w:val="3852CA50"/>
    <w:rsid w:val="3857A033"/>
    <w:rsid w:val="385AB98B"/>
    <w:rsid w:val="38721CF6"/>
    <w:rsid w:val="387DECB6"/>
    <w:rsid w:val="387FC6B2"/>
    <w:rsid w:val="388999CE"/>
    <w:rsid w:val="38990385"/>
    <w:rsid w:val="389FC15C"/>
    <w:rsid w:val="38A179D5"/>
    <w:rsid w:val="38C5FEB3"/>
    <w:rsid w:val="38CB6034"/>
    <w:rsid w:val="38D638D7"/>
    <w:rsid w:val="38DE3A20"/>
    <w:rsid w:val="38ECE301"/>
    <w:rsid w:val="3911D31B"/>
    <w:rsid w:val="39192839"/>
    <w:rsid w:val="391C30FD"/>
    <w:rsid w:val="392BE30D"/>
    <w:rsid w:val="394B6079"/>
    <w:rsid w:val="39524F85"/>
    <w:rsid w:val="3956FB66"/>
    <w:rsid w:val="3969E6EE"/>
    <w:rsid w:val="3970046D"/>
    <w:rsid w:val="3970F906"/>
    <w:rsid w:val="3977E04F"/>
    <w:rsid w:val="397F6678"/>
    <w:rsid w:val="3997A2C6"/>
    <w:rsid w:val="39AE9824"/>
    <w:rsid w:val="39B2400E"/>
    <w:rsid w:val="39B8E128"/>
    <w:rsid w:val="39CC2FC7"/>
    <w:rsid w:val="39FDE0BD"/>
    <w:rsid w:val="3A1D50F5"/>
    <w:rsid w:val="3A415AA6"/>
    <w:rsid w:val="3A4619DE"/>
    <w:rsid w:val="3A5419CB"/>
    <w:rsid w:val="3A541C90"/>
    <w:rsid w:val="3A57C225"/>
    <w:rsid w:val="3A5E62CF"/>
    <w:rsid w:val="3A66623A"/>
    <w:rsid w:val="3A667388"/>
    <w:rsid w:val="3A6E6084"/>
    <w:rsid w:val="3A7BFB4C"/>
    <w:rsid w:val="3A842219"/>
    <w:rsid w:val="3A8968C5"/>
    <w:rsid w:val="3A9B7F9E"/>
    <w:rsid w:val="3A9C9E79"/>
    <w:rsid w:val="3AD3DA7B"/>
    <w:rsid w:val="3ADCE086"/>
    <w:rsid w:val="3AE3D7F6"/>
    <w:rsid w:val="3AE667C2"/>
    <w:rsid w:val="3AEBD72C"/>
    <w:rsid w:val="3AF1EFAC"/>
    <w:rsid w:val="3B09C913"/>
    <w:rsid w:val="3B13F308"/>
    <w:rsid w:val="3B1AC25E"/>
    <w:rsid w:val="3B1B100D"/>
    <w:rsid w:val="3B35CCDF"/>
    <w:rsid w:val="3B42966A"/>
    <w:rsid w:val="3B4CA2DF"/>
    <w:rsid w:val="3B666A9F"/>
    <w:rsid w:val="3B6EB3AD"/>
    <w:rsid w:val="3B8395B9"/>
    <w:rsid w:val="3BC98D1E"/>
    <w:rsid w:val="3BCB1E28"/>
    <w:rsid w:val="3BD07C9E"/>
    <w:rsid w:val="3BDF1512"/>
    <w:rsid w:val="3C0776DB"/>
    <w:rsid w:val="3C09D629"/>
    <w:rsid w:val="3C0C9439"/>
    <w:rsid w:val="3C31AC05"/>
    <w:rsid w:val="3C39EAAE"/>
    <w:rsid w:val="3C3DEF6A"/>
    <w:rsid w:val="3C5BD294"/>
    <w:rsid w:val="3C5DD8E3"/>
    <w:rsid w:val="3C72886B"/>
    <w:rsid w:val="3C86A40D"/>
    <w:rsid w:val="3CA0D627"/>
    <w:rsid w:val="3CD55963"/>
    <w:rsid w:val="3D045A5C"/>
    <w:rsid w:val="3D28D489"/>
    <w:rsid w:val="3D2C1EE7"/>
    <w:rsid w:val="3D9081C3"/>
    <w:rsid w:val="3D9F23AF"/>
    <w:rsid w:val="3DB802DC"/>
    <w:rsid w:val="3DBA85C1"/>
    <w:rsid w:val="3DD01822"/>
    <w:rsid w:val="3DDC4B64"/>
    <w:rsid w:val="3DEB7C29"/>
    <w:rsid w:val="3DFE1EA4"/>
    <w:rsid w:val="3E037C94"/>
    <w:rsid w:val="3E09355A"/>
    <w:rsid w:val="3E234B26"/>
    <w:rsid w:val="3E2AF964"/>
    <w:rsid w:val="3E3F6B5B"/>
    <w:rsid w:val="3E4EDDFA"/>
    <w:rsid w:val="3E52976E"/>
    <w:rsid w:val="3E5F17AA"/>
    <w:rsid w:val="3E766FCD"/>
    <w:rsid w:val="3E826A6E"/>
    <w:rsid w:val="3E917EE3"/>
    <w:rsid w:val="3E9D3ABE"/>
    <w:rsid w:val="3EC1B9A2"/>
    <w:rsid w:val="3ED44585"/>
    <w:rsid w:val="3EDF9A5D"/>
    <w:rsid w:val="3EE9DE63"/>
    <w:rsid w:val="3EEAFD19"/>
    <w:rsid w:val="3EEB6B02"/>
    <w:rsid w:val="3EEDF9F2"/>
    <w:rsid w:val="3EF9D4BD"/>
    <w:rsid w:val="3F028F9C"/>
    <w:rsid w:val="3F04BC59"/>
    <w:rsid w:val="3F128634"/>
    <w:rsid w:val="3F18F9F0"/>
    <w:rsid w:val="3F1FDB2C"/>
    <w:rsid w:val="3F542CD6"/>
    <w:rsid w:val="3F54D4A6"/>
    <w:rsid w:val="3F54E247"/>
    <w:rsid w:val="3F608A39"/>
    <w:rsid w:val="3F7C5A33"/>
    <w:rsid w:val="3F7FA618"/>
    <w:rsid w:val="3F91F474"/>
    <w:rsid w:val="3FAC33AD"/>
    <w:rsid w:val="3FB00DC6"/>
    <w:rsid w:val="3FB2415F"/>
    <w:rsid w:val="3FBDFBE2"/>
    <w:rsid w:val="3FD7E858"/>
    <w:rsid w:val="3FF47A14"/>
    <w:rsid w:val="40036D6E"/>
    <w:rsid w:val="40227B58"/>
    <w:rsid w:val="402F0B92"/>
    <w:rsid w:val="40318165"/>
    <w:rsid w:val="4033C3B3"/>
    <w:rsid w:val="4051FE31"/>
    <w:rsid w:val="4065B705"/>
    <w:rsid w:val="406D7D58"/>
    <w:rsid w:val="4070206C"/>
    <w:rsid w:val="40702BEB"/>
    <w:rsid w:val="40980F05"/>
    <w:rsid w:val="409C3BFC"/>
    <w:rsid w:val="40BAD40E"/>
    <w:rsid w:val="40C9B645"/>
    <w:rsid w:val="40E01F0E"/>
    <w:rsid w:val="40FA5645"/>
    <w:rsid w:val="40FB3FD7"/>
    <w:rsid w:val="410D2A32"/>
    <w:rsid w:val="411112B3"/>
    <w:rsid w:val="4112AD64"/>
    <w:rsid w:val="4114BB9E"/>
    <w:rsid w:val="41263650"/>
    <w:rsid w:val="412ACF11"/>
    <w:rsid w:val="412B6826"/>
    <w:rsid w:val="412EF58B"/>
    <w:rsid w:val="4133BAB7"/>
    <w:rsid w:val="41470545"/>
    <w:rsid w:val="415BBAF7"/>
    <w:rsid w:val="4173F567"/>
    <w:rsid w:val="4176EB63"/>
    <w:rsid w:val="41B7DA89"/>
    <w:rsid w:val="41DE1327"/>
    <w:rsid w:val="41F24CF3"/>
    <w:rsid w:val="41F88B84"/>
    <w:rsid w:val="42151B31"/>
    <w:rsid w:val="422167CC"/>
    <w:rsid w:val="4226F69C"/>
    <w:rsid w:val="4232EE59"/>
    <w:rsid w:val="423571AA"/>
    <w:rsid w:val="42380681"/>
    <w:rsid w:val="4240579C"/>
    <w:rsid w:val="42534C45"/>
    <w:rsid w:val="42560901"/>
    <w:rsid w:val="425E2FD6"/>
    <w:rsid w:val="42606E9F"/>
    <w:rsid w:val="4269456F"/>
    <w:rsid w:val="426D133A"/>
    <w:rsid w:val="426D7274"/>
    <w:rsid w:val="427E5985"/>
    <w:rsid w:val="428AF6E9"/>
    <w:rsid w:val="42983682"/>
    <w:rsid w:val="42A7BFD8"/>
    <w:rsid w:val="42A981DD"/>
    <w:rsid w:val="42B61654"/>
    <w:rsid w:val="42CF45D1"/>
    <w:rsid w:val="42D23280"/>
    <w:rsid w:val="42EF86CC"/>
    <w:rsid w:val="42FC3199"/>
    <w:rsid w:val="4308C9B4"/>
    <w:rsid w:val="430C72EC"/>
    <w:rsid w:val="430DC3F9"/>
    <w:rsid w:val="430F8395"/>
    <w:rsid w:val="4314B9A3"/>
    <w:rsid w:val="431D49A4"/>
    <w:rsid w:val="4324519C"/>
    <w:rsid w:val="43332E85"/>
    <w:rsid w:val="4334B709"/>
    <w:rsid w:val="434088AF"/>
    <w:rsid w:val="434B7416"/>
    <w:rsid w:val="43585A70"/>
    <w:rsid w:val="4382A60A"/>
    <w:rsid w:val="43CB124F"/>
    <w:rsid w:val="43CCC9DF"/>
    <w:rsid w:val="43CD5296"/>
    <w:rsid w:val="43D27F3D"/>
    <w:rsid w:val="43DBCB0D"/>
    <w:rsid w:val="43E5B8A0"/>
    <w:rsid w:val="43EEF535"/>
    <w:rsid w:val="43F88D31"/>
    <w:rsid w:val="4412D8D0"/>
    <w:rsid w:val="442563EC"/>
    <w:rsid w:val="443F6CF4"/>
    <w:rsid w:val="4449CCDB"/>
    <w:rsid w:val="445DFEC6"/>
    <w:rsid w:val="4467E27D"/>
    <w:rsid w:val="447077F8"/>
    <w:rsid w:val="44819440"/>
    <w:rsid w:val="44897C2F"/>
    <w:rsid w:val="449BFF44"/>
    <w:rsid w:val="44AD9B2C"/>
    <w:rsid w:val="44BA1306"/>
    <w:rsid w:val="44BA69B1"/>
    <w:rsid w:val="44C985B5"/>
    <w:rsid w:val="44D3E296"/>
    <w:rsid w:val="44D53463"/>
    <w:rsid w:val="44D6BE90"/>
    <w:rsid w:val="44ECC277"/>
    <w:rsid w:val="44FEF8B9"/>
    <w:rsid w:val="45188117"/>
    <w:rsid w:val="45268FE7"/>
    <w:rsid w:val="453A08B1"/>
    <w:rsid w:val="45472DAE"/>
    <w:rsid w:val="454C8C63"/>
    <w:rsid w:val="454C92D0"/>
    <w:rsid w:val="457126A4"/>
    <w:rsid w:val="4575BB70"/>
    <w:rsid w:val="4578E391"/>
    <w:rsid w:val="45854C28"/>
    <w:rsid w:val="458CB8D1"/>
    <w:rsid w:val="45A7F70E"/>
    <w:rsid w:val="45AD8629"/>
    <w:rsid w:val="45BBCBB9"/>
    <w:rsid w:val="45D67DA6"/>
    <w:rsid w:val="45D8DA0C"/>
    <w:rsid w:val="45DF852B"/>
    <w:rsid w:val="45E3D1C6"/>
    <w:rsid w:val="45E50A8E"/>
    <w:rsid w:val="45FE49F6"/>
    <w:rsid w:val="460579C3"/>
    <w:rsid w:val="4614AEF5"/>
    <w:rsid w:val="4619CD1B"/>
    <w:rsid w:val="461B77C7"/>
    <w:rsid w:val="461D0BEC"/>
    <w:rsid w:val="4621A752"/>
    <w:rsid w:val="462937BB"/>
    <w:rsid w:val="462EE51D"/>
    <w:rsid w:val="46329B6A"/>
    <w:rsid w:val="464A061E"/>
    <w:rsid w:val="464BA9DB"/>
    <w:rsid w:val="46516C89"/>
    <w:rsid w:val="4654C665"/>
    <w:rsid w:val="465798E2"/>
    <w:rsid w:val="46586E4F"/>
    <w:rsid w:val="4673D95E"/>
    <w:rsid w:val="46980181"/>
    <w:rsid w:val="46A57AB6"/>
    <w:rsid w:val="46B4F51D"/>
    <w:rsid w:val="46D91F7B"/>
    <w:rsid w:val="46E3AA69"/>
    <w:rsid w:val="46EF0995"/>
    <w:rsid w:val="46F85F44"/>
    <w:rsid w:val="46FBE09A"/>
    <w:rsid w:val="4700790C"/>
    <w:rsid w:val="472DDA65"/>
    <w:rsid w:val="472EF8CC"/>
    <w:rsid w:val="4731E4B2"/>
    <w:rsid w:val="4737EBB0"/>
    <w:rsid w:val="473C2D69"/>
    <w:rsid w:val="473F03E2"/>
    <w:rsid w:val="474D8B82"/>
    <w:rsid w:val="4757B2F3"/>
    <w:rsid w:val="475FB85F"/>
    <w:rsid w:val="4761D012"/>
    <w:rsid w:val="47622ABD"/>
    <w:rsid w:val="476BF33F"/>
    <w:rsid w:val="4778DF07"/>
    <w:rsid w:val="47A3EDB4"/>
    <w:rsid w:val="47B8BA00"/>
    <w:rsid w:val="47CE24A8"/>
    <w:rsid w:val="47D307DE"/>
    <w:rsid w:val="47DC61D3"/>
    <w:rsid w:val="47E2CC96"/>
    <w:rsid w:val="47E9CD25"/>
    <w:rsid w:val="480A694C"/>
    <w:rsid w:val="481A411B"/>
    <w:rsid w:val="482375BE"/>
    <w:rsid w:val="48410D5F"/>
    <w:rsid w:val="4842E29A"/>
    <w:rsid w:val="4852AA47"/>
    <w:rsid w:val="48588843"/>
    <w:rsid w:val="4875C987"/>
    <w:rsid w:val="4875F88C"/>
    <w:rsid w:val="48778D1A"/>
    <w:rsid w:val="487D7992"/>
    <w:rsid w:val="488FFEDA"/>
    <w:rsid w:val="489F8025"/>
    <w:rsid w:val="48AFA79A"/>
    <w:rsid w:val="48D66C34"/>
    <w:rsid w:val="49040089"/>
    <w:rsid w:val="4904BCD2"/>
    <w:rsid w:val="491CBA9B"/>
    <w:rsid w:val="49385CAF"/>
    <w:rsid w:val="4953F87E"/>
    <w:rsid w:val="4960CE51"/>
    <w:rsid w:val="4968634F"/>
    <w:rsid w:val="496FBB91"/>
    <w:rsid w:val="4976089A"/>
    <w:rsid w:val="4980FC63"/>
    <w:rsid w:val="498A09C2"/>
    <w:rsid w:val="499495E7"/>
    <w:rsid w:val="499D4F0A"/>
    <w:rsid w:val="49BEC6C3"/>
    <w:rsid w:val="49C3CC7B"/>
    <w:rsid w:val="49C4BA1E"/>
    <w:rsid w:val="49DF5E74"/>
    <w:rsid w:val="49F5E2EC"/>
    <w:rsid w:val="49F73EA1"/>
    <w:rsid w:val="49FB779B"/>
    <w:rsid w:val="4A0C725C"/>
    <w:rsid w:val="4A1178A6"/>
    <w:rsid w:val="4A1651E8"/>
    <w:rsid w:val="4A1DCF49"/>
    <w:rsid w:val="4A27370C"/>
    <w:rsid w:val="4A29D6F5"/>
    <w:rsid w:val="4A29EEED"/>
    <w:rsid w:val="4A5AA61D"/>
    <w:rsid w:val="4A66A483"/>
    <w:rsid w:val="4A7D78CD"/>
    <w:rsid w:val="4A92F08F"/>
    <w:rsid w:val="4AC3B57D"/>
    <w:rsid w:val="4AF74058"/>
    <w:rsid w:val="4AFFC32C"/>
    <w:rsid w:val="4B2B5289"/>
    <w:rsid w:val="4B357FFE"/>
    <w:rsid w:val="4B42603B"/>
    <w:rsid w:val="4B626E47"/>
    <w:rsid w:val="4B70AD15"/>
    <w:rsid w:val="4B8AB259"/>
    <w:rsid w:val="4B8E0DDA"/>
    <w:rsid w:val="4B8E61BF"/>
    <w:rsid w:val="4BB085A3"/>
    <w:rsid w:val="4BB4DDF3"/>
    <w:rsid w:val="4BF52785"/>
    <w:rsid w:val="4BF7638C"/>
    <w:rsid w:val="4C03CF06"/>
    <w:rsid w:val="4C21A8E5"/>
    <w:rsid w:val="4C2B9CCD"/>
    <w:rsid w:val="4C5177AE"/>
    <w:rsid w:val="4C5A8978"/>
    <w:rsid w:val="4C611FE9"/>
    <w:rsid w:val="4C6ECA27"/>
    <w:rsid w:val="4C7DE630"/>
    <w:rsid w:val="4C7F8C24"/>
    <w:rsid w:val="4C8F2CEA"/>
    <w:rsid w:val="4C97090D"/>
    <w:rsid w:val="4C9891A8"/>
    <w:rsid w:val="4C9E6A66"/>
    <w:rsid w:val="4CA4012C"/>
    <w:rsid w:val="4CB4E9D5"/>
    <w:rsid w:val="4CB77AD9"/>
    <w:rsid w:val="4CBAC04E"/>
    <w:rsid w:val="4CBC26AC"/>
    <w:rsid w:val="4CE5CA5F"/>
    <w:rsid w:val="4D100A19"/>
    <w:rsid w:val="4D15951E"/>
    <w:rsid w:val="4D19C181"/>
    <w:rsid w:val="4D299D95"/>
    <w:rsid w:val="4D2D9ECD"/>
    <w:rsid w:val="4D46D1C3"/>
    <w:rsid w:val="4D4B45F6"/>
    <w:rsid w:val="4D4DB2DC"/>
    <w:rsid w:val="4D4DF469"/>
    <w:rsid w:val="4D5A4FEF"/>
    <w:rsid w:val="4D6DE582"/>
    <w:rsid w:val="4D76B306"/>
    <w:rsid w:val="4D779B2C"/>
    <w:rsid w:val="4D8C955D"/>
    <w:rsid w:val="4D9302F8"/>
    <w:rsid w:val="4D933720"/>
    <w:rsid w:val="4D9761FD"/>
    <w:rsid w:val="4D9A1E67"/>
    <w:rsid w:val="4DA22421"/>
    <w:rsid w:val="4DA2BEFF"/>
    <w:rsid w:val="4DAC618F"/>
    <w:rsid w:val="4DB8EF07"/>
    <w:rsid w:val="4DB93ECA"/>
    <w:rsid w:val="4DCA311A"/>
    <w:rsid w:val="4DCE0578"/>
    <w:rsid w:val="4DD543D3"/>
    <w:rsid w:val="4DF80735"/>
    <w:rsid w:val="4E0487E5"/>
    <w:rsid w:val="4E14158C"/>
    <w:rsid w:val="4E14C47D"/>
    <w:rsid w:val="4E18CEB6"/>
    <w:rsid w:val="4E43689F"/>
    <w:rsid w:val="4E44FE86"/>
    <w:rsid w:val="4E48E30B"/>
    <w:rsid w:val="4E4E6D23"/>
    <w:rsid w:val="4E6FC468"/>
    <w:rsid w:val="4E8E7203"/>
    <w:rsid w:val="4E942E1D"/>
    <w:rsid w:val="4EC5165D"/>
    <w:rsid w:val="4EF9CDDF"/>
    <w:rsid w:val="4EFADD30"/>
    <w:rsid w:val="4F0891EA"/>
    <w:rsid w:val="4F0AE5E0"/>
    <w:rsid w:val="4F14DFFA"/>
    <w:rsid w:val="4F24CF34"/>
    <w:rsid w:val="4F2A386B"/>
    <w:rsid w:val="4F3EA3C8"/>
    <w:rsid w:val="4F466EF8"/>
    <w:rsid w:val="4F52FD46"/>
    <w:rsid w:val="4F6DF644"/>
    <w:rsid w:val="4F7CA9B2"/>
    <w:rsid w:val="4F99794C"/>
    <w:rsid w:val="4F9D92D1"/>
    <w:rsid w:val="4FA5E962"/>
    <w:rsid w:val="4FD52B7C"/>
    <w:rsid w:val="4FEF1B06"/>
    <w:rsid w:val="4FF06B52"/>
    <w:rsid w:val="4FF477DE"/>
    <w:rsid w:val="50058913"/>
    <w:rsid w:val="500F53CD"/>
    <w:rsid w:val="50314C5B"/>
    <w:rsid w:val="5032C80D"/>
    <w:rsid w:val="5049916E"/>
    <w:rsid w:val="5064D046"/>
    <w:rsid w:val="50829BE7"/>
    <w:rsid w:val="50978183"/>
    <w:rsid w:val="50AC1B4F"/>
    <w:rsid w:val="50CED541"/>
    <w:rsid w:val="50D38647"/>
    <w:rsid w:val="50D67FB4"/>
    <w:rsid w:val="50E8E40A"/>
    <w:rsid w:val="5108AD47"/>
    <w:rsid w:val="5128377E"/>
    <w:rsid w:val="5157BCC7"/>
    <w:rsid w:val="51742DD8"/>
    <w:rsid w:val="51757E4F"/>
    <w:rsid w:val="518B64CA"/>
    <w:rsid w:val="51A71BF9"/>
    <w:rsid w:val="51A8A96B"/>
    <w:rsid w:val="51B18C4C"/>
    <w:rsid w:val="51B4710B"/>
    <w:rsid w:val="51C35BC9"/>
    <w:rsid w:val="51E00692"/>
    <w:rsid w:val="51E09D18"/>
    <w:rsid w:val="51ED1ADD"/>
    <w:rsid w:val="51EEE69A"/>
    <w:rsid w:val="52200DA6"/>
    <w:rsid w:val="52418424"/>
    <w:rsid w:val="5249DC79"/>
    <w:rsid w:val="524CDA4B"/>
    <w:rsid w:val="525A33FF"/>
    <w:rsid w:val="52744167"/>
    <w:rsid w:val="528600C9"/>
    <w:rsid w:val="528C69FC"/>
    <w:rsid w:val="529E3FA5"/>
    <w:rsid w:val="529EB0E1"/>
    <w:rsid w:val="52A45C79"/>
    <w:rsid w:val="52AE5704"/>
    <w:rsid w:val="52B744AE"/>
    <w:rsid w:val="52C142BF"/>
    <w:rsid w:val="52CE58D9"/>
    <w:rsid w:val="52FDFF51"/>
    <w:rsid w:val="531023B9"/>
    <w:rsid w:val="53115B98"/>
    <w:rsid w:val="5316AA93"/>
    <w:rsid w:val="531D5ABE"/>
    <w:rsid w:val="5340F0FD"/>
    <w:rsid w:val="5344B069"/>
    <w:rsid w:val="534A02EE"/>
    <w:rsid w:val="535AC84B"/>
    <w:rsid w:val="535DB14A"/>
    <w:rsid w:val="535F4743"/>
    <w:rsid w:val="5367B5D6"/>
    <w:rsid w:val="537110B1"/>
    <w:rsid w:val="537980F6"/>
    <w:rsid w:val="537B07CB"/>
    <w:rsid w:val="53A0CCD8"/>
    <w:rsid w:val="53AECA25"/>
    <w:rsid w:val="53C3F53F"/>
    <w:rsid w:val="53C44107"/>
    <w:rsid w:val="53E1F935"/>
    <w:rsid w:val="53F0DAAF"/>
    <w:rsid w:val="540CA55D"/>
    <w:rsid w:val="5413DB1C"/>
    <w:rsid w:val="54144B1D"/>
    <w:rsid w:val="54217CD3"/>
    <w:rsid w:val="54366AED"/>
    <w:rsid w:val="543D6839"/>
    <w:rsid w:val="54487E61"/>
    <w:rsid w:val="547C9A31"/>
    <w:rsid w:val="54953C8A"/>
    <w:rsid w:val="54A486B0"/>
    <w:rsid w:val="54B06CE1"/>
    <w:rsid w:val="54B9845C"/>
    <w:rsid w:val="54E102A8"/>
    <w:rsid w:val="54E88E59"/>
    <w:rsid w:val="54FA2C47"/>
    <w:rsid w:val="5507EBDA"/>
    <w:rsid w:val="551F7B88"/>
    <w:rsid w:val="5539EC81"/>
    <w:rsid w:val="5548E5B7"/>
    <w:rsid w:val="554F5FC1"/>
    <w:rsid w:val="55500AFC"/>
    <w:rsid w:val="5550DCA7"/>
    <w:rsid w:val="5554098F"/>
    <w:rsid w:val="5557B1C0"/>
    <w:rsid w:val="555DD825"/>
    <w:rsid w:val="555F8EEB"/>
    <w:rsid w:val="556738C4"/>
    <w:rsid w:val="557072B6"/>
    <w:rsid w:val="5594330E"/>
    <w:rsid w:val="55AE2F46"/>
    <w:rsid w:val="55BCB838"/>
    <w:rsid w:val="55C4453B"/>
    <w:rsid w:val="55D2286E"/>
    <w:rsid w:val="55DC65B3"/>
    <w:rsid w:val="55E50D92"/>
    <w:rsid w:val="55FA1516"/>
    <w:rsid w:val="56034884"/>
    <w:rsid w:val="56131391"/>
    <w:rsid w:val="562753A4"/>
    <w:rsid w:val="5630E26C"/>
    <w:rsid w:val="5634C56C"/>
    <w:rsid w:val="564183AE"/>
    <w:rsid w:val="5652B0FA"/>
    <w:rsid w:val="56532FB5"/>
    <w:rsid w:val="566225A9"/>
    <w:rsid w:val="5676E239"/>
    <w:rsid w:val="567B1AF4"/>
    <w:rsid w:val="5682E7B9"/>
    <w:rsid w:val="56947252"/>
    <w:rsid w:val="56968C4B"/>
    <w:rsid w:val="56A87335"/>
    <w:rsid w:val="56AE20D1"/>
    <w:rsid w:val="56AF9B15"/>
    <w:rsid w:val="56B73DFE"/>
    <w:rsid w:val="56B84D35"/>
    <w:rsid w:val="56C7B2C2"/>
    <w:rsid w:val="56C887F4"/>
    <w:rsid w:val="570E5C83"/>
    <w:rsid w:val="570FF29C"/>
    <w:rsid w:val="572FAE5A"/>
    <w:rsid w:val="5731FDF0"/>
    <w:rsid w:val="575927EE"/>
    <w:rsid w:val="5765AB37"/>
    <w:rsid w:val="57862F79"/>
    <w:rsid w:val="579A0D3E"/>
    <w:rsid w:val="57AC71A5"/>
    <w:rsid w:val="57B2712F"/>
    <w:rsid w:val="57BFF6F7"/>
    <w:rsid w:val="57DC019C"/>
    <w:rsid w:val="57F1A9E9"/>
    <w:rsid w:val="5803F5EB"/>
    <w:rsid w:val="5822419A"/>
    <w:rsid w:val="583ECEBD"/>
    <w:rsid w:val="583F3A72"/>
    <w:rsid w:val="5841D630"/>
    <w:rsid w:val="584E7922"/>
    <w:rsid w:val="584F81C9"/>
    <w:rsid w:val="58506FF2"/>
    <w:rsid w:val="58772B38"/>
    <w:rsid w:val="5882228E"/>
    <w:rsid w:val="58B3173C"/>
    <w:rsid w:val="58B6AEFE"/>
    <w:rsid w:val="58C01F13"/>
    <w:rsid w:val="58C0CCE5"/>
    <w:rsid w:val="58D2C15B"/>
    <w:rsid w:val="58F45668"/>
    <w:rsid w:val="58FBA9BA"/>
    <w:rsid w:val="5921C534"/>
    <w:rsid w:val="59412A46"/>
    <w:rsid w:val="5969473C"/>
    <w:rsid w:val="5975343A"/>
    <w:rsid w:val="59847DEC"/>
    <w:rsid w:val="59849976"/>
    <w:rsid w:val="598E52C8"/>
    <w:rsid w:val="599A9886"/>
    <w:rsid w:val="599D7853"/>
    <w:rsid w:val="59CB049A"/>
    <w:rsid w:val="59CBCF61"/>
    <w:rsid w:val="59E14C2B"/>
    <w:rsid w:val="5A0921DC"/>
    <w:rsid w:val="5A191F8E"/>
    <w:rsid w:val="5A3FB070"/>
    <w:rsid w:val="5A421E20"/>
    <w:rsid w:val="5A512DFF"/>
    <w:rsid w:val="5A71D839"/>
    <w:rsid w:val="5A8DE0A1"/>
    <w:rsid w:val="5A8F71CA"/>
    <w:rsid w:val="5AB4411F"/>
    <w:rsid w:val="5ACDB854"/>
    <w:rsid w:val="5ACDEC52"/>
    <w:rsid w:val="5AE7241B"/>
    <w:rsid w:val="5B054F98"/>
    <w:rsid w:val="5B08C9B7"/>
    <w:rsid w:val="5B0F0F26"/>
    <w:rsid w:val="5B2C7F6F"/>
    <w:rsid w:val="5B47DAFE"/>
    <w:rsid w:val="5B4DF171"/>
    <w:rsid w:val="5B5A1ED1"/>
    <w:rsid w:val="5B61AC46"/>
    <w:rsid w:val="5B63995D"/>
    <w:rsid w:val="5B89B7E9"/>
    <w:rsid w:val="5BAC61D5"/>
    <w:rsid w:val="5BC19FA3"/>
    <w:rsid w:val="5BC4D7A9"/>
    <w:rsid w:val="5BC97A33"/>
    <w:rsid w:val="5BCABF9A"/>
    <w:rsid w:val="5BCE624B"/>
    <w:rsid w:val="5BD836EC"/>
    <w:rsid w:val="5BF91D2E"/>
    <w:rsid w:val="5BFEA01D"/>
    <w:rsid w:val="5C1019DE"/>
    <w:rsid w:val="5C125AC2"/>
    <w:rsid w:val="5C1A5609"/>
    <w:rsid w:val="5C36DB5A"/>
    <w:rsid w:val="5C50429D"/>
    <w:rsid w:val="5C51B6F1"/>
    <w:rsid w:val="5C57E547"/>
    <w:rsid w:val="5C5EFB3C"/>
    <w:rsid w:val="5C9018BB"/>
    <w:rsid w:val="5C9FD06B"/>
    <w:rsid w:val="5CA8520D"/>
    <w:rsid w:val="5CB0CFC0"/>
    <w:rsid w:val="5CB9D610"/>
    <w:rsid w:val="5CD77ABE"/>
    <w:rsid w:val="5CDF4305"/>
    <w:rsid w:val="5D0A1843"/>
    <w:rsid w:val="5D11818A"/>
    <w:rsid w:val="5D368DBF"/>
    <w:rsid w:val="5D3B8C13"/>
    <w:rsid w:val="5D5B1B87"/>
    <w:rsid w:val="5D5B29E2"/>
    <w:rsid w:val="5D6119E2"/>
    <w:rsid w:val="5D6C2268"/>
    <w:rsid w:val="5D7B6311"/>
    <w:rsid w:val="5D7B98AD"/>
    <w:rsid w:val="5D8BF7E6"/>
    <w:rsid w:val="5D917B52"/>
    <w:rsid w:val="5D9AAC0A"/>
    <w:rsid w:val="5DA36577"/>
    <w:rsid w:val="5DC1501C"/>
    <w:rsid w:val="5DC464B5"/>
    <w:rsid w:val="5DC51E2B"/>
    <w:rsid w:val="5DDA8998"/>
    <w:rsid w:val="5DDADC95"/>
    <w:rsid w:val="5DDB9D5E"/>
    <w:rsid w:val="5DE10522"/>
    <w:rsid w:val="5E417CB7"/>
    <w:rsid w:val="5E42372D"/>
    <w:rsid w:val="5E905C69"/>
    <w:rsid w:val="5EA0E4CF"/>
    <w:rsid w:val="5EA4824B"/>
    <w:rsid w:val="5EA8BFEC"/>
    <w:rsid w:val="5EA8EF3E"/>
    <w:rsid w:val="5EE1DAC2"/>
    <w:rsid w:val="5EE5E9C7"/>
    <w:rsid w:val="5EECD82C"/>
    <w:rsid w:val="5EFBDACD"/>
    <w:rsid w:val="5F04651A"/>
    <w:rsid w:val="5F0DAF8A"/>
    <w:rsid w:val="5F1385DA"/>
    <w:rsid w:val="5F240AF4"/>
    <w:rsid w:val="5F400A04"/>
    <w:rsid w:val="5F8460F1"/>
    <w:rsid w:val="5FC1A631"/>
    <w:rsid w:val="5FD1BF50"/>
    <w:rsid w:val="5FE5D4A6"/>
    <w:rsid w:val="5FFEA68A"/>
    <w:rsid w:val="601B26D6"/>
    <w:rsid w:val="60323E08"/>
    <w:rsid w:val="60396A3D"/>
    <w:rsid w:val="6039F7D6"/>
    <w:rsid w:val="60407F05"/>
    <w:rsid w:val="606D2A7E"/>
    <w:rsid w:val="606ECB71"/>
    <w:rsid w:val="6073C6CE"/>
    <w:rsid w:val="607610FF"/>
    <w:rsid w:val="608709FB"/>
    <w:rsid w:val="6091F754"/>
    <w:rsid w:val="60A9A732"/>
    <w:rsid w:val="60B9FD00"/>
    <w:rsid w:val="60D71E7C"/>
    <w:rsid w:val="60DF651B"/>
    <w:rsid w:val="60E2F51C"/>
    <w:rsid w:val="60E4C7DC"/>
    <w:rsid w:val="60E7BC2F"/>
    <w:rsid w:val="60F6ABF1"/>
    <w:rsid w:val="611394F3"/>
    <w:rsid w:val="611D74F7"/>
    <w:rsid w:val="612080DC"/>
    <w:rsid w:val="614EC176"/>
    <w:rsid w:val="6174D404"/>
    <w:rsid w:val="61A97F5E"/>
    <w:rsid w:val="61A9A2CB"/>
    <w:rsid w:val="61BA80C3"/>
    <w:rsid w:val="61DEF587"/>
    <w:rsid w:val="61E7F74D"/>
    <w:rsid w:val="61E9DAEF"/>
    <w:rsid w:val="61EE942F"/>
    <w:rsid w:val="61F3E15C"/>
    <w:rsid w:val="61F91FC0"/>
    <w:rsid w:val="61F989C5"/>
    <w:rsid w:val="62025D1F"/>
    <w:rsid w:val="6203FA5E"/>
    <w:rsid w:val="62041B17"/>
    <w:rsid w:val="62076A7C"/>
    <w:rsid w:val="620C27C7"/>
    <w:rsid w:val="620D1D0D"/>
    <w:rsid w:val="621B2965"/>
    <w:rsid w:val="6227B951"/>
    <w:rsid w:val="623DAFA1"/>
    <w:rsid w:val="624D6930"/>
    <w:rsid w:val="625E4C0E"/>
    <w:rsid w:val="627277C5"/>
    <w:rsid w:val="627A740C"/>
    <w:rsid w:val="6294EB8F"/>
    <w:rsid w:val="62A2A17C"/>
    <w:rsid w:val="62B10F89"/>
    <w:rsid w:val="62D53B32"/>
    <w:rsid w:val="62E3A5D7"/>
    <w:rsid w:val="62E649BE"/>
    <w:rsid w:val="6314B184"/>
    <w:rsid w:val="63170A2C"/>
    <w:rsid w:val="6317F334"/>
    <w:rsid w:val="631C6DB9"/>
    <w:rsid w:val="631DAB0B"/>
    <w:rsid w:val="63204F21"/>
    <w:rsid w:val="6345EAFA"/>
    <w:rsid w:val="636E9A6D"/>
    <w:rsid w:val="63712EFE"/>
    <w:rsid w:val="63A970C9"/>
    <w:rsid w:val="63AAA3A2"/>
    <w:rsid w:val="63AD7502"/>
    <w:rsid w:val="63AF644A"/>
    <w:rsid w:val="63B0D321"/>
    <w:rsid w:val="63B32F5B"/>
    <w:rsid w:val="63C066F2"/>
    <w:rsid w:val="63C1E8E9"/>
    <w:rsid w:val="63C4A008"/>
    <w:rsid w:val="63DD1144"/>
    <w:rsid w:val="63ED221F"/>
    <w:rsid w:val="63EEEF16"/>
    <w:rsid w:val="63F905E5"/>
    <w:rsid w:val="6409A43D"/>
    <w:rsid w:val="6409D95D"/>
    <w:rsid w:val="640ACDE7"/>
    <w:rsid w:val="640BA5BC"/>
    <w:rsid w:val="6418A2FE"/>
    <w:rsid w:val="6421A95A"/>
    <w:rsid w:val="64245211"/>
    <w:rsid w:val="6427A0BA"/>
    <w:rsid w:val="642EB6C4"/>
    <w:rsid w:val="6430ACC8"/>
    <w:rsid w:val="6440C204"/>
    <w:rsid w:val="644A6282"/>
    <w:rsid w:val="64729E96"/>
    <w:rsid w:val="64752A8F"/>
    <w:rsid w:val="649B677F"/>
    <w:rsid w:val="649DE5FB"/>
    <w:rsid w:val="64AE7882"/>
    <w:rsid w:val="64C481B0"/>
    <w:rsid w:val="64C962C6"/>
    <w:rsid w:val="64D94C9F"/>
    <w:rsid w:val="64DB66E9"/>
    <w:rsid w:val="64FF4162"/>
    <w:rsid w:val="6500D0C0"/>
    <w:rsid w:val="65127220"/>
    <w:rsid w:val="651F9F42"/>
    <w:rsid w:val="6536590E"/>
    <w:rsid w:val="6536FBDD"/>
    <w:rsid w:val="65437CED"/>
    <w:rsid w:val="6549E82F"/>
    <w:rsid w:val="655CB62B"/>
    <w:rsid w:val="657480E6"/>
    <w:rsid w:val="65885387"/>
    <w:rsid w:val="658FBC33"/>
    <w:rsid w:val="659DE8C9"/>
    <w:rsid w:val="65B5CFEB"/>
    <w:rsid w:val="65CD0BE5"/>
    <w:rsid w:val="65FC6553"/>
    <w:rsid w:val="6603B57D"/>
    <w:rsid w:val="661C4F3C"/>
    <w:rsid w:val="6620B7A3"/>
    <w:rsid w:val="6628518E"/>
    <w:rsid w:val="6642A697"/>
    <w:rsid w:val="6649AF55"/>
    <w:rsid w:val="6654AE33"/>
    <w:rsid w:val="6655E5A3"/>
    <w:rsid w:val="66569D0B"/>
    <w:rsid w:val="665D5CE5"/>
    <w:rsid w:val="66717236"/>
    <w:rsid w:val="667F8703"/>
    <w:rsid w:val="668463AC"/>
    <w:rsid w:val="66A3F3CE"/>
    <w:rsid w:val="66CEC503"/>
    <w:rsid w:val="66D802AA"/>
    <w:rsid w:val="66E072B1"/>
    <w:rsid w:val="66F6683A"/>
    <w:rsid w:val="66FDDF62"/>
    <w:rsid w:val="6702FAA1"/>
    <w:rsid w:val="670C78D7"/>
    <w:rsid w:val="67451599"/>
    <w:rsid w:val="6753818C"/>
    <w:rsid w:val="6758EE1D"/>
    <w:rsid w:val="6773FE8D"/>
    <w:rsid w:val="678D8B61"/>
    <w:rsid w:val="6794CA75"/>
    <w:rsid w:val="6798993D"/>
    <w:rsid w:val="67A3F9FE"/>
    <w:rsid w:val="67C36265"/>
    <w:rsid w:val="67C585E3"/>
    <w:rsid w:val="67CC424E"/>
    <w:rsid w:val="67E51C68"/>
    <w:rsid w:val="67EC520C"/>
    <w:rsid w:val="67F4E9DA"/>
    <w:rsid w:val="68033666"/>
    <w:rsid w:val="6823F0AC"/>
    <w:rsid w:val="6829B811"/>
    <w:rsid w:val="683AA009"/>
    <w:rsid w:val="683C14B3"/>
    <w:rsid w:val="68460693"/>
    <w:rsid w:val="684738B1"/>
    <w:rsid w:val="684DAF2A"/>
    <w:rsid w:val="684F8133"/>
    <w:rsid w:val="684FF6B1"/>
    <w:rsid w:val="6855A5EC"/>
    <w:rsid w:val="68681B9D"/>
    <w:rsid w:val="686A72AF"/>
    <w:rsid w:val="687025DA"/>
    <w:rsid w:val="6870F380"/>
    <w:rsid w:val="6879D8DC"/>
    <w:rsid w:val="68A0AE0C"/>
    <w:rsid w:val="68A658BF"/>
    <w:rsid w:val="68B3A9D5"/>
    <w:rsid w:val="68D045E8"/>
    <w:rsid w:val="68D62755"/>
    <w:rsid w:val="68DCE627"/>
    <w:rsid w:val="68EFA370"/>
    <w:rsid w:val="6907987C"/>
    <w:rsid w:val="690D6627"/>
    <w:rsid w:val="691205CD"/>
    <w:rsid w:val="691F3B52"/>
    <w:rsid w:val="694BC587"/>
    <w:rsid w:val="694EEBC8"/>
    <w:rsid w:val="695DC631"/>
    <w:rsid w:val="69604B32"/>
    <w:rsid w:val="6965DA71"/>
    <w:rsid w:val="69671E8B"/>
    <w:rsid w:val="6974C548"/>
    <w:rsid w:val="697A3585"/>
    <w:rsid w:val="69932FD2"/>
    <w:rsid w:val="69943596"/>
    <w:rsid w:val="69982571"/>
    <w:rsid w:val="69AAC77B"/>
    <w:rsid w:val="69C33F80"/>
    <w:rsid w:val="69C80C5C"/>
    <w:rsid w:val="69CF2037"/>
    <w:rsid w:val="69D60EBD"/>
    <w:rsid w:val="69E5B3A7"/>
    <w:rsid w:val="69EA36A7"/>
    <w:rsid w:val="69FD2B0C"/>
    <w:rsid w:val="69FF1D1A"/>
    <w:rsid w:val="69FFD889"/>
    <w:rsid w:val="6A0138DC"/>
    <w:rsid w:val="6A0A2332"/>
    <w:rsid w:val="6A0F6F14"/>
    <w:rsid w:val="6A0FB8AD"/>
    <w:rsid w:val="6A1127FC"/>
    <w:rsid w:val="6A122BD4"/>
    <w:rsid w:val="6A2E9D4D"/>
    <w:rsid w:val="6A2F14B6"/>
    <w:rsid w:val="6A39FE78"/>
    <w:rsid w:val="6A3A97CD"/>
    <w:rsid w:val="6A5D3572"/>
    <w:rsid w:val="6A5EE3B0"/>
    <w:rsid w:val="6A69F43D"/>
    <w:rsid w:val="6A6D5614"/>
    <w:rsid w:val="6A78E7CF"/>
    <w:rsid w:val="6A9A1BB0"/>
    <w:rsid w:val="6A9B0E1B"/>
    <w:rsid w:val="6AA6A3E6"/>
    <w:rsid w:val="6AB6C18B"/>
    <w:rsid w:val="6ACF214B"/>
    <w:rsid w:val="6AF24466"/>
    <w:rsid w:val="6AF74336"/>
    <w:rsid w:val="6AF83197"/>
    <w:rsid w:val="6AFBDFF8"/>
    <w:rsid w:val="6B035C78"/>
    <w:rsid w:val="6B05DEE5"/>
    <w:rsid w:val="6B11D16F"/>
    <w:rsid w:val="6B1EB63E"/>
    <w:rsid w:val="6B27808F"/>
    <w:rsid w:val="6B2EEDA8"/>
    <w:rsid w:val="6B332FD0"/>
    <w:rsid w:val="6B4149CD"/>
    <w:rsid w:val="6B45BBC7"/>
    <w:rsid w:val="6B6514A3"/>
    <w:rsid w:val="6B686F35"/>
    <w:rsid w:val="6B7927A4"/>
    <w:rsid w:val="6B793C7A"/>
    <w:rsid w:val="6B7D695F"/>
    <w:rsid w:val="6B81FFF9"/>
    <w:rsid w:val="6B905CE5"/>
    <w:rsid w:val="6BAB3CAB"/>
    <w:rsid w:val="6BB1EF47"/>
    <w:rsid w:val="6BB5BB58"/>
    <w:rsid w:val="6BB6A160"/>
    <w:rsid w:val="6BFD4E06"/>
    <w:rsid w:val="6C0D67EC"/>
    <w:rsid w:val="6C130094"/>
    <w:rsid w:val="6C216ADB"/>
    <w:rsid w:val="6C2C042B"/>
    <w:rsid w:val="6C3E0132"/>
    <w:rsid w:val="6C4C32CF"/>
    <w:rsid w:val="6C4C8A8F"/>
    <w:rsid w:val="6C7C7CE1"/>
    <w:rsid w:val="6CAFADC6"/>
    <w:rsid w:val="6CB4BDFD"/>
    <w:rsid w:val="6CB699BB"/>
    <w:rsid w:val="6CCA4C87"/>
    <w:rsid w:val="6D0D6311"/>
    <w:rsid w:val="6D2BB058"/>
    <w:rsid w:val="6D44963C"/>
    <w:rsid w:val="6D4A9CAC"/>
    <w:rsid w:val="6D5E19F1"/>
    <w:rsid w:val="6D625CFA"/>
    <w:rsid w:val="6D78FDBD"/>
    <w:rsid w:val="6D81D412"/>
    <w:rsid w:val="6D873F11"/>
    <w:rsid w:val="6D8A98F3"/>
    <w:rsid w:val="6D8FDD2F"/>
    <w:rsid w:val="6D9113FB"/>
    <w:rsid w:val="6D9E9ACA"/>
    <w:rsid w:val="6D9EFAF4"/>
    <w:rsid w:val="6DA52657"/>
    <w:rsid w:val="6DA8CC23"/>
    <w:rsid w:val="6DAB07F2"/>
    <w:rsid w:val="6DABC805"/>
    <w:rsid w:val="6DB33A8B"/>
    <w:rsid w:val="6DEB9087"/>
    <w:rsid w:val="6DED592D"/>
    <w:rsid w:val="6DEF48FC"/>
    <w:rsid w:val="6DF3ED50"/>
    <w:rsid w:val="6E00B190"/>
    <w:rsid w:val="6E08E51D"/>
    <w:rsid w:val="6E108BC5"/>
    <w:rsid w:val="6E14E825"/>
    <w:rsid w:val="6E1B1AB2"/>
    <w:rsid w:val="6E21C2A3"/>
    <w:rsid w:val="6E286696"/>
    <w:rsid w:val="6E2F4ABA"/>
    <w:rsid w:val="6E385468"/>
    <w:rsid w:val="6E4038BF"/>
    <w:rsid w:val="6E433514"/>
    <w:rsid w:val="6E50F33E"/>
    <w:rsid w:val="6E5DB313"/>
    <w:rsid w:val="6E69D7A8"/>
    <w:rsid w:val="6E6A45F8"/>
    <w:rsid w:val="6E6B720B"/>
    <w:rsid w:val="6E6D0A03"/>
    <w:rsid w:val="6E6F8665"/>
    <w:rsid w:val="6E7019CD"/>
    <w:rsid w:val="6E704D26"/>
    <w:rsid w:val="6E71523B"/>
    <w:rsid w:val="6E83E420"/>
    <w:rsid w:val="6E8FF467"/>
    <w:rsid w:val="6E944CBD"/>
    <w:rsid w:val="6E96AB09"/>
    <w:rsid w:val="6E9B9F35"/>
    <w:rsid w:val="6E9F246F"/>
    <w:rsid w:val="6E9FE7AC"/>
    <w:rsid w:val="6EBEB63E"/>
    <w:rsid w:val="6EC7F6E6"/>
    <w:rsid w:val="6ECD1A00"/>
    <w:rsid w:val="6EDEDB03"/>
    <w:rsid w:val="6EE4B813"/>
    <w:rsid w:val="6EFF37BE"/>
    <w:rsid w:val="6F2365F3"/>
    <w:rsid w:val="6F24489F"/>
    <w:rsid w:val="6F430147"/>
    <w:rsid w:val="6F4959DD"/>
    <w:rsid w:val="6F52A6FA"/>
    <w:rsid w:val="6F54B37C"/>
    <w:rsid w:val="6F64FB08"/>
    <w:rsid w:val="6F6793BC"/>
    <w:rsid w:val="6F7A6C72"/>
    <w:rsid w:val="6F804D2C"/>
    <w:rsid w:val="6F8A9AA4"/>
    <w:rsid w:val="6F8F5CD1"/>
    <w:rsid w:val="6F9A7A33"/>
    <w:rsid w:val="6FA7C1E0"/>
    <w:rsid w:val="6FB3A406"/>
    <w:rsid w:val="6FD23A64"/>
    <w:rsid w:val="70047DB0"/>
    <w:rsid w:val="70058C98"/>
    <w:rsid w:val="7008E5CF"/>
    <w:rsid w:val="700C8F0C"/>
    <w:rsid w:val="701100E5"/>
    <w:rsid w:val="7011C460"/>
    <w:rsid w:val="70127351"/>
    <w:rsid w:val="7013BB08"/>
    <w:rsid w:val="7016713A"/>
    <w:rsid w:val="702C4581"/>
    <w:rsid w:val="702D2204"/>
    <w:rsid w:val="70561ABE"/>
    <w:rsid w:val="705793CF"/>
    <w:rsid w:val="706E6BF1"/>
    <w:rsid w:val="7072395D"/>
    <w:rsid w:val="70834102"/>
    <w:rsid w:val="708DE622"/>
    <w:rsid w:val="7098CD37"/>
    <w:rsid w:val="70A3312A"/>
    <w:rsid w:val="70A55CD4"/>
    <w:rsid w:val="70C5BCB1"/>
    <w:rsid w:val="70C60772"/>
    <w:rsid w:val="70CEDBE6"/>
    <w:rsid w:val="70CF1790"/>
    <w:rsid w:val="70DEBA15"/>
    <w:rsid w:val="70E5B71F"/>
    <w:rsid w:val="710A0C64"/>
    <w:rsid w:val="710B976F"/>
    <w:rsid w:val="71271B12"/>
    <w:rsid w:val="71295AA2"/>
    <w:rsid w:val="714305EF"/>
    <w:rsid w:val="71557DF1"/>
    <w:rsid w:val="71561F6F"/>
    <w:rsid w:val="715CCCE3"/>
    <w:rsid w:val="715F1283"/>
    <w:rsid w:val="718D5169"/>
    <w:rsid w:val="71AF5035"/>
    <w:rsid w:val="71B4C7FF"/>
    <w:rsid w:val="71CA023C"/>
    <w:rsid w:val="71E3D8E5"/>
    <w:rsid w:val="71EB7DDE"/>
    <w:rsid w:val="71FCB42A"/>
    <w:rsid w:val="71FEE994"/>
    <w:rsid w:val="72114B54"/>
    <w:rsid w:val="722AF88F"/>
    <w:rsid w:val="722B6B64"/>
    <w:rsid w:val="723966D4"/>
    <w:rsid w:val="723C7B1A"/>
    <w:rsid w:val="7244B5CF"/>
    <w:rsid w:val="72572911"/>
    <w:rsid w:val="726B817A"/>
    <w:rsid w:val="726D5ECA"/>
    <w:rsid w:val="72723A34"/>
    <w:rsid w:val="72944153"/>
    <w:rsid w:val="729AD79F"/>
    <w:rsid w:val="729D9822"/>
    <w:rsid w:val="729DC11F"/>
    <w:rsid w:val="72A92380"/>
    <w:rsid w:val="72C89624"/>
    <w:rsid w:val="72D81189"/>
    <w:rsid w:val="72DC8473"/>
    <w:rsid w:val="72ED41BC"/>
    <w:rsid w:val="72FD5270"/>
    <w:rsid w:val="7309E5CC"/>
    <w:rsid w:val="730A7AC2"/>
    <w:rsid w:val="73162E03"/>
    <w:rsid w:val="731D45F4"/>
    <w:rsid w:val="732D7880"/>
    <w:rsid w:val="732D88CE"/>
    <w:rsid w:val="732E1F89"/>
    <w:rsid w:val="734597AE"/>
    <w:rsid w:val="735A0A10"/>
    <w:rsid w:val="73640C86"/>
    <w:rsid w:val="7374838E"/>
    <w:rsid w:val="737BD777"/>
    <w:rsid w:val="7380F8D4"/>
    <w:rsid w:val="7385903F"/>
    <w:rsid w:val="7386C47A"/>
    <w:rsid w:val="73955B6B"/>
    <w:rsid w:val="739FE691"/>
    <w:rsid w:val="73BD0C6B"/>
    <w:rsid w:val="73C8E9A9"/>
    <w:rsid w:val="73C9EA4B"/>
    <w:rsid w:val="73D7C100"/>
    <w:rsid w:val="73F69DEE"/>
    <w:rsid w:val="740BA591"/>
    <w:rsid w:val="740F3979"/>
    <w:rsid w:val="742241E7"/>
    <w:rsid w:val="742BB991"/>
    <w:rsid w:val="743D2AD3"/>
    <w:rsid w:val="744BE3EE"/>
    <w:rsid w:val="746BC0EC"/>
    <w:rsid w:val="74745201"/>
    <w:rsid w:val="74792C30"/>
    <w:rsid w:val="74921064"/>
    <w:rsid w:val="74D7497B"/>
    <w:rsid w:val="74ECFAA3"/>
    <w:rsid w:val="74F0F08E"/>
    <w:rsid w:val="74F29348"/>
    <w:rsid w:val="74F664F2"/>
    <w:rsid w:val="750F20F3"/>
    <w:rsid w:val="755111F2"/>
    <w:rsid w:val="756843D4"/>
    <w:rsid w:val="756E3180"/>
    <w:rsid w:val="75A89103"/>
    <w:rsid w:val="75AC7495"/>
    <w:rsid w:val="75C353DB"/>
    <w:rsid w:val="75CA3524"/>
    <w:rsid w:val="75F97E95"/>
    <w:rsid w:val="7604EF14"/>
    <w:rsid w:val="761C1B94"/>
    <w:rsid w:val="7621E7DA"/>
    <w:rsid w:val="7630603D"/>
    <w:rsid w:val="7636DB1F"/>
    <w:rsid w:val="76397050"/>
    <w:rsid w:val="763D617A"/>
    <w:rsid w:val="767F14D8"/>
    <w:rsid w:val="7684F114"/>
    <w:rsid w:val="768C6527"/>
    <w:rsid w:val="769757F3"/>
    <w:rsid w:val="76A0C3DA"/>
    <w:rsid w:val="76AC31D7"/>
    <w:rsid w:val="76B6771A"/>
    <w:rsid w:val="76C4154C"/>
    <w:rsid w:val="76CDD587"/>
    <w:rsid w:val="76E17F9D"/>
    <w:rsid w:val="76E4F8C9"/>
    <w:rsid w:val="76F1473F"/>
    <w:rsid w:val="76F1BB3E"/>
    <w:rsid w:val="77012F2D"/>
    <w:rsid w:val="7702F513"/>
    <w:rsid w:val="771EB443"/>
    <w:rsid w:val="77422BEA"/>
    <w:rsid w:val="779CF782"/>
    <w:rsid w:val="77B38C66"/>
    <w:rsid w:val="77B5C06D"/>
    <w:rsid w:val="77C05599"/>
    <w:rsid w:val="77CB7168"/>
    <w:rsid w:val="77EBABF1"/>
    <w:rsid w:val="77F566B8"/>
    <w:rsid w:val="780E67F0"/>
    <w:rsid w:val="7816200C"/>
    <w:rsid w:val="781FCFAD"/>
    <w:rsid w:val="7832413F"/>
    <w:rsid w:val="7839A3CE"/>
    <w:rsid w:val="78418307"/>
    <w:rsid w:val="78419382"/>
    <w:rsid w:val="784678CB"/>
    <w:rsid w:val="784CB50A"/>
    <w:rsid w:val="785FD7CE"/>
    <w:rsid w:val="78AF4C47"/>
    <w:rsid w:val="78B9CE85"/>
    <w:rsid w:val="78C0D243"/>
    <w:rsid w:val="78ED89AA"/>
    <w:rsid w:val="78F21624"/>
    <w:rsid w:val="78F75AF8"/>
    <w:rsid w:val="78FA3825"/>
    <w:rsid w:val="790A0602"/>
    <w:rsid w:val="7915A195"/>
    <w:rsid w:val="791FA313"/>
    <w:rsid w:val="79253D8D"/>
    <w:rsid w:val="79271590"/>
    <w:rsid w:val="792B786D"/>
    <w:rsid w:val="792DC08C"/>
    <w:rsid w:val="79641539"/>
    <w:rsid w:val="79880C7F"/>
    <w:rsid w:val="79885EEF"/>
    <w:rsid w:val="79909C2F"/>
    <w:rsid w:val="79A71093"/>
    <w:rsid w:val="79BF3BEB"/>
    <w:rsid w:val="79C92371"/>
    <w:rsid w:val="79D9F3D2"/>
    <w:rsid w:val="79EB7253"/>
    <w:rsid w:val="7A106410"/>
    <w:rsid w:val="7A3E2AAA"/>
    <w:rsid w:val="7A4C67DC"/>
    <w:rsid w:val="7A5E4E76"/>
    <w:rsid w:val="7A6BA58B"/>
    <w:rsid w:val="7A902ABE"/>
    <w:rsid w:val="7A9412CF"/>
    <w:rsid w:val="7AA0E24A"/>
    <w:rsid w:val="7AB88748"/>
    <w:rsid w:val="7AF23D3E"/>
    <w:rsid w:val="7AF811BE"/>
    <w:rsid w:val="7B0A679D"/>
    <w:rsid w:val="7B0D665F"/>
    <w:rsid w:val="7B240861"/>
    <w:rsid w:val="7B4FCD56"/>
    <w:rsid w:val="7B655047"/>
    <w:rsid w:val="7B9931F7"/>
    <w:rsid w:val="7B9F8748"/>
    <w:rsid w:val="7BA6B527"/>
    <w:rsid w:val="7BB7C61E"/>
    <w:rsid w:val="7BBE546A"/>
    <w:rsid w:val="7BBEE29B"/>
    <w:rsid w:val="7BBFD475"/>
    <w:rsid w:val="7BD7461E"/>
    <w:rsid w:val="7BEDD8C1"/>
    <w:rsid w:val="7BF27E22"/>
    <w:rsid w:val="7C2DB936"/>
    <w:rsid w:val="7C2F1B32"/>
    <w:rsid w:val="7C4B98E2"/>
    <w:rsid w:val="7C506B7B"/>
    <w:rsid w:val="7C76F905"/>
    <w:rsid w:val="7C7AAED4"/>
    <w:rsid w:val="7C8D5416"/>
    <w:rsid w:val="7CC56EAB"/>
    <w:rsid w:val="7CD41C73"/>
    <w:rsid w:val="7CE9BABF"/>
    <w:rsid w:val="7CF1794F"/>
    <w:rsid w:val="7CFABB47"/>
    <w:rsid w:val="7D1E79E8"/>
    <w:rsid w:val="7D271FAD"/>
    <w:rsid w:val="7D3A7D43"/>
    <w:rsid w:val="7D5266F6"/>
    <w:rsid w:val="7D73C970"/>
    <w:rsid w:val="7D73F54C"/>
    <w:rsid w:val="7D745AE4"/>
    <w:rsid w:val="7D7DFC13"/>
    <w:rsid w:val="7D8E2B4C"/>
    <w:rsid w:val="7D9630B1"/>
    <w:rsid w:val="7DA42476"/>
    <w:rsid w:val="7DA43F22"/>
    <w:rsid w:val="7DBB01D9"/>
    <w:rsid w:val="7DBB2AE6"/>
    <w:rsid w:val="7DC46835"/>
    <w:rsid w:val="7DFCA20C"/>
    <w:rsid w:val="7E068CCF"/>
    <w:rsid w:val="7E081D33"/>
    <w:rsid w:val="7E11AE04"/>
    <w:rsid w:val="7E28B658"/>
    <w:rsid w:val="7E37E4BA"/>
    <w:rsid w:val="7E39C717"/>
    <w:rsid w:val="7E47CBF5"/>
    <w:rsid w:val="7E49FC0F"/>
    <w:rsid w:val="7E4A8B22"/>
    <w:rsid w:val="7E506DA3"/>
    <w:rsid w:val="7E583708"/>
    <w:rsid w:val="7E5BFD6E"/>
    <w:rsid w:val="7E9A2909"/>
    <w:rsid w:val="7EAE6E55"/>
    <w:rsid w:val="7EC2B1B8"/>
    <w:rsid w:val="7EC31C08"/>
    <w:rsid w:val="7EC38DE5"/>
    <w:rsid w:val="7EC49676"/>
    <w:rsid w:val="7EC73AFD"/>
    <w:rsid w:val="7EEE06AF"/>
    <w:rsid w:val="7EF5744F"/>
    <w:rsid w:val="7EFB6CDC"/>
    <w:rsid w:val="7EFCA3B2"/>
    <w:rsid w:val="7F085712"/>
    <w:rsid w:val="7F15915A"/>
    <w:rsid w:val="7F5248D1"/>
    <w:rsid w:val="7F56CFE9"/>
    <w:rsid w:val="7F6A73E9"/>
    <w:rsid w:val="7F72DBF3"/>
    <w:rsid w:val="7FA23DE4"/>
    <w:rsid w:val="7FBADDB1"/>
    <w:rsid w:val="7FC4D454"/>
    <w:rsid w:val="7FDD55EB"/>
    <w:rsid w:val="7FE1EBF0"/>
    <w:rsid w:val="7FFB0DDF"/>
    <w:rsid w:val="7FFDE5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AF58"/>
  <w15:docId w15:val="{8D419209-8948-41C2-9F6D-A9484DE1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E9"/>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2"/>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2"/>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Styl moj,Akapit z listą11,ES Paragraph,PBAC normal points,Bullet List,Figure_name"/>
    <w:basedOn w:val="Normal"/>
    <w:link w:val="ListParagraphChar"/>
    <w:uiPriority w:val="34"/>
    <w:qFormat/>
    <w:rsid w:val="004908B7"/>
    <w:pPr>
      <w:numPr>
        <w:ilvl w:val="4"/>
        <w:numId w:val="10"/>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PBAC table,Legemiddelverket 3,HTAtableplain"/>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uiPriority w:val="35"/>
    <w:qFormat/>
    <w:rsid w:val="00BD2A33"/>
    <w:pPr>
      <w:keepNext/>
      <w:tabs>
        <w:tab w:val="left" w:pos="1418"/>
      </w:tabs>
      <w:spacing w:before="240" w:after="0"/>
      <w:ind w:left="1418" w:hanging="1418"/>
      <w:contextualSpacing/>
      <w:jc w:val="both"/>
    </w:pPr>
    <w:rPr>
      <w:rFonts w:ascii="Arial Narrow" w:hAnsi="Arial Narrow"/>
      <w:b/>
      <w:iCs/>
      <w:color w:val="000000" w:themeColor="text1"/>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35"/>
    <w:qFormat/>
    <w:rsid w:val="00BD2A33"/>
    <w:rPr>
      <w:rFonts w:ascii="Arial Narrow" w:hAnsi="Arial Narrow"/>
      <w:b/>
      <w:iCs/>
      <w:color w:val="000000" w:themeColor="text1"/>
      <w:sz w:val="20"/>
      <w:szCs w:val="18"/>
    </w:rPr>
  </w:style>
  <w:style w:type="paragraph" w:customStyle="1" w:styleId="TableFooter">
    <w:name w:val="Table Footer"/>
    <w:basedOn w:val="Normal"/>
    <w:link w:val="TableFooterChar"/>
    <w:qFormat/>
    <w:rsid w:val="00B178E4"/>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B178E4"/>
    <w:rPr>
      <w:rFonts w:ascii="Arial Narrow" w:eastAsia="Times New Roman" w:hAnsi="Arial Narrow" w:cs="Arial"/>
      <w:snapToGrid w:val="0"/>
      <w:sz w:val="18"/>
      <w:szCs w:val="20"/>
    </w:rPr>
  </w:style>
  <w:style w:type="paragraph" w:styleId="Header">
    <w:name w:val="header"/>
    <w:aliases w:val="Page Header,Header title,he=header,cntr/bld,AG Header"/>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AG Header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883362"/>
    <w:pPr>
      <w:widowControl w:val="0"/>
      <w:tabs>
        <w:tab w:val="right" w:leader="dot" w:pos="9016"/>
      </w:tabs>
      <w:spacing w:after="0"/>
      <w:ind w:left="284"/>
      <w:jc w:val="left"/>
    </w:pPr>
    <w:rPr>
      <w:rFonts w:ascii="Calibri" w:eastAsia="Times New Roman" w:hAnsi="Calibri" w:cs="Calibri"/>
      <w:i/>
      <w:snapToGrid w:val="0"/>
      <w:szCs w:val="24"/>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semiHidden/>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Styl moj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1"/>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0"/>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odoni MT Condensed" w:hAnsi="Bodoni MT Condensed"/>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odoni MT Condensed" w:hAnsi="Bodoni MT Condensed"/>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odoni MT Condensed" w:hAnsi="Bodoni MT Condensed"/>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7"/>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10"/>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8"/>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rsid w:val="001E1827"/>
    <w:pPr>
      <w:numPr>
        <w:ilvl w:val="5"/>
        <w:numId w:val="10"/>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rsid w:val="001E1827"/>
    <w:pPr>
      <w:numPr>
        <w:ilvl w:val="6"/>
        <w:numId w:val="10"/>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3"/>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5"/>
      </w:numPr>
    </w:pPr>
  </w:style>
  <w:style w:type="paragraph" w:customStyle="1" w:styleId="MainBodyBulletPoint">
    <w:name w:val="MainBody Bullet Point"/>
    <w:basedOn w:val="InstructionBulletpoint"/>
    <w:link w:val="MainBodyBulletPointChar"/>
    <w:uiPriority w:val="1"/>
    <w:qFormat/>
    <w:rsid w:val="002532B4"/>
    <w:pPr>
      <w:numPr>
        <w:numId w:val="6"/>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9"/>
      </w:numPr>
    </w:pPr>
  </w:style>
  <w:style w:type="numbering" w:customStyle="1" w:styleId="Style2">
    <w:name w:val="Style2"/>
    <w:uiPriority w:val="99"/>
    <w:rsid w:val="002A391F"/>
    <w:pPr>
      <w:numPr>
        <w:numId w:val="4"/>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semiHidden/>
    <w:rsid w:val="003D1FB3"/>
    <w:rPr>
      <w:i/>
      <w:iCs/>
    </w:rPr>
  </w:style>
  <w:style w:type="numbering" w:customStyle="1" w:styleId="Style3">
    <w:name w:val="Style3"/>
    <w:uiPriority w:val="99"/>
    <w:rsid w:val="0076446C"/>
    <w:pPr>
      <w:numPr>
        <w:numId w:val="11"/>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basedOn w:val="Normal"/>
    <w:link w:val="CommentTextChar"/>
    <w:uiPriority w:val="99"/>
    <w:unhideWhenUsed/>
    <w:qFormat/>
    <w:rsid w:val="001952BB"/>
    <w:rPr>
      <w:sz w:val="20"/>
      <w:szCs w:val="20"/>
    </w:rPr>
  </w:style>
  <w:style w:type="character" w:customStyle="1" w:styleId="CommentTextChar">
    <w:name w:val="Comment Text Char"/>
    <w:basedOn w:val="DefaultParagraphFont"/>
    <w:link w:val="CommentText"/>
    <w:uiPriority w:val="99"/>
    <w:qFormat/>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rsid w:val="00FD07C6"/>
    <w:pPr>
      <w:numPr>
        <w:numId w:val="12"/>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4"/>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5"/>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unhideWhenUsed/>
    <w:rsid w:val="009E2636"/>
    <w:pPr>
      <w:spacing w:after="120"/>
    </w:pPr>
  </w:style>
  <w:style w:type="character" w:customStyle="1" w:styleId="BodyTextChar">
    <w:name w:val="Body Text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character" w:styleId="UnresolvedMention">
    <w:name w:val="Unresolved Mention"/>
    <w:basedOn w:val="DefaultParagraphFont"/>
    <w:uiPriority w:val="99"/>
    <w:unhideWhenUsed/>
    <w:rsid w:val="007C5313"/>
    <w:rPr>
      <w:color w:val="605E5C"/>
      <w:shd w:val="clear" w:color="auto" w:fill="E1DFDD"/>
    </w:rPr>
  </w:style>
  <w:style w:type="paragraph" w:customStyle="1" w:styleId="ExecSumBodyText">
    <w:name w:val="Exec Sum Body Text"/>
    <w:basedOn w:val="Normal"/>
    <w:link w:val="ExecSumBodyTextChar"/>
    <w:uiPriority w:val="99"/>
    <w:rsid w:val="000E0CF4"/>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uiPriority w:val="99"/>
    <w:rsid w:val="000E0CF4"/>
    <w:rPr>
      <w:rFonts w:eastAsia="Times New Roman" w:cs="Arial"/>
      <w:snapToGrid w:val="0"/>
      <w:sz w:val="24"/>
      <w:szCs w:val="24"/>
      <w:lang w:eastAsia="en-AU"/>
    </w:rPr>
  </w:style>
  <w:style w:type="table" w:customStyle="1" w:styleId="RTIAMCPTable1">
    <w:name w:val="RTI AMCP Table1"/>
    <w:basedOn w:val="TableNormal"/>
    <w:next w:val="TableGrid"/>
    <w:uiPriority w:val="39"/>
    <w:rsid w:val="000022D1"/>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ui-provider">
    <w:name w:val="ui-provider"/>
    <w:basedOn w:val="DefaultParagraphFont"/>
    <w:rsid w:val="00D368AA"/>
  </w:style>
  <w:style w:type="table" w:customStyle="1" w:styleId="RTIAMCPTable2">
    <w:name w:val="RTI AMCP Table2"/>
    <w:basedOn w:val="TableNormal"/>
    <w:next w:val="TableGrid"/>
    <w:uiPriority w:val="39"/>
    <w:rsid w:val="00DC178D"/>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RTIAMCPTable3">
    <w:name w:val="RTI AMCP Table3"/>
    <w:basedOn w:val="TableNormal"/>
    <w:next w:val="TableGrid"/>
    <w:uiPriority w:val="39"/>
    <w:rsid w:val="000404D6"/>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newstyle1">
    <w:name w:val="new style1"/>
    <w:basedOn w:val="TableNormal"/>
    <w:next w:val="TableGrid"/>
    <w:uiPriority w:val="39"/>
    <w:rsid w:val="00A41EB1"/>
    <w:pPr>
      <w:spacing w:after="0" w:line="240" w:lineRule="auto"/>
      <w:jc w:val="both"/>
    </w:pPr>
    <w:rPr>
      <w:rFonts w:ascii="Arial" w:eastAsia="MS PGothic" w:hAnsi="Arial" w:cs="Times New Roman"/>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4376F6"/>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faultChar">
    <w:name w:val="Default Char"/>
    <w:basedOn w:val="DefaultParagraphFont"/>
    <w:link w:val="Default"/>
    <w:rsid w:val="004376F6"/>
    <w:rPr>
      <w:rFonts w:ascii="Arial" w:eastAsia="Times New Roman" w:hAnsi="Arial" w:cs="Arial"/>
      <w:color w:val="000000"/>
      <w:sz w:val="24"/>
      <w:szCs w:val="24"/>
      <w:lang w:val="en-US"/>
    </w:rPr>
  </w:style>
  <w:style w:type="paragraph" w:customStyle="1" w:styleId="PBACTableText">
    <w:name w:val="PBAC Table Text"/>
    <w:basedOn w:val="Normal"/>
    <w:link w:val="PBACTableTextChar"/>
    <w:qFormat/>
    <w:rsid w:val="004376F6"/>
    <w:pPr>
      <w:spacing w:before="40" w:after="40"/>
      <w:jc w:val="left"/>
    </w:pPr>
    <w:rPr>
      <w:rFonts w:ascii="Arial Narrow" w:hAnsi="Arial Narrow" w:cs="Calibri (Body)"/>
      <w:sz w:val="20"/>
      <w:lang w:val="en-US"/>
    </w:rPr>
  </w:style>
  <w:style w:type="character" w:customStyle="1" w:styleId="PBACTableTextChar">
    <w:name w:val="PBAC Table Text Char"/>
    <w:basedOn w:val="DefaultParagraphFont"/>
    <w:link w:val="PBACTableText"/>
    <w:rsid w:val="004376F6"/>
    <w:rPr>
      <w:rFonts w:ascii="Arial Narrow" w:hAnsi="Arial Narrow" w:cs="Calibri (Body)"/>
      <w:sz w:val="20"/>
      <w:lang w:val="en-US"/>
    </w:rPr>
  </w:style>
  <w:style w:type="table" w:customStyle="1" w:styleId="Evideratable">
    <w:name w:val="Evidera table"/>
    <w:basedOn w:val="TableNormal"/>
    <w:rsid w:val="004376F6"/>
    <w:pPr>
      <w:spacing w:before="40" w:after="40" w:line="240" w:lineRule="auto"/>
    </w:pPr>
    <w:rPr>
      <w:rFonts w:eastAsia="Times New Roman" w:cs="Times New Roman"/>
      <w:sz w:val="20"/>
      <w:szCs w:val="20"/>
      <w:lang w:val="en-GB" w:eastAsia="en-GB"/>
    </w:rPr>
    <w:tblPr>
      <w:tblStyleRowBandSize w:val="1"/>
      <w:tblInd w:w="0" w:type="nil"/>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8" w:space="0" w:color="E7E6E6" w:themeColor="background2"/>
        <w:insideV w:val="dotted" w:sz="8" w:space="0" w:color="E7E6E6" w:themeColor="background2"/>
      </w:tblBorders>
    </w:tblPr>
    <w:tblStylePr w:type="firstRow">
      <w:rPr>
        <w:rFonts w:asciiTheme="majorHAnsi" w:hAnsiTheme="majorHAnsi" w:hint="default"/>
        <w:b/>
        <w:sz w:val="18"/>
        <w:szCs w:val="18"/>
      </w:rPr>
      <w:tblPr/>
      <w:tcPr>
        <w:tcBorders>
          <w:top w:val="single" w:sz="4" w:space="0" w:color="E7E6E6" w:themeColor="background2"/>
          <w:left w:val="single" w:sz="4" w:space="0" w:color="E7E6E6" w:themeColor="background2"/>
          <w:bottom w:val="single" w:sz="18" w:space="0" w:color="4472C4" w:themeColor="accent5"/>
          <w:right w:val="single" w:sz="4" w:space="0" w:color="E7E6E6" w:themeColor="background2"/>
          <w:insideH w:val="single" w:sz="18" w:space="0" w:color="4472C4" w:themeColor="accent5"/>
          <w:insideV w:val="dotted" w:sz="4" w:space="0" w:color="E7E6E6" w:themeColor="background2"/>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8" w:space="0" w:color="C00000"/>
          <w:right w:val="nil"/>
          <w:insideH w:val="nil"/>
          <w:insideV w:val="nil"/>
          <w:tl2br w:val="nil"/>
          <w:tr2bl w:val="nil"/>
        </w:tcBorders>
      </w:tcPr>
    </w:tblStylePr>
    <w:tblStylePr w:type="firstCol">
      <w:tblPr/>
      <w:tcPr>
        <w:tcBorders>
          <w:left w:val="single" w:sz="4" w:space="0" w:color="E7E6E6" w:themeColor="background2"/>
        </w:tcBorders>
      </w:tcPr>
    </w:tblStylePr>
    <w:tblStylePr w:type="lastCol">
      <w:tblPr/>
      <w:tcPr>
        <w:tcBorders>
          <w:left w:val="nil"/>
          <w:right w:val="single" w:sz="4" w:space="0" w:color="E7E6E6" w:themeColor="background2"/>
        </w:tcBorders>
      </w:tcPr>
    </w:tblStylePr>
    <w:tblStylePr w:type="band1Horz">
      <w:tblPr/>
      <w:tcPr>
        <w:tcBorders>
          <w:insideV w:val="dotted" w:sz="4" w:space="0" w:color="E7E6E6" w:themeColor="background2"/>
        </w:tcBorders>
      </w:tcPr>
    </w:tblStylePr>
    <w:tblStylePr w:type="seCell">
      <w:tblPr/>
      <w:tcPr>
        <w:tcBorders>
          <w:right w:val="single" w:sz="4" w:space="0" w:color="E7E6E6" w:themeColor="background2"/>
        </w:tcBorders>
      </w:tcPr>
    </w:tblStylePr>
    <w:tblStylePr w:type="swCell">
      <w:tblPr/>
      <w:tcPr>
        <w:tcBorders>
          <w:left w:val="single" w:sz="4" w:space="0" w:color="E7E6E6" w:themeColor="background2"/>
        </w:tcBorders>
      </w:tcPr>
    </w:tblStylePr>
  </w:style>
  <w:style w:type="table" w:customStyle="1" w:styleId="TableGrid10">
    <w:name w:val="Table Grid1"/>
    <w:basedOn w:val="TableNormal"/>
    <w:next w:val="TableGrid"/>
    <w:rsid w:val="0043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
    <w:name w:val="PBAC Table Style1"/>
    <w:basedOn w:val="TableGrid1"/>
    <w:uiPriority w:val="99"/>
    <w:rsid w:val="004376F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odoni MT Condensed" w:hAnsi="Bodoni MT Condensed"/>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odoni MT Condensed" w:hAnsi="Bodoni MT Condensed"/>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odoni MT Condensed" w:hAnsi="Bodoni MT Condensed"/>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B37E6F"/>
    <w:pPr>
      <w:spacing w:after="0"/>
      <w:jc w:val="center"/>
    </w:pPr>
    <w:rPr>
      <w:rFonts w:ascii="Arial Narrow" w:hAnsi="Arial Narrow"/>
      <w:noProof/>
      <w:sz w:val="20"/>
      <w:lang w:val="en-US"/>
    </w:rPr>
  </w:style>
  <w:style w:type="character" w:customStyle="1" w:styleId="EndNoteBibliographyTitleChar">
    <w:name w:val="EndNote Bibliography Title Char"/>
    <w:basedOn w:val="InstructionalTextChar"/>
    <w:link w:val="EndNoteBibliographyTitle"/>
    <w:rsid w:val="00B37E6F"/>
    <w:rPr>
      <w:rFonts w:ascii="Arial Narrow" w:hAnsi="Arial Narrow" w:cstheme="minorHAnsi"/>
      <w:noProof/>
      <w:color w:val="3366FF"/>
      <w:sz w:val="20"/>
      <w:lang w:val="en-US"/>
    </w:rPr>
  </w:style>
  <w:style w:type="paragraph" w:customStyle="1" w:styleId="EndNoteBibliography">
    <w:name w:val="EndNote Bibliography"/>
    <w:basedOn w:val="Normal"/>
    <w:link w:val="EndNoteBibliographyChar"/>
    <w:rsid w:val="00B37E6F"/>
    <w:rPr>
      <w:rFonts w:ascii="Arial Narrow" w:hAnsi="Arial Narrow"/>
      <w:noProof/>
      <w:sz w:val="20"/>
      <w:lang w:val="en-US"/>
    </w:rPr>
  </w:style>
  <w:style w:type="character" w:customStyle="1" w:styleId="EndNoteBibliographyChar">
    <w:name w:val="EndNote Bibliography Char"/>
    <w:basedOn w:val="InstructionalTextChar"/>
    <w:link w:val="EndNoteBibliography"/>
    <w:rsid w:val="00B37E6F"/>
    <w:rPr>
      <w:rFonts w:ascii="Arial Narrow" w:hAnsi="Arial Narrow" w:cstheme="minorHAnsi"/>
      <w:noProof/>
      <w:color w:val="3366FF"/>
      <w:sz w:val="20"/>
      <w:lang w:val="en-US"/>
    </w:rPr>
  </w:style>
  <w:style w:type="character" w:styleId="Mention">
    <w:name w:val="Mention"/>
    <w:basedOn w:val="DefaultParagraphFont"/>
    <w:uiPriority w:val="99"/>
    <w:unhideWhenUsed/>
    <w:rsid w:val="004F6F09"/>
    <w:rPr>
      <w:color w:val="2B579A"/>
      <w:shd w:val="clear" w:color="auto" w:fill="E1DFDD"/>
    </w:rPr>
  </w:style>
  <w:style w:type="paragraph" w:customStyle="1" w:styleId="1-MainHeading">
    <w:name w:val="1-Main Heading"/>
    <w:link w:val="1-MainHeadingChar"/>
    <w:qFormat/>
    <w:rsid w:val="00DB6A66"/>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DB6A66"/>
    <w:rPr>
      <w:rFonts w:eastAsiaTheme="majorEastAsia" w:cstheme="majorBidi"/>
      <w:b/>
      <w:spacing w:val="5"/>
      <w:kern w:val="28"/>
      <w:sz w:val="36"/>
      <w:szCs w:val="36"/>
      <w:lang w:eastAsia="en-AU"/>
    </w:rPr>
  </w:style>
  <w:style w:type="paragraph" w:styleId="Subtitle">
    <w:name w:val="Subtitle"/>
    <w:basedOn w:val="Normal"/>
    <w:next w:val="Normal"/>
    <w:link w:val="SubtitleChar"/>
    <w:qFormat/>
    <w:rsid w:val="00B93393"/>
    <w:pPr>
      <w:spacing w:after="24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B93393"/>
    <w:rPr>
      <w:rFonts w:ascii="Arial" w:eastAsia="Times New Roman" w:hAnsi="Arial" w:cs="Arial"/>
      <w:b/>
      <w:bCs/>
      <w:i/>
      <w:color w:val="000080"/>
      <w:sz w:val="28"/>
      <w:szCs w:val="28"/>
      <w:lang w:eastAsia="en-AU"/>
    </w:rPr>
  </w:style>
  <w:style w:type="table" w:customStyle="1" w:styleId="Section3-footnot1">
    <w:name w:val="Section 3- footnot1"/>
    <w:basedOn w:val="TableNormal"/>
    <w:next w:val="TableGrid"/>
    <w:uiPriority w:val="59"/>
    <w:rsid w:val="00BD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link w:val="TablenotesChar"/>
    <w:qFormat/>
    <w:rsid w:val="004506DC"/>
    <w:pPr>
      <w:spacing w:after="240" w:line="259" w:lineRule="auto"/>
      <w:contextualSpacing/>
    </w:pPr>
    <w:rPr>
      <w:rFonts w:ascii="Arial Narrow" w:hAnsi="Arial Narrow" w:cs="Arial"/>
      <w:sz w:val="18"/>
    </w:rPr>
  </w:style>
  <w:style w:type="character" w:customStyle="1" w:styleId="TablenotesChar">
    <w:name w:val="Table notes Char"/>
    <w:basedOn w:val="DefaultParagraphFont"/>
    <w:link w:val="Tablenotes"/>
    <w:rsid w:val="004506DC"/>
    <w:rPr>
      <w:rFonts w:ascii="Arial Narrow" w:hAnsi="Arial Narrow"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79329991">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3833640">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5642">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15755026">
      <w:bodyDiv w:val="1"/>
      <w:marLeft w:val="0"/>
      <w:marRight w:val="0"/>
      <w:marTop w:val="0"/>
      <w:marBottom w:val="0"/>
      <w:divBdr>
        <w:top w:val="none" w:sz="0" w:space="0" w:color="auto"/>
        <w:left w:val="none" w:sz="0" w:space="0" w:color="auto"/>
        <w:bottom w:val="none" w:sz="0" w:space="0" w:color="auto"/>
        <w:right w:val="none" w:sz="0" w:space="0" w:color="auto"/>
      </w:divBdr>
      <w:divsChild>
        <w:div w:id="240255664">
          <w:marLeft w:val="0"/>
          <w:marRight w:val="0"/>
          <w:marTop w:val="0"/>
          <w:marBottom w:val="0"/>
          <w:divBdr>
            <w:top w:val="none" w:sz="0" w:space="0" w:color="auto"/>
            <w:left w:val="none" w:sz="0" w:space="0" w:color="auto"/>
            <w:bottom w:val="none" w:sz="0" w:space="0" w:color="auto"/>
            <w:right w:val="none" w:sz="0" w:space="0" w:color="auto"/>
          </w:divBdr>
        </w:div>
        <w:div w:id="636187619">
          <w:marLeft w:val="0"/>
          <w:marRight w:val="0"/>
          <w:marTop w:val="0"/>
          <w:marBottom w:val="0"/>
          <w:divBdr>
            <w:top w:val="none" w:sz="0" w:space="0" w:color="auto"/>
            <w:left w:val="none" w:sz="0" w:space="0" w:color="auto"/>
            <w:bottom w:val="none" w:sz="0" w:space="0" w:color="auto"/>
            <w:right w:val="none" w:sz="0" w:space="0" w:color="auto"/>
          </w:divBdr>
        </w:div>
        <w:div w:id="1153643168">
          <w:marLeft w:val="0"/>
          <w:marRight w:val="0"/>
          <w:marTop w:val="0"/>
          <w:marBottom w:val="0"/>
          <w:divBdr>
            <w:top w:val="none" w:sz="0" w:space="0" w:color="auto"/>
            <w:left w:val="none" w:sz="0" w:space="0" w:color="auto"/>
            <w:bottom w:val="none" w:sz="0" w:space="0" w:color="auto"/>
            <w:right w:val="none" w:sz="0" w:space="0" w:color="auto"/>
          </w:divBdr>
        </w:div>
        <w:div w:id="2009626871">
          <w:marLeft w:val="0"/>
          <w:marRight w:val="0"/>
          <w:marTop w:val="0"/>
          <w:marBottom w:val="0"/>
          <w:divBdr>
            <w:top w:val="none" w:sz="0" w:space="0" w:color="auto"/>
            <w:left w:val="none" w:sz="0" w:space="0" w:color="auto"/>
            <w:bottom w:val="none" w:sz="0" w:space="0" w:color="auto"/>
            <w:right w:val="none" w:sz="0" w:space="0" w:color="auto"/>
          </w:divBdr>
        </w:div>
        <w:div w:id="2033221345">
          <w:marLeft w:val="0"/>
          <w:marRight w:val="0"/>
          <w:marTop w:val="0"/>
          <w:marBottom w:val="0"/>
          <w:divBdr>
            <w:top w:val="none" w:sz="0" w:space="0" w:color="auto"/>
            <w:left w:val="none" w:sz="0" w:space="0" w:color="auto"/>
            <w:bottom w:val="none" w:sz="0" w:space="0" w:color="auto"/>
            <w:right w:val="none" w:sz="0" w:space="0" w:color="auto"/>
          </w:divBdr>
        </w:div>
      </w:divsChild>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47389411">
      <w:bodyDiv w:val="1"/>
      <w:marLeft w:val="0"/>
      <w:marRight w:val="0"/>
      <w:marTop w:val="0"/>
      <w:marBottom w:val="0"/>
      <w:divBdr>
        <w:top w:val="none" w:sz="0" w:space="0" w:color="auto"/>
        <w:left w:val="none" w:sz="0" w:space="0" w:color="auto"/>
        <w:bottom w:val="none" w:sz="0" w:space="0" w:color="auto"/>
        <w:right w:val="none" w:sz="0" w:space="0" w:color="auto"/>
      </w:divBdr>
      <w:divsChild>
        <w:div w:id="161088529">
          <w:marLeft w:val="0"/>
          <w:marRight w:val="0"/>
          <w:marTop w:val="0"/>
          <w:marBottom w:val="0"/>
          <w:divBdr>
            <w:top w:val="none" w:sz="0" w:space="0" w:color="auto"/>
            <w:left w:val="none" w:sz="0" w:space="0" w:color="auto"/>
            <w:bottom w:val="none" w:sz="0" w:space="0" w:color="auto"/>
            <w:right w:val="none" w:sz="0" w:space="0" w:color="auto"/>
          </w:divBdr>
        </w:div>
        <w:div w:id="442458745">
          <w:marLeft w:val="0"/>
          <w:marRight w:val="0"/>
          <w:marTop w:val="0"/>
          <w:marBottom w:val="0"/>
          <w:divBdr>
            <w:top w:val="none" w:sz="0" w:space="0" w:color="auto"/>
            <w:left w:val="none" w:sz="0" w:space="0" w:color="auto"/>
            <w:bottom w:val="none" w:sz="0" w:space="0" w:color="auto"/>
            <w:right w:val="none" w:sz="0" w:space="0" w:color="auto"/>
          </w:divBdr>
        </w:div>
        <w:div w:id="735665678">
          <w:marLeft w:val="0"/>
          <w:marRight w:val="0"/>
          <w:marTop w:val="0"/>
          <w:marBottom w:val="0"/>
          <w:divBdr>
            <w:top w:val="none" w:sz="0" w:space="0" w:color="auto"/>
            <w:left w:val="none" w:sz="0" w:space="0" w:color="auto"/>
            <w:bottom w:val="none" w:sz="0" w:space="0" w:color="auto"/>
            <w:right w:val="none" w:sz="0" w:space="0" w:color="auto"/>
          </w:divBdr>
        </w:div>
        <w:div w:id="957296945">
          <w:marLeft w:val="0"/>
          <w:marRight w:val="0"/>
          <w:marTop w:val="0"/>
          <w:marBottom w:val="0"/>
          <w:divBdr>
            <w:top w:val="none" w:sz="0" w:space="0" w:color="auto"/>
            <w:left w:val="none" w:sz="0" w:space="0" w:color="auto"/>
            <w:bottom w:val="none" w:sz="0" w:space="0" w:color="auto"/>
            <w:right w:val="none" w:sz="0" w:space="0" w:color="auto"/>
          </w:divBdr>
        </w:div>
        <w:div w:id="1919559294">
          <w:marLeft w:val="0"/>
          <w:marRight w:val="0"/>
          <w:marTop w:val="0"/>
          <w:marBottom w:val="0"/>
          <w:divBdr>
            <w:top w:val="none" w:sz="0" w:space="0" w:color="auto"/>
            <w:left w:val="none" w:sz="0" w:space="0" w:color="auto"/>
            <w:bottom w:val="none" w:sz="0" w:space="0" w:color="auto"/>
            <w:right w:val="none" w:sz="0" w:space="0" w:color="auto"/>
          </w:divBdr>
        </w:div>
      </w:divsChild>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140841">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60345922">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0142465">
      <w:bodyDiv w:val="1"/>
      <w:marLeft w:val="0"/>
      <w:marRight w:val="0"/>
      <w:marTop w:val="0"/>
      <w:marBottom w:val="0"/>
      <w:divBdr>
        <w:top w:val="none" w:sz="0" w:space="0" w:color="auto"/>
        <w:left w:val="none" w:sz="0" w:space="0" w:color="auto"/>
        <w:bottom w:val="none" w:sz="0" w:space="0" w:color="auto"/>
        <w:right w:val="none" w:sz="0" w:space="0" w:color="auto"/>
      </w:divBdr>
      <w:divsChild>
        <w:div w:id="153961679">
          <w:marLeft w:val="274"/>
          <w:marRight w:val="0"/>
          <w:marTop w:val="0"/>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77138631">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777485583">
      <w:bodyDiv w:val="1"/>
      <w:marLeft w:val="0"/>
      <w:marRight w:val="0"/>
      <w:marTop w:val="0"/>
      <w:marBottom w:val="0"/>
      <w:divBdr>
        <w:top w:val="none" w:sz="0" w:space="0" w:color="auto"/>
        <w:left w:val="none" w:sz="0" w:space="0" w:color="auto"/>
        <w:bottom w:val="none" w:sz="0" w:space="0" w:color="auto"/>
        <w:right w:val="none" w:sz="0" w:space="0" w:color="auto"/>
      </w:divBdr>
    </w:div>
    <w:div w:id="1809474999">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msac.gov.au/internet/msac/publishing.nsf/Content/Home-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sac.gov.au/sites/default/files/documents/1708%2520Final%2520PSD%2520-%2520April%25202024%2520-%2520redacted.pdf"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11/apt.16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C239F-1674-44D9-9079-07753DDDE27E}">
  <ds:schemaRefs>
    <ds:schemaRef ds:uri="http://schemas.openxmlformats.org/officeDocument/2006/bibliography"/>
  </ds:schemaRefs>
</ds:datastoreItem>
</file>

<file path=customXml/itemProps2.xml><?xml version="1.0" encoding="utf-8"?>
<ds:datastoreItem xmlns:ds="http://schemas.openxmlformats.org/officeDocument/2006/customXml" ds:itemID="{28D2EF65-5067-4316-8EA1-03F3DDE83346}">
  <ds:schemaRefs>
    <ds:schemaRef ds:uri="http://schemas.microsoft.com/sharepoint/v3/contenttype/forms"/>
  </ds:schemaRefs>
</ds:datastoreItem>
</file>

<file path=customXml/itemProps3.xml><?xml version="1.0" encoding="utf-8"?>
<ds:datastoreItem xmlns:ds="http://schemas.openxmlformats.org/officeDocument/2006/customXml" ds:itemID="{F9C1201B-EE0C-4387-8298-535FF44EEF85}">
  <ds:schemaRefs>
    <ds:schemaRef ds:uri="http://schemas.microsoft.com/office/2006/documentManagement/types"/>
    <ds:schemaRef ds:uri="http://schemas.microsoft.com/office/infopath/2007/PartnerControls"/>
    <ds:schemaRef ds:uri="e7d54a9e-4aca-451b-99db-b94fe438e987"/>
    <ds:schemaRef ds:uri="7513b557-581c-46d3-8cc7-77c65017dc6f"/>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32FAD1-E520-4B62-999C-0B6F6F76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47</Pages>
  <Words>20532</Words>
  <Characters>117033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Carolyn</dc:creator>
  <cp:keywords/>
  <dc:description/>
  <cp:lastModifiedBy>HAMBLEY, Carolyn</cp:lastModifiedBy>
  <cp:revision>2</cp:revision>
  <dcterms:created xsi:type="dcterms:W3CDTF">2025-07-17T04:57:00Z</dcterms:created>
  <dcterms:modified xsi:type="dcterms:W3CDTF">2025-07-17T04:57:00Z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SetDate">
    <vt:lpwstr>2025-05-15T05:15:14Z</vt:lpwstr>
  </property>
  <property fmtid="{D5CDD505-2E9C-101B-9397-08002B2CF9AE}" pid="3" name="MediaServiceImageTags">
    <vt:lpwstr/>
  </property>
  <property fmtid="{D5CDD505-2E9C-101B-9397-08002B2CF9AE}" pid="4" name="ContentTypeId">
    <vt:lpwstr>0x0101005E4A37BE997BE34FBB7D5057D341D123</vt:lpwstr>
  </property>
  <property fmtid="{D5CDD505-2E9C-101B-9397-08002B2CF9AE}" pid="5" name="MSIP_Label_418c1083-8924-401d-97ae-40f5eed0fcd8_Enabled">
    <vt:lpwstr>true</vt:lpwstr>
  </property>
  <property fmtid="{D5CDD505-2E9C-101B-9397-08002B2CF9AE}" pid="6" name="MSIP_Label_418c1083-8924-401d-97ae-40f5eed0fcd8_Name">
    <vt:lpwstr>418c1083-8924-401d-97ae-40f5eed0fcd8</vt:lpwstr>
  </property>
  <property fmtid="{D5CDD505-2E9C-101B-9397-08002B2CF9AE}" pid="7" name="MSIP_Label_418c1083-8924-401d-97ae-40f5eed0fcd8_ActionId">
    <vt:lpwstr>1c024d61-a0c6-416c-a543-5d1056afb58b</vt:lpwstr>
  </property>
  <property fmtid="{D5CDD505-2E9C-101B-9397-08002B2CF9AE}" pid="8" name="MSIP_Label_418c1083-8924-401d-97ae-40f5eed0fcd8_ContentBits">
    <vt:lpwstr>0</vt:lpwstr>
  </property>
  <property fmtid="{D5CDD505-2E9C-101B-9397-08002B2CF9AE}" pid="9" name="MSIP_Label_418c1083-8924-401d-97ae-40f5eed0fcd8_SiteId">
    <vt:lpwstr>a5a8bcaa-3292-41e6-b735-5e8b21f4dbfd</vt:lpwstr>
  </property>
  <property fmtid="{D5CDD505-2E9C-101B-9397-08002B2CF9AE}" pid="10" name="MSIP_Label_418c1083-8924-401d-97ae-40f5eed0fcd8_Method">
    <vt:lpwstr>Standard</vt:lpwstr>
  </property>
</Properties>
</file>